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5AC0" w14:textId="2E0A179C" w:rsidR="00264628" w:rsidRPr="003A1ABE" w:rsidRDefault="00264628" w:rsidP="00264628">
      <w:pPr>
        <w:snapToGrid w:val="0"/>
        <w:spacing w:line="240" w:lineRule="auto"/>
        <w:ind w:left="5387" w:right="-286"/>
        <w:outlineLvl w:val="0"/>
        <w:rPr>
          <w:rFonts w:ascii="Arial" w:eastAsia="Arial" w:hAnsi="Arial" w:cs="Arial"/>
          <w:bCs/>
          <w:snapToGrid/>
          <w:szCs w:val="24"/>
          <w:lang w:val="en-GB"/>
        </w:rPr>
      </w:pPr>
      <w:r w:rsidRPr="003A1ABE">
        <w:rPr>
          <w:rFonts w:ascii="Arial" w:hAnsi="Arial"/>
          <w:noProof/>
          <w:snapToGrid/>
        </w:rPr>
        <w:drawing>
          <wp:anchor distT="0" distB="0" distL="114300" distR="114300" simplePos="0" relativeHeight="251659264" behindDoc="0" locked="0" layoutInCell="1" allowOverlap="1" wp14:anchorId="66689D21" wp14:editId="5660D85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3A1ABE">
        <w:rPr>
          <w:rFonts w:ascii="Arial" w:hAnsi="Arial"/>
          <w:snapToGrid/>
          <w:lang w:val="en-GB" w:eastAsia="de-DE"/>
        </w:rPr>
        <w:t>CCNR-ZKR/ADN/WP.15/AC.2/2024/17</w:t>
      </w:r>
    </w:p>
    <w:p w14:paraId="4C185316" w14:textId="77777777" w:rsidR="00264628" w:rsidRPr="003A1ABE" w:rsidRDefault="00264628" w:rsidP="00264628">
      <w:pPr>
        <w:tabs>
          <w:tab w:val="left" w:pos="5670"/>
        </w:tabs>
        <w:suppressAutoHyphens w:val="0"/>
        <w:snapToGrid w:val="0"/>
        <w:spacing w:line="240" w:lineRule="auto"/>
        <w:ind w:left="5387"/>
        <w:rPr>
          <w:rFonts w:ascii="Arial" w:hAnsi="Arial" w:cs="Arial"/>
          <w:snapToGrid/>
          <w:sz w:val="16"/>
          <w:szCs w:val="24"/>
        </w:rPr>
      </w:pPr>
      <w:r w:rsidRPr="003A1ABE">
        <w:rPr>
          <w:rFonts w:ascii="Arial" w:hAnsi="Arial"/>
          <w:snapToGrid/>
          <w:sz w:val="16"/>
          <w:lang w:eastAsia="de-DE"/>
        </w:rPr>
        <w:t>Allgemeine Verteilung</w:t>
      </w:r>
    </w:p>
    <w:p w14:paraId="5C385CF0" w14:textId="14F32759" w:rsidR="00264628" w:rsidRPr="003A1ABE" w:rsidRDefault="0005522D" w:rsidP="00264628">
      <w:pPr>
        <w:tabs>
          <w:tab w:val="right" w:pos="3856"/>
          <w:tab w:val="left" w:pos="5670"/>
        </w:tabs>
        <w:suppressAutoHyphens w:val="0"/>
        <w:snapToGrid w:val="0"/>
        <w:spacing w:line="240" w:lineRule="auto"/>
        <w:ind w:left="5387"/>
        <w:rPr>
          <w:rFonts w:ascii="Arial" w:hAnsi="Arial" w:cs="Arial"/>
          <w:snapToGrid/>
          <w:szCs w:val="24"/>
        </w:rPr>
      </w:pPr>
      <w:r w:rsidRPr="003A1ABE">
        <w:rPr>
          <w:rFonts w:ascii="Arial" w:hAnsi="Arial"/>
          <w:snapToGrid/>
          <w:lang w:eastAsia="de-DE"/>
        </w:rPr>
        <w:t>9. November 2023</w:t>
      </w:r>
    </w:p>
    <w:p w14:paraId="79525D3E" w14:textId="5C61AEC2" w:rsidR="00264628" w:rsidRPr="003A1ABE"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rPr>
      </w:pPr>
      <w:proofErr w:type="spellStart"/>
      <w:r w:rsidRPr="003A1ABE">
        <w:rPr>
          <w:rFonts w:ascii="Arial" w:hAnsi="Arial"/>
          <w:snapToGrid/>
          <w:sz w:val="16"/>
          <w:lang w:eastAsia="de-DE"/>
        </w:rPr>
        <w:t>Or</w:t>
      </w:r>
      <w:proofErr w:type="spellEnd"/>
      <w:r w:rsidRPr="003A1ABE">
        <w:rPr>
          <w:rFonts w:ascii="Arial" w:hAnsi="Arial"/>
          <w:snapToGrid/>
          <w:sz w:val="16"/>
          <w:lang w:eastAsia="de-DE"/>
        </w:rPr>
        <w:t>. ENGLISCH</w:t>
      </w:r>
    </w:p>
    <w:p w14:paraId="67D00F9A" w14:textId="77777777" w:rsidR="00264628" w:rsidRPr="003A1ABE" w:rsidRDefault="00264628" w:rsidP="00264628">
      <w:pPr>
        <w:suppressAutoHyphens w:val="0"/>
        <w:snapToGrid w:val="0"/>
        <w:spacing w:line="240" w:lineRule="auto"/>
        <w:rPr>
          <w:rFonts w:ascii="Arial" w:hAnsi="Arial" w:cs="Arial"/>
          <w:snapToGrid/>
          <w:sz w:val="16"/>
          <w:szCs w:val="24"/>
          <w:lang w:eastAsia="de-DE"/>
        </w:rPr>
      </w:pPr>
    </w:p>
    <w:p w14:paraId="33F37F5B" w14:textId="77777777" w:rsidR="00264628" w:rsidRPr="003A1ABE" w:rsidRDefault="00264628" w:rsidP="00264628">
      <w:pPr>
        <w:tabs>
          <w:tab w:val="left" w:pos="2977"/>
        </w:tabs>
        <w:suppressAutoHyphens w:val="0"/>
        <w:snapToGrid w:val="0"/>
        <w:spacing w:line="240" w:lineRule="auto"/>
        <w:ind w:left="3958"/>
        <w:rPr>
          <w:rFonts w:ascii="Arial" w:hAnsi="Arial"/>
          <w:snapToGrid/>
          <w:sz w:val="16"/>
        </w:rPr>
      </w:pPr>
      <w:r w:rsidRPr="003A1ABE">
        <w:rPr>
          <w:rFonts w:ascii="Arial" w:hAnsi="Arial"/>
          <w:snapToGrid/>
          <w:sz w:val="16"/>
        </w:rPr>
        <w:t>GEMEINSAME EXPERTENTAGUNG FÜR DIE DEM ÜBEREINKOMMEN ÜBER DIE INTERNATIONALE BEFÖRDERUNG VON GEFÄHRLICHEN GÜTERN AUF BINNENWASSERSTRAẞEN (ADN) BEIGEFÜGTE VERORDNUNG (SICHERHEITSAUSSCHUSS)</w:t>
      </w:r>
    </w:p>
    <w:p w14:paraId="1F699BEE" w14:textId="23444815" w:rsidR="00264628" w:rsidRPr="003A1ABE" w:rsidRDefault="00264628" w:rsidP="00264628">
      <w:pPr>
        <w:tabs>
          <w:tab w:val="left" w:pos="2977"/>
        </w:tabs>
        <w:suppressAutoHyphens w:val="0"/>
        <w:snapToGrid w:val="0"/>
        <w:spacing w:line="240" w:lineRule="auto"/>
        <w:ind w:left="3960"/>
        <w:rPr>
          <w:rFonts w:ascii="Arial" w:hAnsi="Arial"/>
          <w:snapToGrid/>
          <w:sz w:val="16"/>
          <w:szCs w:val="24"/>
        </w:rPr>
      </w:pPr>
      <w:r w:rsidRPr="003A1ABE">
        <w:rPr>
          <w:rFonts w:ascii="Arial" w:hAnsi="Arial"/>
          <w:snapToGrid/>
          <w:sz w:val="16"/>
        </w:rPr>
        <w:t>(43. Tagung, Genf, 22. – 26. Januar 2024)</w:t>
      </w:r>
    </w:p>
    <w:p w14:paraId="318FB315" w14:textId="186B5675" w:rsidR="00264628" w:rsidRPr="003A1ABE" w:rsidRDefault="00264628" w:rsidP="00264628">
      <w:pPr>
        <w:tabs>
          <w:tab w:val="left" w:pos="2977"/>
        </w:tabs>
        <w:suppressAutoHyphens w:val="0"/>
        <w:snapToGrid w:val="0"/>
        <w:spacing w:line="240" w:lineRule="auto"/>
        <w:ind w:left="3960"/>
        <w:rPr>
          <w:rFonts w:ascii="Arial" w:hAnsi="Arial" w:cs="Arial"/>
          <w:snapToGrid/>
          <w:sz w:val="16"/>
          <w:szCs w:val="16"/>
        </w:rPr>
      </w:pPr>
      <w:r w:rsidRPr="003A1ABE">
        <w:rPr>
          <w:rFonts w:ascii="Arial" w:hAnsi="Arial"/>
          <w:snapToGrid/>
          <w:sz w:val="16"/>
          <w:lang w:eastAsia="en-US"/>
        </w:rPr>
        <w:t>Punkt 5 b) zur vorläufigen Tagesordnung</w:t>
      </w:r>
    </w:p>
    <w:p w14:paraId="70D5FA41" w14:textId="77777777" w:rsidR="00264628" w:rsidRPr="003A1ABE" w:rsidRDefault="00264628" w:rsidP="008F0030">
      <w:pPr>
        <w:widowControl w:val="0"/>
        <w:tabs>
          <w:tab w:val="left" w:pos="2977"/>
        </w:tabs>
        <w:suppressAutoHyphens w:val="0"/>
        <w:overflowPunct w:val="0"/>
        <w:autoSpaceDE w:val="0"/>
        <w:autoSpaceDN w:val="0"/>
        <w:adjustRightInd w:val="0"/>
        <w:spacing w:after="60" w:line="240" w:lineRule="auto"/>
        <w:ind w:left="3960" w:firstLine="9"/>
        <w:jc w:val="both"/>
        <w:textAlignment w:val="baseline"/>
        <w:rPr>
          <w:rFonts w:ascii="Arial" w:hAnsi="Arial" w:cs="Arial"/>
          <w:b/>
          <w:snapToGrid/>
          <w:sz w:val="16"/>
          <w:szCs w:val="16"/>
        </w:rPr>
      </w:pPr>
      <w:r w:rsidRPr="003A1ABE">
        <w:rPr>
          <w:rFonts w:ascii="Arial" w:hAnsi="Arial"/>
          <w:b/>
          <w:snapToGrid/>
          <w:sz w:val="16"/>
          <w:lang w:eastAsia="en-US"/>
        </w:rPr>
        <w:t>Vorschläge für Änderungen der dem ADN beigefügten Verordnung: Weitere Änderungsvorschläge</w:t>
      </w:r>
    </w:p>
    <w:p w14:paraId="62E3B5E9" w14:textId="572698C7" w:rsidR="00027562" w:rsidRPr="003A1ABE" w:rsidRDefault="00BB7C53" w:rsidP="00027562">
      <w:pPr>
        <w:keepNext/>
        <w:keepLines/>
        <w:tabs>
          <w:tab w:val="right" w:pos="851"/>
        </w:tabs>
        <w:suppressAutoHyphens w:val="0"/>
        <w:spacing w:before="360" w:after="240" w:line="300" w:lineRule="exact"/>
        <w:ind w:left="1134" w:right="1134" w:hanging="1134"/>
        <w:outlineLvl w:val="1"/>
        <w:rPr>
          <w:b/>
          <w:snapToGrid/>
          <w:sz w:val="28"/>
          <w:szCs w:val="28"/>
        </w:rPr>
      </w:pPr>
      <w:r w:rsidRPr="003A1ABE">
        <w:rPr>
          <w:b/>
          <w:sz w:val="28"/>
        </w:rPr>
        <w:tab/>
      </w:r>
      <w:r w:rsidRPr="003A1ABE">
        <w:rPr>
          <w:b/>
          <w:sz w:val="28"/>
        </w:rPr>
        <w:tab/>
        <w:t>Vorschlag für zwei Ergänzungen in 1.6.7.2 „Allgemeine Übergangs</w:t>
      </w:r>
      <w:r w:rsidR="000D2DB6" w:rsidRPr="003A1ABE">
        <w:rPr>
          <w:b/>
          <w:sz w:val="28"/>
        </w:rPr>
        <w:t>vorschriften</w:t>
      </w:r>
      <w:r w:rsidRPr="003A1ABE">
        <w:rPr>
          <w:b/>
          <w:sz w:val="28"/>
        </w:rPr>
        <w:t>“</w:t>
      </w:r>
    </w:p>
    <w:p w14:paraId="18E8E5B1" w14:textId="01C906E2" w:rsidR="00264628" w:rsidRPr="003A1ABE" w:rsidRDefault="00264628" w:rsidP="001B2D86">
      <w:pPr>
        <w:keepNext/>
        <w:keepLines/>
        <w:snapToGrid w:val="0"/>
        <w:spacing w:after="60"/>
        <w:ind w:left="1134" w:right="567"/>
        <w:rPr>
          <w:b/>
          <w:snapToGrid/>
          <w:sz w:val="18"/>
          <w:vertAlign w:val="superscript"/>
        </w:rPr>
      </w:pPr>
      <w:r w:rsidRPr="003A1ABE">
        <w:rPr>
          <w:b/>
          <w:snapToGrid/>
          <w:sz w:val="24"/>
        </w:rPr>
        <w:t>Eingereicht von Belgien</w:t>
      </w:r>
      <w:r w:rsidRPr="003A1ABE">
        <w:rPr>
          <w:bCs/>
          <w:snapToGrid/>
          <w:lang w:eastAsia="en-US"/>
        </w:rPr>
        <w:footnoteReference w:customMarkFollows="1" w:id="2"/>
        <w:t>*</w:t>
      </w:r>
      <w:r w:rsidRPr="003A1ABE">
        <w:rPr>
          <w:snapToGrid/>
          <w:vertAlign w:val="superscript"/>
          <w:lang w:eastAsia="en-US"/>
        </w:rPr>
        <w:t>,</w:t>
      </w:r>
      <w:r w:rsidRPr="003A1ABE">
        <w:rPr>
          <w:b/>
          <w:snapToGrid/>
          <w:vertAlign w:val="superscript"/>
          <w:lang w:eastAsia="en-US"/>
        </w:rPr>
        <w:t xml:space="preserve"> </w:t>
      </w:r>
      <w:r w:rsidRPr="003A1ABE">
        <w:rPr>
          <w:bCs/>
          <w:snapToGrid/>
          <w:lang w:eastAsia="en-US"/>
        </w:rPr>
        <w:footnoteReference w:customMarkFollows="1" w:id="3"/>
        <w:t>**</w:t>
      </w:r>
    </w:p>
    <w:p w14:paraId="2D6DE2CB" w14:textId="656D231C" w:rsidR="00F34CF0" w:rsidRPr="003A1ABE" w:rsidRDefault="00F34CF0" w:rsidP="00F34CF0">
      <w:pPr>
        <w:keepNext/>
        <w:keepLines/>
        <w:tabs>
          <w:tab w:val="right" w:pos="851"/>
        </w:tabs>
        <w:suppressAutoHyphens w:val="0"/>
        <w:spacing w:before="360" w:after="240" w:line="300" w:lineRule="exact"/>
        <w:ind w:left="1134" w:right="1134" w:hanging="1134"/>
        <w:outlineLvl w:val="1"/>
        <w:rPr>
          <w:b/>
          <w:snapToGrid/>
          <w:sz w:val="28"/>
        </w:rPr>
      </w:pPr>
      <w:r w:rsidRPr="003A1ABE">
        <w:rPr>
          <w:b/>
          <w:snapToGrid/>
          <w:sz w:val="28"/>
        </w:rPr>
        <w:tab/>
      </w:r>
      <w:r w:rsidRPr="003A1ABE">
        <w:rPr>
          <w:b/>
          <w:snapToGrid/>
          <w:sz w:val="28"/>
        </w:rPr>
        <w:tab/>
        <w:t>Einleitung</w:t>
      </w:r>
    </w:p>
    <w:p w14:paraId="6BA24941" w14:textId="77777777" w:rsidR="00F34CF0" w:rsidRPr="003A1ABE" w:rsidRDefault="00F34CF0" w:rsidP="00F34CF0">
      <w:pPr>
        <w:tabs>
          <w:tab w:val="left" w:pos="1701"/>
          <w:tab w:val="left" w:pos="2268"/>
          <w:tab w:val="left" w:pos="2835"/>
        </w:tabs>
        <w:suppressAutoHyphens w:val="0"/>
        <w:spacing w:after="120"/>
        <w:ind w:left="1134" w:right="1134"/>
        <w:jc w:val="both"/>
        <w:rPr>
          <w:snapToGrid/>
        </w:rPr>
      </w:pPr>
      <w:bookmarkStart w:id="0" w:name="_Hlk87882230"/>
      <w:r w:rsidRPr="003A1ABE">
        <w:rPr>
          <w:snapToGrid/>
        </w:rPr>
        <w:t>1.</w:t>
      </w:r>
      <w:r w:rsidRPr="003A1ABE">
        <w:rPr>
          <w:snapToGrid/>
        </w:rPr>
        <w:tab/>
        <w:t>Auf seiner zweiundvierzigsten Sitzung diskutierte der ADN-Sicherheitsausschuss das von der Europäischen Binnenschifffahrts-Union (EBU) und der Europäischen Schifferorganisation (ESO) eingereichte informelle Dokument INF.21 mit einem Vorschlag bezüglich Übergangsvorschriften für Gasspürgeräte.</w:t>
      </w:r>
    </w:p>
    <w:p w14:paraId="4BE135B4" w14:textId="3BD1E1CA" w:rsidR="00F34CF0" w:rsidRPr="003A1ABE" w:rsidRDefault="00F34CF0" w:rsidP="00F34CF0">
      <w:pPr>
        <w:tabs>
          <w:tab w:val="left" w:pos="1701"/>
          <w:tab w:val="left" w:pos="2268"/>
          <w:tab w:val="left" w:pos="2835"/>
        </w:tabs>
        <w:suppressAutoHyphens w:val="0"/>
        <w:spacing w:after="120"/>
        <w:ind w:left="1134" w:right="1134"/>
        <w:jc w:val="both"/>
        <w:rPr>
          <w:snapToGrid/>
        </w:rPr>
      </w:pPr>
      <w:r w:rsidRPr="003A1ABE">
        <w:rPr>
          <w:snapToGrid/>
        </w:rPr>
        <w:t>2.</w:t>
      </w:r>
      <w:r w:rsidRPr="003A1ABE">
        <w:rPr>
          <w:snapToGrid/>
        </w:rPr>
        <w:tab/>
        <w:t xml:space="preserve">Die belgische Delegation verwies im Laufe der Diskussion auf eine allgemeine Vorschrift im Europäischen Standard (ES-TRIN), Artikel 32.04 Nummer 6, der zufolge Ausrüstung oder Ausrüstungsteile noch längstens 20 Jahre nach Neufassung oder Überarbeitung einer Europäischen oder </w:t>
      </w:r>
      <w:r w:rsidR="00F25AC3" w:rsidRPr="003A1ABE">
        <w:rPr>
          <w:snapToGrid/>
        </w:rPr>
        <w:t>i</w:t>
      </w:r>
      <w:r w:rsidRPr="003A1ABE">
        <w:rPr>
          <w:snapToGrid/>
        </w:rPr>
        <w:t xml:space="preserve">nternationalen Norm </w:t>
      </w:r>
      <w:r w:rsidR="00F25AC3" w:rsidRPr="003A1ABE">
        <w:rPr>
          <w:snapToGrid/>
        </w:rPr>
        <w:t>weiterverwendet</w:t>
      </w:r>
      <w:r w:rsidRPr="003A1ABE">
        <w:rPr>
          <w:snapToGrid/>
        </w:rPr>
        <w:t xml:space="preserve"> werden dürfen. Die belgische Delegation beabsichtigte, ein Dokument zu übermitteln.</w:t>
      </w:r>
    </w:p>
    <w:p w14:paraId="19D6143B" w14:textId="649C77A2" w:rsidR="00F34CF0" w:rsidRPr="003A1ABE" w:rsidRDefault="00F34CF0" w:rsidP="00F34CF0">
      <w:pPr>
        <w:tabs>
          <w:tab w:val="left" w:pos="1701"/>
          <w:tab w:val="left" w:pos="2268"/>
          <w:tab w:val="left" w:pos="2835"/>
        </w:tabs>
        <w:suppressAutoHyphens w:val="0"/>
        <w:spacing w:after="120"/>
        <w:ind w:left="1134" w:right="1134"/>
        <w:jc w:val="both"/>
        <w:rPr>
          <w:snapToGrid/>
        </w:rPr>
      </w:pPr>
      <w:r w:rsidRPr="003A1ABE">
        <w:rPr>
          <w:snapToGrid/>
        </w:rPr>
        <w:t>3.</w:t>
      </w:r>
      <w:r w:rsidRPr="003A1ABE">
        <w:rPr>
          <w:snapToGrid/>
        </w:rPr>
        <w:tab/>
        <w:t>ES-TRIN, Artikel 32.04 Nummer 6 lautet:</w:t>
      </w:r>
    </w:p>
    <w:p w14:paraId="1DBE208C" w14:textId="01810AA2" w:rsidR="00D76346" w:rsidRPr="003A1ABE" w:rsidRDefault="00D76346" w:rsidP="00D76346">
      <w:pPr>
        <w:tabs>
          <w:tab w:val="left" w:pos="1701"/>
          <w:tab w:val="left" w:pos="2268"/>
          <w:tab w:val="left" w:pos="2835"/>
        </w:tabs>
        <w:suppressAutoHyphens w:val="0"/>
        <w:spacing w:after="120"/>
        <w:ind w:left="1701" w:right="1134"/>
        <w:jc w:val="both"/>
        <w:rPr>
          <w:snapToGrid/>
        </w:rPr>
      </w:pPr>
      <w:bookmarkStart w:id="1" w:name="_Hlk150866375"/>
      <w:r w:rsidRPr="003A1ABE">
        <w:rPr>
          <w:snapToGrid/>
        </w:rPr>
        <w:t>„Verweist diese Vorschrift bei den Beschaffenheitsanforderungen</w:t>
      </w:r>
    </w:p>
    <w:p w14:paraId="21F364F7" w14:textId="7A20325E" w:rsidR="00D76346" w:rsidRPr="003A1ABE" w:rsidRDefault="00D76346" w:rsidP="00D76346">
      <w:pPr>
        <w:tabs>
          <w:tab w:val="left" w:pos="1701"/>
          <w:tab w:val="left" w:pos="2268"/>
          <w:tab w:val="left" w:pos="2835"/>
        </w:tabs>
        <w:suppressAutoHyphens w:val="0"/>
        <w:spacing w:after="120"/>
        <w:ind w:left="1701" w:right="1134"/>
        <w:jc w:val="both"/>
        <w:rPr>
          <w:snapToGrid/>
        </w:rPr>
      </w:pPr>
      <w:r w:rsidRPr="003A1ABE">
        <w:rPr>
          <w:snapToGrid/>
        </w:rPr>
        <w:t>a)</w:t>
      </w:r>
      <w:r w:rsidRPr="003A1ABE">
        <w:rPr>
          <w:snapToGrid/>
        </w:rPr>
        <w:tab/>
        <w:t xml:space="preserve">an lose Ausrüstungsgegenstände auf eine Europäische oder Internationale Norm, so dürfen nach einer Neufassung oder Überarbeitung dieser Norm diese Ausrüstungsgegenstände noch längstens 20 Jahre nach Neufassung oder Überarbeitung der Norm </w:t>
      </w:r>
      <w:proofErr w:type="gramStart"/>
      <w:r w:rsidRPr="003A1ABE">
        <w:rPr>
          <w:snapToGrid/>
        </w:rPr>
        <w:t>weiter verwendet</w:t>
      </w:r>
      <w:proofErr w:type="gramEnd"/>
      <w:r w:rsidRPr="003A1ABE">
        <w:rPr>
          <w:snapToGrid/>
        </w:rPr>
        <w:t xml:space="preserve"> werden,</w:t>
      </w:r>
    </w:p>
    <w:p w14:paraId="66689E45" w14:textId="77777777" w:rsidR="00D76346" w:rsidRPr="003A1ABE" w:rsidRDefault="00D76346" w:rsidP="00D76346">
      <w:pPr>
        <w:tabs>
          <w:tab w:val="left" w:pos="1701"/>
          <w:tab w:val="left" w:pos="2268"/>
          <w:tab w:val="left" w:pos="2835"/>
        </w:tabs>
        <w:suppressAutoHyphens w:val="0"/>
        <w:spacing w:after="120"/>
        <w:ind w:left="1701" w:right="1134"/>
        <w:jc w:val="both"/>
        <w:rPr>
          <w:snapToGrid/>
        </w:rPr>
      </w:pPr>
      <w:r w:rsidRPr="003A1ABE">
        <w:rPr>
          <w:snapToGrid/>
        </w:rPr>
        <w:t>b)</w:t>
      </w:r>
      <w:r w:rsidRPr="003A1ABE">
        <w:rPr>
          <w:snapToGrid/>
        </w:rPr>
        <w:tab/>
        <w:t xml:space="preserve">an fest verbaute Einrichtungsteile auf eine Europäische oder Internationale Norm, so dürfen nach einer Neufassung oder Überarbeitung dieser Norm diese Einrichtungsteile bis zu ihrem Ersatz oder dem Umbau des betroffenen Bereiches </w:t>
      </w:r>
      <w:proofErr w:type="gramStart"/>
      <w:r w:rsidRPr="003A1ABE">
        <w:rPr>
          <w:snapToGrid/>
        </w:rPr>
        <w:t>weiter verwendet</w:t>
      </w:r>
      <w:proofErr w:type="gramEnd"/>
      <w:r w:rsidRPr="003A1ABE">
        <w:rPr>
          <w:snapToGrid/>
        </w:rPr>
        <w:t xml:space="preserve"> werden.“</w:t>
      </w:r>
    </w:p>
    <w:bookmarkEnd w:id="1"/>
    <w:p w14:paraId="01D6B01D" w14:textId="77777777" w:rsidR="00652A26" w:rsidRDefault="00652A26">
      <w:pPr>
        <w:suppressAutoHyphens w:val="0"/>
        <w:spacing w:line="240" w:lineRule="auto"/>
        <w:rPr>
          <w:snapToGrid/>
        </w:rPr>
      </w:pPr>
      <w:r>
        <w:rPr>
          <w:snapToGrid/>
        </w:rPr>
        <w:br w:type="page"/>
      </w:r>
    </w:p>
    <w:p w14:paraId="071E8FDF" w14:textId="66D483F1" w:rsidR="00F34CF0" w:rsidRPr="003A1ABE" w:rsidRDefault="00F34CF0" w:rsidP="00F34CF0">
      <w:pPr>
        <w:tabs>
          <w:tab w:val="left" w:pos="1701"/>
          <w:tab w:val="left" w:pos="2268"/>
          <w:tab w:val="left" w:pos="2835"/>
        </w:tabs>
        <w:suppressAutoHyphens w:val="0"/>
        <w:spacing w:after="120"/>
        <w:ind w:left="1134" w:right="1134"/>
        <w:jc w:val="both"/>
        <w:rPr>
          <w:snapToGrid/>
        </w:rPr>
      </w:pPr>
      <w:r w:rsidRPr="003A1ABE">
        <w:rPr>
          <w:snapToGrid/>
        </w:rPr>
        <w:lastRenderedPageBreak/>
        <w:t>4.</w:t>
      </w:r>
      <w:r w:rsidRPr="003A1ABE">
        <w:rPr>
          <w:snapToGrid/>
        </w:rPr>
        <w:tab/>
        <w:t>Die be</w:t>
      </w:r>
      <w:r w:rsidR="00100817" w:rsidRPr="003A1ABE">
        <w:rPr>
          <w:snapToGrid/>
        </w:rPr>
        <w:t>rücksichtigt</w:t>
      </w:r>
      <w:r w:rsidRPr="003A1ABE">
        <w:rPr>
          <w:snapToGrid/>
        </w:rPr>
        <w:t xml:space="preserve">en Normen, zumindest die meisten, sind mit der Branche und dem Markt verknüpft. Ihre Überarbeitung erfolgt nicht immer aus Sicherheitsgründen, sondern aus Gründen der technischen Weiterentwicklung. Es sprechen wichtige Argumente dafür, eine Übergangsvorschrift für Ausrüstung vorzusehen, die einer auf eine Europäische oder </w:t>
      </w:r>
      <w:r w:rsidR="00F25AC3" w:rsidRPr="003A1ABE">
        <w:rPr>
          <w:snapToGrid/>
        </w:rPr>
        <w:t>i</w:t>
      </w:r>
      <w:r w:rsidRPr="003A1ABE">
        <w:rPr>
          <w:snapToGrid/>
        </w:rPr>
        <w:t>nternationale Norm verweisenden Bestimmung entspr</w:t>
      </w:r>
      <w:r w:rsidR="00100817" w:rsidRPr="003A1ABE">
        <w:rPr>
          <w:snapToGrid/>
        </w:rPr>
        <w:t>i</w:t>
      </w:r>
      <w:r w:rsidRPr="003A1ABE">
        <w:rPr>
          <w:snapToGrid/>
        </w:rPr>
        <w:t>cht.</w:t>
      </w:r>
    </w:p>
    <w:p w14:paraId="3A8203A0" w14:textId="77777777" w:rsidR="00F34CF0" w:rsidRPr="003A1ABE" w:rsidRDefault="00F34CF0" w:rsidP="00033435">
      <w:pPr>
        <w:numPr>
          <w:ilvl w:val="0"/>
          <w:numId w:val="32"/>
        </w:numPr>
        <w:suppressAutoHyphens w:val="0"/>
        <w:spacing w:after="120"/>
        <w:ind w:left="1560" w:right="1134"/>
        <w:jc w:val="both"/>
        <w:rPr>
          <w:snapToGrid/>
        </w:rPr>
      </w:pPr>
      <w:r w:rsidRPr="003A1ABE">
        <w:rPr>
          <w:snapToGrid/>
        </w:rPr>
        <w:t>Es besteht kein Sicherheitsproblem bei Geräten, die derzeit auf in Betrieb befindlichen Schiffen eingesetzt werden, es sei denn, bei der Überarbeitung der Norm wird ein Sicherheitsproblem nachgewiesen. Es ist also nichts gegen den Einsatz vorhandener Ausrüstung einzuwenden, die auf einer älteren Ausgabe einer Norm basiert.</w:t>
      </w:r>
    </w:p>
    <w:p w14:paraId="28D1F202" w14:textId="77777777" w:rsidR="00F34CF0" w:rsidRPr="003A1ABE" w:rsidRDefault="00F34CF0" w:rsidP="00033435">
      <w:pPr>
        <w:numPr>
          <w:ilvl w:val="0"/>
          <w:numId w:val="32"/>
        </w:numPr>
        <w:suppressAutoHyphens w:val="0"/>
        <w:spacing w:after="120"/>
        <w:ind w:left="1560" w:right="1134"/>
        <w:jc w:val="both"/>
        <w:rPr>
          <w:snapToGrid/>
        </w:rPr>
      </w:pPr>
      <w:r w:rsidRPr="003A1ABE">
        <w:rPr>
          <w:snapToGrid/>
        </w:rPr>
        <w:t xml:space="preserve">In zahlreichen Fällen ist die Industrie sogar gar nicht in der Lage, neue Ausrüstung entsprechend der neuen Überarbeitung der Norm bereitzustellen. Dies </w:t>
      </w:r>
      <w:proofErr w:type="gramStart"/>
      <w:r w:rsidRPr="003A1ABE">
        <w:rPr>
          <w:snapToGrid/>
        </w:rPr>
        <w:t>kann</w:t>
      </w:r>
      <w:proofErr w:type="gramEnd"/>
      <w:r w:rsidRPr="003A1ABE">
        <w:rPr>
          <w:snapToGrid/>
        </w:rPr>
        <w:t xml:space="preserve"> mehrere Jahre dauern. Für Schiffseigner kann es problematisch sein, wenn eine der neuen Ausgabe einer Norm entsprechende Ausrüstung nicht erhältlich ist.</w:t>
      </w:r>
    </w:p>
    <w:p w14:paraId="193E0B40" w14:textId="77777777" w:rsidR="00F34CF0" w:rsidRPr="003A1ABE" w:rsidRDefault="00F34CF0" w:rsidP="00033435">
      <w:pPr>
        <w:numPr>
          <w:ilvl w:val="0"/>
          <w:numId w:val="32"/>
        </w:numPr>
        <w:suppressAutoHyphens w:val="0"/>
        <w:spacing w:after="120"/>
        <w:ind w:left="1560" w:right="1134"/>
        <w:jc w:val="both"/>
        <w:rPr>
          <w:snapToGrid/>
        </w:rPr>
      </w:pPr>
      <w:r w:rsidRPr="003A1ABE">
        <w:rPr>
          <w:snapToGrid/>
        </w:rPr>
        <w:t>In einigen Fällen ist Ausrüstung in den Anlagen des Schiffes eingebaut, sodass ein Ausbau fest verbauter Ausrüstung erforderlich wäre, um diese durch neue Ausrüstung zu ersetzten.</w:t>
      </w:r>
    </w:p>
    <w:p w14:paraId="7C424587" w14:textId="6F68EB99" w:rsidR="00F34CF0" w:rsidRPr="003A1ABE" w:rsidRDefault="00F34CF0" w:rsidP="00F34CF0">
      <w:pPr>
        <w:tabs>
          <w:tab w:val="left" w:pos="1701"/>
          <w:tab w:val="left" w:pos="2268"/>
          <w:tab w:val="left" w:pos="2835"/>
        </w:tabs>
        <w:suppressAutoHyphens w:val="0"/>
        <w:spacing w:after="120"/>
        <w:ind w:left="1134" w:right="1134"/>
        <w:jc w:val="both"/>
        <w:rPr>
          <w:snapToGrid/>
        </w:rPr>
      </w:pPr>
      <w:r w:rsidRPr="003A1ABE">
        <w:rPr>
          <w:snapToGrid/>
        </w:rPr>
        <w:t>5.</w:t>
      </w:r>
      <w:r w:rsidRPr="003A1ABE">
        <w:rPr>
          <w:snapToGrid/>
        </w:rPr>
        <w:tab/>
        <w:t>Um die Möglichkeit zu haben, für einige Vorschriften eine abweichende Übergangsfrist festzulegen</w:t>
      </w:r>
      <w:r w:rsidR="00100817" w:rsidRPr="003A1ABE">
        <w:rPr>
          <w:snapToGrid/>
        </w:rPr>
        <w:t>,</w:t>
      </w:r>
      <w:r w:rsidRPr="003A1ABE">
        <w:rPr>
          <w:snapToGrid/>
        </w:rPr>
        <w:t xml:space="preserve"> für den Fall, dass ein Sicherheitsproblem festgestellt wird, das zu einer Überarbeitung der einschlägigen Norm führt, wird die </w:t>
      </w:r>
      <w:r w:rsidR="00100817" w:rsidRPr="003A1ABE">
        <w:rPr>
          <w:snapToGrid/>
        </w:rPr>
        <w:t>Vorschrift</w:t>
      </w:r>
      <w:r w:rsidRPr="003A1ABE">
        <w:rPr>
          <w:snapToGrid/>
        </w:rPr>
        <w:t xml:space="preserve"> des ES-TRIN geringfügig geändert. Im Falle einer abweichenden Frist ist die Übergangsvorschrift ausdrücklich in den Tabellen der Absätze 1.6.7.2.1.1 und 1.6.7.2.2.1 ADN zu erwähnen.</w:t>
      </w:r>
    </w:p>
    <w:p w14:paraId="15723D7D" w14:textId="77777777" w:rsidR="00F34CF0" w:rsidRPr="003A1ABE" w:rsidRDefault="00F34CF0" w:rsidP="00F34CF0">
      <w:pPr>
        <w:tabs>
          <w:tab w:val="left" w:pos="1701"/>
          <w:tab w:val="left" w:pos="2268"/>
          <w:tab w:val="left" w:pos="2835"/>
        </w:tabs>
        <w:suppressAutoHyphens w:val="0"/>
        <w:spacing w:after="120"/>
        <w:ind w:left="1134" w:right="1134"/>
        <w:jc w:val="both"/>
        <w:rPr>
          <w:snapToGrid/>
        </w:rPr>
      </w:pPr>
      <w:r w:rsidRPr="003A1ABE">
        <w:rPr>
          <w:snapToGrid/>
        </w:rPr>
        <w:t>6.</w:t>
      </w:r>
      <w:r w:rsidRPr="003A1ABE">
        <w:rPr>
          <w:snapToGrid/>
        </w:rPr>
        <w:tab/>
        <w:t>Die Vorschrift wird ferner an die im ADN verwendeten Formulierungen angepasst.</w:t>
      </w:r>
    </w:p>
    <w:bookmarkEnd w:id="0"/>
    <w:p w14:paraId="5AAD982F" w14:textId="0F77C276" w:rsidR="00F34CF0" w:rsidRPr="003A1ABE" w:rsidRDefault="00F34CF0" w:rsidP="00F34CF0">
      <w:pPr>
        <w:keepNext/>
        <w:keepLines/>
        <w:tabs>
          <w:tab w:val="right" w:pos="851"/>
        </w:tabs>
        <w:suppressAutoHyphens w:val="0"/>
        <w:spacing w:before="360" w:after="240" w:line="300" w:lineRule="exact"/>
        <w:ind w:left="1134" w:right="1134" w:hanging="1134"/>
        <w:outlineLvl w:val="1"/>
        <w:rPr>
          <w:b/>
          <w:snapToGrid/>
          <w:sz w:val="28"/>
        </w:rPr>
      </w:pPr>
      <w:r w:rsidRPr="003A1ABE">
        <w:rPr>
          <w:b/>
          <w:snapToGrid/>
          <w:sz w:val="28"/>
        </w:rPr>
        <w:tab/>
      </w:r>
      <w:r w:rsidRPr="003A1ABE">
        <w:rPr>
          <w:b/>
          <w:snapToGrid/>
          <w:sz w:val="28"/>
        </w:rPr>
        <w:tab/>
        <w:t>Vorschlag</w:t>
      </w:r>
    </w:p>
    <w:p w14:paraId="50B4309E" w14:textId="77777777" w:rsidR="00F34CF0" w:rsidRPr="003A1ABE" w:rsidRDefault="00F34CF0" w:rsidP="00F34CF0">
      <w:pPr>
        <w:tabs>
          <w:tab w:val="left" w:pos="1701"/>
          <w:tab w:val="left" w:pos="2268"/>
          <w:tab w:val="left" w:pos="2835"/>
        </w:tabs>
        <w:suppressAutoHyphens w:val="0"/>
        <w:spacing w:after="120"/>
        <w:ind w:left="1134" w:right="1134"/>
        <w:jc w:val="both"/>
        <w:rPr>
          <w:snapToGrid/>
        </w:rPr>
      </w:pPr>
      <w:r w:rsidRPr="003A1ABE">
        <w:rPr>
          <w:snapToGrid/>
        </w:rPr>
        <w:t>7.</w:t>
      </w:r>
      <w:r w:rsidRPr="003A1ABE">
        <w:rPr>
          <w:snapToGrid/>
        </w:rPr>
        <w:tab/>
        <w:t>Die belgische Delegation schlägt vor, in die Absätze 1.6.7.2.1.1 und 1.6.7.2.2.1 zwei neue, allgemeine Übergangsvorschriften mit folgendem Wortlaut aufzunehmen (neuer Text ist fett gedruckt):</w:t>
      </w:r>
    </w:p>
    <w:p w14:paraId="6ADC4E0D" w14:textId="1EECA149" w:rsidR="00F34CF0" w:rsidRPr="003A1ABE" w:rsidRDefault="00F34CF0" w:rsidP="00F34CF0">
      <w:pPr>
        <w:tabs>
          <w:tab w:val="left" w:pos="1701"/>
          <w:tab w:val="left" w:pos="2268"/>
          <w:tab w:val="left" w:pos="2835"/>
        </w:tabs>
        <w:suppressAutoHyphens w:val="0"/>
        <w:spacing w:after="120"/>
        <w:ind w:left="1701" w:right="1134"/>
        <w:jc w:val="both"/>
        <w:rPr>
          <w:snapToGrid/>
        </w:rPr>
      </w:pPr>
      <w:r w:rsidRPr="003A1ABE">
        <w:rPr>
          <w:snapToGrid/>
        </w:rPr>
        <w:t>„Bau und Ausrüstung der in Betrieb befindlichen Schiffe müssen mindestens auf dem bisherigen Sicherheitsstand gehalten werden.</w:t>
      </w:r>
    </w:p>
    <w:p w14:paraId="1B84CBD9" w14:textId="77777777" w:rsidR="00F34CF0" w:rsidRPr="003A1ABE" w:rsidRDefault="00F34CF0" w:rsidP="00F34CF0">
      <w:pPr>
        <w:tabs>
          <w:tab w:val="left" w:pos="1701"/>
          <w:tab w:val="left" w:pos="2268"/>
          <w:tab w:val="left" w:pos="2835"/>
        </w:tabs>
        <w:suppressAutoHyphens w:val="0"/>
        <w:spacing w:after="120"/>
        <w:ind w:left="1701" w:right="1134"/>
        <w:jc w:val="both"/>
        <w:rPr>
          <w:b/>
          <w:bCs/>
          <w:snapToGrid/>
        </w:rPr>
      </w:pPr>
      <w:r w:rsidRPr="003A1ABE">
        <w:rPr>
          <w:b/>
          <w:snapToGrid/>
        </w:rPr>
        <w:t>Verweisen die Vorschriften der Absätze bei den Beschaffenheitsanforderungen</w:t>
      </w:r>
    </w:p>
    <w:p w14:paraId="471EC46B" w14:textId="69E2A884" w:rsidR="003053AF" w:rsidRPr="003A1ABE" w:rsidRDefault="003053AF" w:rsidP="003053AF">
      <w:pPr>
        <w:tabs>
          <w:tab w:val="left" w:pos="2268"/>
          <w:tab w:val="left" w:pos="2835"/>
        </w:tabs>
        <w:suppressAutoHyphens w:val="0"/>
        <w:spacing w:after="120"/>
        <w:ind w:left="2268" w:right="1134" w:hanging="567"/>
        <w:jc w:val="both"/>
        <w:rPr>
          <w:b/>
          <w:bCs/>
          <w:snapToGrid/>
        </w:rPr>
      </w:pPr>
      <w:r w:rsidRPr="003A1ABE">
        <w:rPr>
          <w:b/>
          <w:snapToGrid/>
        </w:rPr>
        <w:t>a)</w:t>
      </w:r>
      <w:r w:rsidRPr="003A1ABE">
        <w:rPr>
          <w:b/>
          <w:snapToGrid/>
        </w:rPr>
        <w:tab/>
        <w:t xml:space="preserve">an lose Ausrüstungsgegenstände auf eine Europäische oder </w:t>
      </w:r>
      <w:r w:rsidR="00F25AC3" w:rsidRPr="003A1ABE">
        <w:rPr>
          <w:b/>
          <w:snapToGrid/>
        </w:rPr>
        <w:t>i</w:t>
      </w:r>
      <w:r w:rsidRPr="003A1ABE">
        <w:rPr>
          <w:b/>
          <w:snapToGrid/>
        </w:rPr>
        <w:t xml:space="preserve">nternationale Norm, so dürfen nach einer Neufassung oder Überarbeitung dieser Norm diese Ausrüstungsgegenstände noch längstens 20 Jahre nach Neufassung oder Überarbeitung der Norm </w:t>
      </w:r>
      <w:proofErr w:type="gramStart"/>
      <w:r w:rsidRPr="003A1ABE">
        <w:rPr>
          <w:b/>
          <w:snapToGrid/>
        </w:rPr>
        <w:t>weiter verwendet</w:t>
      </w:r>
      <w:proofErr w:type="gramEnd"/>
      <w:r w:rsidRPr="003A1ABE">
        <w:rPr>
          <w:b/>
          <w:snapToGrid/>
        </w:rPr>
        <w:t xml:space="preserve"> werden,</w:t>
      </w:r>
    </w:p>
    <w:p w14:paraId="02620E2C" w14:textId="3767C2D2" w:rsidR="003053AF" w:rsidRPr="003A1ABE" w:rsidRDefault="003053AF" w:rsidP="003053AF">
      <w:pPr>
        <w:tabs>
          <w:tab w:val="left" w:pos="2268"/>
          <w:tab w:val="left" w:pos="2835"/>
        </w:tabs>
        <w:suppressAutoHyphens w:val="0"/>
        <w:spacing w:after="120"/>
        <w:ind w:left="2268" w:right="1134" w:hanging="567"/>
        <w:jc w:val="both"/>
        <w:rPr>
          <w:b/>
          <w:bCs/>
          <w:snapToGrid/>
        </w:rPr>
      </w:pPr>
      <w:r w:rsidRPr="003A1ABE">
        <w:rPr>
          <w:b/>
          <w:snapToGrid/>
        </w:rPr>
        <w:t>b)</w:t>
      </w:r>
      <w:r w:rsidRPr="003A1ABE">
        <w:rPr>
          <w:b/>
          <w:snapToGrid/>
        </w:rPr>
        <w:tab/>
        <w:t xml:space="preserve">an fest verbaute Einrichtungsteile auf eine Europäische oder </w:t>
      </w:r>
      <w:r w:rsidR="00F25AC3" w:rsidRPr="003A1ABE">
        <w:rPr>
          <w:b/>
          <w:snapToGrid/>
        </w:rPr>
        <w:t>i</w:t>
      </w:r>
      <w:r w:rsidRPr="003A1ABE">
        <w:rPr>
          <w:b/>
          <w:snapToGrid/>
        </w:rPr>
        <w:t xml:space="preserve">nternationale Norm, so dürfen nach einer Neufassung oder Überarbeitung dieser Norm diese Einrichtungsteile bis zu ihrem Ersatz oder dem Umbau des betroffenen Bereiches </w:t>
      </w:r>
      <w:proofErr w:type="gramStart"/>
      <w:r w:rsidRPr="003A1ABE">
        <w:rPr>
          <w:b/>
          <w:snapToGrid/>
        </w:rPr>
        <w:t>weiter verwendet</w:t>
      </w:r>
      <w:proofErr w:type="gramEnd"/>
      <w:r w:rsidRPr="003A1ABE">
        <w:rPr>
          <w:b/>
          <w:snapToGrid/>
        </w:rPr>
        <w:t xml:space="preserve"> werden,</w:t>
      </w:r>
    </w:p>
    <w:p w14:paraId="4B714E08" w14:textId="77777777" w:rsidR="00F34CF0" w:rsidRPr="003A1ABE" w:rsidRDefault="00F34CF0" w:rsidP="00F34CF0">
      <w:pPr>
        <w:tabs>
          <w:tab w:val="left" w:pos="1701"/>
          <w:tab w:val="left" w:pos="2268"/>
          <w:tab w:val="left" w:pos="2835"/>
        </w:tabs>
        <w:suppressAutoHyphens w:val="0"/>
        <w:spacing w:after="120"/>
        <w:ind w:left="1701" w:right="1134"/>
        <w:jc w:val="both"/>
        <w:rPr>
          <w:b/>
          <w:bCs/>
          <w:snapToGrid/>
        </w:rPr>
      </w:pPr>
      <w:r w:rsidRPr="003A1ABE">
        <w:rPr>
          <w:b/>
          <w:snapToGrid/>
        </w:rPr>
        <w:t>es sei denn, die Vorschriften der Absätze werden in der Tabelle ausdrücklich mit einer abweichenden Übergangsfrist aufgeführt</w:t>
      </w:r>
      <w:r w:rsidRPr="003A1ABE">
        <w:rPr>
          <w:snapToGrid/>
        </w:rPr>
        <w:t>.“</w:t>
      </w:r>
    </w:p>
    <w:p w14:paraId="54CB63B8" w14:textId="7D8D7582" w:rsidR="00F34CF0" w:rsidRPr="003A1ABE" w:rsidRDefault="00F34CF0" w:rsidP="00F34CF0">
      <w:pPr>
        <w:keepNext/>
        <w:keepLines/>
        <w:tabs>
          <w:tab w:val="right" w:pos="851"/>
        </w:tabs>
        <w:suppressAutoHyphens w:val="0"/>
        <w:spacing w:before="360" w:after="240" w:line="300" w:lineRule="exact"/>
        <w:ind w:left="1134" w:right="1134" w:hanging="1134"/>
        <w:outlineLvl w:val="1"/>
        <w:rPr>
          <w:b/>
          <w:snapToGrid/>
          <w:sz w:val="28"/>
        </w:rPr>
      </w:pPr>
      <w:r w:rsidRPr="003A1ABE">
        <w:rPr>
          <w:b/>
          <w:snapToGrid/>
          <w:sz w:val="28"/>
        </w:rPr>
        <w:lastRenderedPageBreak/>
        <w:tab/>
      </w:r>
      <w:r w:rsidRPr="003A1ABE">
        <w:rPr>
          <w:b/>
          <w:snapToGrid/>
          <w:sz w:val="28"/>
        </w:rPr>
        <w:tab/>
        <w:t>Begründung</w:t>
      </w:r>
    </w:p>
    <w:p w14:paraId="19BD6961" w14:textId="7850F8E3" w:rsidR="00F34CF0" w:rsidRPr="003A1ABE" w:rsidRDefault="00F34CF0" w:rsidP="00F34CF0">
      <w:pPr>
        <w:tabs>
          <w:tab w:val="left" w:pos="1701"/>
          <w:tab w:val="left" w:pos="2268"/>
          <w:tab w:val="left" w:pos="2835"/>
        </w:tabs>
        <w:suppressAutoHyphens w:val="0"/>
        <w:spacing w:after="120"/>
        <w:ind w:left="1134" w:right="1134"/>
        <w:jc w:val="both"/>
        <w:rPr>
          <w:snapToGrid/>
        </w:rPr>
      </w:pPr>
      <w:r w:rsidRPr="003A1ABE">
        <w:rPr>
          <w:snapToGrid/>
        </w:rPr>
        <w:t>8.</w:t>
      </w:r>
      <w:r w:rsidRPr="003A1ABE">
        <w:rPr>
          <w:snapToGrid/>
        </w:rPr>
        <w:tab/>
        <w:t>Die belgische Delegation ist der Ansicht, dass die Sicherheit nicht beeinträchtigt werden darf, doch mit dieser Änderung wird dem Ziel für nachhaltige Entwicklung (SDG)</w:t>
      </w:r>
      <w:r w:rsidR="00100817" w:rsidRPr="003A1ABE">
        <w:rPr>
          <w:snapToGrid/>
        </w:rPr>
        <w:t xml:space="preserve"> entsprochen</w:t>
      </w:r>
      <w:r w:rsidRPr="003A1ABE">
        <w:rPr>
          <w:snapToGrid/>
        </w:rPr>
        <w:t>, das in einer Verringerung der Umweltbelastung und einer effizienteren Nutzung der Ressourcen besteht. Insbesondere das SDG 12 bezüglich verantwortlicher Konsum- und Produktionsmuster trifft zu, da negative Umweltauswirkungen dadurch verringert werden, dass Ausrüstung, solange sie noch zuverlässig ist, an Bord bleibt und nicht, weil eine Norm überarbeitet wurde, entsorgt wird.</w:t>
      </w:r>
    </w:p>
    <w:p w14:paraId="581FDBF5" w14:textId="73CBF40C" w:rsidR="00027562" w:rsidRPr="003A1ABE" w:rsidRDefault="00F34CF0" w:rsidP="00027562">
      <w:pPr>
        <w:keepNext/>
        <w:keepLines/>
        <w:tabs>
          <w:tab w:val="right" w:pos="851"/>
        </w:tabs>
        <w:suppressAutoHyphens w:val="0"/>
        <w:spacing w:before="360" w:after="240" w:line="300" w:lineRule="exact"/>
        <w:ind w:left="1134" w:right="1134" w:hanging="1134"/>
        <w:outlineLvl w:val="1"/>
        <w:rPr>
          <w:b/>
          <w:snapToGrid/>
          <w:sz w:val="28"/>
        </w:rPr>
      </w:pPr>
      <w:r w:rsidRPr="003A1ABE">
        <w:rPr>
          <w:b/>
          <w:snapToGrid/>
          <w:sz w:val="28"/>
        </w:rPr>
        <w:tab/>
      </w:r>
      <w:r w:rsidRPr="003A1ABE">
        <w:rPr>
          <w:b/>
          <w:snapToGrid/>
          <w:sz w:val="28"/>
        </w:rPr>
        <w:tab/>
        <w:t>Zu ergreifende Maßnahme</w:t>
      </w:r>
    </w:p>
    <w:p w14:paraId="62CB83FA" w14:textId="6851414A" w:rsidR="00762BB5" w:rsidRPr="003A1ABE" w:rsidRDefault="00F34CF0" w:rsidP="00762BB5">
      <w:pPr>
        <w:tabs>
          <w:tab w:val="left" w:pos="1701"/>
          <w:tab w:val="left" w:pos="2268"/>
          <w:tab w:val="left" w:pos="2835"/>
        </w:tabs>
        <w:suppressAutoHyphens w:val="0"/>
        <w:spacing w:after="120"/>
        <w:ind w:left="1134" w:right="1134"/>
        <w:jc w:val="both"/>
        <w:rPr>
          <w:snapToGrid/>
        </w:rPr>
      </w:pPr>
      <w:r w:rsidRPr="003A1ABE">
        <w:rPr>
          <w:snapToGrid/>
        </w:rPr>
        <w:t>9.</w:t>
      </w:r>
      <w:r w:rsidRPr="003A1ABE">
        <w:rPr>
          <w:snapToGrid/>
        </w:rPr>
        <w:tab/>
        <w:t>Der ADN-Sicherheitsausschuss wird gebeten, die in Absatz 7. vorgeschlagenen Ergänzungen zu prüfen und die aus seiner Sicht notwendigen Maßnahmen zu ergreifen.</w:t>
      </w:r>
    </w:p>
    <w:p w14:paraId="66019972" w14:textId="01733CDB" w:rsidR="00226A0B" w:rsidRPr="00100817" w:rsidRDefault="0005522D" w:rsidP="0005522D">
      <w:pPr>
        <w:tabs>
          <w:tab w:val="left" w:pos="1701"/>
          <w:tab w:val="left" w:pos="2268"/>
          <w:tab w:val="left" w:pos="2835"/>
        </w:tabs>
        <w:suppressAutoHyphens w:val="0"/>
        <w:ind w:right="1134"/>
        <w:jc w:val="center"/>
      </w:pPr>
      <w:r w:rsidRPr="003A1ABE">
        <w:rPr>
          <w:lang w:val="en-US"/>
        </w:rPr>
        <w:t>***</w:t>
      </w:r>
    </w:p>
    <w:sectPr w:rsidR="00226A0B" w:rsidRPr="00100817" w:rsidSect="00677890">
      <w:headerReference w:type="even" r:id="rId9"/>
      <w:headerReference w:type="default" r:id="rId10"/>
      <w:footerReference w:type="even" r:id="rId11"/>
      <w:footerReference w:type="default" r:id="rId12"/>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E822" w14:textId="77777777" w:rsidR="00E96D63" w:rsidRDefault="00E96D63">
      <w:pPr>
        <w:rPr>
          <w:szCs w:val="24"/>
        </w:rPr>
      </w:pPr>
    </w:p>
  </w:endnote>
  <w:endnote w:type="continuationSeparator" w:id="0">
    <w:p w14:paraId="7F09544D" w14:textId="77777777" w:rsidR="00E96D63" w:rsidRDefault="00E96D63">
      <w:pPr>
        <w:rPr>
          <w:szCs w:val="24"/>
        </w:rPr>
      </w:pPr>
    </w:p>
  </w:endnote>
  <w:endnote w:type="continuationNotice" w:id="1">
    <w:p w14:paraId="62977FB3" w14:textId="77777777" w:rsidR="00E96D63" w:rsidRDefault="00E96D63">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0CD" w14:textId="18A9022C" w:rsidR="003D15A5" w:rsidRPr="000D2DB6" w:rsidRDefault="003D15A5" w:rsidP="003D15A5">
    <w:pPr>
      <w:spacing w:line="240" w:lineRule="auto"/>
      <w:jc w:val="right"/>
      <w:rPr>
        <w:lang w:val="nl-NL"/>
      </w:rPr>
    </w:pPr>
    <w:r w:rsidRPr="00100817">
      <w:rPr>
        <w:rFonts w:ascii="Arial" w:hAnsi="Arial"/>
        <w:sz w:val="12"/>
        <w:lang w:val="nl-NL"/>
      </w:rPr>
      <w:t>Extern_uh/mm/adn_wp15_ac2_2024_17de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AD43" w14:textId="783365C7" w:rsidR="0005522D" w:rsidRPr="000D2DB6" w:rsidRDefault="0005522D" w:rsidP="0005522D">
    <w:pPr>
      <w:spacing w:line="240" w:lineRule="auto"/>
      <w:jc w:val="right"/>
      <w:rPr>
        <w:lang w:val="nl-NL"/>
      </w:rPr>
    </w:pPr>
    <w:proofErr w:type="spellStart"/>
    <w:r w:rsidRPr="00100817">
      <w:rPr>
        <w:rFonts w:ascii="Arial" w:hAnsi="Arial"/>
        <w:sz w:val="12"/>
        <w:lang w:val="nl-NL"/>
      </w:rPr>
      <w:t>Extern_uh</w:t>
    </w:r>
    <w:proofErr w:type="spellEnd"/>
    <w:r w:rsidRPr="00100817">
      <w:rPr>
        <w:rFonts w:ascii="Arial" w:hAnsi="Arial"/>
        <w:sz w:val="12"/>
        <w:lang w:val="nl-NL"/>
      </w:rPr>
      <w:t>/mm/adn_wp15_ac2_2024_1</w:t>
    </w:r>
    <w:r w:rsidR="00652A26">
      <w:rPr>
        <w:rFonts w:ascii="Arial" w:hAnsi="Arial"/>
        <w:sz w:val="12"/>
        <w:lang w:val="nl-NL"/>
      </w:rPr>
      <w:t>7</w:t>
    </w:r>
    <w:r w:rsidRPr="00100817">
      <w:rPr>
        <w:rFonts w:ascii="Arial" w:hAnsi="Arial"/>
        <w:sz w:val="12"/>
        <w:lang w:val="nl-NL"/>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57AF" w14:textId="77777777" w:rsidR="00E96D63" w:rsidRDefault="00E96D63">
      <w:pPr>
        <w:tabs>
          <w:tab w:val="right" w:pos="2155"/>
        </w:tabs>
        <w:spacing w:after="80"/>
        <w:ind w:left="680"/>
        <w:rPr>
          <w:szCs w:val="24"/>
          <w:u w:val="single"/>
        </w:rPr>
      </w:pPr>
      <w:r>
        <w:rPr>
          <w:szCs w:val="24"/>
          <w:u w:val="single"/>
        </w:rPr>
        <w:tab/>
      </w:r>
    </w:p>
  </w:footnote>
  <w:footnote w:type="continuationSeparator" w:id="0">
    <w:p w14:paraId="0D3BEE52" w14:textId="77777777" w:rsidR="00E96D63" w:rsidRDefault="00E96D63">
      <w:pPr>
        <w:tabs>
          <w:tab w:val="right" w:pos="2155"/>
        </w:tabs>
        <w:spacing w:after="80"/>
        <w:ind w:left="680"/>
        <w:rPr>
          <w:szCs w:val="24"/>
          <w:u w:val="single"/>
        </w:rPr>
      </w:pPr>
      <w:r>
        <w:rPr>
          <w:szCs w:val="24"/>
          <w:u w:val="single"/>
        </w:rPr>
        <w:tab/>
      </w:r>
    </w:p>
  </w:footnote>
  <w:footnote w:type="continuationNotice" w:id="1">
    <w:p w14:paraId="5FEF6D2E" w14:textId="77777777" w:rsidR="00E96D63" w:rsidRDefault="00E96D63">
      <w:pPr>
        <w:rPr>
          <w:szCs w:val="24"/>
        </w:rPr>
      </w:pPr>
    </w:p>
  </w:footnote>
  <w:footnote w:id="2">
    <w:p w14:paraId="568BFB4E" w14:textId="2A494204" w:rsidR="00264628" w:rsidRPr="00100817" w:rsidRDefault="00264628" w:rsidP="003F6455">
      <w:pPr>
        <w:pStyle w:val="Notedebasdepage"/>
        <w:ind w:right="-285"/>
        <w:rPr>
          <w:sz w:val="16"/>
          <w:szCs w:val="16"/>
        </w:rPr>
      </w:pPr>
      <w:r w:rsidRPr="00100817">
        <w:rPr>
          <w:rStyle w:val="Appelnotedebasdep"/>
        </w:rPr>
        <w:tab/>
        <w:t>*</w:t>
      </w:r>
      <w:r w:rsidRPr="00100817">
        <w:rPr>
          <w:rStyle w:val="Appelnotedebasdep"/>
        </w:rPr>
        <w:tab/>
      </w:r>
      <w:r w:rsidRPr="00100817">
        <w:rPr>
          <w:sz w:val="16"/>
        </w:rPr>
        <w:t>Von der UNECE in Englisch, Französisch und Russisch unter dem Aktenzeichen ECE/TRANS/WP.15/AC.2/2024/1</w:t>
      </w:r>
      <w:r w:rsidR="007E3920">
        <w:rPr>
          <w:sz w:val="16"/>
        </w:rPr>
        <w:t>7</w:t>
      </w:r>
      <w:r w:rsidRPr="00100817">
        <w:rPr>
          <w:sz w:val="16"/>
        </w:rPr>
        <w:t xml:space="preserve"> verteilt.</w:t>
      </w:r>
    </w:p>
  </w:footnote>
  <w:footnote w:id="3">
    <w:p w14:paraId="5334D0ED" w14:textId="3F535905" w:rsidR="00264628" w:rsidRPr="00100817" w:rsidRDefault="00264628" w:rsidP="00264628">
      <w:pPr>
        <w:pStyle w:val="Notedebasdepage"/>
        <w:rPr>
          <w:sz w:val="16"/>
          <w:szCs w:val="16"/>
        </w:rPr>
      </w:pPr>
      <w:r w:rsidRPr="00100817">
        <w:rPr>
          <w:rStyle w:val="Appelnotedebasdep"/>
        </w:rPr>
        <w:tab/>
        <w:t>**</w:t>
      </w:r>
      <w:r w:rsidRPr="00100817">
        <w:rPr>
          <w:rStyle w:val="Appelnotedebasdep"/>
        </w:rPr>
        <w:tab/>
      </w:r>
      <w:r w:rsidRPr="00100817">
        <w:rPr>
          <w:sz w:val="16"/>
        </w:rPr>
        <w:t>A/78/6 (Kap. 20), Tabelle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B30" w14:textId="751DADCE" w:rsidR="004920BF" w:rsidRPr="003A1ABE" w:rsidRDefault="004920BF">
    <w:pPr>
      <w:tabs>
        <w:tab w:val="center" w:pos="4320"/>
        <w:tab w:val="right" w:pos="8640"/>
      </w:tabs>
      <w:suppressAutoHyphens w:val="0"/>
      <w:spacing w:line="240" w:lineRule="auto"/>
      <w:rPr>
        <w:rFonts w:ascii="Arial" w:hAnsi="Arial"/>
        <w:sz w:val="16"/>
        <w:szCs w:val="24"/>
        <w:lang w:val="en-GB"/>
      </w:rPr>
    </w:pPr>
    <w:r w:rsidRPr="003A1ABE">
      <w:rPr>
        <w:rFonts w:ascii="Arial" w:hAnsi="Arial"/>
        <w:sz w:val="16"/>
        <w:lang w:val="en-GB"/>
      </w:rPr>
      <w:t>CCNR-ZKR/ADN/WP.15/AC.2/2024/17</w:t>
    </w:r>
  </w:p>
  <w:p w14:paraId="7D2C14CE" w14:textId="77777777" w:rsidR="004920BF" w:rsidRPr="00100817" w:rsidRDefault="004920BF">
    <w:pPr>
      <w:tabs>
        <w:tab w:val="center" w:pos="4320"/>
        <w:tab w:val="right" w:pos="8640"/>
      </w:tabs>
      <w:suppressAutoHyphens w:val="0"/>
      <w:spacing w:line="240" w:lineRule="auto"/>
      <w:rPr>
        <w:rFonts w:ascii="Arial" w:hAnsi="Arial"/>
        <w:sz w:val="16"/>
        <w:szCs w:val="24"/>
      </w:rPr>
    </w:pPr>
    <w:r w:rsidRPr="00100817">
      <w:rPr>
        <w:rFonts w:ascii="Arial" w:hAnsi="Arial"/>
        <w:sz w:val="16"/>
        <w:lang w:val="en-GB"/>
      </w:rPr>
      <w:t xml:space="preserve">Seite </w:t>
    </w:r>
    <w:r w:rsidRPr="00100817">
      <w:rPr>
        <w:rFonts w:ascii="Arial" w:hAnsi="Arial"/>
        <w:sz w:val="16"/>
      </w:rPr>
      <w:fldChar w:fldCharType="begin"/>
    </w:r>
    <w:r w:rsidRPr="00100817">
      <w:rPr>
        <w:rFonts w:ascii="Arial" w:hAnsi="Arial"/>
        <w:sz w:val="16"/>
      </w:rPr>
      <w:instrText xml:space="preserve"> PAGE  \* MERGEFORMAT </w:instrText>
    </w:r>
    <w:r w:rsidRPr="00100817">
      <w:rPr>
        <w:rFonts w:ascii="Arial" w:hAnsi="Arial"/>
        <w:sz w:val="16"/>
      </w:rPr>
      <w:fldChar w:fldCharType="separate"/>
    </w:r>
    <w:r w:rsidRPr="00100817">
      <w:rPr>
        <w:rFonts w:ascii="Arial" w:hAnsi="Arial"/>
        <w:sz w:val="16"/>
      </w:rPr>
      <w:t>8</w:t>
    </w:r>
    <w:r w:rsidRPr="00100817">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67AD" w14:textId="581582FA" w:rsidR="004920BF" w:rsidRPr="003A1ABE" w:rsidRDefault="004920BF">
    <w:pPr>
      <w:tabs>
        <w:tab w:val="center" w:pos="4320"/>
        <w:tab w:val="right" w:pos="8640"/>
      </w:tabs>
      <w:suppressAutoHyphens w:val="0"/>
      <w:spacing w:line="240" w:lineRule="auto"/>
      <w:jc w:val="right"/>
      <w:rPr>
        <w:rFonts w:ascii="Arial" w:hAnsi="Arial"/>
        <w:sz w:val="16"/>
        <w:szCs w:val="24"/>
        <w:lang w:val="en-GB"/>
      </w:rPr>
    </w:pPr>
    <w:r w:rsidRPr="003A1ABE">
      <w:rPr>
        <w:rFonts w:ascii="Arial" w:hAnsi="Arial"/>
        <w:sz w:val="16"/>
        <w:lang w:val="en-GB"/>
      </w:rPr>
      <w:t>CCNR-ZKR/ADN/WP.15/AC.2/2024/17</w:t>
    </w:r>
  </w:p>
  <w:p w14:paraId="4856380E" w14:textId="77777777" w:rsidR="004920BF" w:rsidRPr="00100817" w:rsidRDefault="004920BF">
    <w:pPr>
      <w:tabs>
        <w:tab w:val="center" w:pos="4320"/>
        <w:tab w:val="right" w:pos="8640"/>
      </w:tabs>
      <w:suppressAutoHyphens w:val="0"/>
      <w:spacing w:line="240" w:lineRule="auto"/>
      <w:jc w:val="right"/>
      <w:rPr>
        <w:rFonts w:ascii="Arial" w:hAnsi="Arial"/>
        <w:sz w:val="16"/>
        <w:szCs w:val="24"/>
      </w:rPr>
    </w:pPr>
    <w:r w:rsidRPr="00100817">
      <w:rPr>
        <w:rFonts w:ascii="Arial" w:hAnsi="Arial"/>
        <w:sz w:val="16"/>
        <w:lang w:val="en-GB"/>
      </w:rPr>
      <w:t xml:space="preserve">Seite </w:t>
    </w:r>
    <w:r w:rsidRPr="00100817">
      <w:rPr>
        <w:rFonts w:ascii="Arial" w:hAnsi="Arial"/>
        <w:sz w:val="16"/>
      </w:rPr>
      <w:fldChar w:fldCharType="begin"/>
    </w:r>
    <w:r w:rsidRPr="00100817">
      <w:rPr>
        <w:rFonts w:ascii="Arial" w:hAnsi="Arial"/>
        <w:sz w:val="16"/>
      </w:rPr>
      <w:instrText xml:space="preserve"> PAGE  \* MERGEFORMAT </w:instrText>
    </w:r>
    <w:r w:rsidRPr="00100817">
      <w:rPr>
        <w:rFonts w:ascii="Arial" w:hAnsi="Arial"/>
        <w:sz w:val="16"/>
      </w:rPr>
      <w:fldChar w:fldCharType="separate"/>
    </w:r>
    <w:r w:rsidRPr="00100817">
      <w:rPr>
        <w:rFonts w:ascii="Arial" w:hAnsi="Arial"/>
        <w:sz w:val="16"/>
      </w:rPr>
      <w:t>9</w:t>
    </w:r>
    <w:r w:rsidRPr="00100817">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4"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5"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0C43619"/>
    <w:multiLevelType w:val="hybridMultilevel"/>
    <w:tmpl w:val="1E5ABF82"/>
    <w:lvl w:ilvl="0" w:tplc="040C0001">
      <w:start w:val="1"/>
      <w:numFmt w:val="bullet"/>
      <w:lvlText w:val=""/>
      <w:lvlJc w:val="left"/>
      <w:pPr>
        <w:ind w:left="1209" w:hanging="360"/>
      </w:pPr>
      <w:rPr>
        <w:rFonts w:ascii="Symbol" w:hAnsi="Symbol"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22"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4"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6"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7"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9"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1"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511184">
    <w:abstractNumId w:val="25"/>
  </w:num>
  <w:num w:numId="2" w16cid:durableId="742992441">
    <w:abstractNumId w:val="13"/>
  </w:num>
  <w:num w:numId="3" w16cid:durableId="605623820">
    <w:abstractNumId w:val="24"/>
  </w:num>
  <w:num w:numId="4" w16cid:durableId="206263703">
    <w:abstractNumId w:val="8"/>
  </w:num>
  <w:num w:numId="5" w16cid:durableId="1834761511">
    <w:abstractNumId w:val="12"/>
  </w:num>
  <w:num w:numId="6" w16cid:durableId="36393077">
    <w:abstractNumId w:val="20"/>
  </w:num>
  <w:num w:numId="7" w16cid:durableId="1450080798">
    <w:abstractNumId w:val="2"/>
  </w:num>
  <w:num w:numId="8" w16cid:durableId="984317697">
    <w:abstractNumId w:val="4"/>
  </w:num>
  <w:num w:numId="9" w16cid:durableId="2072463488">
    <w:abstractNumId w:val="5"/>
  </w:num>
  <w:num w:numId="10" w16cid:durableId="283773956">
    <w:abstractNumId w:val="17"/>
  </w:num>
  <w:num w:numId="11" w16cid:durableId="1435444124">
    <w:abstractNumId w:val="29"/>
  </w:num>
  <w:num w:numId="12" w16cid:durableId="1614433064">
    <w:abstractNumId w:val="31"/>
  </w:num>
  <w:num w:numId="13" w16cid:durableId="318850322">
    <w:abstractNumId w:val="22"/>
  </w:num>
  <w:num w:numId="14" w16cid:durableId="673193192">
    <w:abstractNumId w:val="9"/>
  </w:num>
  <w:num w:numId="15" w16cid:durableId="1113205837">
    <w:abstractNumId w:val="18"/>
  </w:num>
  <w:num w:numId="16" w16cid:durableId="1079517657">
    <w:abstractNumId w:val="26"/>
  </w:num>
  <w:num w:numId="17" w16cid:durableId="4551789">
    <w:abstractNumId w:val="11"/>
  </w:num>
  <w:num w:numId="18" w16cid:durableId="84808883">
    <w:abstractNumId w:val="15"/>
  </w:num>
  <w:num w:numId="19" w16cid:durableId="451215733">
    <w:abstractNumId w:val="23"/>
  </w:num>
  <w:num w:numId="20" w16cid:durableId="650795585">
    <w:abstractNumId w:val="30"/>
  </w:num>
  <w:num w:numId="21" w16cid:durableId="393044243">
    <w:abstractNumId w:val="10"/>
  </w:num>
  <w:num w:numId="22" w16cid:durableId="543366192">
    <w:abstractNumId w:val="6"/>
  </w:num>
  <w:num w:numId="23" w16cid:durableId="1165634402">
    <w:abstractNumId w:val="7"/>
  </w:num>
  <w:num w:numId="24" w16cid:durableId="480928628">
    <w:abstractNumId w:val="28"/>
  </w:num>
  <w:num w:numId="25" w16cid:durableId="1753576866">
    <w:abstractNumId w:val="27"/>
  </w:num>
  <w:num w:numId="26" w16cid:durableId="1489397276">
    <w:abstractNumId w:val="3"/>
  </w:num>
  <w:num w:numId="27" w16cid:durableId="2142267702">
    <w:abstractNumId w:val="14"/>
  </w:num>
  <w:num w:numId="28" w16cid:durableId="22483838">
    <w:abstractNumId w:val="1"/>
  </w:num>
  <w:num w:numId="29" w16cid:durableId="2029062925">
    <w:abstractNumId w:val="16"/>
  </w:num>
  <w:num w:numId="30" w16cid:durableId="1106658593">
    <w:abstractNumId w:val="19"/>
  </w:num>
  <w:num w:numId="31" w16cid:durableId="1261599083">
    <w:abstractNumId w:val="0"/>
  </w:num>
  <w:num w:numId="32" w16cid:durableId="104382346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1967"/>
    <w:rsid w:val="0002688A"/>
    <w:rsid w:val="00027562"/>
    <w:rsid w:val="00033435"/>
    <w:rsid w:val="00040213"/>
    <w:rsid w:val="00047B4F"/>
    <w:rsid w:val="000505E5"/>
    <w:rsid w:val="00054000"/>
    <w:rsid w:val="00054417"/>
    <w:rsid w:val="00054522"/>
    <w:rsid w:val="0005522D"/>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0E4A"/>
    <w:rsid w:val="000D18D8"/>
    <w:rsid w:val="000D2DB6"/>
    <w:rsid w:val="000D5558"/>
    <w:rsid w:val="000E1197"/>
    <w:rsid w:val="000E206E"/>
    <w:rsid w:val="000E245A"/>
    <w:rsid w:val="000E493D"/>
    <w:rsid w:val="000F0B87"/>
    <w:rsid w:val="000F3804"/>
    <w:rsid w:val="000F3F68"/>
    <w:rsid w:val="000F4134"/>
    <w:rsid w:val="000F526A"/>
    <w:rsid w:val="00100169"/>
    <w:rsid w:val="00100817"/>
    <w:rsid w:val="0010188E"/>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11"/>
    <w:rsid w:val="00132AAD"/>
    <w:rsid w:val="00133C0C"/>
    <w:rsid w:val="0013460B"/>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036D"/>
    <w:rsid w:val="0017256D"/>
    <w:rsid w:val="001745D5"/>
    <w:rsid w:val="00180F33"/>
    <w:rsid w:val="00184E9E"/>
    <w:rsid w:val="00185403"/>
    <w:rsid w:val="00186EAF"/>
    <w:rsid w:val="0018778A"/>
    <w:rsid w:val="00187A1E"/>
    <w:rsid w:val="00192F4B"/>
    <w:rsid w:val="00194F7D"/>
    <w:rsid w:val="001A0C2A"/>
    <w:rsid w:val="001A11CC"/>
    <w:rsid w:val="001A140D"/>
    <w:rsid w:val="001A5F58"/>
    <w:rsid w:val="001B1A22"/>
    <w:rsid w:val="001B2D86"/>
    <w:rsid w:val="001B5DF4"/>
    <w:rsid w:val="001B68A2"/>
    <w:rsid w:val="001C1827"/>
    <w:rsid w:val="001C3F4A"/>
    <w:rsid w:val="001D4EF8"/>
    <w:rsid w:val="001D5329"/>
    <w:rsid w:val="001D639C"/>
    <w:rsid w:val="001D6721"/>
    <w:rsid w:val="001D7195"/>
    <w:rsid w:val="001E5ED7"/>
    <w:rsid w:val="001F00D6"/>
    <w:rsid w:val="001F1700"/>
    <w:rsid w:val="001F2464"/>
    <w:rsid w:val="001F34A6"/>
    <w:rsid w:val="002079C9"/>
    <w:rsid w:val="002142CD"/>
    <w:rsid w:val="00216870"/>
    <w:rsid w:val="002179D8"/>
    <w:rsid w:val="00221FB6"/>
    <w:rsid w:val="00226A0B"/>
    <w:rsid w:val="0023397D"/>
    <w:rsid w:val="00233FCB"/>
    <w:rsid w:val="0023569D"/>
    <w:rsid w:val="00242ABA"/>
    <w:rsid w:val="002469B3"/>
    <w:rsid w:val="002474F1"/>
    <w:rsid w:val="00252468"/>
    <w:rsid w:val="00255AA5"/>
    <w:rsid w:val="00255B42"/>
    <w:rsid w:val="00256050"/>
    <w:rsid w:val="0026074F"/>
    <w:rsid w:val="0026439D"/>
    <w:rsid w:val="00264628"/>
    <w:rsid w:val="00267D98"/>
    <w:rsid w:val="002701F2"/>
    <w:rsid w:val="00272038"/>
    <w:rsid w:val="00275717"/>
    <w:rsid w:val="002773A3"/>
    <w:rsid w:val="00280D2B"/>
    <w:rsid w:val="00282133"/>
    <w:rsid w:val="0028250D"/>
    <w:rsid w:val="00293817"/>
    <w:rsid w:val="002A192E"/>
    <w:rsid w:val="002A2479"/>
    <w:rsid w:val="002A3F79"/>
    <w:rsid w:val="002A52FA"/>
    <w:rsid w:val="002A7856"/>
    <w:rsid w:val="002A7DE3"/>
    <w:rsid w:val="002B0FBD"/>
    <w:rsid w:val="002B59CE"/>
    <w:rsid w:val="002B6C46"/>
    <w:rsid w:val="002C206D"/>
    <w:rsid w:val="002C24EF"/>
    <w:rsid w:val="002C319D"/>
    <w:rsid w:val="002C5361"/>
    <w:rsid w:val="002C58EE"/>
    <w:rsid w:val="002C7C76"/>
    <w:rsid w:val="002D0F14"/>
    <w:rsid w:val="002D5C00"/>
    <w:rsid w:val="002D6515"/>
    <w:rsid w:val="002D7991"/>
    <w:rsid w:val="002E420A"/>
    <w:rsid w:val="002E59E0"/>
    <w:rsid w:val="002E6811"/>
    <w:rsid w:val="002F3D12"/>
    <w:rsid w:val="00302096"/>
    <w:rsid w:val="00302794"/>
    <w:rsid w:val="003053AF"/>
    <w:rsid w:val="00307B57"/>
    <w:rsid w:val="00307F03"/>
    <w:rsid w:val="00310EE4"/>
    <w:rsid w:val="00311EE7"/>
    <w:rsid w:val="003159A0"/>
    <w:rsid w:val="00316840"/>
    <w:rsid w:val="003179A4"/>
    <w:rsid w:val="00317CB9"/>
    <w:rsid w:val="003205B3"/>
    <w:rsid w:val="003218A5"/>
    <w:rsid w:val="00322AD8"/>
    <w:rsid w:val="00324ECC"/>
    <w:rsid w:val="0033107F"/>
    <w:rsid w:val="00331140"/>
    <w:rsid w:val="00331E51"/>
    <w:rsid w:val="003341CE"/>
    <w:rsid w:val="00336948"/>
    <w:rsid w:val="00340590"/>
    <w:rsid w:val="00341A4C"/>
    <w:rsid w:val="0034776F"/>
    <w:rsid w:val="003525C7"/>
    <w:rsid w:val="003563DA"/>
    <w:rsid w:val="00360227"/>
    <w:rsid w:val="003605FE"/>
    <w:rsid w:val="00362B03"/>
    <w:rsid w:val="00362EB6"/>
    <w:rsid w:val="0036330C"/>
    <w:rsid w:val="003664BF"/>
    <w:rsid w:val="0036709E"/>
    <w:rsid w:val="00374701"/>
    <w:rsid w:val="00376F8D"/>
    <w:rsid w:val="00384261"/>
    <w:rsid w:val="003957FB"/>
    <w:rsid w:val="00396AD0"/>
    <w:rsid w:val="003A1ABE"/>
    <w:rsid w:val="003A45B1"/>
    <w:rsid w:val="003A6C7E"/>
    <w:rsid w:val="003B2F10"/>
    <w:rsid w:val="003B4E6C"/>
    <w:rsid w:val="003B537E"/>
    <w:rsid w:val="003B5B54"/>
    <w:rsid w:val="003C0CCD"/>
    <w:rsid w:val="003C1156"/>
    <w:rsid w:val="003C23F4"/>
    <w:rsid w:val="003C298E"/>
    <w:rsid w:val="003C7B82"/>
    <w:rsid w:val="003D15A5"/>
    <w:rsid w:val="003E2D46"/>
    <w:rsid w:val="003E2E1E"/>
    <w:rsid w:val="003E5713"/>
    <w:rsid w:val="003E6494"/>
    <w:rsid w:val="003F35D1"/>
    <w:rsid w:val="003F39E4"/>
    <w:rsid w:val="003F41B4"/>
    <w:rsid w:val="003F5D6F"/>
    <w:rsid w:val="003F6455"/>
    <w:rsid w:val="004027E1"/>
    <w:rsid w:val="00404F6E"/>
    <w:rsid w:val="004057E4"/>
    <w:rsid w:val="004060C5"/>
    <w:rsid w:val="004102C7"/>
    <w:rsid w:val="0042111B"/>
    <w:rsid w:val="0042217A"/>
    <w:rsid w:val="00422C51"/>
    <w:rsid w:val="004250F8"/>
    <w:rsid w:val="004301E1"/>
    <w:rsid w:val="004315E6"/>
    <w:rsid w:val="00431D2E"/>
    <w:rsid w:val="00433EDB"/>
    <w:rsid w:val="004352FA"/>
    <w:rsid w:val="00437B96"/>
    <w:rsid w:val="00445D42"/>
    <w:rsid w:val="00445F92"/>
    <w:rsid w:val="00445FB8"/>
    <w:rsid w:val="0045027F"/>
    <w:rsid w:val="0045180A"/>
    <w:rsid w:val="004528B3"/>
    <w:rsid w:val="00452B27"/>
    <w:rsid w:val="00453DAB"/>
    <w:rsid w:val="004551CF"/>
    <w:rsid w:val="00461E30"/>
    <w:rsid w:val="00464320"/>
    <w:rsid w:val="00466248"/>
    <w:rsid w:val="004667C1"/>
    <w:rsid w:val="00474D38"/>
    <w:rsid w:val="0047684D"/>
    <w:rsid w:val="004900F5"/>
    <w:rsid w:val="004900FD"/>
    <w:rsid w:val="0049037C"/>
    <w:rsid w:val="00490E12"/>
    <w:rsid w:val="004920BF"/>
    <w:rsid w:val="00493450"/>
    <w:rsid w:val="00495139"/>
    <w:rsid w:val="004A20F6"/>
    <w:rsid w:val="004A2B2E"/>
    <w:rsid w:val="004A3A8D"/>
    <w:rsid w:val="004A5D9C"/>
    <w:rsid w:val="004B3978"/>
    <w:rsid w:val="004B4F1C"/>
    <w:rsid w:val="004B5F48"/>
    <w:rsid w:val="004C4474"/>
    <w:rsid w:val="004C7267"/>
    <w:rsid w:val="004C7EA2"/>
    <w:rsid w:val="004D0FC3"/>
    <w:rsid w:val="004D123C"/>
    <w:rsid w:val="004D16E1"/>
    <w:rsid w:val="004D26AE"/>
    <w:rsid w:val="004E4B0C"/>
    <w:rsid w:val="004E6F5C"/>
    <w:rsid w:val="004E73D0"/>
    <w:rsid w:val="004E76CB"/>
    <w:rsid w:val="004E7E53"/>
    <w:rsid w:val="004F0733"/>
    <w:rsid w:val="004F2E0A"/>
    <w:rsid w:val="004F43C9"/>
    <w:rsid w:val="004F51E3"/>
    <w:rsid w:val="00500C1C"/>
    <w:rsid w:val="00501CEC"/>
    <w:rsid w:val="00501F38"/>
    <w:rsid w:val="0050270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6DCC"/>
    <w:rsid w:val="00590FC0"/>
    <w:rsid w:val="005977A1"/>
    <w:rsid w:val="00597CD0"/>
    <w:rsid w:val="005A0230"/>
    <w:rsid w:val="005A26C7"/>
    <w:rsid w:val="005A4BD9"/>
    <w:rsid w:val="005A6537"/>
    <w:rsid w:val="005B2CE4"/>
    <w:rsid w:val="005B4493"/>
    <w:rsid w:val="005B6DE3"/>
    <w:rsid w:val="005B6FDF"/>
    <w:rsid w:val="005C0C86"/>
    <w:rsid w:val="005C2269"/>
    <w:rsid w:val="005C3775"/>
    <w:rsid w:val="005C4FBF"/>
    <w:rsid w:val="005C56CE"/>
    <w:rsid w:val="005D1B0B"/>
    <w:rsid w:val="005D2332"/>
    <w:rsid w:val="005D5AD5"/>
    <w:rsid w:val="005D6325"/>
    <w:rsid w:val="005D7941"/>
    <w:rsid w:val="005E4799"/>
    <w:rsid w:val="005E6437"/>
    <w:rsid w:val="005E6762"/>
    <w:rsid w:val="005F1B7A"/>
    <w:rsid w:val="005F3E6C"/>
    <w:rsid w:val="005F7764"/>
    <w:rsid w:val="006018C7"/>
    <w:rsid w:val="00603060"/>
    <w:rsid w:val="0060461A"/>
    <w:rsid w:val="00612514"/>
    <w:rsid w:val="00612757"/>
    <w:rsid w:val="00615116"/>
    <w:rsid w:val="00617235"/>
    <w:rsid w:val="00630376"/>
    <w:rsid w:val="0063560B"/>
    <w:rsid w:val="00636A2C"/>
    <w:rsid w:val="00637726"/>
    <w:rsid w:val="00641ACD"/>
    <w:rsid w:val="006421DD"/>
    <w:rsid w:val="00642C5F"/>
    <w:rsid w:val="00645965"/>
    <w:rsid w:val="006473D2"/>
    <w:rsid w:val="006477B5"/>
    <w:rsid w:val="00651EE7"/>
    <w:rsid w:val="00652A26"/>
    <w:rsid w:val="006534A4"/>
    <w:rsid w:val="00657A42"/>
    <w:rsid w:val="00660857"/>
    <w:rsid w:val="00662275"/>
    <w:rsid w:val="00663E98"/>
    <w:rsid w:val="00663EFD"/>
    <w:rsid w:val="00665EB7"/>
    <w:rsid w:val="00670EF7"/>
    <w:rsid w:val="006774E5"/>
    <w:rsid w:val="00677890"/>
    <w:rsid w:val="00682C24"/>
    <w:rsid w:val="00683600"/>
    <w:rsid w:val="006852B0"/>
    <w:rsid w:val="0068783E"/>
    <w:rsid w:val="00695A78"/>
    <w:rsid w:val="00696BCC"/>
    <w:rsid w:val="00697595"/>
    <w:rsid w:val="006A007F"/>
    <w:rsid w:val="006A04CF"/>
    <w:rsid w:val="006A1271"/>
    <w:rsid w:val="006A2D54"/>
    <w:rsid w:val="006A50B7"/>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330A5"/>
    <w:rsid w:val="0073492B"/>
    <w:rsid w:val="00736559"/>
    <w:rsid w:val="00736ADB"/>
    <w:rsid w:val="007373C3"/>
    <w:rsid w:val="0074223F"/>
    <w:rsid w:val="00743B6E"/>
    <w:rsid w:val="00744FB9"/>
    <w:rsid w:val="007500DB"/>
    <w:rsid w:val="00753475"/>
    <w:rsid w:val="00753D1D"/>
    <w:rsid w:val="00756255"/>
    <w:rsid w:val="00757D56"/>
    <w:rsid w:val="00760EDE"/>
    <w:rsid w:val="00762963"/>
    <w:rsid w:val="00762BB5"/>
    <w:rsid w:val="007725FB"/>
    <w:rsid w:val="0077332E"/>
    <w:rsid w:val="0077386D"/>
    <w:rsid w:val="007739C2"/>
    <w:rsid w:val="007746C7"/>
    <w:rsid w:val="00774DF3"/>
    <w:rsid w:val="00775FCD"/>
    <w:rsid w:val="00780031"/>
    <w:rsid w:val="00783314"/>
    <w:rsid w:val="00784A9B"/>
    <w:rsid w:val="00785509"/>
    <w:rsid w:val="007858F7"/>
    <w:rsid w:val="00790154"/>
    <w:rsid w:val="00796CBF"/>
    <w:rsid w:val="00796EBD"/>
    <w:rsid w:val="007A04E2"/>
    <w:rsid w:val="007A27D5"/>
    <w:rsid w:val="007A2FED"/>
    <w:rsid w:val="007A4A05"/>
    <w:rsid w:val="007B2166"/>
    <w:rsid w:val="007B2734"/>
    <w:rsid w:val="007B3872"/>
    <w:rsid w:val="007B6E1B"/>
    <w:rsid w:val="007B70DC"/>
    <w:rsid w:val="007B733A"/>
    <w:rsid w:val="007B7E49"/>
    <w:rsid w:val="007C068B"/>
    <w:rsid w:val="007C52BC"/>
    <w:rsid w:val="007D1070"/>
    <w:rsid w:val="007D367E"/>
    <w:rsid w:val="007D4382"/>
    <w:rsid w:val="007D4E4F"/>
    <w:rsid w:val="007D4EA5"/>
    <w:rsid w:val="007E0E00"/>
    <w:rsid w:val="007E1E55"/>
    <w:rsid w:val="007E280D"/>
    <w:rsid w:val="007E3920"/>
    <w:rsid w:val="007E3D28"/>
    <w:rsid w:val="007E4827"/>
    <w:rsid w:val="007E6071"/>
    <w:rsid w:val="007F1098"/>
    <w:rsid w:val="007F1113"/>
    <w:rsid w:val="007F18A0"/>
    <w:rsid w:val="007F683E"/>
    <w:rsid w:val="007F6D90"/>
    <w:rsid w:val="007F781E"/>
    <w:rsid w:val="00803A5D"/>
    <w:rsid w:val="00803EED"/>
    <w:rsid w:val="00804F05"/>
    <w:rsid w:val="008114A9"/>
    <w:rsid w:val="008126F5"/>
    <w:rsid w:val="0082162A"/>
    <w:rsid w:val="00821636"/>
    <w:rsid w:val="00821ECE"/>
    <w:rsid w:val="008237E3"/>
    <w:rsid w:val="00826DC1"/>
    <w:rsid w:val="00830524"/>
    <w:rsid w:val="0083770D"/>
    <w:rsid w:val="00840EEB"/>
    <w:rsid w:val="008411EB"/>
    <w:rsid w:val="00841D5C"/>
    <w:rsid w:val="00841FF5"/>
    <w:rsid w:val="00843BCA"/>
    <w:rsid w:val="0085221B"/>
    <w:rsid w:val="00855269"/>
    <w:rsid w:val="00857537"/>
    <w:rsid w:val="00861CEB"/>
    <w:rsid w:val="008621E0"/>
    <w:rsid w:val="008642B4"/>
    <w:rsid w:val="008660F3"/>
    <w:rsid w:val="00867DE4"/>
    <w:rsid w:val="00870982"/>
    <w:rsid w:val="00873F26"/>
    <w:rsid w:val="00882A9B"/>
    <w:rsid w:val="00883386"/>
    <w:rsid w:val="00887087"/>
    <w:rsid w:val="00887D7E"/>
    <w:rsid w:val="00891506"/>
    <w:rsid w:val="00893026"/>
    <w:rsid w:val="00893BFE"/>
    <w:rsid w:val="008A018D"/>
    <w:rsid w:val="008A09C2"/>
    <w:rsid w:val="008A3E70"/>
    <w:rsid w:val="008A5476"/>
    <w:rsid w:val="008A627B"/>
    <w:rsid w:val="008A6F70"/>
    <w:rsid w:val="008B1D0A"/>
    <w:rsid w:val="008B768D"/>
    <w:rsid w:val="008C1ADA"/>
    <w:rsid w:val="008C1BDD"/>
    <w:rsid w:val="008D2386"/>
    <w:rsid w:val="008D3A69"/>
    <w:rsid w:val="008D42E0"/>
    <w:rsid w:val="008D4CA3"/>
    <w:rsid w:val="008D6EB3"/>
    <w:rsid w:val="008D725F"/>
    <w:rsid w:val="008D7F64"/>
    <w:rsid w:val="008E1B5F"/>
    <w:rsid w:val="008E306F"/>
    <w:rsid w:val="008E369C"/>
    <w:rsid w:val="008E3E6D"/>
    <w:rsid w:val="008E4DFC"/>
    <w:rsid w:val="008F0030"/>
    <w:rsid w:val="008F4C65"/>
    <w:rsid w:val="009111BB"/>
    <w:rsid w:val="00912AE0"/>
    <w:rsid w:val="00913FDE"/>
    <w:rsid w:val="009223AC"/>
    <w:rsid w:val="0092498B"/>
    <w:rsid w:val="00926CBA"/>
    <w:rsid w:val="00932333"/>
    <w:rsid w:val="00932F48"/>
    <w:rsid w:val="00937F54"/>
    <w:rsid w:val="00940541"/>
    <w:rsid w:val="00940D2B"/>
    <w:rsid w:val="00941C5C"/>
    <w:rsid w:val="00944E02"/>
    <w:rsid w:val="0094553A"/>
    <w:rsid w:val="0094739B"/>
    <w:rsid w:val="00947799"/>
    <w:rsid w:val="00951850"/>
    <w:rsid w:val="009521FE"/>
    <w:rsid w:val="00954256"/>
    <w:rsid w:val="0095461D"/>
    <w:rsid w:val="00954869"/>
    <w:rsid w:val="009605EF"/>
    <w:rsid w:val="00960652"/>
    <w:rsid w:val="00960998"/>
    <w:rsid w:val="00960B28"/>
    <w:rsid w:val="009616B8"/>
    <w:rsid w:val="009618AC"/>
    <w:rsid w:val="00961D16"/>
    <w:rsid w:val="009654B4"/>
    <w:rsid w:val="0096586B"/>
    <w:rsid w:val="0097154F"/>
    <w:rsid w:val="0097328D"/>
    <w:rsid w:val="009742A7"/>
    <w:rsid w:val="00977110"/>
    <w:rsid w:val="00980266"/>
    <w:rsid w:val="0098154A"/>
    <w:rsid w:val="009822C2"/>
    <w:rsid w:val="00982E96"/>
    <w:rsid w:val="009849E0"/>
    <w:rsid w:val="0099218A"/>
    <w:rsid w:val="009928BC"/>
    <w:rsid w:val="009948CB"/>
    <w:rsid w:val="00997599"/>
    <w:rsid w:val="009A0283"/>
    <w:rsid w:val="009A5E17"/>
    <w:rsid w:val="009A7C9C"/>
    <w:rsid w:val="009B2309"/>
    <w:rsid w:val="009B66EC"/>
    <w:rsid w:val="009C1639"/>
    <w:rsid w:val="009C1A0F"/>
    <w:rsid w:val="009C3B59"/>
    <w:rsid w:val="009C695B"/>
    <w:rsid w:val="009D0A5D"/>
    <w:rsid w:val="009D151D"/>
    <w:rsid w:val="009D282C"/>
    <w:rsid w:val="009D3020"/>
    <w:rsid w:val="009D6949"/>
    <w:rsid w:val="009F1FF4"/>
    <w:rsid w:val="009F2898"/>
    <w:rsid w:val="009F4FFF"/>
    <w:rsid w:val="009F5B87"/>
    <w:rsid w:val="00A0513D"/>
    <w:rsid w:val="00A057D9"/>
    <w:rsid w:val="00A13DCE"/>
    <w:rsid w:val="00A20F0F"/>
    <w:rsid w:val="00A227B9"/>
    <w:rsid w:val="00A240FF"/>
    <w:rsid w:val="00A249CD"/>
    <w:rsid w:val="00A344B1"/>
    <w:rsid w:val="00A3688D"/>
    <w:rsid w:val="00A42DD5"/>
    <w:rsid w:val="00A47AEC"/>
    <w:rsid w:val="00A51F99"/>
    <w:rsid w:val="00A56AF3"/>
    <w:rsid w:val="00A5739A"/>
    <w:rsid w:val="00A62F0E"/>
    <w:rsid w:val="00A634E2"/>
    <w:rsid w:val="00A648B4"/>
    <w:rsid w:val="00A65E0B"/>
    <w:rsid w:val="00A703D0"/>
    <w:rsid w:val="00A830D6"/>
    <w:rsid w:val="00A865BE"/>
    <w:rsid w:val="00A87A40"/>
    <w:rsid w:val="00A91126"/>
    <w:rsid w:val="00A91650"/>
    <w:rsid w:val="00A950E6"/>
    <w:rsid w:val="00A95B45"/>
    <w:rsid w:val="00AA44DB"/>
    <w:rsid w:val="00AA4AEB"/>
    <w:rsid w:val="00AA4D9F"/>
    <w:rsid w:val="00AA539C"/>
    <w:rsid w:val="00AB0016"/>
    <w:rsid w:val="00AB03C1"/>
    <w:rsid w:val="00AB52D5"/>
    <w:rsid w:val="00AB626F"/>
    <w:rsid w:val="00AC2036"/>
    <w:rsid w:val="00AC373C"/>
    <w:rsid w:val="00AC3886"/>
    <w:rsid w:val="00AC50A9"/>
    <w:rsid w:val="00AC6CE1"/>
    <w:rsid w:val="00AD7705"/>
    <w:rsid w:val="00AE048C"/>
    <w:rsid w:val="00AE16CB"/>
    <w:rsid w:val="00AE3337"/>
    <w:rsid w:val="00AE72CD"/>
    <w:rsid w:val="00AE7651"/>
    <w:rsid w:val="00AF0BF2"/>
    <w:rsid w:val="00AF1284"/>
    <w:rsid w:val="00AF1733"/>
    <w:rsid w:val="00AF1A7E"/>
    <w:rsid w:val="00AF3A54"/>
    <w:rsid w:val="00AF55BE"/>
    <w:rsid w:val="00B02F2C"/>
    <w:rsid w:val="00B051CC"/>
    <w:rsid w:val="00B15D12"/>
    <w:rsid w:val="00B176A3"/>
    <w:rsid w:val="00B22B65"/>
    <w:rsid w:val="00B27C70"/>
    <w:rsid w:val="00B27FCB"/>
    <w:rsid w:val="00B34398"/>
    <w:rsid w:val="00B36F17"/>
    <w:rsid w:val="00B42344"/>
    <w:rsid w:val="00B42FDD"/>
    <w:rsid w:val="00B47C9C"/>
    <w:rsid w:val="00B519B0"/>
    <w:rsid w:val="00B51A9A"/>
    <w:rsid w:val="00B5228D"/>
    <w:rsid w:val="00B543D3"/>
    <w:rsid w:val="00B55CB1"/>
    <w:rsid w:val="00B57940"/>
    <w:rsid w:val="00B626EA"/>
    <w:rsid w:val="00B637FE"/>
    <w:rsid w:val="00B641B7"/>
    <w:rsid w:val="00B71F3F"/>
    <w:rsid w:val="00B7373B"/>
    <w:rsid w:val="00B80362"/>
    <w:rsid w:val="00B8627B"/>
    <w:rsid w:val="00B87400"/>
    <w:rsid w:val="00B93894"/>
    <w:rsid w:val="00B94A8C"/>
    <w:rsid w:val="00B9521F"/>
    <w:rsid w:val="00B96BC9"/>
    <w:rsid w:val="00BA09B9"/>
    <w:rsid w:val="00BA6275"/>
    <w:rsid w:val="00BB1817"/>
    <w:rsid w:val="00BB77E8"/>
    <w:rsid w:val="00BB7C53"/>
    <w:rsid w:val="00BC118F"/>
    <w:rsid w:val="00BC1E66"/>
    <w:rsid w:val="00BC1ECC"/>
    <w:rsid w:val="00BC7BFE"/>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2C8B"/>
    <w:rsid w:val="00C14B0C"/>
    <w:rsid w:val="00C153F5"/>
    <w:rsid w:val="00C15CE6"/>
    <w:rsid w:val="00C170C4"/>
    <w:rsid w:val="00C1772A"/>
    <w:rsid w:val="00C22C55"/>
    <w:rsid w:val="00C26DC4"/>
    <w:rsid w:val="00C33C8B"/>
    <w:rsid w:val="00C3574D"/>
    <w:rsid w:val="00C40C8A"/>
    <w:rsid w:val="00C437AD"/>
    <w:rsid w:val="00C43835"/>
    <w:rsid w:val="00C43E56"/>
    <w:rsid w:val="00C46049"/>
    <w:rsid w:val="00C46102"/>
    <w:rsid w:val="00C47BE7"/>
    <w:rsid w:val="00C530A9"/>
    <w:rsid w:val="00C554EE"/>
    <w:rsid w:val="00C62A00"/>
    <w:rsid w:val="00C63C5F"/>
    <w:rsid w:val="00C6578B"/>
    <w:rsid w:val="00C707F6"/>
    <w:rsid w:val="00C73182"/>
    <w:rsid w:val="00C800EA"/>
    <w:rsid w:val="00C80C0B"/>
    <w:rsid w:val="00C83210"/>
    <w:rsid w:val="00C852EC"/>
    <w:rsid w:val="00C86C69"/>
    <w:rsid w:val="00C91C70"/>
    <w:rsid w:val="00CA1C63"/>
    <w:rsid w:val="00CA5A7A"/>
    <w:rsid w:val="00CA7067"/>
    <w:rsid w:val="00CA7E6D"/>
    <w:rsid w:val="00CB0544"/>
    <w:rsid w:val="00CB3137"/>
    <w:rsid w:val="00CB66A9"/>
    <w:rsid w:val="00CB7081"/>
    <w:rsid w:val="00CC3099"/>
    <w:rsid w:val="00CC618C"/>
    <w:rsid w:val="00CC6B46"/>
    <w:rsid w:val="00CD1222"/>
    <w:rsid w:val="00CD16C1"/>
    <w:rsid w:val="00CD6D39"/>
    <w:rsid w:val="00CE1FDE"/>
    <w:rsid w:val="00CE6312"/>
    <w:rsid w:val="00CE68F6"/>
    <w:rsid w:val="00CF3E87"/>
    <w:rsid w:val="00CF62AA"/>
    <w:rsid w:val="00D019AA"/>
    <w:rsid w:val="00D0481C"/>
    <w:rsid w:val="00D05712"/>
    <w:rsid w:val="00D0646F"/>
    <w:rsid w:val="00D06FD8"/>
    <w:rsid w:val="00D12380"/>
    <w:rsid w:val="00D1252B"/>
    <w:rsid w:val="00D12F8C"/>
    <w:rsid w:val="00D13906"/>
    <w:rsid w:val="00D14A03"/>
    <w:rsid w:val="00D14A8C"/>
    <w:rsid w:val="00D150C3"/>
    <w:rsid w:val="00D20077"/>
    <w:rsid w:val="00D24209"/>
    <w:rsid w:val="00D24808"/>
    <w:rsid w:val="00D26751"/>
    <w:rsid w:val="00D317C2"/>
    <w:rsid w:val="00D321D2"/>
    <w:rsid w:val="00D32497"/>
    <w:rsid w:val="00D33F5A"/>
    <w:rsid w:val="00D34321"/>
    <w:rsid w:val="00D37129"/>
    <w:rsid w:val="00D42145"/>
    <w:rsid w:val="00D60242"/>
    <w:rsid w:val="00D625E3"/>
    <w:rsid w:val="00D63AEF"/>
    <w:rsid w:val="00D7294B"/>
    <w:rsid w:val="00D72AC5"/>
    <w:rsid w:val="00D76346"/>
    <w:rsid w:val="00D814A7"/>
    <w:rsid w:val="00D82CF9"/>
    <w:rsid w:val="00D83CA9"/>
    <w:rsid w:val="00D84C17"/>
    <w:rsid w:val="00D8537C"/>
    <w:rsid w:val="00D868D3"/>
    <w:rsid w:val="00D907A7"/>
    <w:rsid w:val="00D91F18"/>
    <w:rsid w:val="00DA0941"/>
    <w:rsid w:val="00DA0C59"/>
    <w:rsid w:val="00DA251A"/>
    <w:rsid w:val="00DB1A71"/>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E6B0D"/>
    <w:rsid w:val="00DF1527"/>
    <w:rsid w:val="00E01C20"/>
    <w:rsid w:val="00E02C41"/>
    <w:rsid w:val="00E03892"/>
    <w:rsid w:val="00E069EE"/>
    <w:rsid w:val="00E0744E"/>
    <w:rsid w:val="00E12E8D"/>
    <w:rsid w:val="00E13A66"/>
    <w:rsid w:val="00E15A53"/>
    <w:rsid w:val="00E23D04"/>
    <w:rsid w:val="00E26685"/>
    <w:rsid w:val="00E30B11"/>
    <w:rsid w:val="00E30B41"/>
    <w:rsid w:val="00E32132"/>
    <w:rsid w:val="00E32965"/>
    <w:rsid w:val="00E32FB1"/>
    <w:rsid w:val="00E3611D"/>
    <w:rsid w:val="00E42136"/>
    <w:rsid w:val="00E4461B"/>
    <w:rsid w:val="00E5463F"/>
    <w:rsid w:val="00E55A6E"/>
    <w:rsid w:val="00E66452"/>
    <w:rsid w:val="00E67894"/>
    <w:rsid w:val="00E71372"/>
    <w:rsid w:val="00E73605"/>
    <w:rsid w:val="00E810F5"/>
    <w:rsid w:val="00E848A5"/>
    <w:rsid w:val="00E921A3"/>
    <w:rsid w:val="00E924DF"/>
    <w:rsid w:val="00E9666A"/>
    <w:rsid w:val="00E96D63"/>
    <w:rsid w:val="00E97189"/>
    <w:rsid w:val="00EA5F15"/>
    <w:rsid w:val="00EA76EE"/>
    <w:rsid w:val="00EB4B66"/>
    <w:rsid w:val="00EB5A3E"/>
    <w:rsid w:val="00EB67AD"/>
    <w:rsid w:val="00EC02FC"/>
    <w:rsid w:val="00EC51AD"/>
    <w:rsid w:val="00EC58E6"/>
    <w:rsid w:val="00ED2FDE"/>
    <w:rsid w:val="00ED3884"/>
    <w:rsid w:val="00ED5C15"/>
    <w:rsid w:val="00EE1682"/>
    <w:rsid w:val="00EE236B"/>
    <w:rsid w:val="00EE4D10"/>
    <w:rsid w:val="00EE6C62"/>
    <w:rsid w:val="00EF0390"/>
    <w:rsid w:val="00EF338C"/>
    <w:rsid w:val="00EF5A9B"/>
    <w:rsid w:val="00F007DA"/>
    <w:rsid w:val="00F01EAE"/>
    <w:rsid w:val="00F0645F"/>
    <w:rsid w:val="00F0752E"/>
    <w:rsid w:val="00F07F38"/>
    <w:rsid w:val="00F10FB7"/>
    <w:rsid w:val="00F16DB1"/>
    <w:rsid w:val="00F17898"/>
    <w:rsid w:val="00F20EAD"/>
    <w:rsid w:val="00F21084"/>
    <w:rsid w:val="00F23D0D"/>
    <w:rsid w:val="00F25AC3"/>
    <w:rsid w:val="00F31554"/>
    <w:rsid w:val="00F34CF0"/>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C0A01"/>
    <w:rsid w:val="00FC3F50"/>
    <w:rsid w:val="00FC451E"/>
    <w:rsid w:val="00FC6662"/>
    <w:rsid w:val="00FD09AD"/>
    <w:rsid w:val="00FD1C2A"/>
    <w:rsid w:val="00FD618C"/>
    <w:rsid w:val="00FD65FB"/>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09EAE"/>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82C"/>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313267354">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904799122">
      <w:bodyDiv w:val="1"/>
      <w:marLeft w:val="0"/>
      <w:marRight w:val="0"/>
      <w:marTop w:val="0"/>
      <w:marBottom w:val="0"/>
      <w:divBdr>
        <w:top w:val="none" w:sz="0" w:space="0" w:color="auto"/>
        <w:left w:val="none" w:sz="0" w:space="0" w:color="auto"/>
        <w:bottom w:val="none" w:sz="0" w:space="0" w:color="auto"/>
        <w:right w:val="none" w:sz="0" w:space="0" w:color="auto"/>
      </w:divBdr>
    </w:div>
    <w:div w:id="1103843180">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85341F2-C615-40EF-B9C2-6296C060A6ED}">
  <ds:schemaRefs>
    <ds:schemaRef ds:uri="http://schemas.openxmlformats.org/officeDocument/2006/bibliography"/>
  </ds:schemaRefs>
</ds:datastoreItem>
</file>

<file path=customXml/itemProps2.xml><?xml version="1.0" encoding="utf-8"?>
<ds:datastoreItem xmlns:ds="http://schemas.openxmlformats.org/officeDocument/2006/customXml" ds:itemID="{BB8FBAD8-7E74-4769-80A7-A255556DD3E6}"/>
</file>

<file path=customXml/itemProps3.xml><?xml version="1.0" encoding="utf-8"?>
<ds:datastoreItem xmlns:ds="http://schemas.openxmlformats.org/officeDocument/2006/customXml" ds:itemID="{9DBDD341-C11C-400D-950F-CD1B9633299C}"/>
</file>

<file path=customXml/itemProps4.xml><?xml version="1.0" encoding="utf-8"?>
<ds:datastoreItem xmlns:ds="http://schemas.openxmlformats.org/officeDocument/2006/customXml" ds:itemID="{0ADAE1F1-76DD-485A-8D82-D03A923D5E90}"/>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4611</Characters>
  <Application>Microsoft Office Word</Application>
  <DocSecurity>0</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1.16.1.2.1 ADN: Form und Inhalt des Zulassungszeugnisses – vollständige Angaben</vt:lpstr>
      <vt:lpstr>1.16.1.2.1 ADN: Form und Inhalt des Zulassungszeugnisses – vollständige Angaben</vt:lpstr>
      <vt:lpstr>ECE/TRANS/WP.15/AC.2/2011/20</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zwei Ergänzungen in 1.6.7.2 „Allgemeine Übergangsvorschriften“</dc:title>
  <dc:subject/>
  <dc:creator>Martine Moench</dc:creator>
  <cp:lastModifiedBy>Martine Moench</cp:lastModifiedBy>
  <cp:revision>3</cp:revision>
  <cp:lastPrinted>2023-11-14T14:01:00Z</cp:lastPrinted>
  <dcterms:created xsi:type="dcterms:W3CDTF">2023-12-04T09:55:00Z</dcterms:created>
  <dcterms:modified xsi:type="dcterms:W3CDTF">2023-12-04T10:04:00Z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