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6D26A0" w14:paraId="370EBC1E" w14:textId="77777777" w:rsidTr="00295CCA">
        <w:trPr>
          <w:trHeight w:hRule="exact" w:val="851"/>
        </w:trPr>
        <w:tc>
          <w:tcPr>
            <w:tcW w:w="1276" w:type="dxa"/>
            <w:tcBorders>
              <w:bottom w:val="single" w:sz="4" w:space="0" w:color="auto"/>
            </w:tcBorders>
          </w:tcPr>
          <w:p w14:paraId="4065C82D" w14:textId="77777777" w:rsidR="001433FD" w:rsidRPr="00B045DB" w:rsidRDefault="001433FD" w:rsidP="00D24047"/>
        </w:tc>
        <w:tc>
          <w:tcPr>
            <w:tcW w:w="2268" w:type="dxa"/>
            <w:tcBorders>
              <w:bottom w:val="single" w:sz="4" w:space="0" w:color="auto"/>
            </w:tcBorders>
            <w:vAlign w:val="bottom"/>
          </w:tcPr>
          <w:p w14:paraId="1BBD4E33" w14:textId="77777777" w:rsidR="001433FD" w:rsidRPr="00B045DB" w:rsidRDefault="001433FD" w:rsidP="00295CCA">
            <w:pPr>
              <w:spacing w:after="80" w:line="300" w:lineRule="exact"/>
              <w:rPr>
                <w:sz w:val="28"/>
              </w:rPr>
            </w:pPr>
            <w:r w:rsidRPr="00B045DB">
              <w:rPr>
                <w:sz w:val="28"/>
              </w:rPr>
              <w:t>Nations Unies</w:t>
            </w:r>
          </w:p>
        </w:tc>
        <w:tc>
          <w:tcPr>
            <w:tcW w:w="6095" w:type="dxa"/>
            <w:gridSpan w:val="2"/>
            <w:tcBorders>
              <w:bottom w:val="single" w:sz="4" w:space="0" w:color="auto"/>
            </w:tcBorders>
            <w:vAlign w:val="bottom"/>
          </w:tcPr>
          <w:p w14:paraId="486DCAED" w14:textId="153F6381" w:rsidR="00D24047" w:rsidRPr="00027956" w:rsidRDefault="00D24047" w:rsidP="00D24047">
            <w:pPr>
              <w:jc w:val="right"/>
              <w:rPr>
                <w:lang w:val="es-ES"/>
              </w:rPr>
            </w:pPr>
            <w:r w:rsidRPr="00027956">
              <w:rPr>
                <w:sz w:val="40"/>
                <w:lang w:val="es-ES"/>
              </w:rPr>
              <w:t>ECE</w:t>
            </w:r>
            <w:r w:rsidRPr="00027956">
              <w:rPr>
                <w:lang w:val="es-ES"/>
              </w:rPr>
              <w:t>/MP.EIA/2023/13−</w:t>
            </w:r>
            <w:r w:rsidRPr="00027956">
              <w:rPr>
                <w:sz w:val="40"/>
                <w:lang w:val="es-ES"/>
              </w:rPr>
              <w:t>ECE</w:t>
            </w:r>
            <w:r w:rsidRPr="00027956">
              <w:rPr>
                <w:lang w:val="es-ES"/>
              </w:rPr>
              <w:t>/MP.EIA/SEA/2023/13</w:t>
            </w:r>
          </w:p>
        </w:tc>
      </w:tr>
      <w:tr w:rsidR="001433FD" w:rsidRPr="00B045DB" w14:paraId="268DA9D2" w14:textId="77777777" w:rsidTr="00295CCA">
        <w:trPr>
          <w:trHeight w:hRule="exact" w:val="2835"/>
        </w:trPr>
        <w:tc>
          <w:tcPr>
            <w:tcW w:w="1276" w:type="dxa"/>
            <w:tcBorders>
              <w:top w:val="single" w:sz="4" w:space="0" w:color="auto"/>
              <w:bottom w:val="single" w:sz="12" w:space="0" w:color="auto"/>
            </w:tcBorders>
          </w:tcPr>
          <w:p w14:paraId="4B539274" w14:textId="77777777" w:rsidR="001433FD" w:rsidRPr="00B045DB" w:rsidRDefault="001433FD" w:rsidP="00295CCA">
            <w:pPr>
              <w:spacing w:before="120"/>
              <w:jc w:val="center"/>
            </w:pPr>
            <w:r w:rsidRPr="00B045DB">
              <w:rPr>
                <w:noProof/>
                <w:lang w:eastAsia="fr-CH"/>
              </w:rPr>
              <w:drawing>
                <wp:inline distT="0" distB="0" distL="0" distR="0" wp14:anchorId="5F418903" wp14:editId="703232BF">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2657E3" w14:textId="77777777" w:rsidR="001433FD" w:rsidRPr="00B045DB" w:rsidRDefault="001433FD" w:rsidP="00295CCA">
            <w:pPr>
              <w:spacing w:before="120" w:line="420" w:lineRule="exact"/>
              <w:rPr>
                <w:b/>
                <w:sz w:val="40"/>
                <w:szCs w:val="40"/>
              </w:rPr>
            </w:pPr>
            <w:r w:rsidRPr="00B045DB">
              <w:rPr>
                <w:b/>
                <w:sz w:val="40"/>
                <w:szCs w:val="40"/>
              </w:rPr>
              <w:t>Conseil économique et social</w:t>
            </w:r>
          </w:p>
        </w:tc>
        <w:tc>
          <w:tcPr>
            <w:tcW w:w="2835" w:type="dxa"/>
            <w:tcBorders>
              <w:top w:val="single" w:sz="4" w:space="0" w:color="auto"/>
              <w:bottom w:val="single" w:sz="12" w:space="0" w:color="auto"/>
            </w:tcBorders>
          </w:tcPr>
          <w:p w14:paraId="123B6836" w14:textId="77777777" w:rsidR="001433FD" w:rsidRPr="00B045DB" w:rsidRDefault="00D24047" w:rsidP="00295CCA">
            <w:pPr>
              <w:spacing w:before="240"/>
            </w:pPr>
            <w:proofErr w:type="spellStart"/>
            <w:r w:rsidRPr="00B045DB">
              <w:t>Distr</w:t>
            </w:r>
            <w:proofErr w:type="spellEnd"/>
            <w:r w:rsidRPr="00B045DB">
              <w:t>. générale</w:t>
            </w:r>
          </w:p>
          <w:p w14:paraId="0FD6EDC5" w14:textId="77777777" w:rsidR="00D24047" w:rsidRPr="00B045DB" w:rsidRDefault="00D24047" w:rsidP="00D24047">
            <w:pPr>
              <w:spacing w:line="240" w:lineRule="exact"/>
            </w:pPr>
            <w:r w:rsidRPr="00B045DB">
              <w:t>30 octobre 2023</w:t>
            </w:r>
          </w:p>
          <w:p w14:paraId="0E27D0B3" w14:textId="77777777" w:rsidR="00D24047" w:rsidRPr="00B045DB" w:rsidRDefault="00D24047" w:rsidP="00D24047">
            <w:pPr>
              <w:spacing w:line="240" w:lineRule="exact"/>
            </w:pPr>
            <w:r w:rsidRPr="00B045DB">
              <w:t>Français</w:t>
            </w:r>
          </w:p>
          <w:p w14:paraId="3A0680F2" w14:textId="0B14E34D" w:rsidR="00D24047" w:rsidRPr="00B045DB" w:rsidRDefault="00D24047" w:rsidP="00D24047">
            <w:pPr>
              <w:spacing w:line="240" w:lineRule="exact"/>
            </w:pPr>
            <w:r w:rsidRPr="00B045DB">
              <w:t>Original : anglais</w:t>
            </w:r>
          </w:p>
        </w:tc>
      </w:tr>
    </w:tbl>
    <w:p w14:paraId="23B891F7" w14:textId="2F581FCD" w:rsidR="005316B0" w:rsidRPr="00B045DB" w:rsidRDefault="005316B0" w:rsidP="000F59D0">
      <w:pPr>
        <w:spacing w:before="120" w:after="120"/>
        <w:rPr>
          <w:b/>
          <w:sz w:val="28"/>
          <w:szCs w:val="28"/>
        </w:rPr>
      </w:pPr>
      <w:r w:rsidRPr="00B045DB">
        <w:rPr>
          <w:b/>
          <w:sz w:val="28"/>
          <w:szCs w:val="28"/>
        </w:rPr>
        <w:t>Commission économique pour l</w:t>
      </w:r>
      <w:r w:rsidR="003B2315" w:rsidRPr="00B045DB">
        <w:rPr>
          <w:b/>
          <w:sz w:val="28"/>
          <w:szCs w:val="28"/>
        </w:rPr>
        <w:t>’</w:t>
      </w:r>
      <w:r w:rsidRPr="00B045DB">
        <w:rPr>
          <w:b/>
          <w:sz w:val="28"/>
          <w:szCs w:val="28"/>
        </w:rPr>
        <w:t>Europe</w:t>
      </w:r>
    </w:p>
    <w:p w14:paraId="4ED44D39" w14:textId="159024AD" w:rsidR="00D24047" w:rsidRPr="00B045DB" w:rsidRDefault="00D24047" w:rsidP="00D24047">
      <w:pPr>
        <w:rPr>
          <w:rFonts w:eastAsia="Times New Roman"/>
          <w:sz w:val="24"/>
          <w:szCs w:val="24"/>
        </w:rPr>
      </w:pPr>
      <w:r w:rsidRPr="00B045DB">
        <w:rPr>
          <w:rFonts w:eastAsia="Times New Roman"/>
          <w:sz w:val="24"/>
          <w:szCs w:val="24"/>
        </w:rPr>
        <w:t xml:space="preserve">Réunion des Parties à la Convention sur </w:t>
      </w:r>
      <w:r w:rsidR="000F59D0" w:rsidRPr="00B045DB">
        <w:rPr>
          <w:rFonts w:eastAsia="Times New Roman"/>
          <w:sz w:val="24"/>
          <w:szCs w:val="24"/>
        </w:rPr>
        <w:br/>
      </w:r>
      <w:r w:rsidRPr="00B045DB">
        <w:rPr>
          <w:rFonts w:eastAsia="Times New Roman"/>
          <w:sz w:val="24"/>
          <w:szCs w:val="24"/>
        </w:rPr>
        <w:t>l</w:t>
      </w:r>
      <w:r w:rsidR="003B2315" w:rsidRPr="00B045DB">
        <w:rPr>
          <w:rFonts w:eastAsia="Times New Roman"/>
          <w:sz w:val="24"/>
          <w:szCs w:val="24"/>
        </w:rPr>
        <w:t>’</w:t>
      </w:r>
      <w:r w:rsidRPr="00B045DB">
        <w:rPr>
          <w:rFonts w:eastAsia="Times New Roman"/>
          <w:sz w:val="24"/>
          <w:szCs w:val="24"/>
        </w:rPr>
        <w:t>évaluation</w:t>
      </w:r>
      <w:r w:rsidR="000F59D0" w:rsidRPr="00B045DB">
        <w:rPr>
          <w:rFonts w:eastAsia="Times New Roman"/>
          <w:sz w:val="24"/>
          <w:szCs w:val="24"/>
        </w:rPr>
        <w:t xml:space="preserve"> </w:t>
      </w:r>
      <w:r w:rsidRPr="00B045DB">
        <w:rPr>
          <w:rFonts w:eastAsia="Times New Roman"/>
          <w:sz w:val="24"/>
          <w:szCs w:val="24"/>
        </w:rPr>
        <w:t>de l</w:t>
      </w:r>
      <w:r w:rsidR="003B2315" w:rsidRPr="00B045DB">
        <w:rPr>
          <w:rFonts w:eastAsia="Times New Roman"/>
          <w:sz w:val="24"/>
          <w:szCs w:val="24"/>
        </w:rPr>
        <w:t>’</w:t>
      </w:r>
      <w:r w:rsidRPr="00B045DB">
        <w:rPr>
          <w:rFonts w:eastAsia="Times New Roman"/>
          <w:sz w:val="24"/>
          <w:szCs w:val="24"/>
        </w:rPr>
        <w:t>impact sur l</w:t>
      </w:r>
      <w:r w:rsidR="003B2315" w:rsidRPr="00B045DB">
        <w:rPr>
          <w:rFonts w:eastAsia="Times New Roman"/>
          <w:sz w:val="24"/>
          <w:szCs w:val="24"/>
        </w:rPr>
        <w:t>’</w:t>
      </w:r>
      <w:r w:rsidRPr="00B045DB">
        <w:rPr>
          <w:rFonts w:eastAsia="Times New Roman"/>
          <w:sz w:val="24"/>
          <w:szCs w:val="24"/>
        </w:rPr>
        <w:t xml:space="preserve">environnement </w:t>
      </w:r>
      <w:r w:rsidR="000F59D0" w:rsidRPr="00B045DB">
        <w:rPr>
          <w:rFonts w:eastAsia="Times New Roman"/>
          <w:sz w:val="24"/>
          <w:szCs w:val="24"/>
        </w:rPr>
        <w:br/>
      </w:r>
      <w:r w:rsidRPr="00B045DB">
        <w:rPr>
          <w:rFonts w:eastAsia="Times New Roman"/>
          <w:sz w:val="24"/>
          <w:szCs w:val="24"/>
        </w:rPr>
        <w:t>dans un contexte transfrontière</w:t>
      </w:r>
    </w:p>
    <w:p w14:paraId="41A37274" w14:textId="77777777" w:rsidR="00D24047" w:rsidRPr="00B045DB" w:rsidRDefault="00D24047" w:rsidP="000F59D0">
      <w:pPr>
        <w:spacing w:before="120" w:after="120"/>
        <w:rPr>
          <w:rFonts w:eastAsia="Times New Roman"/>
          <w:b/>
        </w:rPr>
      </w:pPr>
      <w:r w:rsidRPr="00B045DB">
        <w:rPr>
          <w:rFonts w:eastAsia="Times New Roman"/>
          <w:b/>
        </w:rPr>
        <w:t>Neuvième session</w:t>
      </w:r>
    </w:p>
    <w:p w14:paraId="22E74A84" w14:textId="78698B5C" w:rsidR="00D24047" w:rsidRPr="00B045DB" w:rsidRDefault="00D24047" w:rsidP="000F59D0">
      <w:pPr>
        <w:rPr>
          <w:rFonts w:eastAsia="Times New Roman"/>
          <w:sz w:val="24"/>
          <w:szCs w:val="24"/>
        </w:rPr>
      </w:pPr>
      <w:r w:rsidRPr="00B045DB">
        <w:rPr>
          <w:rFonts w:eastAsia="Times New Roman"/>
          <w:sz w:val="24"/>
          <w:szCs w:val="24"/>
        </w:rPr>
        <w:t xml:space="preserve">Réunion des Parties à la Convention sur </w:t>
      </w:r>
      <w:r w:rsidR="000F59D0" w:rsidRPr="00B045DB">
        <w:rPr>
          <w:rFonts w:eastAsia="Times New Roman"/>
          <w:sz w:val="24"/>
          <w:szCs w:val="24"/>
        </w:rPr>
        <w:br/>
      </w:r>
      <w:r w:rsidRPr="00B045DB">
        <w:rPr>
          <w:rFonts w:eastAsia="Times New Roman"/>
          <w:sz w:val="24"/>
          <w:szCs w:val="24"/>
        </w:rPr>
        <w:t>l</w:t>
      </w:r>
      <w:r w:rsidR="003B2315" w:rsidRPr="00B045DB">
        <w:rPr>
          <w:rFonts w:eastAsia="Times New Roman"/>
          <w:sz w:val="24"/>
          <w:szCs w:val="24"/>
        </w:rPr>
        <w:t>’</w:t>
      </w:r>
      <w:r w:rsidRPr="00B045DB">
        <w:rPr>
          <w:rFonts w:eastAsia="Times New Roman"/>
          <w:sz w:val="24"/>
          <w:szCs w:val="24"/>
        </w:rPr>
        <w:t>évaluation de l</w:t>
      </w:r>
      <w:r w:rsidR="003B2315" w:rsidRPr="00B045DB">
        <w:rPr>
          <w:rFonts w:eastAsia="Times New Roman"/>
          <w:sz w:val="24"/>
          <w:szCs w:val="24"/>
        </w:rPr>
        <w:t>’</w:t>
      </w:r>
      <w:r w:rsidRPr="00B045DB">
        <w:rPr>
          <w:rFonts w:eastAsia="Times New Roman"/>
          <w:sz w:val="24"/>
          <w:szCs w:val="24"/>
        </w:rPr>
        <w:t>impact sur l</w:t>
      </w:r>
      <w:r w:rsidR="003B2315" w:rsidRPr="00B045DB">
        <w:rPr>
          <w:rFonts w:eastAsia="Times New Roman"/>
          <w:sz w:val="24"/>
          <w:szCs w:val="24"/>
        </w:rPr>
        <w:t>’</w:t>
      </w:r>
      <w:r w:rsidRPr="00B045DB">
        <w:rPr>
          <w:rFonts w:eastAsia="Times New Roman"/>
          <w:sz w:val="24"/>
          <w:szCs w:val="24"/>
        </w:rPr>
        <w:t xml:space="preserve">environnement </w:t>
      </w:r>
      <w:r w:rsidR="000F59D0" w:rsidRPr="00B045DB">
        <w:rPr>
          <w:rFonts w:eastAsia="Times New Roman"/>
          <w:sz w:val="24"/>
          <w:szCs w:val="24"/>
        </w:rPr>
        <w:br/>
      </w:r>
      <w:r w:rsidRPr="00B045DB">
        <w:rPr>
          <w:rFonts w:eastAsia="Times New Roman"/>
          <w:sz w:val="24"/>
          <w:szCs w:val="24"/>
        </w:rPr>
        <w:t xml:space="preserve">dans un contexte transfrontière agissant </w:t>
      </w:r>
      <w:r w:rsidR="000F59D0" w:rsidRPr="00B045DB">
        <w:rPr>
          <w:rFonts w:eastAsia="Times New Roman"/>
          <w:sz w:val="24"/>
          <w:szCs w:val="24"/>
        </w:rPr>
        <w:br/>
      </w:r>
      <w:r w:rsidRPr="00B045DB">
        <w:rPr>
          <w:rFonts w:eastAsia="Times New Roman"/>
          <w:sz w:val="24"/>
          <w:szCs w:val="24"/>
        </w:rPr>
        <w:t xml:space="preserve">comme réunion des Parties au Protocole relatif </w:t>
      </w:r>
      <w:r w:rsidR="000F59D0" w:rsidRPr="00B045DB">
        <w:rPr>
          <w:rFonts w:eastAsia="Times New Roman"/>
          <w:sz w:val="24"/>
          <w:szCs w:val="24"/>
        </w:rPr>
        <w:br/>
      </w:r>
      <w:r w:rsidRPr="00B045DB">
        <w:rPr>
          <w:rFonts w:eastAsia="Times New Roman"/>
          <w:sz w:val="24"/>
          <w:szCs w:val="24"/>
        </w:rPr>
        <w:t>à l</w:t>
      </w:r>
      <w:r w:rsidR="003B2315" w:rsidRPr="00B045DB">
        <w:rPr>
          <w:rFonts w:eastAsia="Times New Roman"/>
          <w:sz w:val="24"/>
          <w:szCs w:val="24"/>
        </w:rPr>
        <w:t>’</w:t>
      </w:r>
      <w:r w:rsidRPr="00B045DB">
        <w:rPr>
          <w:rFonts w:eastAsia="Times New Roman"/>
          <w:sz w:val="24"/>
          <w:szCs w:val="24"/>
        </w:rPr>
        <w:t>évaluation stratégique environnementale</w:t>
      </w:r>
    </w:p>
    <w:p w14:paraId="1E226D04" w14:textId="77777777" w:rsidR="00D24047" w:rsidRPr="00B045DB" w:rsidRDefault="00D24047" w:rsidP="000F59D0">
      <w:pPr>
        <w:spacing w:before="120" w:after="120"/>
        <w:rPr>
          <w:rFonts w:eastAsia="Times New Roman"/>
          <w:b/>
        </w:rPr>
      </w:pPr>
      <w:r w:rsidRPr="00B045DB">
        <w:rPr>
          <w:rFonts w:eastAsia="Times New Roman"/>
          <w:b/>
        </w:rPr>
        <w:t>Cinquième session</w:t>
      </w:r>
    </w:p>
    <w:p w14:paraId="52122780" w14:textId="10468E42" w:rsidR="00D24047" w:rsidRPr="00B045DB" w:rsidRDefault="00D24047" w:rsidP="00D24047">
      <w:pPr>
        <w:rPr>
          <w:rFonts w:eastAsia="Times New Roman"/>
        </w:rPr>
      </w:pPr>
      <w:r w:rsidRPr="00B045DB">
        <w:rPr>
          <w:rFonts w:eastAsia="Times New Roman"/>
        </w:rPr>
        <w:t>Genève, 12-15</w:t>
      </w:r>
      <w:r w:rsidR="000F59D0" w:rsidRPr="00B045DB">
        <w:rPr>
          <w:rFonts w:eastAsia="Times New Roman"/>
        </w:rPr>
        <w:t> </w:t>
      </w:r>
      <w:r w:rsidRPr="00B045DB">
        <w:rPr>
          <w:rFonts w:eastAsia="Times New Roman"/>
        </w:rPr>
        <w:t>décembre 2023</w:t>
      </w:r>
    </w:p>
    <w:p w14:paraId="1D8228ED" w14:textId="4211ED72" w:rsidR="00D24047" w:rsidRPr="00B045DB" w:rsidRDefault="00D24047" w:rsidP="00D24047">
      <w:pPr>
        <w:rPr>
          <w:rFonts w:eastAsia="Times New Roman"/>
        </w:rPr>
      </w:pPr>
      <w:r w:rsidRPr="00B045DB">
        <w:rPr>
          <w:rFonts w:eastAsia="Times New Roman"/>
        </w:rPr>
        <w:t>Point 4</w:t>
      </w:r>
      <w:r w:rsidR="000F59D0" w:rsidRPr="00B045DB">
        <w:rPr>
          <w:rFonts w:eastAsia="Times New Roman"/>
        </w:rPr>
        <w:t xml:space="preserve"> </w:t>
      </w:r>
      <w:r w:rsidRPr="00B045DB">
        <w:rPr>
          <w:rFonts w:eastAsia="Times New Roman"/>
        </w:rPr>
        <w:t>a) de l</w:t>
      </w:r>
      <w:r w:rsidR="003B2315" w:rsidRPr="00B045DB">
        <w:rPr>
          <w:rFonts w:eastAsia="Times New Roman"/>
        </w:rPr>
        <w:t>’</w:t>
      </w:r>
      <w:r w:rsidRPr="00B045DB">
        <w:rPr>
          <w:rFonts w:eastAsia="Times New Roman"/>
        </w:rPr>
        <w:t>ordre du jour provisoire</w:t>
      </w:r>
    </w:p>
    <w:p w14:paraId="0279D4BE" w14:textId="1B8E5C37" w:rsidR="00446FE5" w:rsidRPr="00B045DB" w:rsidRDefault="00D24047" w:rsidP="00D24047">
      <w:pPr>
        <w:rPr>
          <w:rFonts w:eastAsia="Times New Roman"/>
          <w:b/>
        </w:rPr>
      </w:pPr>
      <w:r w:rsidRPr="00B045DB">
        <w:rPr>
          <w:rFonts w:eastAsia="Times New Roman"/>
          <w:b/>
        </w:rPr>
        <w:t xml:space="preserve">Examen du plan de travail : respect des dispositions </w:t>
      </w:r>
      <w:r w:rsidRPr="00B045DB">
        <w:rPr>
          <w:rFonts w:eastAsia="Times New Roman"/>
          <w:b/>
        </w:rPr>
        <w:br/>
        <w:t>et application de la Convention et du Protocole</w:t>
      </w:r>
    </w:p>
    <w:p w14:paraId="3D615350" w14:textId="53856DEB" w:rsidR="00D24047" w:rsidRPr="00B045DB" w:rsidRDefault="00D24047" w:rsidP="00D24047">
      <w:pPr>
        <w:pStyle w:val="HChG"/>
      </w:pPr>
      <w:r w:rsidRPr="00B045DB">
        <w:tab/>
      </w:r>
      <w:r w:rsidRPr="00B045DB">
        <w:tab/>
      </w:r>
      <w:r w:rsidRPr="00B045DB">
        <w:tab/>
        <w:t>Rapport sur les activités du Comité d</w:t>
      </w:r>
      <w:r w:rsidR="003B2315" w:rsidRPr="00B045DB">
        <w:t>’</w:t>
      </w:r>
      <w:r w:rsidRPr="00B045DB">
        <w:t>application</w:t>
      </w:r>
      <w:r w:rsidRPr="00B045DB">
        <w:rPr>
          <w:rStyle w:val="Appelnotedebasdep"/>
          <w:b w:val="0"/>
          <w:bCs/>
          <w:sz w:val="20"/>
          <w:vertAlign w:val="baseline"/>
        </w:rPr>
        <w:footnoteReference w:customMarkFollows="1" w:id="2"/>
        <w:t>*</w:t>
      </w:r>
    </w:p>
    <w:p w14:paraId="6F26782E" w14:textId="1DFEF3EB" w:rsidR="00D24047" w:rsidRPr="00B045DB" w:rsidRDefault="00D24047" w:rsidP="00D24047">
      <w:pPr>
        <w:pStyle w:val="H1G"/>
      </w:pPr>
      <w:r w:rsidRPr="00B045DB">
        <w:tab/>
      </w:r>
      <w:r w:rsidRPr="00B045DB">
        <w:tab/>
      </w:r>
      <w:r w:rsidRPr="00B045DB">
        <w:tab/>
        <w:t>Note du Comité d</w:t>
      </w:r>
      <w:r w:rsidR="003B2315" w:rsidRPr="00B045DB">
        <w:t>’</w:t>
      </w:r>
      <w:r w:rsidRPr="00B045DB">
        <w:t>application</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D24047" w:rsidRPr="00B045DB" w14:paraId="0A0227FB" w14:textId="77777777">
        <w:trPr>
          <w:jc w:val="center"/>
        </w:trPr>
        <w:tc>
          <w:tcPr>
            <w:tcW w:w="9637" w:type="dxa"/>
            <w:shd w:val="clear" w:color="auto" w:fill="auto"/>
          </w:tcPr>
          <w:p w14:paraId="495982F7" w14:textId="77777777" w:rsidR="00D24047" w:rsidRPr="00B045DB" w:rsidRDefault="00D24047">
            <w:pPr>
              <w:spacing w:before="240" w:after="120"/>
              <w:ind w:left="255"/>
              <w:rPr>
                <w:i/>
                <w:sz w:val="24"/>
              </w:rPr>
            </w:pPr>
            <w:r w:rsidRPr="00B045DB">
              <w:rPr>
                <w:i/>
                <w:sz w:val="24"/>
              </w:rPr>
              <w:t>Résumé</w:t>
            </w:r>
          </w:p>
        </w:tc>
      </w:tr>
      <w:tr w:rsidR="00D24047" w:rsidRPr="00B045DB" w14:paraId="030A6E91" w14:textId="77777777">
        <w:trPr>
          <w:jc w:val="center"/>
        </w:trPr>
        <w:tc>
          <w:tcPr>
            <w:tcW w:w="9637" w:type="dxa"/>
            <w:shd w:val="clear" w:color="auto" w:fill="auto"/>
          </w:tcPr>
          <w:p w14:paraId="0FC49164" w14:textId="1581FF5E" w:rsidR="00D24047" w:rsidRPr="00B045DB" w:rsidRDefault="00D24047" w:rsidP="00D24047">
            <w:pPr>
              <w:pStyle w:val="SingleTxtG"/>
              <w:ind w:firstLine="567"/>
            </w:pPr>
            <w:r w:rsidRPr="00B045DB">
              <w:rPr>
                <w:rFonts w:eastAsia="Times New Roman"/>
              </w:rPr>
              <w:t>Le présent document contient le rapport du Comité d</w:t>
            </w:r>
            <w:r w:rsidR="003B2315" w:rsidRPr="00B045DB">
              <w:rPr>
                <w:rFonts w:eastAsia="Times New Roman"/>
              </w:rPr>
              <w:t>’</w:t>
            </w:r>
            <w:r w:rsidRPr="00B045DB">
              <w:rPr>
                <w:rFonts w:eastAsia="Times New Roman"/>
              </w:rPr>
              <w:t>application de la Convention sur l</w:t>
            </w:r>
            <w:r w:rsidR="003B2315" w:rsidRPr="00B045DB">
              <w:rPr>
                <w:rFonts w:eastAsia="Times New Roman"/>
              </w:rPr>
              <w:t>’</w:t>
            </w:r>
            <w:r w:rsidRPr="00B045DB">
              <w:rPr>
                <w:rFonts w:eastAsia="Times New Roman"/>
              </w:rPr>
              <w:t>évaluation de l</w:t>
            </w:r>
            <w:r w:rsidR="003B2315" w:rsidRPr="00B045DB">
              <w:rPr>
                <w:rFonts w:eastAsia="Times New Roman"/>
              </w:rPr>
              <w:t>’</w:t>
            </w:r>
            <w:r w:rsidRPr="00B045DB">
              <w:rPr>
                <w:rFonts w:eastAsia="Times New Roman"/>
              </w:rPr>
              <w:t>impact sur l</w:t>
            </w:r>
            <w:r w:rsidR="003B2315" w:rsidRPr="00B045DB">
              <w:rPr>
                <w:rFonts w:eastAsia="Times New Roman"/>
              </w:rPr>
              <w:t>’</w:t>
            </w:r>
            <w:r w:rsidRPr="00B045DB">
              <w:rPr>
                <w:rFonts w:eastAsia="Times New Roman"/>
              </w:rPr>
              <w:t>environnement dans un contexte transfrontière et de son Protocole relatif à l</w:t>
            </w:r>
            <w:r w:rsidR="003B2315" w:rsidRPr="00B045DB">
              <w:rPr>
                <w:rFonts w:eastAsia="Times New Roman"/>
              </w:rPr>
              <w:t>’</w:t>
            </w:r>
            <w:r w:rsidRPr="00B045DB">
              <w:rPr>
                <w:rFonts w:eastAsia="Times New Roman"/>
              </w:rPr>
              <w:t>évaluation stratégique environnementale. Il présente les activités menées par le Comité depuis la huitième session de la Réunion des Parties à la Convention et la quatrième session de la Réunion des Parties au Protocole (Vilnius (en ligne)</w:t>
            </w:r>
            <w:r w:rsidR="00B045DB" w:rsidRPr="00B045DB">
              <w:rPr>
                <w:rFonts w:eastAsia="Times New Roman"/>
              </w:rPr>
              <w:t>,</w:t>
            </w:r>
            <w:r w:rsidRPr="00B045DB">
              <w:rPr>
                <w:rFonts w:eastAsia="Times New Roman"/>
              </w:rPr>
              <w:t xml:space="preserve"> 8-11 décembre 2020). Ce rapport a été établi conformément à la structure et aux fonctions du </w:t>
            </w:r>
            <w:proofErr w:type="spellStart"/>
            <w:r w:rsidRPr="00B045DB">
              <w:rPr>
                <w:rFonts w:eastAsia="Times New Roman"/>
              </w:rPr>
              <w:t>Comité</w:t>
            </w:r>
            <w:r w:rsidRPr="00B045DB">
              <w:rPr>
                <w:rFonts w:eastAsia="Times New Roman"/>
                <w:i/>
                <w:iCs/>
                <w:sz w:val="18"/>
                <w:szCs w:val="18"/>
                <w:vertAlign w:val="superscript"/>
              </w:rPr>
              <w:t>a</w:t>
            </w:r>
            <w:proofErr w:type="spellEnd"/>
            <w:r w:rsidRPr="00B045DB">
              <w:rPr>
                <w:rFonts w:eastAsia="Times New Roman"/>
              </w:rPr>
              <w:t xml:space="preserve"> et au plan de travail adopté à la huitième session et à la quatrième session, respectivement, des organes directeurs de la Convention et du </w:t>
            </w:r>
            <w:proofErr w:type="spellStart"/>
            <w:r w:rsidRPr="00B045DB">
              <w:rPr>
                <w:rFonts w:eastAsia="Times New Roman"/>
              </w:rPr>
              <w:t>Protocole</w:t>
            </w:r>
            <w:r w:rsidRPr="00B045DB">
              <w:rPr>
                <w:rFonts w:eastAsia="Times New Roman"/>
                <w:i/>
                <w:iCs/>
                <w:sz w:val="18"/>
                <w:szCs w:val="18"/>
                <w:vertAlign w:val="superscript"/>
              </w:rPr>
              <w:t>b</w:t>
            </w:r>
            <w:proofErr w:type="spellEnd"/>
            <w:r w:rsidRPr="00B045DB">
              <w:rPr>
                <w:rFonts w:eastAsia="Times New Roman"/>
              </w:rPr>
              <w:t xml:space="preserve"> et le Comité l</w:t>
            </w:r>
            <w:r w:rsidR="003B2315" w:rsidRPr="00B045DB">
              <w:rPr>
                <w:rFonts w:eastAsia="Times New Roman"/>
              </w:rPr>
              <w:t>’</w:t>
            </w:r>
            <w:r w:rsidRPr="00B045DB">
              <w:rPr>
                <w:rFonts w:eastAsia="Times New Roman"/>
              </w:rPr>
              <w:t>a adopté le 25 octobre 2023 selon la procédure de prise de décision électronique.</w:t>
            </w:r>
          </w:p>
        </w:tc>
      </w:tr>
      <w:tr w:rsidR="00D24047" w:rsidRPr="00B045DB" w14:paraId="72BD9AF8" w14:textId="77777777" w:rsidTr="003B2315">
        <w:trPr>
          <w:jc w:val="center"/>
        </w:trPr>
        <w:tc>
          <w:tcPr>
            <w:tcW w:w="9637" w:type="dxa"/>
            <w:tcBorders>
              <w:bottom w:val="nil"/>
            </w:tcBorders>
            <w:shd w:val="clear" w:color="auto" w:fill="auto"/>
          </w:tcPr>
          <w:p w14:paraId="31144C3D" w14:textId="4F2D630E" w:rsidR="00D24047" w:rsidRPr="00B045DB" w:rsidRDefault="00D24047" w:rsidP="00D24047">
            <w:pPr>
              <w:pStyle w:val="SingleTxtG"/>
              <w:ind w:firstLine="567"/>
              <w:rPr>
                <w:rFonts w:eastAsia="Times New Roman"/>
              </w:rPr>
            </w:pPr>
            <w:r w:rsidRPr="00B045DB">
              <w:rPr>
                <w:rFonts w:eastAsia="Times New Roman"/>
              </w:rPr>
              <w:t>On trouvera de plus amples informations sur les délibérations du Comité dans les rapports établis par ce dernier sur les sessions qu</w:t>
            </w:r>
            <w:r w:rsidR="003B2315" w:rsidRPr="00B045DB">
              <w:rPr>
                <w:rFonts w:eastAsia="Times New Roman"/>
              </w:rPr>
              <w:t>’</w:t>
            </w:r>
            <w:r w:rsidRPr="00B045DB">
              <w:rPr>
                <w:rFonts w:eastAsia="Times New Roman"/>
              </w:rPr>
              <w:t>il a tenues pendant la période intersessions 2021-2023</w:t>
            </w:r>
            <w:r w:rsidRPr="00B045DB">
              <w:rPr>
                <w:rFonts w:eastAsia="Times New Roman"/>
                <w:i/>
                <w:iCs/>
                <w:sz w:val="18"/>
                <w:szCs w:val="18"/>
                <w:vertAlign w:val="superscript"/>
              </w:rPr>
              <w:t>c</w:t>
            </w:r>
            <w:r w:rsidRPr="00B045DB">
              <w:rPr>
                <w:rFonts w:eastAsia="Times New Roman"/>
              </w:rPr>
              <w:t>.</w:t>
            </w:r>
          </w:p>
        </w:tc>
      </w:tr>
      <w:tr w:rsidR="00D24047" w:rsidRPr="00B045DB" w14:paraId="7E28139D" w14:textId="77777777" w:rsidTr="003B2315">
        <w:trPr>
          <w:jc w:val="center"/>
        </w:trPr>
        <w:tc>
          <w:tcPr>
            <w:tcW w:w="9637" w:type="dxa"/>
            <w:tcBorders>
              <w:top w:val="nil"/>
              <w:bottom w:val="nil"/>
            </w:tcBorders>
            <w:shd w:val="clear" w:color="auto" w:fill="auto"/>
          </w:tcPr>
          <w:p w14:paraId="48BC62D3" w14:textId="300D88BD" w:rsidR="00D24047" w:rsidRPr="00B045DB" w:rsidRDefault="00D24047" w:rsidP="00D24047">
            <w:pPr>
              <w:pStyle w:val="SingleTxtG"/>
              <w:ind w:firstLine="567"/>
              <w:rPr>
                <w:rFonts w:eastAsia="Times New Roman"/>
              </w:rPr>
            </w:pPr>
            <w:r w:rsidRPr="00B045DB">
              <w:rPr>
                <w:rFonts w:eastAsia="Times New Roman"/>
              </w:rPr>
              <w:t>Il appartient aux Réunions des Parties à la Convention et au Protocole d</w:t>
            </w:r>
            <w:r w:rsidR="003B2315" w:rsidRPr="00B045DB">
              <w:rPr>
                <w:rFonts w:eastAsia="Times New Roman"/>
              </w:rPr>
              <w:t>’</w:t>
            </w:r>
            <w:r w:rsidRPr="00B045DB">
              <w:rPr>
                <w:rFonts w:eastAsia="Times New Roman"/>
              </w:rPr>
              <w:t>examiner les informations ainsi fournies.</w:t>
            </w:r>
          </w:p>
        </w:tc>
      </w:tr>
      <w:tr w:rsidR="00D24047" w:rsidRPr="00B045DB" w14:paraId="1DF674AE" w14:textId="77777777" w:rsidTr="003B2315">
        <w:trPr>
          <w:jc w:val="center"/>
        </w:trPr>
        <w:tc>
          <w:tcPr>
            <w:tcW w:w="9637" w:type="dxa"/>
            <w:tcBorders>
              <w:top w:val="nil"/>
              <w:bottom w:val="nil"/>
            </w:tcBorders>
            <w:shd w:val="clear" w:color="auto" w:fill="auto"/>
          </w:tcPr>
          <w:p w14:paraId="527E2EC8" w14:textId="372E6881" w:rsidR="00D24047" w:rsidRPr="00B045DB" w:rsidRDefault="00D24047" w:rsidP="003B2315">
            <w:pPr>
              <w:pStyle w:val="SingleTxtG"/>
              <w:keepNext/>
              <w:spacing w:after="0"/>
              <w:ind w:firstLine="170"/>
              <w:jc w:val="left"/>
              <w:rPr>
                <w:rStyle w:val="cf01"/>
                <w:rFonts w:asciiTheme="majorBidi" w:hAnsiTheme="majorBidi" w:cstheme="majorBidi"/>
              </w:rPr>
            </w:pPr>
            <w:r w:rsidRPr="00B045DB">
              <w:rPr>
                <w:i/>
                <w:iCs/>
                <w:vertAlign w:val="superscript"/>
              </w:rPr>
              <w:lastRenderedPageBreak/>
              <w:t>a</w:t>
            </w:r>
            <w:r w:rsidRPr="00B045DB">
              <w:t xml:space="preserve">  </w:t>
            </w:r>
            <w:r w:rsidRPr="00B045DB">
              <w:rPr>
                <w:rStyle w:val="cf01"/>
                <w:rFonts w:asciiTheme="majorBidi" w:hAnsiTheme="majorBidi" w:cstheme="majorBidi"/>
              </w:rPr>
              <w:t>ECE/MP.EIA/6, annexe II, appendice, par.</w:t>
            </w:r>
            <w:r w:rsidR="00B045DB">
              <w:rPr>
                <w:rStyle w:val="cf01"/>
                <w:rFonts w:asciiTheme="majorBidi" w:hAnsiTheme="majorBidi" w:cstheme="majorBidi"/>
              </w:rPr>
              <w:t> </w:t>
            </w:r>
            <w:r w:rsidRPr="00B045DB">
              <w:rPr>
                <w:rStyle w:val="cf01"/>
                <w:rFonts w:asciiTheme="majorBidi" w:hAnsiTheme="majorBidi" w:cstheme="majorBidi"/>
              </w:rPr>
              <w:t>11.</w:t>
            </w:r>
          </w:p>
          <w:p w14:paraId="4DD596A8" w14:textId="6F04F162" w:rsidR="00D24047" w:rsidRPr="00027956" w:rsidRDefault="00D24047" w:rsidP="003B2315">
            <w:pPr>
              <w:pStyle w:val="SingleTxtG"/>
              <w:keepNext/>
              <w:spacing w:after="0"/>
              <w:ind w:firstLine="170"/>
              <w:jc w:val="left"/>
              <w:rPr>
                <w:sz w:val="18"/>
                <w:szCs w:val="18"/>
                <w:lang w:val="en-US"/>
              </w:rPr>
            </w:pPr>
            <w:r w:rsidRPr="00027956">
              <w:rPr>
                <w:rStyle w:val="cf01"/>
                <w:rFonts w:asciiTheme="majorBidi" w:hAnsiTheme="majorBidi" w:cstheme="majorBidi"/>
                <w:i/>
                <w:iCs/>
                <w:vertAlign w:val="superscript"/>
                <w:lang w:val="en-US"/>
              </w:rPr>
              <w:t>b</w:t>
            </w:r>
            <w:r w:rsidRPr="00027956">
              <w:rPr>
                <w:lang w:val="en-US"/>
              </w:rPr>
              <w:t xml:space="preserve">  </w:t>
            </w:r>
            <w:r w:rsidRPr="00027956">
              <w:rPr>
                <w:sz w:val="18"/>
                <w:szCs w:val="18"/>
                <w:lang w:val="en-US"/>
              </w:rPr>
              <w:t xml:space="preserve">ECE/MP.EIA/30/Add.1-ECE/MP.EIA/SEA/13/Add.1, </w:t>
            </w:r>
            <w:proofErr w:type="spellStart"/>
            <w:r w:rsidRPr="00027956">
              <w:rPr>
                <w:sz w:val="18"/>
                <w:szCs w:val="18"/>
                <w:lang w:val="en-US"/>
              </w:rPr>
              <w:t>décision</w:t>
            </w:r>
            <w:proofErr w:type="spellEnd"/>
            <w:r w:rsidRPr="00027956">
              <w:rPr>
                <w:sz w:val="18"/>
                <w:szCs w:val="18"/>
                <w:lang w:val="en-US"/>
              </w:rPr>
              <w:t xml:space="preserve"> VIII/2</w:t>
            </w:r>
            <w:r w:rsidR="00390C19" w:rsidRPr="00027956">
              <w:rPr>
                <w:sz w:val="18"/>
                <w:szCs w:val="18"/>
                <w:lang w:val="en-US"/>
              </w:rPr>
              <w:noBreakHyphen/>
            </w:r>
            <w:r w:rsidRPr="00027956">
              <w:rPr>
                <w:sz w:val="18"/>
                <w:szCs w:val="18"/>
                <w:lang w:val="en-US"/>
              </w:rPr>
              <w:t xml:space="preserve">IV/2, </w:t>
            </w:r>
            <w:proofErr w:type="spellStart"/>
            <w:r w:rsidRPr="00027956">
              <w:rPr>
                <w:sz w:val="18"/>
                <w:szCs w:val="18"/>
                <w:lang w:val="en-US"/>
              </w:rPr>
              <w:t>annexe</w:t>
            </w:r>
            <w:proofErr w:type="spellEnd"/>
            <w:r w:rsidRPr="00027956">
              <w:rPr>
                <w:sz w:val="18"/>
                <w:szCs w:val="18"/>
                <w:lang w:val="en-US"/>
              </w:rPr>
              <w:t xml:space="preserve"> I, point</w:t>
            </w:r>
            <w:r w:rsidR="00390C19" w:rsidRPr="00027956">
              <w:rPr>
                <w:sz w:val="18"/>
                <w:szCs w:val="18"/>
                <w:lang w:val="en-US"/>
              </w:rPr>
              <w:t> </w:t>
            </w:r>
            <w:r w:rsidRPr="00027956">
              <w:rPr>
                <w:sz w:val="18"/>
                <w:szCs w:val="18"/>
                <w:lang w:val="en-US"/>
              </w:rPr>
              <w:t>II.A.4.</w:t>
            </w:r>
          </w:p>
          <w:p w14:paraId="6671271D" w14:textId="71BEECA2" w:rsidR="00D24047" w:rsidRPr="00B045DB" w:rsidRDefault="00D24047" w:rsidP="003B2315">
            <w:pPr>
              <w:pStyle w:val="SingleTxtG"/>
              <w:keepNext/>
              <w:spacing w:after="0"/>
              <w:ind w:firstLine="170"/>
              <w:jc w:val="left"/>
            </w:pPr>
            <w:r w:rsidRPr="00B045DB">
              <w:rPr>
                <w:rStyle w:val="cf01"/>
                <w:rFonts w:asciiTheme="majorBidi" w:hAnsiTheme="majorBidi" w:cstheme="majorBidi"/>
                <w:i/>
                <w:iCs/>
                <w:vertAlign w:val="superscript"/>
              </w:rPr>
              <w:t>c</w:t>
            </w:r>
            <w:r w:rsidRPr="00B045DB">
              <w:t xml:space="preserve">  </w:t>
            </w:r>
            <w:r w:rsidRPr="00B045DB">
              <w:rPr>
                <w:rStyle w:val="cf01"/>
                <w:rFonts w:asciiTheme="majorBidi" w:hAnsiTheme="majorBidi" w:cstheme="majorBidi"/>
              </w:rPr>
              <w:t xml:space="preserve">Voir </w:t>
            </w:r>
            <w:hyperlink r:id="rId8" w:history="1">
              <w:r w:rsidRPr="00B045DB">
                <w:rPr>
                  <w:rStyle w:val="Lienhypertexte"/>
                  <w:rFonts w:asciiTheme="majorBidi" w:hAnsiTheme="majorBidi" w:cstheme="majorBidi"/>
                  <w:sz w:val="18"/>
                  <w:szCs w:val="18"/>
                </w:rPr>
                <w:t>https://unece.org/sessions-3</w:t>
              </w:r>
            </w:hyperlink>
            <w:r w:rsidRPr="00B045DB">
              <w:rPr>
                <w:rStyle w:val="cf01"/>
                <w:rFonts w:asciiTheme="majorBidi" w:hAnsiTheme="majorBidi" w:cstheme="majorBidi"/>
              </w:rPr>
              <w:t>.</w:t>
            </w:r>
          </w:p>
        </w:tc>
      </w:tr>
      <w:tr w:rsidR="00D24047" w:rsidRPr="00B045DB" w14:paraId="3A5D88B5" w14:textId="77777777" w:rsidTr="003B2315">
        <w:trPr>
          <w:jc w:val="center"/>
        </w:trPr>
        <w:tc>
          <w:tcPr>
            <w:tcW w:w="9637" w:type="dxa"/>
            <w:tcBorders>
              <w:top w:val="nil"/>
              <w:bottom w:val="single" w:sz="4" w:space="0" w:color="auto"/>
            </w:tcBorders>
            <w:shd w:val="clear" w:color="auto" w:fill="auto"/>
          </w:tcPr>
          <w:p w14:paraId="42405DDC" w14:textId="77777777" w:rsidR="00D24047" w:rsidRPr="00B045DB" w:rsidRDefault="00D24047"/>
        </w:tc>
      </w:tr>
    </w:tbl>
    <w:p w14:paraId="419B2752" w14:textId="77777777" w:rsidR="00D24047" w:rsidRPr="00B045DB" w:rsidRDefault="00D24047">
      <w:pPr>
        <w:suppressAutoHyphens w:val="0"/>
        <w:kinsoku/>
        <w:overflowPunct/>
        <w:autoSpaceDE/>
        <w:autoSpaceDN/>
        <w:adjustRightInd/>
        <w:snapToGrid/>
        <w:spacing w:after="200" w:line="276" w:lineRule="auto"/>
      </w:pPr>
      <w:r w:rsidRPr="00B045DB">
        <w:br w:type="page"/>
      </w:r>
    </w:p>
    <w:p w14:paraId="52A5287B" w14:textId="6B0862F5" w:rsidR="00D24047" w:rsidRPr="00B045DB" w:rsidRDefault="00DB0C25" w:rsidP="00DB0C25">
      <w:pPr>
        <w:pStyle w:val="HChG"/>
      </w:pPr>
      <w:r w:rsidRPr="00B045DB">
        <w:lastRenderedPageBreak/>
        <w:tab/>
      </w:r>
      <w:r w:rsidR="00D24047" w:rsidRPr="00B045DB">
        <w:t>I.</w:t>
      </w:r>
      <w:r w:rsidR="00D24047" w:rsidRPr="00B045DB">
        <w:tab/>
        <w:t>Introduction</w:t>
      </w:r>
    </w:p>
    <w:p w14:paraId="250EEAC0" w14:textId="29A19983" w:rsidR="00D24047" w:rsidRPr="00B045DB" w:rsidRDefault="00DB0C25" w:rsidP="00DB0C25">
      <w:pPr>
        <w:pStyle w:val="H1G"/>
      </w:pPr>
      <w:r w:rsidRPr="00B045DB">
        <w:tab/>
      </w:r>
      <w:r w:rsidR="00D24047" w:rsidRPr="00B045DB">
        <w:t>A.</w:t>
      </w:r>
      <w:r w:rsidR="00D24047" w:rsidRPr="00B045DB">
        <w:tab/>
        <w:t>Mandat</w:t>
      </w:r>
    </w:p>
    <w:p w14:paraId="48508916" w14:textId="25D1C992" w:rsidR="00D24047" w:rsidRPr="00B045DB" w:rsidRDefault="00D24047" w:rsidP="00D24047">
      <w:pPr>
        <w:pStyle w:val="SingleTxtG"/>
      </w:pPr>
      <w:r w:rsidRPr="00B045DB">
        <w:t>1.</w:t>
      </w:r>
      <w:r w:rsidRPr="00B045DB">
        <w:tab/>
        <w:t>Au cours de la période intersessions 2021-2023, le Comité d</w:t>
      </w:r>
      <w:r w:rsidR="003B2315" w:rsidRPr="00B045DB">
        <w:t>’</w:t>
      </w:r>
      <w:r w:rsidRPr="00B045DB">
        <w:t>application de la Convention sur l</w:t>
      </w:r>
      <w:r w:rsidR="003B2315" w:rsidRPr="00B045DB">
        <w:t>’</w:t>
      </w:r>
      <w:r w:rsidRPr="00B045DB">
        <w:t>évaluation de l</w:t>
      </w:r>
      <w:r w:rsidR="003B2315" w:rsidRPr="00B045DB">
        <w:t>’</w:t>
      </w:r>
      <w:r w:rsidRPr="00B045DB">
        <w:t>impact sur l</w:t>
      </w:r>
      <w:r w:rsidR="003B2315" w:rsidRPr="00B045DB">
        <w:t>’</w:t>
      </w:r>
      <w:r w:rsidRPr="00B045DB">
        <w:t>environnement dans un contexte transfrontière (Convention d</w:t>
      </w:r>
      <w:r w:rsidR="003B2315" w:rsidRPr="00B045DB">
        <w:t>’</w:t>
      </w:r>
      <w:r w:rsidRPr="00B045DB">
        <w:t>Espoo) et de son Protocole relatif à l</w:t>
      </w:r>
      <w:r w:rsidR="003B2315" w:rsidRPr="00B045DB">
        <w:t>’</w:t>
      </w:r>
      <w:r w:rsidRPr="00B045DB">
        <w:t>évaluation stratégique environnementale a examiné le respect par les Parties des dispositions de la Convention et du Protocole en vue de les aider à s</w:t>
      </w:r>
      <w:r w:rsidR="003B2315" w:rsidRPr="00B045DB">
        <w:t>’</w:t>
      </w:r>
      <w:r w:rsidRPr="00B045DB">
        <w:t>acquitter pleinement de leurs obligations, conformément à la décision II/4 adoptée par la Réunion des Parties à la Convention à sa deuxième session</w:t>
      </w:r>
      <w:r w:rsidRPr="00B045DB">
        <w:rPr>
          <w:rStyle w:val="Appelnotedebasdep"/>
        </w:rPr>
        <w:footnoteReference w:id="3"/>
      </w:r>
      <w:r w:rsidRPr="00B045DB">
        <w:t>,</w:t>
      </w:r>
      <w:r w:rsidR="00306C84" w:rsidRPr="00B045DB">
        <w:t xml:space="preserve"> </w:t>
      </w:r>
      <w:r w:rsidRPr="00B045DB">
        <w:t>au paragraphe 6 de l</w:t>
      </w:r>
      <w:r w:rsidR="003B2315" w:rsidRPr="00B045DB">
        <w:t>’</w:t>
      </w:r>
      <w:r w:rsidRPr="00B045DB">
        <w:t>article 14 du Protocole et à la décision V/6-I/6 adoptée à la cinquième session de la Réunion des Parties à la Convention et à la première session de la Réunion des Parties à la Convention agissant comme réunion des Parties au Protocole (Genève, 20-23</w:t>
      </w:r>
      <w:r w:rsidR="00306C84" w:rsidRPr="00B045DB">
        <w:t> </w:t>
      </w:r>
      <w:r w:rsidRPr="00B045DB">
        <w:t>juin 2011)</w:t>
      </w:r>
      <w:r w:rsidRPr="00B045DB">
        <w:rPr>
          <w:rStyle w:val="Appelnotedebasdep"/>
        </w:rPr>
        <w:footnoteReference w:id="4"/>
      </w:r>
      <w:r w:rsidRPr="00B045DB">
        <w:t>.</w:t>
      </w:r>
    </w:p>
    <w:p w14:paraId="54A7F9D1" w14:textId="05DBC427" w:rsidR="00D24047" w:rsidRPr="00B045DB" w:rsidRDefault="00D24047" w:rsidP="00D24047">
      <w:pPr>
        <w:pStyle w:val="SingleTxtG"/>
      </w:pPr>
      <w:r w:rsidRPr="00B045DB">
        <w:t>2.</w:t>
      </w:r>
      <w:r w:rsidRPr="00B045DB">
        <w:tab/>
        <w:t>Le Comité a mené les activités telles que définies dans le plan de travail pour 2021</w:t>
      </w:r>
      <w:r w:rsidR="009E1DA6">
        <w:noBreakHyphen/>
      </w:r>
      <w:r w:rsidRPr="00B045DB">
        <w:t>2023</w:t>
      </w:r>
      <w:r w:rsidRPr="00B045DB">
        <w:rPr>
          <w:rStyle w:val="Appelnotedebasdep"/>
        </w:rPr>
        <w:footnoteReference w:id="5"/>
      </w:r>
      <w:r w:rsidRPr="00B045DB">
        <w:t xml:space="preserve"> et les décisions adoptées par les Réunions des Parties à la Convention et au Protocole à leurs huitième et quatrième sessions, respectivement (Vilnius (en ligne)</w:t>
      </w:r>
      <w:r w:rsidR="009E1DA6">
        <w:t>,</w:t>
      </w:r>
      <w:r w:rsidRPr="00B045DB">
        <w:t xml:space="preserve"> 8</w:t>
      </w:r>
      <w:r w:rsidR="009E1DA6">
        <w:noBreakHyphen/>
      </w:r>
      <w:r w:rsidRPr="00B045DB">
        <w:t>11</w:t>
      </w:r>
      <w:r w:rsidR="00306C84" w:rsidRPr="00B045DB">
        <w:t> </w:t>
      </w:r>
      <w:r w:rsidRPr="00B045DB">
        <w:t>décembre 2020), y compris les décisions sur l</w:t>
      </w:r>
      <w:r w:rsidR="003B2315" w:rsidRPr="00B045DB">
        <w:t>’</w:t>
      </w:r>
      <w:r w:rsidRPr="00B045DB">
        <w:t>établissement de rapports et l</w:t>
      </w:r>
      <w:r w:rsidR="003B2315" w:rsidRPr="00B045DB">
        <w:t>’</w:t>
      </w:r>
      <w:r w:rsidRPr="00B045DB">
        <w:t>examen de l</w:t>
      </w:r>
      <w:r w:rsidR="003B2315" w:rsidRPr="00B045DB">
        <w:t>’</w:t>
      </w:r>
      <w:r w:rsidRPr="00B045DB">
        <w:t>application de la Convention et du Protocole (respectivement, décisions VIII/5 et IV/5)</w:t>
      </w:r>
      <w:r w:rsidRPr="00B045DB">
        <w:rPr>
          <w:rStyle w:val="Appelnotedebasdep"/>
        </w:rPr>
        <w:footnoteReference w:id="6"/>
      </w:r>
      <w:r w:rsidRPr="00B045DB">
        <w:t>. Le Comité a conduit ses travaux conformément à sa structure, ses fonctions et son règlement intérieur</w:t>
      </w:r>
      <w:r w:rsidRPr="00B045DB">
        <w:rPr>
          <w:rStyle w:val="Appelnotedebasdep"/>
        </w:rPr>
        <w:footnoteReference w:id="7"/>
      </w:r>
      <w:r w:rsidRPr="00B045DB">
        <w:t>.</w:t>
      </w:r>
    </w:p>
    <w:p w14:paraId="4B27A52F" w14:textId="1EFA8695" w:rsidR="00D24047" w:rsidRPr="00B045DB" w:rsidRDefault="009E1DA6" w:rsidP="00D859F2">
      <w:pPr>
        <w:pStyle w:val="H1G"/>
      </w:pPr>
      <w:r>
        <w:tab/>
      </w:r>
      <w:r w:rsidR="00D24047" w:rsidRPr="00B045DB">
        <w:t>B.</w:t>
      </w:r>
      <w:r w:rsidR="00D24047" w:rsidRPr="00B045DB">
        <w:tab/>
        <w:t xml:space="preserve">Composition et sessions </w:t>
      </w:r>
      <w:r w:rsidR="00D24047" w:rsidRPr="00D859F2">
        <w:t>du</w:t>
      </w:r>
      <w:r w:rsidR="00D24047" w:rsidRPr="00B045DB">
        <w:t xml:space="preserve"> Comité</w:t>
      </w:r>
    </w:p>
    <w:p w14:paraId="4AF8E93F" w14:textId="6878AD7C" w:rsidR="00D24047" w:rsidRPr="00B045DB" w:rsidRDefault="00D24047" w:rsidP="00D24047">
      <w:pPr>
        <w:pStyle w:val="SingleTxtG"/>
      </w:pPr>
      <w:r w:rsidRPr="00B045DB">
        <w:t>3.</w:t>
      </w:r>
      <w:r w:rsidRPr="00B045DB">
        <w:tab/>
        <w:t>Les membres du Comité et les Parties qu</w:t>
      </w:r>
      <w:r w:rsidR="003B2315" w:rsidRPr="00B045DB">
        <w:t>’</w:t>
      </w:r>
      <w:r w:rsidRPr="00B045DB">
        <w:t xml:space="preserve">ils représentaient au Comité pour les questions relatives à la Convention et au Protocole étaient les suivants : M. Christian Baumgartner (Autriche), M. Anders </w:t>
      </w:r>
      <w:proofErr w:type="spellStart"/>
      <w:r w:rsidRPr="00B045DB">
        <w:t>Bengtsson</w:t>
      </w:r>
      <w:proofErr w:type="spellEnd"/>
      <w:r w:rsidRPr="00B045DB">
        <w:t xml:space="preserve"> (Suède), M. Ralph </w:t>
      </w:r>
      <w:proofErr w:type="spellStart"/>
      <w:r w:rsidRPr="00B045DB">
        <w:t>Bodle</w:t>
      </w:r>
      <w:proofErr w:type="spellEnd"/>
      <w:r w:rsidRPr="00B045DB">
        <w:t xml:space="preserve"> (qui a succédé à </w:t>
      </w:r>
      <w:r w:rsidR="00306C84" w:rsidRPr="00B045DB">
        <w:t>M</w:t>
      </w:r>
      <w:r w:rsidR="00306C84" w:rsidRPr="00B045DB">
        <w:rPr>
          <w:vertAlign w:val="superscript"/>
        </w:rPr>
        <w:t>me</w:t>
      </w:r>
      <w:r w:rsidR="00306C84" w:rsidRPr="00B045DB">
        <w:t> </w:t>
      </w:r>
      <w:r w:rsidRPr="00B045DB">
        <w:t xml:space="preserve">Heidi </w:t>
      </w:r>
      <w:proofErr w:type="spellStart"/>
      <w:r w:rsidRPr="00B045DB">
        <w:t>Stockhaus</w:t>
      </w:r>
      <w:proofErr w:type="spellEnd"/>
      <w:r w:rsidRPr="00B045DB">
        <w:t xml:space="preserve"> à partir de la cinquante-quatrième session) (Allemagne), M.</w:t>
      </w:r>
      <w:r w:rsidR="00D859F2">
        <w:t> </w:t>
      </w:r>
      <w:r w:rsidRPr="00B045DB">
        <w:t xml:space="preserve">Joe </w:t>
      </w:r>
      <w:proofErr w:type="spellStart"/>
      <w:r w:rsidRPr="00B045DB">
        <w:t>Ducomble</w:t>
      </w:r>
      <w:proofErr w:type="spellEnd"/>
      <w:r w:rsidRPr="00B045DB">
        <w:t xml:space="preserve"> (Luxembourg), </w:t>
      </w:r>
      <w:r w:rsidR="00306C84" w:rsidRPr="00B045DB">
        <w:t>M</w:t>
      </w:r>
      <w:r w:rsidR="00306C84" w:rsidRPr="00B045DB">
        <w:rPr>
          <w:vertAlign w:val="superscript"/>
        </w:rPr>
        <w:t>me</w:t>
      </w:r>
      <w:r w:rsidR="00306C84" w:rsidRPr="00B045DB">
        <w:t> </w:t>
      </w:r>
      <w:r w:rsidRPr="00B045DB">
        <w:t xml:space="preserve">Maria do </w:t>
      </w:r>
      <w:proofErr w:type="spellStart"/>
      <w:r w:rsidRPr="00B045DB">
        <w:t>Carmo</w:t>
      </w:r>
      <w:proofErr w:type="spellEnd"/>
      <w:r w:rsidRPr="00B045DB">
        <w:t xml:space="preserve"> </w:t>
      </w:r>
      <w:proofErr w:type="spellStart"/>
      <w:r w:rsidRPr="00B045DB">
        <w:t>Figueira</w:t>
      </w:r>
      <w:proofErr w:type="spellEnd"/>
      <w:r w:rsidRPr="00B045DB">
        <w:t xml:space="preserve"> (Portugal), </w:t>
      </w:r>
      <w:r w:rsidR="00306C84" w:rsidRPr="00B045DB">
        <w:t>M</w:t>
      </w:r>
      <w:r w:rsidR="00306C84" w:rsidRPr="00B045DB">
        <w:rPr>
          <w:vertAlign w:val="superscript"/>
        </w:rPr>
        <w:t>me</w:t>
      </w:r>
      <w:r w:rsidR="00306C84" w:rsidRPr="00B045DB">
        <w:t> </w:t>
      </w:r>
      <w:proofErr w:type="spellStart"/>
      <w:r w:rsidRPr="00B045DB">
        <w:t>Barbora</w:t>
      </w:r>
      <w:proofErr w:type="spellEnd"/>
      <w:r w:rsidRPr="00B045DB">
        <w:t xml:space="preserve"> </w:t>
      </w:r>
      <w:proofErr w:type="spellStart"/>
      <w:r w:rsidRPr="00B045DB">
        <w:t>Pavlačič</w:t>
      </w:r>
      <w:proofErr w:type="spellEnd"/>
      <w:r w:rsidRPr="00B045DB">
        <w:t xml:space="preserve"> </w:t>
      </w:r>
      <w:proofErr w:type="spellStart"/>
      <w:r w:rsidRPr="00B045DB">
        <w:t>Doneva</w:t>
      </w:r>
      <w:proofErr w:type="spellEnd"/>
      <w:r w:rsidRPr="00B045DB">
        <w:t xml:space="preserve"> (Slovaquie), </w:t>
      </w:r>
      <w:r w:rsidR="00306C84" w:rsidRPr="00B045DB">
        <w:t>M</w:t>
      </w:r>
      <w:r w:rsidR="00306C84" w:rsidRPr="00B045DB">
        <w:rPr>
          <w:vertAlign w:val="superscript"/>
        </w:rPr>
        <w:t>me</w:t>
      </w:r>
      <w:r w:rsidR="00306C84" w:rsidRPr="00B045DB">
        <w:t> </w:t>
      </w:r>
      <w:proofErr w:type="spellStart"/>
      <w:r w:rsidRPr="00B045DB">
        <w:t>Zsuzsanna</w:t>
      </w:r>
      <w:proofErr w:type="spellEnd"/>
      <w:r w:rsidRPr="00B045DB">
        <w:t xml:space="preserve"> </w:t>
      </w:r>
      <w:proofErr w:type="spellStart"/>
      <w:r w:rsidRPr="00B045DB">
        <w:t>Pocsai</w:t>
      </w:r>
      <w:proofErr w:type="spellEnd"/>
      <w:r w:rsidRPr="00B045DB">
        <w:t xml:space="preserve"> (Hongrie) et M</w:t>
      </w:r>
      <w:r w:rsidRPr="00B045DB">
        <w:rPr>
          <w:vertAlign w:val="superscript"/>
        </w:rPr>
        <w:t>me</w:t>
      </w:r>
      <w:r w:rsidR="00306C84" w:rsidRPr="00B045DB">
        <w:t> </w:t>
      </w:r>
      <w:proofErr w:type="spellStart"/>
      <w:r w:rsidRPr="00B045DB">
        <w:t>Aysel</w:t>
      </w:r>
      <w:proofErr w:type="spellEnd"/>
      <w:r w:rsidRPr="00B045DB">
        <w:t xml:space="preserve"> </w:t>
      </w:r>
      <w:proofErr w:type="spellStart"/>
      <w:r w:rsidRPr="00B045DB">
        <w:t>Rzayeva</w:t>
      </w:r>
      <w:proofErr w:type="spellEnd"/>
      <w:r w:rsidRPr="00B045DB">
        <w:t xml:space="preserve"> (Azerbaïdjan</w:t>
      </w:r>
      <w:r w:rsidR="00D859F2">
        <w:t xml:space="preserve"> − </w:t>
      </w:r>
      <w:r w:rsidRPr="00B045DB">
        <w:t>uniquement pour les questions relatives à la Convention). L</w:t>
      </w:r>
      <w:r w:rsidR="003B2315" w:rsidRPr="00B045DB">
        <w:t>’</w:t>
      </w:r>
      <w:r w:rsidRPr="00B045DB">
        <w:t>Azerbaïdjan, la Hongrie, le Portugal et la Suède avaient été choisis pour désigner des membres à la septième session de la Réunion des Parties à la Convention (Minsk, 13-16 juin 2017)</w:t>
      </w:r>
      <w:r w:rsidRPr="00B045DB">
        <w:rPr>
          <w:rStyle w:val="Appelnotedebasdep"/>
        </w:rPr>
        <w:footnoteReference w:id="8"/>
      </w:r>
      <w:r w:rsidRPr="00B045DB">
        <w:t> ; les membres qu</w:t>
      </w:r>
      <w:r w:rsidR="003B2315" w:rsidRPr="00B045DB">
        <w:t>’</w:t>
      </w:r>
      <w:r w:rsidRPr="00B045DB">
        <w:t>ils avaient désignés s</w:t>
      </w:r>
      <w:r w:rsidR="003B2315" w:rsidRPr="00B045DB">
        <w:t>’</w:t>
      </w:r>
      <w:r w:rsidRPr="00B045DB">
        <w:t>acquittaient ainsi de leur deuxième mandat (exceptionnellement, leur troisième mandat dans le cas de la Hongrie). L</w:t>
      </w:r>
      <w:r w:rsidR="003B2315" w:rsidRPr="00B045DB">
        <w:t>’</w:t>
      </w:r>
      <w:r w:rsidRPr="00B045DB">
        <w:t>Allemagne, l</w:t>
      </w:r>
      <w:r w:rsidR="003B2315" w:rsidRPr="00B045DB">
        <w:t>’</w:t>
      </w:r>
      <w:r w:rsidRPr="00B045DB">
        <w:t>Autriche, le Luxembourg et la Slovaquie avaient été choisis pour désigner des membres à la huitième session de la Réunion des Parties à la Convention</w:t>
      </w:r>
      <w:r w:rsidRPr="00B045DB">
        <w:rPr>
          <w:rStyle w:val="Appelnotedebasdep"/>
        </w:rPr>
        <w:footnoteReference w:id="9"/>
      </w:r>
      <w:r w:rsidRPr="00B045DB">
        <w:t xml:space="preserve">. Le membre élu pour les questions relatives au Protocole était M. Lasse </w:t>
      </w:r>
      <w:proofErr w:type="spellStart"/>
      <w:r w:rsidRPr="00B045DB">
        <w:t>Tallskog</w:t>
      </w:r>
      <w:proofErr w:type="spellEnd"/>
      <w:r w:rsidRPr="00B045DB">
        <w:t xml:space="preserve"> (Finlande). La Finlande avait été choisie par la Réunion des Parties au Protocole à sa troisième session (Minsk, 13-16</w:t>
      </w:r>
      <w:r w:rsidR="00306C84" w:rsidRPr="00B045DB">
        <w:t> </w:t>
      </w:r>
      <w:r w:rsidRPr="00B045DB">
        <w:t>juin 2017) pour siéger en tant que membre suppléant de l</w:t>
      </w:r>
      <w:r w:rsidR="003B2315" w:rsidRPr="00B045DB">
        <w:t>’</w:t>
      </w:r>
      <w:r w:rsidRPr="00B045DB">
        <w:t>Azerbaïdjan</w:t>
      </w:r>
      <w:r w:rsidRPr="00B045DB">
        <w:rPr>
          <w:rStyle w:val="Appelnotedebasdep"/>
        </w:rPr>
        <w:footnoteReference w:id="10"/>
      </w:r>
      <w:r w:rsidRPr="00B045DB">
        <w:t>.</w:t>
      </w:r>
    </w:p>
    <w:p w14:paraId="4A18E250" w14:textId="3C5C0F7D" w:rsidR="00D24047" w:rsidRPr="00B045DB" w:rsidRDefault="00D24047" w:rsidP="00D24047">
      <w:pPr>
        <w:pStyle w:val="SingleTxtG"/>
      </w:pPr>
      <w:r w:rsidRPr="00B045DB">
        <w:t>4.</w:t>
      </w:r>
      <w:r w:rsidRPr="00B045DB">
        <w:tab/>
        <w:t xml:space="preserve">Conformément à la structure, aux fonctions et au règlement intérieur du Comité, en plus des membres permanents, les membres suppléants ci-après ont été nommés par les Parties élues pour le même mandat : </w:t>
      </w:r>
      <w:r w:rsidR="00306C84" w:rsidRPr="00B045DB">
        <w:t>M</w:t>
      </w:r>
      <w:r w:rsidR="00306C84" w:rsidRPr="00B045DB">
        <w:rPr>
          <w:vertAlign w:val="superscript"/>
        </w:rPr>
        <w:t>me</w:t>
      </w:r>
      <w:r w:rsidR="00306C84" w:rsidRPr="00B045DB">
        <w:t> </w:t>
      </w:r>
      <w:r w:rsidRPr="00B045DB">
        <w:t xml:space="preserve">Ursula </w:t>
      </w:r>
      <w:proofErr w:type="spellStart"/>
      <w:r w:rsidRPr="00B045DB">
        <w:t>Platzer</w:t>
      </w:r>
      <w:proofErr w:type="spellEnd"/>
      <w:r w:rsidRPr="00B045DB">
        <w:t xml:space="preserve">-Schneider (Autriche), </w:t>
      </w:r>
      <w:r w:rsidR="00306C84" w:rsidRPr="00B045DB">
        <w:t>M</w:t>
      </w:r>
      <w:r w:rsidR="00306C84" w:rsidRPr="00B045DB">
        <w:rPr>
          <w:vertAlign w:val="superscript"/>
        </w:rPr>
        <w:t>me</w:t>
      </w:r>
      <w:r w:rsidR="00306C84" w:rsidRPr="00B045DB">
        <w:t> </w:t>
      </w:r>
      <w:proofErr w:type="spellStart"/>
      <w:r w:rsidRPr="00B045DB">
        <w:t>Leyla</w:t>
      </w:r>
      <w:proofErr w:type="spellEnd"/>
      <w:r w:rsidRPr="00B045DB">
        <w:t xml:space="preserve"> </w:t>
      </w:r>
      <w:proofErr w:type="spellStart"/>
      <w:r w:rsidRPr="00B045DB">
        <w:t>Aliyeva</w:t>
      </w:r>
      <w:proofErr w:type="spellEnd"/>
      <w:r w:rsidRPr="00B045DB">
        <w:t xml:space="preserve"> (Azerbaïdjan), </w:t>
      </w:r>
      <w:r w:rsidR="00306C84" w:rsidRPr="00B045DB">
        <w:t>M</w:t>
      </w:r>
      <w:r w:rsidR="00306C84" w:rsidRPr="00B045DB">
        <w:rPr>
          <w:vertAlign w:val="superscript"/>
        </w:rPr>
        <w:t>me</w:t>
      </w:r>
      <w:r w:rsidR="00306C84" w:rsidRPr="00B045DB">
        <w:t> </w:t>
      </w:r>
      <w:proofErr w:type="spellStart"/>
      <w:r w:rsidRPr="00B045DB">
        <w:t>Charlotta</w:t>
      </w:r>
      <w:proofErr w:type="spellEnd"/>
      <w:r w:rsidRPr="00B045DB">
        <w:t xml:space="preserve"> von </w:t>
      </w:r>
      <w:proofErr w:type="spellStart"/>
      <w:r w:rsidRPr="00B045DB">
        <w:t>Troil</w:t>
      </w:r>
      <w:proofErr w:type="spellEnd"/>
      <w:r w:rsidRPr="00B045DB">
        <w:t xml:space="preserve"> (Finlande), M. </w:t>
      </w:r>
      <w:proofErr w:type="spellStart"/>
      <w:r w:rsidRPr="00B045DB">
        <w:t>Christof</w:t>
      </w:r>
      <w:proofErr w:type="spellEnd"/>
      <w:r w:rsidRPr="00B045DB">
        <w:t xml:space="preserve"> </w:t>
      </w:r>
      <w:proofErr w:type="spellStart"/>
      <w:r w:rsidRPr="00B045DB">
        <w:t>Sangenstedt</w:t>
      </w:r>
      <w:proofErr w:type="spellEnd"/>
      <w:r w:rsidRPr="00B045DB">
        <w:t xml:space="preserve"> (Allemagne), </w:t>
      </w:r>
      <w:r w:rsidR="00306C84" w:rsidRPr="00B045DB">
        <w:t>M</w:t>
      </w:r>
      <w:r w:rsidR="00306C84" w:rsidRPr="00B045DB">
        <w:rPr>
          <w:vertAlign w:val="superscript"/>
        </w:rPr>
        <w:t>me</w:t>
      </w:r>
      <w:r w:rsidR="00306C84" w:rsidRPr="00B045DB">
        <w:t> </w:t>
      </w:r>
      <w:r w:rsidRPr="00B045DB">
        <w:t xml:space="preserve">Evelyn </w:t>
      </w:r>
      <w:proofErr w:type="spellStart"/>
      <w:r w:rsidRPr="00B045DB">
        <w:t>Fábián</w:t>
      </w:r>
      <w:proofErr w:type="spellEnd"/>
      <w:r w:rsidRPr="00B045DB">
        <w:t>-Mayer (Hongrie)</w:t>
      </w:r>
      <w:r w:rsidR="00306C84" w:rsidRPr="00B045DB">
        <w:t>,</w:t>
      </w:r>
      <w:r w:rsidRPr="00B045DB">
        <w:t xml:space="preserve"> M. Tom Uri (à partir de la </w:t>
      </w:r>
      <w:r w:rsidRPr="00B045DB">
        <w:lastRenderedPageBreak/>
        <w:t>cinquante</w:t>
      </w:r>
      <w:r w:rsidR="00306C84" w:rsidRPr="00B045DB">
        <w:noBreakHyphen/>
      </w:r>
      <w:r w:rsidRPr="00B045DB">
        <w:t>sixième session</w:t>
      </w:r>
      <w:r w:rsidRPr="00376229">
        <w:t xml:space="preserve">) (Luxembourg), </w:t>
      </w:r>
      <w:r w:rsidR="00306C84" w:rsidRPr="00376229">
        <w:t>M</w:t>
      </w:r>
      <w:r w:rsidR="00306C84" w:rsidRPr="00376229">
        <w:rPr>
          <w:vertAlign w:val="superscript"/>
        </w:rPr>
        <w:t>me</w:t>
      </w:r>
      <w:r w:rsidR="00306C84" w:rsidRPr="00376229">
        <w:t> </w:t>
      </w:r>
      <w:proofErr w:type="spellStart"/>
      <w:r w:rsidRPr="00376229">
        <w:t>Águeda</w:t>
      </w:r>
      <w:proofErr w:type="spellEnd"/>
      <w:r w:rsidRPr="00376229">
        <w:t xml:space="preserve"> Silva (Portugal), M. Roman </w:t>
      </w:r>
      <w:proofErr w:type="spellStart"/>
      <w:r w:rsidRPr="00376229">
        <w:t>Skorka</w:t>
      </w:r>
      <w:proofErr w:type="spellEnd"/>
      <w:r w:rsidRPr="00376229">
        <w:t xml:space="preserve"> (Slovaquie) et </w:t>
      </w:r>
      <w:r w:rsidR="00306C84" w:rsidRPr="00376229">
        <w:t>M</w:t>
      </w:r>
      <w:r w:rsidR="00306C84" w:rsidRPr="00376229">
        <w:rPr>
          <w:vertAlign w:val="superscript"/>
        </w:rPr>
        <w:t>me</w:t>
      </w:r>
      <w:r w:rsidR="00306C84" w:rsidRPr="00376229">
        <w:t> </w:t>
      </w:r>
      <w:r w:rsidRPr="00376229">
        <w:t xml:space="preserve">Christina Olsen </w:t>
      </w:r>
      <w:proofErr w:type="spellStart"/>
      <w:r w:rsidRPr="00376229">
        <w:t>Lundh</w:t>
      </w:r>
      <w:proofErr w:type="spellEnd"/>
      <w:r w:rsidRPr="00376229">
        <w:t xml:space="preserve"> (Suède)</w:t>
      </w:r>
      <w:r w:rsidRPr="00376229">
        <w:rPr>
          <w:rStyle w:val="Appelnotedebasdep"/>
        </w:rPr>
        <w:footnoteReference w:id="11"/>
      </w:r>
      <w:r w:rsidRPr="00376229">
        <w:t>. En raison des retards observés à cet égard de la part de certaines Parties, le Président a rappelé à plusieurs reprises l</w:t>
      </w:r>
      <w:r w:rsidR="003B2315" w:rsidRPr="00376229">
        <w:t>’</w:t>
      </w:r>
      <w:r w:rsidRPr="00376229">
        <w:t>article 4 du règlement intérieur afin d</w:t>
      </w:r>
      <w:r w:rsidR="003B2315" w:rsidRPr="00376229">
        <w:t>’</w:t>
      </w:r>
      <w:r w:rsidRPr="00376229">
        <w:t>insister sur le fait que toutes les Parties étaient dans l</w:t>
      </w:r>
      <w:r w:rsidR="003B2315" w:rsidRPr="00376229">
        <w:t>’</w:t>
      </w:r>
      <w:r w:rsidRPr="00376229">
        <w:t>obligation de nommer aussi un membre suppléant.</w:t>
      </w:r>
    </w:p>
    <w:p w14:paraId="37AEFB64" w14:textId="7942F39D" w:rsidR="00D24047" w:rsidRPr="00E41E17" w:rsidRDefault="00D24047" w:rsidP="00D24047">
      <w:pPr>
        <w:pStyle w:val="SingleTxtG"/>
      </w:pPr>
      <w:r w:rsidRPr="00E41E17">
        <w:t>5.</w:t>
      </w:r>
      <w:r w:rsidRPr="00E41E17">
        <w:tab/>
        <w:t>À sa quarante-neuvième session (Genève, 2-5</w:t>
      </w:r>
      <w:r w:rsidR="00306C84" w:rsidRPr="00E41E17">
        <w:t> </w:t>
      </w:r>
      <w:r w:rsidRPr="00E41E17">
        <w:t>février 2021), le Comité a élu M.</w:t>
      </w:r>
      <w:r w:rsidR="00306C84" w:rsidRPr="00E41E17">
        <w:t> </w:t>
      </w:r>
      <w:proofErr w:type="spellStart"/>
      <w:r w:rsidRPr="00E41E17">
        <w:t>Ducomble</w:t>
      </w:r>
      <w:proofErr w:type="spellEnd"/>
      <w:r w:rsidRPr="00E41E17">
        <w:t xml:space="preserve"> </w:t>
      </w:r>
      <w:r w:rsidR="00E41E17" w:rsidRPr="00E41E17">
        <w:t>P</w:t>
      </w:r>
      <w:r w:rsidRPr="00E41E17">
        <w:t xml:space="preserve">résident du Comité, </w:t>
      </w:r>
      <w:r w:rsidR="00306C84" w:rsidRPr="00E41E17">
        <w:t>M</w:t>
      </w:r>
      <w:r w:rsidR="00306C84" w:rsidRPr="00E41E17">
        <w:rPr>
          <w:vertAlign w:val="superscript"/>
        </w:rPr>
        <w:t>me</w:t>
      </w:r>
      <w:r w:rsidR="00306C84" w:rsidRPr="00E41E17">
        <w:t> </w:t>
      </w:r>
      <w:r w:rsidRPr="00E41E17">
        <w:t xml:space="preserve">do </w:t>
      </w:r>
      <w:proofErr w:type="spellStart"/>
      <w:r w:rsidRPr="00E41E17">
        <w:t>Carmo</w:t>
      </w:r>
      <w:proofErr w:type="spellEnd"/>
      <w:r w:rsidRPr="00E41E17">
        <w:t xml:space="preserve"> </w:t>
      </w:r>
      <w:proofErr w:type="spellStart"/>
      <w:r w:rsidRPr="00E41E17">
        <w:t>Figueira</w:t>
      </w:r>
      <w:proofErr w:type="spellEnd"/>
      <w:r w:rsidRPr="00E41E17">
        <w:t xml:space="preserve"> </w:t>
      </w:r>
      <w:r w:rsidR="00E41E17" w:rsidRPr="00E41E17">
        <w:t>V</w:t>
      </w:r>
      <w:r w:rsidRPr="00E41E17">
        <w:t>ice-</w:t>
      </w:r>
      <w:r w:rsidR="00E41E17" w:rsidRPr="00E41E17">
        <w:t>P</w:t>
      </w:r>
      <w:r w:rsidRPr="00E41E17">
        <w:t>résidente et M.</w:t>
      </w:r>
      <w:r w:rsidR="00306C84" w:rsidRPr="00E41E17">
        <w:t> </w:t>
      </w:r>
      <w:r w:rsidRPr="00E41E17">
        <w:t xml:space="preserve">Baumgartner deuxième </w:t>
      </w:r>
      <w:r w:rsidR="00E41E17" w:rsidRPr="00E41E17">
        <w:t>V</w:t>
      </w:r>
      <w:r w:rsidRPr="00E41E17">
        <w:t>ice-</w:t>
      </w:r>
      <w:r w:rsidR="00E41E17" w:rsidRPr="00E41E17">
        <w:t>P</w:t>
      </w:r>
      <w:r w:rsidRPr="00E41E17">
        <w:t>résident</w:t>
      </w:r>
      <w:r w:rsidRPr="00E41E17">
        <w:rPr>
          <w:rStyle w:val="Appelnotedebasdep"/>
        </w:rPr>
        <w:footnoteReference w:id="12"/>
      </w:r>
      <w:r w:rsidRPr="00E41E17">
        <w:t>.</w:t>
      </w:r>
    </w:p>
    <w:p w14:paraId="4EEF0D7C" w14:textId="579D03BC" w:rsidR="00D24047" w:rsidRPr="00B045DB" w:rsidRDefault="00D24047" w:rsidP="00D24047">
      <w:pPr>
        <w:pStyle w:val="SingleTxtG"/>
      </w:pPr>
      <w:r w:rsidRPr="00E41E17">
        <w:t>6.</w:t>
      </w:r>
      <w:r w:rsidRPr="00E41E17">
        <w:tab/>
        <w:t>Le Comité a tenu neuf sessions au cours de la période intersessions. En raison de la pandémie de COVID-19, et ultérieurement sur décision du Comité, quatre sessions se sont tenues en ligne et cinq sessions se sont tenues selon des modalités hybrides. Les rapports des sessions du Comité ont été communiqués au Groupe de travail de l</w:t>
      </w:r>
      <w:r w:rsidR="003B2315" w:rsidRPr="00E41E17">
        <w:t>’</w:t>
      </w:r>
      <w:r w:rsidRPr="00E41E17">
        <w:t>évaluation de l</w:t>
      </w:r>
      <w:r w:rsidR="003B2315" w:rsidRPr="00E41E17">
        <w:t>’</w:t>
      </w:r>
      <w:r w:rsidRPr="00E41E17">
        <w:t>impact sur l</w:t>
      </w:r>
      <w:r w:rsidR="003B2315" w:rsidRPr="00E41E17">
        <w:t>’</w:t>
      </w:r>
      <w:r w:rsidRPr="00E41E17">
        <w:t>environnement et de l</w:t>
      </w:r>
      <w:r w:rsidR="003B2315" w:rsidRPr="00E41E17">
        <w:t>’</w:t>
      </w:r>
      <w:r w:rsidRPr="00E41E17">
        <w:t>évaluation stratégique environnementale (Groupe de travail), et publiés sur le site Web de la Convention. Les membres désignés par les Parties dont le Comité d</w:t>
      </w:r>
      <w:r w:rsidR="003B2315" w:rsidRPr="00E41E17">
        <w:t>’</w:t>
      </w:r>
      <w:r w:rsidRPr="00E41E17">
        <w:t>application devait</w:t>
      </w:r>
      <w:r w:rsidRPr="00B045DB">
        <w:t xml:space="preserve"> examiner si elles respectaient les dispositions de la Convention et du Protocole n</w:t>
      </w:r>
      <w:r w:rsidR="003B2315" w:rsidRPr="00B045DB">
        <w:t>’</w:t>
      </w:r>
      <w:r w:rsidRPr="00B045DB">
        <w:t>étaient pas présents au moment où le Comité a procédé à cet examen en séance privée</w:t>
      </w:r>
      <w:r w:rsidRPr="00B045DB">
        <w:rPr>
          <w:rStyle w:val="Appelnotedebasdep"/>
        </w:rPr>
        <w:footnoteReference w:id="13"/>
      </w:r>
      <w:r w:rsidRPr="00B045DB">
        <w:t>. Les documents et informations connexes concernant les questions relatives au respect des dispositions examinées par le Comité, comme précisé à l</w:t>
      </w:r>
      <w:r w:rsidR="003B2315" w:rsidRPr="00B045DB">
        <w:t>’</w:t>
      </w:r>
      <w:r w:rsidRPr="00B045DB">
        <w:t>article 16 du règlement intérieur, ont été rendus publics sur le site Web de la Convention</w:t>
      </w:r>
      <w:r w:rsidRPr="00B045DB">
        <w:rPr>
          <w:rStyle w:val="Appelnotedebasdep"/>
        </w:rPr>
        <w:footnoteReference w:id="14"/>
      </w:r>
      <w:r w:rsidRPr="00B045DB">
        <w:t>. Les avis formulés par le Comité durant la période 2021-2023 figurent dans la publication électronique informelle révisée des avis émis, qui est établie par le secrétariat</w:t>
      </w:r>
      <w:r w:rsidRPr="00B045DB">
        <w:rPr>
          <w:rStyle w:val="Appelnotedebasdep"/>
        </w:rPr>
        <w:footnoteReference w:id="15"/>
      </w:r>
      <w:r w:rsidRPr="00B045DB">
        <w:t>. Les résumés des questions relatives au respect des dispositions qui figurent dans les sections II à VI ci-dessous donnent une vue d</w:t>
      </w:r>
      <w:r w:rsidR="003B2315" w:rsidRPr="00B045DB">
        <w:t>’</w:t>
      </w:r>
      <w:r w:rsidRPr="00B045DB">
        <w:t>ensemble de chacun des cas examinés par le Comité. En ce qui concerne les conclusions du Comité dans leur intégralité, le rapport sur les travaux de la session correspondante est la principale source.</w:t>
      </w:r>
    </w:p>
    <w:p w14:paraId="43E525F0" w14:textId="1FB2B7D2" w:rsidR="00D24047" w:rsidRPr="00B045DB" w:rsidRDefault="00306C84" w:rsidP="00306C84">
      <w:pPr>
        <w:pStyle w:val="H1G"/>
      </w:pPr>
      <w:r w:rsidRPr="00B045DB">
        <w:tab/>
      </w:r>
      <w:r w:rsidR="00D24047" w:rsidRPr="00B045DB">
        <w:t>C.</w:t>
      </w:r>
      <w:r w:rsidR="00D24047" w:rsidRPr="00B045DB">
        <w:tab/>
        <w:t>Charge de travail</w:t>
      </w:r>
    </w:p>
    <w:p w14:paraId="48ED4480" w14:textId="0615CDA1" w:rsidR="00D24047" w:rsidRPr="00B045DB" w:rsidRDefault="00D24047" w:rsidP="00D24047">
      <w:pPr>
        <w:pStyle w:val="SingleTxtG"/>
      </w:pPr>
      <w:r w:rsidRPr="00B045DB">
        <w:t>7.</w:t>
      </w:r>
      <w:r w:rsidR="00306C84" w:rsidRPr="00B045DB">
        <w:tab/>
      </w:r>
      <w:r w:rsidRPr="00B045DB">
        <w:t>La charge de travail du Comité a continué de croître du fait de l</w:t>
      </w:r>
      <w:r w:rsidR="003B2315" w:rsidRPr="00B045DB">
        <w:t>’</w:t>
      </w:r>
      <w:r w:rsidRPr="00B045DB">
        <w:t>augmentation constante du nombre des questions relatives au respect des dispositions et de leur complexité. Comme indiqué dans les sections II à VI ci-dessous, le Comité avait examiné 53 questions relatives au respect des dispositions (5 dossiers concernant la suite donnée à des décisions précédentes de la Réunion des Parties, 4 communications, 7 initiatives du Comité, 20 dossiers de collecte d</w:t>
      </w:r>
      <w:r w:rsidR="003B2315" w:rsidRPr="00B045DB">
        <w:t>’</w:t>
      </w:r>
      <w:r w:rsidRPr="00B045DB">
        <w:t>informations et 17 questions particulières relatives au respect des dispositions découlant d</w:t>
      </w:r>
      <w:r w:rsidR="003B2315" w:rsidRPr="00B045DB">
        <w:t>’</w:t>
      </w:r>
      <w:r w:rsidRPr="00B045DB">
        <w:t>examens de l</w:t>
      </w:r>
      <w:r w:rsidR="003B2315" w:rsidRPr="00B045DB">
        <w:t>’</w:t>
      </w:r>
      <w:r w:rsidRPr="00B045DB">
        <w:t>application des traités). Les consultations avec la Commission européenne concernant les modèles d</w:t>
      </w:r>
      <w:r w:rsidR="003B2315" w:rsidRPr="00B045DB">
        <w:t>’</w:t>
      </w:r>
      <w:r w:rsidRPr="00B045DB">
        <w:t>établissement de rapports de l</w:t>
      </w:r>
      <w:r w:rsidR="003B2315" w:rsidRPr="00B045DB">
        <w:t>’</w:t>
      </w:r>
      <w:r w:rsidRPr="00B045DB">
        <w:t>Union européenne (par.</w:t>
      </w:r>
      <w:r w:rsidR="00B71408">
        <w:t> </w:t>
      </w:r>
      <w:r w:rsidRPr="00B045DB">
        <w:t>108 et 109 ci-dessous) ont accaparé une part importante des maigres ressources du Comité et du secrétariat en 2021-2023. Les congés de maladie de longue durée du personnel (à temps complet ou à temps partiel) et les mouvements de personnel au sein du secrétariat ont rendu la situation encore plus précaire et entraîné des retards dans l</w:t>
      </w:r>
      <w:r w:rsidR="003B2315" w:rsidRPr="00B045DB">
        <w:t>’</w:t>
      </w:r>
      <w:r w:rsidRPr="00B045DB">
        <w:t>examen par le Comité des nombreuses questions relatives au respect des dispositions. Les défis supplémentaires au cours de la période à l</w:t>
      </w:r>
      <w:r w:rsidR="003B2315" w:rsidRPr="00B045DB">
        <w:t>’</w:t>
      </w:r>
      <w:r w:rsidRPr="00B045DB">
        <w:t>examen ont inclus la poursuite de la pandémie à maladie de coronavirus (COVID-19), qui a nécessité la mise en place de nouvelles modalités de travail, et la guerre en Ukraine.</w:t>
      </w:r>
    </w:p>
    <w:p w14:paraId="5169B3F2" w14:textId="205C14F3" w:rsidR="00D24047" w:rsidRPr="00B045DB" w:rsidRDefault="00306C84" w:rsidP="00306C84">
      <w:pPr>
        <w:pStyle w:val="HChG"/>
      </w:pPr>
      <w:r w:rsidRPr="00B045DB">
        <w:lastRenderedPageBreak/>
        <w:tab/>
      </w:r>
      <w:r w:rsidR="00D24047" w:rsidRPr="00B045DB">
        <w:t>II.</w:t>
      </w:r>
      <w:r w:rsidR="00D24047" w:rsidRPr="00B045DB">
        <w:tab/>
        <w:t>Suivi des décisions VIII/4a à e</w:t>
      </w:r>
      <w:r w:rsidR="00D24047" w:rsidRPr="00B045DB">
        <w:rPr>
          <w:rStyle w:val="Appelnotedebasdep"/>
          <w:b w:val="0"/>
          <w:bCs/>
        </w:rPr>
        <w:footnoteReference w:id="16"/>
      </w:r>
    </w:p>
    <w:p w14:paraId="5F2935C3" w14:textId="1F917B4E" w:rsidR="00D24047" w:rsidRPr="00B045DB" w:rsidRDefault="00D24047" w:rsidP="00D24047">
      <w:pPr>
        <w:pStyle w:val="SingleTxtG"/>
      </w:pPr>
      <w:r w:rsidRPr="00B045DB">
        <w:t>8.</w:t>
      </w:r>
      <w:r w:rsidRPr="00B045DB">
        <w:tab/>
        <w:t>Dans le cadre du suivi des décisions antérieures de la Réunion des Parties, le Comité a examiné les informations que les Parties devaient fournir périodiquement sur les mesures qu</w:t>
      </w:r>
      <w:r w:rsidR="003B2315" w:rsidRPr="00B045DB">
        <w:t>’</w:t>
      </w:r>
      <w:r w:rsidRPr="00B045DB">
        <w:t>elles ont adoptées pour satisfaire aux exigences et aux recommandations formulées dans ces décisions. Les Parties concernées avaient trois ans pour prendre les mesures nécessaires et les porter à la connaissance du Comité.</w:t>
      </w:r>
    </w:p>
    <w:p w14:paraId="4B00546E" w14:textId="058A71FF" w:rsidR="00D24047" w:rsidRPr="00B045DB" w:rsidRDefault="00306C84" w:rsidP="00306C84">
      <w:pPr>
        <w:pStyle w:val="H1G"/>
      </w:pPr>
      <w:r w:rsidRPr="00B045DB">
        <w:tab/>
      </w:r>
      <w:r w:rsidR="00D24047" w:rsidRPr="00B045DB">
        <w:t>A.</w:t>
      </w:r>
      <w:r w:rsidR="00D24047" w:rsidRPr="00B045DB">
        <w:tab/>
        <w:t>Arménie</w:t>
      </w:r>
    </w:p>
    <w:p w14:paraId="66B3CA96" w14:textId="1BF4AA05" w:rsidR="00D24047" w:rsidRPr="00B045DB" w:rsidRDefault="00B71408" w:rsidP="00B71408">
      <w:pPr>
        <w:pStyle w:val="H4G"/>
      </w:pPr>
      <w:r>
        <w:tab/>
      </w:r>
      <w:r>
        <w:tab/>
      </w:r>
      <w:r w:rsidR="00D24047" w:rsidRPr="00B045DB">
        <w:t>EIA/IC/CI/1 et SEA/IC/SCI/3/1</w:t>
      </w:r>
    </w:p>
    <w:p w14:paraId="1A6FD966" w14:textId="16BFC7AA" w:rsidR="00D24047" w:rsidRPr="00B045DB" w:rsidRDefault="00D24047" w:rsidP="00D24047">
      <w:pPr>
        <w:pStyle w:val="SingleTxtG"/>
      </w:pPr>
      <w:r w:rsidRPr="00B045DB">
        <w:t>9.</w:t>
      </w:r>
      <w:r w:rsidRPr="00B045DB">
        <w:tab/>
        <w:t>L</w:t>
      </w:r>
      <w:r w:rsidR="003B2315" w:rsidRPr="00B045DB">
        <w:t>’</w:t>
      </w:r>
      <w:r w:rsidRPr="00B045DB">
        <w:t>initiative du Comité relative à l</w:t>
      </w:r>
      <w:r w:rsidR="003B2315" w:rsidRPr="00B045DB">
        <w:t>’</w:t>
      </w:r>
      <w:r w:rsidRPr="00B045DB">
        <w:t>Arménie remonte à 2007. Elle a fait suite à l</w:t>
      </w:r>
      <w:r w:rsidR="003B2315" w:rsidRPr="00B045DB">
        <w:t>’</w:t>
      </w:r>
      <w:r w:rsidRPr="00B045DB">
        <w:t>examen par le Comité des réponses nationales au questionnaire pour le premier examen de l</w:t>
      </w:r>
      <w:r w:rsidR="003B2315" w:rsidRPr="00B045DB">
        <w:t>’</w:t>
      </w:r>
      <w:r w:rsidRPr="00B045DB">
        <w:t>application de la Convention (jusqu</w:t>
      </w:r>
      <w:r w:rsidR="003B2315" w:rsidRPr="00B045DB">
        <w:t>’</w:t>
      </w:r>
      <w:r w:rsidRPr="00B045DB">
        <w:t>à la mi-2003) et à la demande de l</w:t>
      </w:r>
      <w:r w:rsidR="003B2315" w:rsidRPr="00B045DB">
        <w:t>’</w:t>
      </w:r>
      <w:r w:rsidRPr="00B045DB">
        <w:t>Arménie, qui a sollicité l</w:t>
      </w:r>
      <w:r w:rsidR="003B2315" w:rsidRPr="00B045DB">
        <w:t>’</w:t>
      </w:r>
      <w:r w:rsidRPr="00B045DB">
        <w:t>assistance technique du Comité pour élaborer une législation nationale afin d</w:t>
      </w:r>
      <w:r w:rsidR="003B2315" w:rsidRPr="00B045DB">
        <w:t>’</w:t>
      </w:r>
      <w:r w:rsidRPr="00B045DB">
        <w:t>appliquer la Convention. Le secrétariat a apporté une assistance dans le domaine législatif à l</w:t>
      </w:r>
      <w:r w:rsidR="003B2315" w:rsidRPr="00B045DB">
        <w:t>’</w:t>
      </w:r>
      <w:r w:rsidRPr="00B045DB">
        <w:t>Arménie depuis 2011, y compris tout récemment grâce à un financement de l</w:t>
      </w:r>
      <w:r w:rsidR="003B2315" w:rsidRPr="00B045DB">
        <w:t>’</w:t>
      </w:r>
      <w:r w:rsidRPr="00B045DB">
        <w:t>Union européenne dans le cadre du programme de l</w:t>
      </w:r>
      <w:r w:rsidR="003B2315" w:rsidRPr="00B045DB">
        <w:t>’</w:t>
      </w:r>
      <w:r w:rsidRPr="00B045DB">
        <w:t>Union européenne pour l</w:t>
      </w:r>
      <w:r w:rsidR="003B2315" w:rsidRPr="00B045DB">
        <w:t>’</w:t>
      </w:r>
      <w:r w:rsidRPr="00B045DB">
        <w:t>environnement (EU4Environment). En 2014, l</w:t>
      </w:r>
      <w:r w:rsidR="003B2315" w:rsidRPr="00B045DB">
        <w:t>’</w:t>
      </w:r>
      <w:r w:rsidRPr="00B045DB">
        <w:t>Arménie a adopté la loi relative à l</w:t>
      </w:r>
      <w:r w:rsidR="003B2315" w:rsidRPr="00B045DB">
        <w:t>’</w:t>
      </w:r>
      <w:r w:rsidRPr="00B045DB">
        <w:t>évaluation de l</w:t>
      </w:r>
      <w:r w:rsidR="003B2315" w:rsidRPr="00B045DB">
        <w:t>’</w:t>
      </w:r>
      <w:r w:rsidRPr="00B045DB">
        <w:t>impact sur l</w:t>
      </w:r>
      <w:r w:rsidR="003B2315" w:rsidRPr="00B045DB">
        <w:t>’</w:t>
      </w:r>
      <w:r w:rsidRPr="00B045DB">
        <w:t>environnement et à l</w:t>
      </w:r>
      <w:r w:rsidR="003B2315" w:rsidRPr="00B045DB">
        <w:t>’</w:t>
      </w:r>
      <w:r w:rsidRPr="00B045DB">
        <w:t>examen par des experts, qui ne respectait que partiellement les dispositions de la Convention. En conséquence, durant les périodes intersessions qui ont suivi, afin de se conformer aux dispositions de la Convention et du Protocole qu</w:t>
      </w:r>
      <w:r w:rsidR="003B2315" w:rsidRPr="00B045DB">
        <w:t>’</w:t>
      </w:r>
      <w:r w:rsidRPr="00B045DB">
        <w:t>elle avait ratifiés en 2011, l</w:t>
      </w:r>
      <w:r w:rsidR="003B2315" w:rsidRPr="00B045DB">
        <w:t>’</w:t>
      </w:r>
      <w:r w:rsidRPr="00B045DB">
        <w:t>Arménie a été invitée à modifier sa législation et à adopter des textes législatifs secondaires.</w:t>
      </w:r>
    </w:p>
    <w:p w14:paraId="4FF3F007" w14:textId="40D4577B" w:rsidR="00D24047" w:rsidRPr="00B71408" w:rsidRDefault="00D24047" w:rsidP="00D24047">
      <w:pPr>
        <w:pStyle w:val="SingleTxtG"/>
      </w:pPr>
      <w:r w:rsidRPr="00B71408">
        <w:t>10.</w:t>
      </w:r>
      <w:r w:rsidRPr="00B71408">
        <w:tab/>
        <w:t>Depuis la huitième session de la Réunion des Parties à la Convention, l</w:t>
      </w:r>
      <w:r w:rsidR="003B2315" w:rsidRPr="00B71408">
        <w:t>’</w:t>
      </w:r>
      <w:r w:rsidRPr="00B71408">
        <w:t>Arménie a informé le Comité à plusieurs reprises qu</w:t>
      </w:r>
      <w:r w:rsidR="003B2315" w:rsidRPr="00B71408">
        <w:t>’</w:t>
      </w:r>
      <w:r w:rsidRPr="00B71408">
        <w:t>elle entendait adopter des amendements à la loi de 2014 et des textes législatifs secondaires, afin que son cadre législatif national respecte pleinement les dispositions de la Convention et du Protocole, comme demandé dans la décision VIII/4a.</w:t>
      </w:r>
    </w:p>
    <w:p w14:paraId="5C4C0B71" w14:textId="254A6F0C" w:rsidR="00D24047" w:rsidRPr="00B045DB" w:rsidRDefault="00D24047" w:rsidP="00D24047">
      <w:pPr>
        <w:pStyle w:val="SingleTxtG"/>
      </w:pPr>
      <w:r w:rsidRPr="00B71408">
        <w:t>11.</w:t>
      </w:r>
      <w:r w:rsidRPr="00B71408">
        <w:tab/>
        <w:t>Suite au troisième examen de l</w:t>
      </w:r>
      <w:r w:rsidR="003B2315" w:rsidRPr="00B71408">
        <w:t>’</w:t>
      </w:r>
      <w:r w:rsidRPr="00B71408">
        <w:t>application du Protocole, le Comité, à sa cinquante</w:t>
      </w:r>
      <w:r w:rsidR="00920E4B">
        <w:noBreakHyphen/>
      </w:r>
      <w:r w:rsidRPr="00B71408">
        <w:t>deuxième session (Genève, 29-31 mars</w:t>
      </w:r>
      <w:r w:rsidRPr="00B045DB">
        <w:t xml:space="preserve"> 2022), a demandé à l</w:t>
      </w:r>
      <w:r w:rsidR="003B2315" w:rsidRPr="00B045DB">
        <w:t>’</w:t>
      </w:r>
      <w:r w:rsidRPr="00B045DB">
        <w:t>Arménie de préciser la manière dont les « modifications mineures » d</w:t>
      </w:r>
      <w:r w:rsidR="003B2315" w:rsidRPr="00B045DB">
        <w:t>’</w:t>
      </w:r>
      <w:r w:rsidRPr="00B045DB">
        <w:t>un plan ou d</w:t>
      </w:r>
      <w:r w:rsidR="003B2315" w:rsidRPr="00B045DB">
        <w:t>’</w:t>
      </w:r>
      <w:r w:rsidRPr="00B045DB">
        <w:t>un programme visées au paragraphe 4 de l</w:t>
      </w:r>
      <w:r w:rsidR="003B2315" w:rsidRPr="00B045DB">
        <w:t>’</w:t>
      </w:r>
      <w:r w:rsidRPr="00B045DB">
        <w:t>article 4 du Protocole étaient définies dans sa législation et dans ses instructions administratives</w:t>
      </w:r>
      <w:r w:rsidRPr="00B045DB">
        <w:rPr>
          <w:rStyle w:val="Appelnotedebasdep"/>
        </w:rPr>
        <w:footnoteReference w:id="17"/>
      </w:r>
      <w:r w:rsidRPr="00B045DB">
        <w:t>. À sa cinquante-sixième session (Genève, 2-5</w:t>
      </w:r>
      <w:r w:rsidR="00920E4B">
        <w:t> </w:t>
      </w:r>
      <w:r w:rsidRPr="00B045DB">
        <w:t>mai 2023), le Comité a décidé de poursuivre l</w:t>
      </w:r>
      <w:r w:rsidR="003B2315" w:rsidRPr="00B045DB">
        <w:t>’</w:t>
      </w:r>
      <w:r w:rsidRPr="00B045DB">
        <w:t>examen de la question particulière du respect des obligations incombant à l</w:t>
      </w:r>
      <w:r w:rsidR="003B2315" w:rsidRPr="00B045DB">
        <w:t>’</w:t>
      </w:r>
      <w:r w:rsidRPr="00B045DB">
        <w:t>Arménie dans le cadre du suivi de la décision VIII/4a (voir également le tableau 3 ci</w:t>
      </w:r>
      <w:r w:rsidR="00306C84" w:rsidRPr="00B045DB">
        <w:noBreakHyphen/>
      </w:r>
      <w:r w:rsidRPr="00B045DB">
        <w:t>dessous)</w:t>
      </w:r>
      <w:r w:rsidRPr="00B045DB">
        <w:rPr>
          <w:rStyle w:val="Appelnotedebasdep"/>
        </w:rPr>
        <w:footnoteReference w:id="18"/>
      </w:r>
      <w:r w:rsidRPr="00B045DB">
        <w:t>.</w:t>
      </w:r>
    </w:p>
    <w:p w14:paraId="6C5FD227" w14:textId="3392E7E4" w:rsidR="00D24047" w:rsidRPr="00B045DB" w:rsidRDefault="00D24047" w:rsidP="00D24047">
      <w:pPr>
        <w:pStyle w:val="SingleTxtG"/>
      </w:pPr>
      <w:r w:rsidRPr="00B045DB">
        <w:t>12.</w:t>
      </w:r>
      <w:r w:rsidRPr="00B045DB">
        <w:tab/>
        <w:t>L</w:t>
      </w:r>
      <w:r w:rsidR="003B2315" w:rsidRPr="00B045DB">
        <w:t>’</w:t>
      </w:r>
      <w:r w:rsidRPr="00B045DB">
        <w:t>Arménie a informé le Comité qu</w:t>
      </w:r>
      <w:r w:rsidR="003B2315" w:rsidRPr="00B045DB">
        <w:t>’</w:t>
      </w:r>
      <w:r w:rsidRPr="00B045DB">
        <w:t>elle avait adopté la nouvelle loi concernant l</w:t>
      </w:r>
      <w:r w:rsidR="003B2315" w:rsidRPr="00B045DB">
        <w:t>’</w:t>
      </w:r>
      <w:r w:rsidRPr="00B045DB">
        <w:t>évaluation de l</w:t>
      </w:r>
      <w:r w:rsidR="003B2315" w:rsidRPr="00B045DB">
        <w:t>’</w:t>
      </w:r>
      <w:r w:rsidRPr="00B045DB">
        <w:t>impact sur l</w:t>
      </w:r>
      <w:r w:rsidR="003B2315" w:rsidRPr="00B045DB">
        <w:t>’</w:t>
      </w:r>
      <w:r w:rsidRPr="00B045DB">
        <w:t>environnement et l</w:t>
      </w:r>
      <w:r w:rsidR="003B2315" w:rsidRPr="00B045DB">
        <w:t>’</w:t>
      </w:r>
      <w:r w:rsidRPr="00B045DB">
        <w:t>examen par des experts le 3</w:t>
      </w:r>
      <w:r w:rsidR="00306C84" w:rsidRPr="00B045DB">
        <w:t> </w:t>
      </w:r>
      <w:r w:rsidRPr="00B045DB">
        <w:t>mai 2023.</w:t>
      </w:r>
    </w:p>
    <w:p w14:paraId="330E15C9" w14:textId="40B8502D" w:rsidR="00D24047" w:rsidRPr="00B045DB" w:rsidRDefault="00D24047" w:rsidP="00D24047">
      <w:pPr>
        <w:pStyle w:val="SingleTxtG"/>
      </w:pPr>
      <w:r w:rsidRPr="00B045DB">
        <w:t>13.</w:t>
      </w:r>
      <w:r w:rsidRPr="00B045DB">
        <w:tab/>
        <w:t>Dans le projet de décision IX/4b</w:t>
      </w:r>
      <w:r w:rsidR="00920E4B">
        <w:t>-</w:t>
      </w:r>
      <w:r w:rsidRPr="00B045DB">
        <w:t>V/4b</w:t>
      </w:r>
      <w:r w:rsidRPr="00B045DB">
        <w:rPr>
          <w:rStyle w:val="Appelnotedebasdep"/>
        </w:rPr>
        <w:footnoteReference w:id="19"/>
      </w:r>
      <w:r w:rsidRPr="00B045DB">
        <w:t>, fondé sur son examen de la législation modifiée, le Comité a recommandé à la Réunion des Parties de noter avec préoccupation que, bien qu</w:t>
      </w:r>
      <w:r w:rsidR="003B2315" w:rsidRPr="00B045DB">
        <w:t>’</w:t>
      </w:r>
      <w:r w:rsidRPr="00B045DB">
        <w:t>elle apporte des améliorations, la nouvelle loi ne remédiait pas à la plupart des lacunes fondamentales de la loi précédente et ne garantissait donc pas le plein respect par l</w:t>
      </w:r>
      <w:r w:rsidR="003B2315" w:rsidRPr="00B045DB">
        <w:t>’</w:t>
      </w:r>
      <w:r w:rsidRPr="00B045DB">
        <w:t>Arménie des obligations qui lui incombent au titre de la Convention et du Protocole.</w:t>
      </w:r>
    </w:p>
    <w:p w14:paraId="3E667DFC" w14:textId="0DDAE486" w:rsidR="00D24047" w:rsidRPr="00B045DB" w:rsidRDefault="00306C84" w:rsidP="003F33A3">
      <w:pPr>
        <w:pStyle w:val="H1G"/>
      </w:pPr>
      <w:r w:rsidRPr="00B045DB">
        <w:lastRenderedPageBreak/>
        <w:tab/>
      </w:r>
      <w:r w:rsidR="00D24047" w:rsidRPr="00B045DB">
        <w:t>B.</w:t>
      </w:r>
      <w:r w:rsidR="00D24047" w:rsidRPr="00B045DB">
        <w:tab/>
        <w:t>Azerbaïdjan</w:t>
      </w:r>
    </w:p>
    <w:p w14:paraId="7CFC0EB3" w14:textId="77777777" w:rsidR="00D24047" w:rsidRPr="00B045DB" w:rsidRDefault="00D24047" w:rsidP="003F33A3">
      <w:pPr>
        <w:pStyle w:val="SingleTxtG"/>
        <w:keepNext/>
        <w:rPr>
          <w:i/>
        </w:rPr>
      </w:pPr>
      <w:r w:rsidRPr="00B045DB">
        <w:rPr>
          <w:i/>
        </w:rPr>
        <w:t>EIA/IC/CI/2</w:t>
      </w:r>
    </w:p>
    <w:p w14:paraId="6CCCE747" w14:textId="08ADA357" w:rsidR="00D24047" w:rsidRPr="00B045DB" w:rsidRDefault="00D24047" w:rsidP="00D24047">
      <w:pPr>
        <w:pStyle w:val="SingleTxtG"/>
      </w:pPr>
      <w:r w:rsidRPr="00B045DB">
        <w:t>14.</w:t>
      </w:r>
      <w:r w:rsidRPr="00B045DB">
        <w:tab/>
        <w:t>L</w:t>
      </w:r>
      <w:r w:rsidR="003B2315" w:rsidRPr="00B045DB">
        <w:t>’</w:t>
      </w:r>
      <w:r w:rsidRPr="00B045DB">
        <w:t>initiative du Comité concernant l</w:t>
      </w:r>
      <w:r w:rsidR="003B2315" w:rsidRPr="00B045DB">
        <w:t>’</w:t>
      </w:r>
      <w:r w:rsidRPr="00B045DB">
        <w:t>Azerbaïdjan a été motivée par les réponses de ce pays au questionnaire sur l</w:t>
      </w:r>
      <w:r w:rsidR="003B2315" w:rsidRPr="00B045DB">
        <w:t>’</w:t>
      </w:r>
      <w:r w:rsidRPr="00B045DB">
        <w:t>application de la Convention pendant la période 2009-2011, où il indiquait qu</w:t>
      </w:r>
      <w:r w:rsidR="003B2315" w:rsidRPr="00B045DB">
        <w:t>’</w:t>
      </w:r>
      <w:r w:rsidRPr="00B045DB">
        <w:t>il ne possédait pas de législation relative à cette application, et par la demande qu</w:t>
      </w:r>
      <w:r w:rsidR="003B2315" w:rsidRPr="00B045DB">
        <w:t>’</w:t>
      </w:r>
      <w:r w:rsidRPr="00B045DB">
        <w:t>il a formulée tendant à solliciter l</w:t>
      </w:r>
      <w:r w:rsidR="003B2315" w:rsidRPr="00B045DB">
        <w:t>’</w:t>
      </w:r>
      <w:r w:rsidRPr="00B045DB">
        <w:t>assistance technique du Comité. Afin d</w:t>
      </w:r>
      <w:r w:rsidR="003B2315" w:rsidRPr="00B045DB">
        <w:t>’</w:t>
      </w:r>
      <w:r w:rsidRPr="00B045DB">
        <w:t>épauler les efforts déployés pour se doter d</w:t>
      </w:r>
      <w:r w:rsidR="003B2315" w:rsidRPr="00B045DB">
        <w:t>’</w:t>
      </w:r>
      <w:r w:rsidRPr="00B045DB">
        <w:t>une législation visant à appliquer la Convention (ainsi que le Protocole), l</w:t>
      </w:r>
      <w:r w:rsidR="003B2315" w:rsidRPr="00B045DB">
        <w:t>’</w:t>
      </w:r>
      <w:r w:rsidRPr="00B045DB">
        <w:t>Azerbaïdjan a bénéficié de l</w:t>
      </w:r>
      <w:r w:rsidR="003B2315" w:rsidRPr="00B045DB">
        <w:t>’</w:t>
      </w:r>
      <w:r w:rsidRPr="00B045DB">
        <w:t>assistance technique du secrétariat depuis 2011, y compris tout récemment grâce à un financement de l</w:t>
      </w:r>
      <w:r w:rsidR="003B2315" w:rsidRPr="00B045DB">
        <w:t>’</w:t>
      </w:r>
      <w:r w:rsidRPr="00B045DB">
        <w:t>Union européenne dans le cadre du programme de l</w:t>
      </w:r>
      <w:r w:rsidR="003B2315" w:rsidRPr="00B045DB">
        <w:t>’</w:t>
      </w:r>
      <w:r w:rsidRPr="00B045DB">
        <w:t>Union européenne pour l</w:t>
      </w:r>
      <w:r w:rsidR="003B2315" w:rsidRPr="00B045DB">
        <w:t>’</w:t>
      </w:r>
      <w:r w:rsidRPr="00B045DB">
        <w:t>environnement (EU4Environment).</w:t>
      </w:r>
    </w:p>
    <w:p w14:paraId="0BD1918C" w14:textId="32BA550E" w:rsidR="00D24047" w:rsidRPr="00B045DB" w:rsidRDefault="00D24047" w:rsidP="00D24047">
      <w:pPr>
        <w:pStyle w:val="SingleTxtG"/>
      </w:pPr>
      <w:r w:rsidRPr="00B045DB">
        <w:t>15.</w:t>
      </w:r>
      <w:r w:rsidR="00306C84" w:rsidRPr="00B045DB">
        <w:tab/>
      </w:r>
      <w:r w:rsidRPr="00B045DB">
        <w:t>En 2018, l</w:t>
      </w:r>
      <w:r w:rsidR="003B2315" w:rsidRPr="00B045DB">
        <w:t>’</w:t>
      </w:r>
      <w:r w:rsidRPr="00B045DB">
        <w:t>Azerbaïdjan a adopté une loi-cadre relative à l</w:t>
      </w:r>
      <w:r w:rsidR="003B2315" w:rsidRPr="00B045DB">
        <w:t>’</w:t>
      </w:r>
      <w:r w:rsidRPr="00B045DB">
        <w:t>évaluation de l</w:t>
      </w:r>
      <w:r w:rsidR="003B2315" w:rsidRPr="00B045DB">
        <w:t>’</w:t>
      </w:r>
      <w:r w:rsidRPr="00B045DB">
        <w:t>impact sur l</w:t>
      </w:r>
      <w:r w:rsidR="003B2315" w:rsidRPr="00B045DB">
        <w:t>’</w:t>
      </w:r>
      <w:r w:rsidRPr="00B045DB">
        <w:t>environnement puis, entre 2018 et 2022, six législations secondaires aux fins de l</w:t>
      </w:r>
      <w:r w:rsidR="003B2315" w:rsidRPr="00B045DB">
        <w:t>’</w:t>
      </w:r>
      <w:r w:rsidRPr="00B045DB">
        <w:t>application de ladite loi-cadre. Durant la période intersessions, l</w:t>
      </w:r>
      <w:r w:rsidR="003B2315" w:rsidRPr="00B045DB">
        <w:t>’</w:t>
      </w:r>
      <w:r w:rsidRPr="00B045DB">
        <w:t>Azerbaïdjan a informé le Comité des mesures prises pour donner suite à la décision VIII/4b. Le Comité a relevé des lacunes dans la loi-cadre et les deux dernières des législations secondaires susmentionnées.</w:t>
      </w:r>
    </w:p>
    <w:p w14:paraId="01C959FE" w14:textId="32DD7CD1" w:rsidR="00D24047" w:rsidRPr="00B045DB" w:rsidRDefault="00D24047" w:rsidP="00D24047">
      <w:pPr>
        <w:pStyle w:val="SingleTxtG"/>
      </w:pPr>
      <w:r w:rsidRPr="00B045DB">
        <w:t>16.</w:t>
      </w:r>
      <w:r w:rsidRPr="00B045DB">
        <w:tab/>
        <w:t>Dans le projet de décision IX/4d</w:t>
      </w:r>
      <w:r w:rsidRPr="00B045DB">
        <w:rPr>
          <w:rStyle w:val="Appelnotedebasdep"/>
        </w:rPr>
        <w:footnoteReference w:id="20"/>
      </w:r>
      <w:r w:rsidRPr="00B045DB">
        <w:t>, le Comité a recommandé à la Réunion des Parties de constater avec préoccupation que la législation adoptée par l</w:t>
      </w:r>
      <w:r w:rsidR="003B2315" w:rsidRPr="00B045DB">
        <w:t>’</w:t>
      </w:r>
      <w:r w:rsidRPr="00B045DB">
        <w:t>Azerbaïdjan pour appliquer la Convention n</w:t>
      </w:r>
      <w:r w:rsidR="003B2315" w:rsidRPr="00B045DB">
        <w:t>’</w:t>
      </w:r>
      <w:r w:rsidRPr="00B045DB">
        <w:t>était pas pleinement conforme à celle-ci et comportait des lacunes, telles que décrites dans le projet de décision.</w:t>
      </w:r>
    </w:p>
    <w:p w14:paraId="248E063E" w14:textId="6EABB900" w:rsidR="00D24047" w:rsidRPr="00027956" w:rsidRDefault="00306C84" w:rsidP="00306C84">
      <w:pPr>
        <w:pStyle w:val="H1G"/>
        <w:rPr>
          <w:lang w:val="en-US"/>
        </w:rPr>
      </w:pPr>
      <w:r w:rsidRPr="00B045DB">
        <w:tab/>
      </w:r>
      <w:r w:rsidR="00D24047" w:rsidRPr="00027956">
        <w:rPr>
          <w:lang w:val="en-US"/>
        </w:rPr>
        <w:t>C.</w:t>
      </w:r>
      <w:r w:rsidR="00D24047" w:rsidRPr="00027956">
        <w:rPr>
          <w:lang w:val="en-US"/>
        </w:rPr>
        <w:tab/>
      </w:r>
      <w:proofErr w:type="spellStart"/>
      <w:r w:rsidR="00D24047" w:rsidRPr="00027956">
        <w:rPr>
          <w:lang w:val="en-US"/>
        </w:rPr>
        <w:t>Bélarus</w:t>
      </w:r>
      <w:proofErr w:type="spellEnd"/>
    </w:p>
    <w:p w14:paraId="77924F5D" w14:textId="70403193" w:rsidR="00D24047" w:rsidRPr="00027956" w:rsidRDefault="003F33A3" w:rsidP="003F33A3">
      <w:pPr>
        <w:pStyle w:val="H4G"/>
        <w:rPr>
          <w:lang w:val="en-US"/>
        </w:rPr>
      </w:pPr>
      <w:r w:rsidRPr="00027956">
        <w:rPr>
          <w:lang w:val="en-US"/>
        </w:rPr>
        <w:tab/>
      </w:r>
      <w:r w:rsidRPr="00027956">
        <w:rPr>
          <w:lang w:val="en-US"/>
        </w:rPr>
        <w:tab/>
      </w:r>
      <w:r w:rsidR="00D24047" w:rsidRPr="00027956">
        <w:rPr>
          <w:lang w:val="en-US"/>
        </w:rPr>
        <w:t>EIA/IC/S/4</w:t>
      </w:r>
    </w:p>
    <w:p w14:paraId="42FBA7A2" w14:textId="5FAAE317" w:rsidR="00D24047" w:rsidRPr="00B045DB" w:rsidRDefault="00D24047" w:rsidP="00D24047">
      <w:pPr>
        <w:pStyle w:val="SingleTxtG"/>
      </w:pPr>
      <w:r w:rsidRPr="00B045DB">
        <w:t>17.</w:t>
      </w:r>
      <w:r w:rsidRPr="00B045DB">
        <w:tab/>
        <w:t>Le Comité a poursuivi l</w:t>
      </w:r>
      <w:r w:rsidR="003B2315" w:rsidRPr="00B045DB">
        <w:t>’</w:t>
      </w:r>
      <w:r w:rsidRPr="00B045DB">
        <w:t>examen de la suite donnée à la décision VIII/4c concernant la centrale nucléaire bélarussienne d</w:t>
      </w:r>
      <w:r w:rsidR="003B2315" w:rsidRPr="00B045DB">
        <w:t>’</w:t>
      </w:r>
      <w:proofErr w:type="spellStart"/>
      <w:r w:rsidRPr="00B045DB">
        <w:t>Ostrovets</w:t>
      </w:r>
      <w:proofErr w:type="spellEnd"/>
      <w:r w:rsidRPr="00B045DB">
        <w:t>. Par ladite décision, la Réunion des Parties, à sa huitième session, a rappelé ses décisions VI/2 et IS/1d et prié instamment le Bélarus d</w:t>
      </w:r>
      <w:r w:rsidR="003B2315" w:rsidRPr="00B045DB">
        <w:t>’</w:t>
      </w:r>
      <w:r w:rsidRPr="00B045DB">
        <w:t>appliquer à l</w:t>
      </w:r>
      <w:r w:rsidR="003B2315" w:rsidRPr="00B045DB">
        <w:t>’</w:t>
      </w:r>
      <w:r w:rsidRPr="00B045DB">
        <w:t>avenir la Convention s</w:t>
      </w:r>
      <w:r w:rsidR="003B2315" w:rsidRPr="00B045DB">
        <w:t>’</w:t>
      </w:r>
      <w:r w:rsidRPr="00B045DB">
        <w:t>agissant d</w:t>
      </w:r>
      <w:r w:rsidR="003B2315" w:rsidRPr="00B045DB">
        <w:t>’</w:t>
      </w:r>
      <w:r w:rsidRPr="00B045DB">
        <w:t>une évaluation en bonne et due forme des solutions de remplacement qui peuvent être raisonnablement envisagées. En outre, elle a de nouveau encouragé le Bélarus et la Lituanie à conclure un accord bilatéral pour l</w:t>
      </w:r>
      <w:r w:rsidR="003B2315" w:rsidRPr="00B045DB">
        <w:t>’</w:t>
      </w:r>
      <w:r w:rsidRPr="00B045DB">
        <w:t>application de la Convention conformément à son article 8, à procéder à une analyse a posteriori, et à poursuivre leurs consultations bilatérales d</w:t>
      </w:r>
      <w:r w:rsidR="003B2315" w:rsidRPr="00B045DB">
        <w:t>’</w:t>
      </w:r>
      <w:r w:rsidRPr="00B045DB">
        <w:t>experts sur les points de désaccord.</w:t>
      </w:r>
    </w:p>
    <w:p w14:paraId="4B5ACDA3" w14:textId="075B3F99" w:rsidR="00D24047" w:rsidRPr="00B045DB" w:rsidRDefault="00D24047" w:rsidP="00D24047">
      <w:pPr>
        <w:pStyle w:val="SingleTxtG"/>
      </w:pPr>
      <w:r w:rsidRPr="00B045DB">
        <w:t>18.</w:t>
      </w:r>
      <w:r w:rsidRPr="00B045DB">
        <w:tab/>
        <w:t>Le Comité a constaté avec satisfaction que le Bélarus et la Lituanie avaient soumis en temps voulu leurs rapports annuels, conformément au paragraphe 5 de la décision VIII/4 mais il a relevé le manque de progrès dans leur coopération bilatérale</w:t>
      </w:r>
      <w:r w:rsidRPr="00B045DB">
        <w:rPr>
          <w:rStyle w:val="Appelnotedebasdep"/>
        </w:rPr>
        <w:footnoteReference w:id="21"/>
      </w:r>
      <w:r w:rsidRPr="00B045DB">
        <w:t>. Au cours de la période intersessions, le Bélarus et la Lituanie ont tenu une seule réunion bilatérale d</w:t>
      </w:r>
      <w:r w:rsidR="003B2315" w:rsidRPr="00B045DB">
        <w:t>’</w:t>
      </w:r>
      <w:r w:rsidRPr="00B045DB">
        <w:t>experts en vue de débattre des divergences persistantes et progresser conformément à la décision VIII/4c, mais ils n</w:t>
      </w:r>
      <w:r w:rsidR="003B2315" w:rsidRPr="00B045DB">
        <w:t>’</w:t>
      </w:r>
      <w:r w:rsidRPr="00B045DB">
        <w:t>ont pas été en mesure de tomber d</w:t>
      </w:r>
      <w:r w:rsidR="003B2315" w:rsidRPr="00B045DB">
        <w:t>’</w:t>
      </w:r>
      <w:r w:rsidRPr="00B045DB">
        <w:t>accord sur les résultats de ladite réunion.</w:t>
      </w:r>
    </w:p>
    <w:p w14:paraId="758FD39B" w14:textId="2B088381" w:rsidR="00D24047" w:rsidRPr="00B045DB" w:rsidRDefault="00D24047" w:rsidP="00D24047">
      <w:pPr>
        <w:pStyle w:val="SingleTxtG"/>
      </w:pPr>
      <w:r w:rsidRPr="00B045DB">
        <w:t>19.</w:t>
      </w:r>
      <w:r w:rsidRPr="00B045DB">
        <w:tab/>
        <w:t>Durant sa cinquante-quatrième session (Genève, 4-7</w:t>
      </w:r>
      <w:r w:rsidR="00306C84" w:rsidRPr="00B045DB">
        <w:t> </w:t>
      </w:r>
      <w:r w:rsidRPr="00B045DB">
        <w:t xml:space="preserve">octobre 2022), le Comité a mené des consultations informelles </w:t>
      </w:r>
      <w:r w:rsidR="00306C84" w:rsidRPr="00B045DB">
        <w:t>−</w:t>
      </w:r>
      <w:r w:rsidRPr="00B045DB">
        <w:t xml:space="preserve"> tenues séparément, à la demande de la Lituanie </w:t>
      </w:r>
      <w:r w:rsidR="00306C84" w:rsidRPr="00B045DB">
        <w:t>−</w:t>
      </w:r>
      <w:r w:rsidRPr="00B045DB">
        <w:t xml:space="preserve"> avec les deux Parties.</w:t>
      </w:r>
    </w:p>
    <w:p w14:paraId="29B5E901" w14:textId="1132DBE2" w:rsidR="00D24047" w:rsidRPr="00B045DB" w:rsidRDefault="00D24047" w:rsidP="00D24047">
      <w:pPr>
        <w:pStyle w:val="SingleTxtG"/>
      </w:pPr>
      <w:r w:rsidRPr="00B045DB">
        <w:t>20.</w:t>
      </w:r>
      <w:r w:rsidRPr="00B045DB">
        <w:tab/>
        <w:t>Dans le projet de décision IX/4e</w:t>
      </w:r>
      <w:r w:rsidRPr="00B045DB">
        <w:rPr>
          <w:rStyle w:val="Appelnotedebasdep"/>
        </w:rPr>
        <w:footnoteReference w:id="22"/>
      </w:r>
      <w:r w:rsidRPr="00B045DB">
        <w:t>, le Comité a recommandé au Bélarus et à la Lituanie de prendre les mesures requises dans les décisions antérieures de la Réunion des Parties, à l</w:t>
      </w:r>
      <w:r w:rsidR="003B2315" w:rsidRPr="00B045DB">
        <w:t>’</w:t>
      </w:r>
      <w:r w:rsidRPr="00B045DB">
        <w:t>exception de la mise en place d</w:t>
      </w:r>
      <w:r w:rsidR="003B2315" w:rsidRPr="00B045DB">
        <w:t>’</w:t>
      </w:r>
      <w:r w:rsidRPr="00B045DB">
        <w:t>un organe bilatéral conjoint, d</w:t>
      </w:r>
      <w:r w:rsidR="003B2315" w:rsidRPr="00B045DB">
        <w:t>’</w:t>
      </w:r>
      <w:r w:rsidRPr="00B045DB">
        <w:t>ici à la dixième session de la Réunion des Parties à la Convention (au plus tard) et de continuer à faire rapport chaque année.</w:t>
      </w:r>
    </w:p>
    <w:p w14:paraId="42B8A367" w14:textId="42CC82DE" w:rsidR="00D24047" w:rsidRPr="00B045DB" w:rsidRDefault="00306C84" w:rsidP="00306C84">
      <w:pPr>
        <w:pStyle w:val="H1G"/>
      </w:pPr>
      <w:r w:rsidRPr="00B045DB">
        <w:lastRenderedPageBreak/>
        <w:tab/>
      </w:r>
      <w:r w:rsidR="00D24047" w:rsidRPr="00B045DB">
        <w:t>D.</w:t>
      </w:r>
      <w:r w:rsidR="00D24047" w:rsidRPr="00B045DB">
        <w:tab/>
        <w:t>Ukraine</w:t>
      </w:r>
    </w:p>
    <w:p w14:paraId="406190AB" w14:textId="0492B9B7" w:rsidR="00D24047" w:rsidRPr="00B045DB" w:rsidRDefault="00D24047" w:rsidP="00D24047">
      <w:pPr>
        <w:pStyle w:val="SingleTxtG"/>
      </w:pPr>
      <w:r w:rsidRPr="00B045DB">
        <w:t>21.</w:t>
      </w:r>
      <w:r w:rsidRPr="00B045DB">
        <w:tab/>
        <w:t>Suite à l</w:t>
      </w:r>
      <w:r w:rsidR="003B2315" w:rsidRPr="00B045DB">
        <w:t>’</w:t>
      </w:r>
      <w:r w:rsidRPr="00B045DB">
        <w:t>agression militaire de la Fédération de Russie contre l</w:t>
      </w:r>
      <w:r w:rsidR="003B2315" w:rsidRPr="00B045DB">
        <w:t>’</w:t>
      </w:r>
      <w:r w:rsidRPr="00B045DB">
        <w:t>Ukraine, le Comité, à sa cinquante-deuxième session</w:t>
      </w:r>
      <w:r w:rsidRPr="00B045DB">
        <w:rPr>
          <w:rStyle w:val="Appelnotedebasdep"/>
        </w:rPr>
        <w:footnoteReference w:id="23"/>
      </w:r>
      <w:r w:rsidRPr="00B045DB">
        <w:t>, a différé l</w:t>
      </w:r>
      <w:r w:rsidR="003B2315" w:rsidRPr="00B045DB">
        <w:t>’</w:t>
      </w:r>
      <w:r w:rsidRPr="00B045DB">
        <w:t>examen de toutes les questions de respect des obligations concernant l</w:t>
      </w:r>
      <w:r w:rsidR="003B2315" w:rsidRPr="00B045DB">
        <w:t>’</w:t>
      </w:r>
      <w:r w:rsidRPr="00B045DB">
        <w:t>Ukraine</w:t>
      </w:r>
      <w:r w:rsidRPr="00B045DB">
        <w:rPr>
          <w:rStyle w:val="Appelnotedebasdep"/>
        </w:rPr>
        <w:footnoteReference w:id="24"/>
      </w:r>
      <w:r w:rsidRPr="00B045DB">
        <w:t>. Celle-ci s</w:t>
      </w:r>
      <w:r w:rsidR="003B2315" w:rsidRPr="00B045DB">
        <w:t>’</w:t>
      </w:r>
      <w:r w:rsidRPr="00B045DB">
        <w:t>étant montrée soucieuse de résoudre les questions de respect des obligations, le Comité a repris ses délibérations à sa cinquante</w:t>
      </w:r>
      <w:r w:rsidR="003F33A3">
        <w:noBreakHyphen/>
      </w:r>
      <w:r w:rsidRPr="00B045DB">
        <w:t>sixième session et a tenu des consultations informelles avec l</w:t>
      </w:r>
      <w:r w:rsidR="003B2315" w:rsidRPr="00B045DB">
        <w:t>’</w:t>
      </w:r>
      <w:r w:rsidRPr="00B045DB">
        <w:t>Ukraine durant cette session.</w:t>
      </w:r>
    </w:p>
    <w:p w14:paraId="79F7B953" w14:textId="5DE5F806" w:rsidR="00D24047" w:rsidRPr="00B045DB" w:rsidRDefault="003F33A3" w:rsidP="003F33A3">
      <w:pPr>
        <w:pStyle w:val="H4G"/>
      </w:pPr>
      <w:r>
        <w:tab/>
      </w:r>
      <w:r>
        <w:tab/>
      </w:r>
      <w:r w:rsidR="00D24047" w:rsidRPr="00B045DB">
        <w:t>EIA/IC/S/1</w:t>
      </w:r>
    </w:p>
    <w:p w14:paraId="2F8D90C0" w14:textId="472EC1A8" w:rsidR="00D24047" w:rsidRPr="00B045DB" w:rsidRDefault="00D24047" w:rsidP="00D24047">
      <w:pPr>
        <w:pStyle w:val="SingleTxtG"/>
      </w:pPr>
      <w:r w:rsidRPr="00B045DB">
        <w:t>22.</w:t>
      </w:r>
      <w:r w:rsidRPr="00B045DB">
        <w:tab/>
        <w:t>La question du respect par l</w:t>
      </w:r>
      <w:r w:rsidR="003B2315" w:rsidRPr="00B045DB">
        <w:t>’</w:t>
      </w:r>
      <w:r w:rsidRPr="00B045DB">
        <w:t xml:space="preserve">Ukraine des obligations qui lui incombent en vertu de la Convention pour ce qui est de sa législation et du canal de navigation en eau profonde entre le Danube et la mer Noire dans le secteur ukrainien du delta du Danube (projet du canal de </w:t>
      </w:r>
      <w:proofErr w:type="spellStart"/>
      <w:r w:rsidRPr="00B045DB">
        <w:t>Bystroe</w:t>
      </w:r>
      <w:proofErr w:type="spellEnd"/>
      <w:r w:rsidRPr="00B045DB">
        <w:t>), est examinée par le Comité depuis 2004.</w:t>
      </w:r>
    </w:p>
    <w:p w14:paraId="64F6E94B" w14:textId="7A98553B" w:rsidR="00D24047" w:rsidRPr="00B045DB" w:rsidRDefault="00D24047" w:rsidP="00D24047">
      <w:pPr>
        <w:pStyle w:val="SingleTxtG"/>
      </w:pPr>
      <w:r w:rsidRPr="00B045DB">
        <w:t>23.</w:t>
      </w:r>
      <w:r w:rsidRPr="00B045DB">
        <w:tab/>
        <w:t>Le Comité a accueilli avec satisfaction les progrès accomplis par l</w:t>
      </w:r>
      <w:r w:rsidR="003B2315" w:rsidRPr="00B045DB">
        <w:t>’</w:t>
      </w:r>
      <w:r w:rsidRPr="00B045DB">
        <w:t>Ukraine dans l</w:t>
      </w:r>
      <w:r w:rsidR="003B2315" w:rsidRPr="00B045DB">
        <w:t>’</w:t>
      </w:r>
      <w:r w:rsidRPr="00B045DB">
        <w:t>application de la décision VIII/4d, en particulier la conclusion d</w:t>
      </w:r>
      <w:r w:rsidR="003B2315" w:rsidRPr="00B045DB">
        <w:t>’</w:t>
      </w:r>
      <w:r w:rsidRPr="00B045DB">
        <w:t>un accord bilatéral entre l</w:t>
      </w:r>
      <w:r w:rsidR="003B2315" w:rsidRPr="00B045DB">
        <w:t>’</w:t>
      </w:r>
      <w:r w:rsidRPr="00B045DB">
        <w:t>Ukraine et la Roumanie concernant l</w:t>
      </w:r>
      <w:r w:rsidR="003B2315" w:rsidRPr="00B045DB">
        <w:t>’</w:t>
      </w:r>
      <w:r w:rsidRPr="00B045DB">
        <w:t>application de la Convention le 18</w:t>
      </w:r>
      <w:r w:rsidR="00306C84" w:rsidRPr="00B045DB">
        <w:t> </w:t>
      </w:r>
      <w:r w:rsidRPr="00B045DB">
        <w:t>novembre 2022, comme la Réunion des Parties l</w:t>
      </w:r>
      <w:r w:rsidR="003B2315" w:rsidRPr="00B045DB">
        <w:t>’</w:t>
      </w:r>
      <w:r w:rsidRPr="00B045DB">
        <w:t>avait demandé en 2008</w:t>
      </w:r>
      <w:r w:rsidRPr="00B045DB">
        <w:rPr>
          <w:rStyle w:val="Appelnotedebasdep"/>
        </w:rPr>
        <w:footnoteReference w:id="25"/>
      </w:r>
      <w:r w:rsidRPr="00B045DB">
        <w:t xml:space="preserve"> puis à diverses reprises par la suite, avec l</w:t>
      </w:r>
      <w:r w:rsidR="003B2315" w:rsidRPr="00B045DB">
        <w:t>’</w:t>
      </w:r>
      <w:r w:rsidRPr="00B045DB">
        <w:t>appui du secrétariat et le financement de l</w:t>
      </w:r>
      <w:r w:rsidR="003B2315" w:rsidRPr="00B045DB">
        <w:t>’</w:t>
      </w:r>
      <w:r w:rsidRPr="00B045DB">
        <w:t>Union européenne.</w:t>
      </w:r>
    </w:p>
    <w:p w14:paraId="6F60D063" w14:textId="03DD0EC7" w:rsidR="00D24047" w:rsidRPr="00B045DB" w:rsidRDefault="00D24047" w:rsidP="00D24047">
      <w:pPr>
        <w:pStyle w:val="SingleTxtG"/>
      </w:pPr>
      <w:r w:rsidRPr="00B045DB">
        <w:t>24.</w:t>
      </w:r>
      <w:r w:rsidRPr="00B045DB">
        <w:tab/>
        <w:t>Le Comité a accueilli avec satisfaction l</w:t>
      </w:r>
      <w:r w:rsidR="003B2315" w:rsidRPr="00B045DB">
        <w:t>’</w:t>
      </w:r>
      <w:r w:rsidRPr="00B045DB">
        <w:t>information fournie par l</w:t>
      </w:r>
      <w:r w:rsidR="003B2315" w:rsidRPr="00B045DB">
        <w:t>’</w:t>
      </w:r>
      <w:r w:rsidRPr="00B045DB">
        <w:t xml:space="preserve">Ukraine selon laquelle les opérations de dragage dans le canal de </w:t>
      </w:r>
      <w:proofErr w:type="spellStart"/>
      <w:r w:rsidRPr="00B045DB">
        <w:t>Bystroe</w:t>
      </w:r>
      <w:proofErr w:type="spellEnd"/>
      <w:r w:rsidRPr="00B045DB">
        <w:t xml:space="preserve"> avaient été interrompues conformément au paragraphe 11 de la décision VIII/4d. Le Comité a également accueilli avec satisfaction les mesures prises par l</w:t>
      </w:r>
      <w:r w:rsidR="003B2315" w:rsidRPr="00B045DB">
        <w:t>’</w:t>
      </w:r>
      <w:r w:rsidRPr="00B045DB">
        <w:t>Ukraine dans le cadre de la procédure d</w:t>
      </w:r>
      <w:r w:rsidR="003B2315" w:rsidRPr="00B045DB">
        <w:t>’</w:t>
      </w:r>
      <w:r w:rsidRPr="00B045DB">
        <w:t>évaluation de l</w:t>
      </w:r>
      <w:r w:rsidR="003B2315" w:rsidRPr="00B045DB">
        <w:t>’</w:t>
      </w:r>
      <w:r w:rsidRPr="00B045DB">
        <w:t>impact sur l</w:t>
      </w:r>
      <w:r w:rsidR="003B2315" w:rsidRPr="00B045DB">
        <w:t>’</w:t>
      </w:r>
      <w:r w:rsidRPr="00B045DB">
        <w:t xml:space="preserve">environnement du nouveau projet de tracé du canal de </w:t>
      </w:r>
      <w:proofErr w:type="spellStart"/>
      <w:r w:rsidRPr="00B045DB">
        <w:t>Bystroe</w:t>
      </w:r>
      <w:proofErr w:type="spellEnd"/>
      <w:r w:rsidRPr="00B045DB">
        <w:t>, mentionnées aux paragraphes 7 et 14 de la décision VIII/4d, la notification adressée à la Roumanie le 22</w:t>
      </w:r>
      <w:r w:rsidR="00306C84" w:rsidRPr="00B045DB">
        <w:t> </w:t>
      </w:r>
      <w:r w:rsidRPr="00B045DB">
        <w:t>juin 2020 et la soumission à la Roumanie du rapport d</w:t>
      </w:r>
      <w:r w:rsidR="003B2315" w:rsidRPr="00B045DB">
        <w:t>’</w:t>
      </w:r>
      <w:r w:rsidRPr="00B045DB">
        <w:t>évaluation de l</w:t>
      </w:r>
      <w:r w:rsidR="003B2315" w:rsidRPr="00B045DB">
        <w:t>’</w:t>
      </w:r>
      <w:r w:rsidRPr="00B045DB">
        <w:t>impact sur l</w:t>
      </w:r>
      <w:r w:rsidR="003B2315" w:rsidRPr="00B045DB">
        <w:t>’</w:t>
      </w:r>
      <w:r w:rsidRPr="00B045DB">
        <w:t>environnement, y compris un plan prévoyant des mesures de compensation et un suivi a posteriori du projet, le 3</w:t>
      </w:r>
      <w:r w:rsidR="00306C84" w:rsidRPr="00B045DB">
        <w:t> </w:t>
      </w:r>
      <w:r w:rsidRPr="00B045DB">
        <w:t>mai 2023.</w:t>
      </w:r>
    </w:p>
    <w:p w14:paraId="7027669D" w14:textId="0A75553E" w:rsidR="00D24047" w:rsidRPr="00B045DB" w:rsidRDefault="00D24047" w:rsidP="00D24047">
      <w:pPr>
        <w:pStyle w:val="SingleTxtG"/>
      </w:pPr>
      <w:r w:rsidRPr="00B045DB">
        <w:t>25.</w:t>
      </w:r>
      <w:r w:rsidRPr="00B045DB">
        <w:tab/>
        <w:t xml:space="preserve">Toutefois, le Comité a constaté avec regret que, en dépit des mesures importantes prises pour mettre le projet du canal de </w:t>
      </w:r>
      <w:proofErr w:type="spellStart"/>
      <w:r w:rsidRPr="00B045DB">
        <w:t>Bystroe</w:t>
      </w:r>
      <w:proofErr w:type="spellEnd"/>
      <w:r w:rsidRPr="00B045DB">
        <w:t xml:space="preserve"> en conformité avec la Convention, les paragraphes 4 à 6 et 12 de la décision VIII/4d et certaines décisions antérieures n</w:t>
      </w:r>
      <w:r w:rsidR="003B2315" w:rsidRPr="00B045DB">
        <w:t>’</w:t>
      </w:r>
      <w:r w:rsidRPr="00B045DB">
        <w:t>avaient pas encore été pleinement appliqués. Dans le projet de décision IX/4k</w:t>
      </w:r>
      <w:r w:rsidRPr="00B045DB">
        <w:rPr>
          <w:rStyle w:val="Appelnotedebasdep"/>
        </w:rPr>
        <w:footnoteReference w:id="26"/>
      </w:r>
      <w:r w:rsidRPr="00B045DB">
        <w:t>, le Comité a recommandé à la Réunion des Parties, entre autres mesures, de faire sienne la conclusion du Comité selon laquelle la mise en garde qu</w:t>
      </w:r>
      <w:r w:rsidR="003B2315" w:rsidRPr="00B045DB">
        <w:t>’</w:t>
      </w:r>
      <w:r w:rsidRPr="00B045DB">
        <w:t>elle avait formulée à l</w:t>
      </w:r>
      <w:r w:rsidR="003B2315" w:rsidRPr="00B045DB">
        <w:t>’</w:t>
      </w:r>
      <w:r w:rsidRPr="00B045DB">
        <w:t>intention du Gouvernement ukrainien à sa quatrième session (Bucarest, 19-21 mai 2008) ne pouvait toujours pas être levée.</w:t>
      </w:r>
    </w:p>
    <w:p w14:paraId="32989098" w14:textId="49B3D62D" w:rsidR="00D24047" w:rsidRPr="00B045DB" w:rsidRDefault="00411349" w:rsidP="00411349">
      <w:pPr>
        <w:pStyle w:val="H4G"/>
      </w:pPr>
      <w:r>
        <w:tab/>
      </w:r>
      <w:r>
        <w:tab/>
      </w:r>
      <w:r w:rsidR="00D24047" w:rsidRPr="00B045DB">
        <w:t>EIA/IC/CI/4</w:t>
      </w:r>
    </w:p>
    <w:p w14:paraId="21EFDEED" w14:textId="745A2ECB" w:rsidR="00D24047" w:rsidRPr="00B045DB" w:rsidRDefault="00D24047" w:rsidP="00D24047">
      <w:pPr>
        <w:pStyle w:val="SingleTxtG"/>
      </w:pPr>
      <w:r w:rsidRPr="00B045DB">
        <w:t>26.</w:t>
      </w:r>
      <w:r w:rsidRPr="00B045DB">
        <w:tab/>
        <w:t>Le Comité a examiné la suite donnée à la décision VIII/4e concernant la prolongation de la durée de vie des réacteurs 1 et 2 de la centrale nucléaire de Rivne par l</w:t>
      </w:r>
      <w:r w:rsidR="003B2315" w:rsidRPr="00B045DB">
        <w:t>’</w:t>
      </w:r>
      <w:r w:rsidRPr="00B045DB">
        <w:t>Ukraine.</w:t>
      </w:r>
    </w:p>
    <w:p w14:paraId="0A47FD6C" w14:textId="759E31B7" w:rsidR="00D24047" w:rsidRPr="00B045DB" w:rsidRDefault="00D24047" w:rsidP="00D24047">
      <w:pPr>
        <w:pStyle w:val="SingleTxtG"/>
      </w:pPr>
      <w:r w:rsidRPr="00B045DB">
        <w:t>27.</w:t>
      </w:r>
      <w:r w:rsidRPr="00B045DB">
        <w:tab/>
        <w:t>Le Comité a accueilli avec satisfaction les mesures prises par l</w:t>
      </w:r>
      <w:r w:rsidR="003B2315" w:rsidRPr="00B045DB">
        <w:t>’</w:t>
      </w:r>
      <w:r w:rsidRPr="00B045DB">
        <w:t>Ukraine pour achever la procédure d</w:t>
      </w:r>
      <w:r w:rsidR="003B2315" w:rsidRPr="00B045DB">
        <w:t>’</w:t>
      </w:r>
      <w:r w:rsidRPr="00B045DB">
        <w:t>évaluation de l</w:t>
      </w:r>
      <w:r w:rsidR="003B2315" w:rsidRPr="00B045DB">
        <w:t>’</w:t>
      </w:r>
      <w:r w:rsidRPr="00B045DB">
        <w:t>impact transfrontière sur l</w:t>
      </w:r>
      <w:r w:rsidR="003B2315" w:rsidRPr="00B045DB">
        <w:t>’</w:t>
      </w:r>
      <w:r w:rsidRPr="00B045DB">
        <w:t>environnement mais a constaté que le pays n</w:t>
      </w:r>
      <w:r w:rsidR="003B2315" w:rsidRPr="00B045DB">
        <w:t>’</w:t>
      </w:r>
      <w:r w:rsidRPr="00B045DB">
        <w:t>avait pas, pour l</w:t>
      </w:r>
      <w:r w:rsidR="003B2315" w:rsidRPr="00B045DB">
        <w:t>’</w:t>
      </w:r>
      <w:r w:rsidRPr="00B045DB">
        <w:t>instant, mené à bien la procédure prévue par la Convention.</w:t>
      </w:r>
    </w:p>
    <w:p w14:paraId="06D1CB1D" w14:textId="65057E62" w:rsidR="00D24047" w:rsidRPr="00B045DB" w:rsidRDefault="00D24047" w:rsidP="00D24047">
      <w:pPr>
        <w:pStyle w:val="SingleTxtG"/>
      </w:pPr>
      <w:r w:rsidRPr="00B045DB">
        <w:t>28.</w:t>
      </w:r>
      <w:r w:rsidRPr="00B045DB">
        <w:tab/>
        <w:t>Le Comité a recommandé que, dans le projet de décision IX/4k</w:t>
      </w:r>
      <w:r w:rsidRPr="00B045DB">
        <w:rPr>
          <w:rStyle w:val="Appelnotedebasdep"/>
        </w:rPr>
        <w:footnoteReference w:id="27"/>
      </w:r>
      <w:r w:rsidRPr="00B045DB">
        <w:t>, la Réunion des Parties, entre autres mesures, prie l</w:t>
      </w:r>
      <w:r w:rsidR="003B2315" w:rsidRPr="00B045DB">
        <w:t>’</w:t>
      </w:r>
      <w:r w:rsidRPr="00B045DB">
        <w:t>Ukraine de mener à bien la procédure d</w:t>
      </w:r>
      <w:r w:rsidR="003B2315" w:rsidRPr="00B045DB">
        <w:t>’</w:t>
      </w:r>
      <w:r w:rsidRPr="00B045DB">
        <w:t>évaluation de l</w:t>
      </w:r>
      <w:r w:rsidR="003B2315" w:rsidRPr="00B045DB">
        <w:t>’</w:t>
      </w:r>
      <w:r w:rsidRPr="00B045DB">
        <w:t>impact transfrontière sur l</w:t>
      </w:r>
      <w:r w:rsidR="003B2315" w:rsidRPr="00B045DB">
        <w:t>’</w:t>
      </w:r>
      <w:r w:rsidRPr="00B045DB">
        <w:t>environnement avec les Parties qui considèrent encore qu</w:t>
      </w:r>
      <w:r w:rsidR="003B2315" w:rsidRPr="00B045DB">
        <w:t>’</w:t>
      </w:r>
      <w:r w:rsidRPr="00B045DB">
        <w:t>elles sont touchées.</w:t>
      </w:r>
    </w:p>
    <w:p w14:paraId="3969D7D3" w14:textId="7B388973" w:rsidR="00D24047" w:rsidRPr="00B045DB" w:rsidRDefault="00306C84" w:rsidP="00306C84">
      <w:pPr>
        <w:pStyle w:val="HChG"/>
      </w:pPr>
      <w:r w:rsidRPr="00B045DB">
        <w:lastRenderedPageBreak/>
        <w:tab/>
      </w:r>
      <w:r w:rsidR="00D24047" w:rsidRPr="00B045DB">
        <w:t>III.</w:t>
      </w:r>
      <w:r w:rsidR="00D24047" w:rsidRPr="00B045DB">
        <w:tab/>
        <w:t>Communications reçues des Parties</w:t>
      </w:r>
    </w:p>
    <w:p w14:paraId="2C898DA6" w14:textId="48437574" w:rsidR="00D24047" w:rsidRPr="00B045DB" w:rsidRDefault="00D24047" w:rsidP="00D24047">
      <w:pPr>
        <w:pStyle w:val="SingleTxtG"/>
      </w:pPr>
      <w:r w:rsidRPr="00B045DB">
        <w:t>29.</w:t>
      </w:r>
      <w:r w:rsidRPr="00B045DB">
        <w:tab/>
        <w:t>Le Comité a examiné trois communications reçues de Parties qui exprimaient des préoccupations concernant l</w:t>
      </w:r>
      <w:r w:rsidR="003B2315" w:rsidRPr="00B045DB">
        <w:t>’</w:t>
      </w:r>
      <w:r w:rsidRPr="00B045DB">
        <w:t>application de la Convention (deux d</w:t>
      </w:r>
      <w:r w:rsidR="003B2315" w:rsidRPr="00B045DB">
        <w:t>’</w:t>
      </w:r>
      <w:r w:rsidRPr="00B045DB">
        <w:t>entres elles avaient été soumises durant la période intersessions précédente) et une communication concernant la Convention et le Protocole (voir le tableau 1 ci-après)</w:t>
      </w:r>
    </w:p>
    <w:p w14:paraId="474B1D55" w14:textId="3F2537DE" w:rsidR="00D24047" w:rsidRPr="00B045DB" w:rsidRDefault="00D24047" w:rsidP="00306C84">
      <w:pPr>
        <w:pStyle w:val="Titre1"/>
        <w:spacing w:after="120"/>
        <w:rPr>
          <w:b/>
        </w:rPr>
      </w:pPr>
      <w:r w:rsidRPr="00B045DB">
        <w:t>Tableau 1</w:t>
      </w:r>
      <w:r w:rsidR="00306C84" w:rsidRPr="00B045DB">
        <w:br/>
      </w:r>
      <w:r w:rsidRPr="00B045DB">
        <w:rPr>
          <w:b/>
        </w:rPr>
        <w:t>Communications</w:t>
      </w:r>
    </w:p>
    <w:tbl>
      <w:tblPr>
        <w:tblW w:w="8504" w:type="dxa"/>
        <w:tblInd w:w="1134" w:type="dxa"/>
        <w:tblLayout w:type="fixed"/>
        <w:tblCellMar>
          <w:left w:w="0" w:type="dxa"/>
          <w:right w:w="0" w:type="dxa"/>
        </w:tblCellMar>
        <w:tblLook w:val="04A0" w:firstRow="1" w:lastRow="0" w:firstColumn="1" w:lastColumn="0" w:noHBand="0" w:noVBand="1"/>
      </w:tblPr>
      <w:tblGrid>
        <w:gridCol w:w="1554"/>
        <w:gridCol w:w="1862"/>
        <w:gridCol w:w="1189"/>
        <w:gridCol w:w="3899"/>
      </w:tblGrid>
      <w:tr w:rsidR="00DB0C25" w:rsidRPr="00B045DB" w14:paraId="03F678BE" w14:textId="77777777" w:rsidTr="00390C19">
        <w:trPr>
          <w:tblHeader/>
        </w:trPr>
        <w:tc>
          <w:tcPr>
            <w:tcW w:w="1554" w:type="dxa"/>
            <w:tcBorders>
              <w:top w:val="single" w:sz="4" w:space="0" w:color="auto"/>
              <w:bottom w:val="single" w:sz="12" w:space="0" w:color="auto"/>
            </w:tcBorders>
            <w:shd w:val="clear" w:color="auto" w:fill="auto"/>
            <w:vAlign w:val="bottom"/>
            <w:hideMark/>
          </w:tcPr>
          <w:p w14:paraId="27B11D3F" w14:textId="77777777" w:rsidR="00D24047" w:rsidRPr="00B045DB" w:rsidRDefault="00D24047" w:rsidP="00306C84">
            <w:pPr>
              <w:keepNext/>
              <w:keepLines/>
              <w:spacing w:before="80" w:after="80" w:line="200" w:lineRule="exact"/>
              <w:ind w:right="113"/>
              <w:rPr>
                <w:i/>
                <w:sz w:val="16"/>
              </w:rPr>
            </w:pPr>
            <w:r w:rsidRPr="00B045DB">
              <w:rPr>
                <w:i/>
                <w:sz w:val="16"/>
              </w:rPr>
              <w:t>Référence du Comité</w:t>
            </w:r>
          </w:p>
        </w:tc>
        <w:tc>
          <w:tcPr>
            <w:tcW w:w="1862" w:type="dxa"/>
            <w:tcBorders>
              <w:top w:val="single" w:sz="4" w:space="0" w:color="auto"/>
              <w:bottom w:val="single" w:sz="12" w:space="0" w:color="auto"/>
            </w:tcBorders>
            <w:shd w:val="clear" w:color="auto" w:fill="auto"/>
            <w:vAlign w:val="bottom"/>
            <w:hideMark/>
          </w:tcPr>
          <w:p w14:paraId="50BBCBC8" w14:textId="4B319548" w:rsidR="00D24047" w:rsidRPr="00B045DB" w:rsidRDefault="00D24047" w:rsidP="00306C84">
            <w:pPr>
              <w:keepNext/>
              <w:keepLines/>
              <w:spacing w:before="80" w:after="80" w:line="200" w:lineRule="exact"/>
              <w:ind w:right="113"/>
              <w:rPr>
                <w:i/>
                <w:sz w:val="16"/>
              </w:rPr>
            </w:pPr>
            <w:r w:rsidRPr="00B045DB">
              <w:rPr>
                <w:i/>
                <w:sz w:val="16"/>
              </w:rPr>
              <w:t>Partie concernée</w:t>
            </w:r>
          </w:p>
        </w:tc>
        <w:tc>
          <w:tcPr>
            <w:tcW w:w="1189" w:type="dxa"/>
            <w:tcBorders>
              <w:top w:val="single" w:sz="4" w:space="0" w:color="auto"/>
              <w:bottom w:val="single" w:sz="12" w:space="0" w:color="auto"/>
            </w:tcBorders>
            <w:shd w:val="clear" w:color="auto" w:fill="auto"/>
            <w:vAlign w:val="bottom"/>
            <w:hideMark/>
          </w:tcPr>
          <w:p w14:paraId="4F85A5F3" w14:textId="77777777" w:rsidR="00D24047" w:rsidRPr="00B045DB" w:rsidRDefault="00D24047" w:rsidP="00306C84">
            <w:pPr>
              <w:keepNext/>
              <w:keepLines/>
              <w:spacing w:before="80" w:after="80" w:line="200" w:lineRule="exact"/>
              <w:ind w:right="113"/>
              <w:rPr>
                <w:i/>
                <w:sz w:val="16"/>
              </w:rPr>
            </w:pPr>
            <w:r w:rsidRPr="00B045DB">
              <w:rPr>
                <w:i/>
                <w:sz w:val="16"/>
              </w:rPr>
              <w:t>Soumise par</w:t>
            </w:r>
          </w:p>
        </w:tc>
        <w:tc>
          <w:tcPr>
            <w:tcW w:w="3899" w:type="dxa"/>
            <w:tcBorders>
              <w:top w:val="single" w:sz="4" w:space="0" w:color="auto"/>
              <w:bottom w:val="single" w:sz="12" w:space="0" w:color="auto"/>
            </w:tcBorders>
            <w:shd w:val="clear" w:color="auto" w:fill="auto"/>
            <w:vAlign w:val="bottom"/>
            <w:hideMark/>
          </w:tcPr>
          <w:p w14:paraId="553C4380" w14:textId="0CB41BCD" w:rsidR="00D24047" w:rsidRPr="00B045DB" w:rsidRDefault="00D24047" w:rsidP="00390C19">
            <w:pPr>
              <w:keepNext/>
              <w:keepLines/>
              <w:spacing w:before="80" w:after="80" w:line="200" w:lineRule="exact"/>
              <w:rPr>
                <w:i/>
                <w:sz w:val="16"/>
              </w:rPr>
            </w:pPr>
            <w:r w:rsidRPr="00B045DB">
              <w:rPr>
                <w:i/>
                <w:sz w:val="16"/>
              </w:rPr>
              <w:t>Question</w:t>
            </w:r>
          </w:p>
        </w:tc>
      </w:tr>
      <w:tr w:rsidR="00DB0C25" w:rsidRPr="00B045DB" w14:paraId="47239405" w14:textId="77777777" w:rsidTr="00390C19">
        <w:trPr>
          <w:trHeight w:hRule="exact" w:val="113"/>
          <w:tblHeader/>
        </w:trPr>
        <w:tc>
          <w:tcPr>
            <w:tcW w:w="1554" w:type="dxa"/>
            <w:tcBorders>
              <w:top w:val="single" w:sz="12" w:space="0" w:color="auto"/>
            </w:tcBorders>
            <w:shd w:val="clear" w:color="auto" w:fill="auto"/>
          </w:tcPr>
          <w:p w14:paraId="7B0A5BD2" w14:textId="77777777" w:rsidR="00DB0C25" w:rsidRPr="00B045DB" w:rsidRDefault="00DB0C25" w:rsidP="00306C84">
            <w:pPr>
              <w:keepNext/>
              <w:keepLines/>
              <w:spacing w:before="40" w:after="120"/>
              <w:ind w:right="113"/>
            </w:pPr>
          </w:p>
        </w:tc>
        <w:tc>
          <w:tcPr>
            <w:tcW w:w="1862" w:type="dxa"/>
            <w:tcBorders>
              <w:top w:val="single" w:sz="12" w:space="0" w:color="auto"/>
            </w:tcBorders>
            <w:shd w:val="clear" w:color="auto" w:fill="auto"/>
          </w:tcPr>
          <w:p w14:paraId="5771791B" w14:textId="77777777" w:rsidR="00DB0C25" w:rsidRPr="00B045DB" w:rsidRDefault="00DB0C25" w:rsidP="00306C84">
            <w:pPr>
              <w:keepNext/>
              <w:keepLines/>
              <w:spacing w:before="40" w:after="120"/>
              <w:ind w:right="113"/>
            </w:pPr>
          </w:p>
        </w:tc>
        <w:tc>
          <w:tcPr>
            <w:tcW w:w="1189" w:type="dxa"/>
            <w:tcBorders>
              <w:top w:val="single" w:sz="12" w:space="0" w:color="auto"/>
            </w:tcBorders>
            <w:shd w:val="clear" w:color="auto" w:fill="auto"/>
          </w:tcPr>
          <w:p w14:paraId="373FD75A" w14:textId="77777777" w:rsidR="00DB0C25" w:rsidRPr="00B045DB" w:rsidRDefault="00DB0C25" w:rsidP="00306C84">
            <w:pPr>
              <w:keepNext/>
              <w:keepLines/>
              <w:spacing w:before="40" w:after="120"/>
              <w:ind w:right="113"/>
            </w:pPr>
          </w:p>
        </w:tc>
        <w:tc>
          <w:tcPr>
            <w:tcW w:w="3899" w:type="dxa"/>
            <w:tcBorders>
              <w:top w:val="single" w:sz="12" w:space="0" w:color="auto"/>
            </w:tcBorders>
            <w:shd w:val="clear" w:color="auto" w:fill="auto"/>
          </w:tcPr>
          <w:p w14:paraId="273569AB" w14:textId="77777777" w:rsidR="00DB0C25" w:rsidRPr="00B045DB" w:rsidRDefault="00DB0C25" w:rsidP="00390C19">
            <w:pPr>
              <w:keepNext/>
              <w:keepLines/>
              <w:spacing w:before="40" w:after="120"/>
            </w:pPr>
          </w:p>
        </w:tc>
      </w:tr>
      <w:tr w:rsidR="00D24047" w:rsidRPr="00B045DB" w14:paraId="14278BAB" w14:textId="77777777" w:rsidTr="00390C19">
        <w:tc>
          <w:tcPr>
            <w:tcW w:w="1554" w:type="dxa"/>
            <w:shd w:val="clear" w:color="auto" w:fill="auto"/>
            <w:hideMark/>
          </w:tcPr>
          <w:p w14:paraId="150C3BD9" w14:textId="77777777" w:rsidR="00D24047" w:rsidRPr="00B045DB" w:rsidRDefault="00D24047" w:rsidP="00306C84">
            <w:pPr>
              <w:keepNext/>
              <w:keepLines/>
              <w:spacing w:before="40" w:after="120"/>
              <w:ind w:right="113"/>
            </w:pPr>
            <w:r w:rsidRPr="00B045DB">
              <w:t>EIA/IC/S/6</w:t>
            </w:r>
          </w:p>
        </w:tc>
        <w:tc>
          <w:tcPr>
            <w:tcW w:w="1862" w:type="dxa"/>
            <w:shd w:val="clear" w:color="auto" w:fill="auto"/>
            <w:hideMark/>
          </w:tcPr>
          <w:p w14:paraId="1160C043" w14:textId="28C01039" w:rsidR="00D24047" w:rsidRPr="00B045DB" w:rsidRDefault="00D24047" w:rsidP="00306C84">
            <w:pPr>
              <w:keepNext/>
              <w:keepLines/>
              <w:spacing w:before="40" w:after="120"/>
              <w:ind w:right="113"/>
            </w:pPr>
            <w:r w:rsidRPr="00B045DB">
              <w:t>Serbie</w:t>
            </w:r>
          </w:p>
        </w:tc>
        <w:tc>
          <w:tcPr>
            <w:tcW w:w="1189" w:type="dxa"/>
            <w:shd w:val="clear" w:color="auto" w:fill="auto"/>
            <w:hideMark/>
          </w:tcPr>
          <w:p w14:paraId="47BC884E" w14:textId="77777777" w:rsidR="00D24047" w:rsidRPr="00B045DB" w:rsidRDefault="00D24047" w:rsidP="00306C84">
            <w:pPr>
              <w:keepNext/>
              <w:keepLines/>
              <w:spacing w:before="40" w:after="120"/>
              <w:ind w:right="113"/>
            </w:pPr>
            <w:r w:rsidRPr="00B045DB">
              <w:t>Bulgarie</w:t>
            </w:r>
          </w:p>
        </w:tc>
        <w:tc>
          <w:tcPr>
            <w:tcW w:w="3899" w:type="dxa"/>
            <w:shd w:val="clear" w:color="auto" w:fill="auto"/>
            <w:hideMark/>
          </w:tcPr>
          <w:p w14:paraId="26C5FA7E" w14:textId="77777777" w:rsidR="00D24047" w:rsidRPr="00B045DB" w:rsidRDefault="00D24047" w:rsidP="00390C19">
            <w:pPr>
              <w:keepNext/>
              <w:keepLines/>
              <w:spacing w:before="40" w:after="120"/>
            </w:pPr>
            <w:r w:rsidRPr="00B045DB">
              <w:t>Activités extractives menées par la Serbie</w:t>
            </w:r>
          </w:p>
        </w:tc>
      </w:tr>
      <w:tr w:rsidR="00D24047" w:rsidRPr="00B045DB" w14:paraId="554C8FC9" w14:textId="77777777" w:rsidTr="00390C19">
        <w:tc>
          <w:tcPr>
            <w:tcW w:w="1554" w:type="dxa"/>
            <w:shd w:val="clear" w:color="auto" w:fill="auto"/>
          </w:tcPr>
          <w:p w14:paraId="4C25D512" w14:textId="77777777" w:rsidR="00D24047" w:rsidRPr="00B045DB" w:rsidRDefault="00D24047" w:rsidP="00DB0C25">
            <w:pPr>
              <w:spacing w:before="40" w:after="120"/>
              <w:ind w:right="113"/>
            </w:pPr>
            <w:r w:rsidRPr="00B045DB">
              <w:t>EIA/IC/S/7</w:t>
            </w:r>
          </w:p>
        </w:tc>
        <w:tc>
          <w:tcPr>
            <w:tcW w:w="1862" w:type="dxa"/>
            <w:shd w:val="clear" w:color="auto" w:fill="auto"/>
          </w:tcPr>
          <w:p w14:paraId="626BE4FC" w14:textId="55DAEFE2" w:rsidR="00D24047" w:rsidRPr="00B045DB" w:rsidRDefault="00D24047" w:rsidP="00DB0C25">
            <w:pPr>
              <w:spacing w:before="40" w:after="120"/>
              <w:ind w:right="113"/>
            </w:pPr>
            <w:r w:rsidRPr="00B045DB">
              <w:t>Albanie</w:t>
            </w:r>
          </w:p>
        </w:tc>
        <w:tc>
          <w:tcPr>
            <w:tcW w:w="1189" w:type="dxa"/>
            <w:shd w:val="clear" w:color="auto" w:fill="auto"/>
          </w:tcPr>
          <w:p w14:paraId="603C8265" w14:textId="77777777" w:rsidR="00D24047" w:rsidRPr="00B045DB" w:rsidRDefault="00D24047" w:rsidP="00DB0C25">
            <w:pPr>
              <w:spacing w:before="40" w:after="120"/>
              <w:ind w:right="113"/>
            </w:pPr>
            <w:r w:rsidRPr="00B045DB">
              <w:t>Monténégro</w:t>
            </w:r>
          </w:p>
        </w:tc>
        <w:tc>
          <w:tcPr>
            <w:tcW w:w="3899" w:type="dxa"/>
            <w:shd w:val="clear" w:color="auto" w:fill="auto"/>
          </w:tcPr>
          <w:p w14:paraId="0C633748" w14:textId="48EB67F9" w:rsidR="00D24047" w:rsidRPr="00B045DB" w:rsidRDefault="00D24047" w:rsidP="00390C19">
            <w:pPr>
              <w:spacing w:before="40" w:after="120"/>
            </w:pPr>
            <w:r w:rsidRPr="00B045DB">
              <w:t>Construction prévue par l</w:t>
            </w:r>
            <w:r w:rsidR="003B2315" w:rsidRPr="00B045DB">
              <w:t>’</w:t>
            </w:r>
            <w:r w:rsidRPr="00B045DB">
              <w:t xml:space="preserve">Albanie de plusieurs petites centrales </w:t>
            </w:r>
            <w:proofErr w:type="spellStart"/>
            <w:r w:rsidRPr="00B045DB">
              <w:t>hydroélectriques</w:t>
            </w:r>
            <w:proofErr w:type="spellEnd"/>
            <w:r w:rsidRPr="00B045DB">
              <w:t xml:space="preserve"> sur la </w:t>
            </w:r>
            <w:proofErr w:type="spellStart"/>
            <w:r w:rsidRPr="00B045DB">
              <w:t>Cijevna</w:t>
            </w:r>
            <w:proofErr w:type="spellEnd"/>
            <w:r w:rsidRPr="00B045DB">
              <w:t xml:space="preserve"> </w:t>
            </w:r>
          </w:p>
        </w:tc>
      </w:tr>
      <w:tr w:rsidR="00D24047" w:rsidRPr="00B045DB" w14:paraId="5DD630DA" w14:textId="77777777" w:rsidTr="00390C19">
        <w:tc>
          <w:tcPr>
            <w:tcW w:w="1554" w:type="dxa"/>
            <w:shd w:val="clear" w:color="auto" w:fill="auto"/>
          </w:tcPr>
          <w:p w14:paraId="7534E88F" w14:textId="77777777" w:rsidR="00D24047" w:rsidRPr="00027956" w:rsidRDefault="00D24047" w:rsidP="00DB0C25">
            <w:pPr>
              <w:spacing w:before="40" w:after="120"/>
              <w:ind w:right="113"/>
              <w:rPr>
                <w:lang w:val="en-US"/>
              </w:rPr>
            </w:pPr>
            <w:r w:rsidRPr="00027956">
              <w:rPr>
                <w:lang w:val="en-US"/>
              </w:rPr>
              <w:t>EIA/IC/S/8-SEA/IC/S/1</w:t>
            </w:r>
          </w:p>
        </w:tc>
        <w:tc>
          <w:tcPr>
            <w:tcW w:w="1862" w:type="dxa"/>
            <w:shd w:val="clear" w:color="auto" w:fill="auto"/>
          </w:tcPr>
          <w:p w14:paraId="09CAAE4A" w14:textId="77777777" w:rsidR="00D24047" w:rsidRPr="00B045DB" w:rsidRDefault="00D24047" w:rsidP="00DB0C25">
            <w:pPr>
              <w:spacing w:before="40" w:after="120"/>
              <w:ind w:right="113"/>
            </w:pPr>
            <w:r w:rsidRPr="00B045DB">
              <w:t>Bosnie-Herzégovine</w:t>
            </w:r>
          </w:p>
        </w:tc>
        <w:tc>
          <w:tcPr>
            <w:tcW w:w="1189" w:type="dxa"/>
            <w:shd w:val="clear" w:color="auto" w:fill="auto"/>
          </w:tcPr>
          <w:p w14:paraId="3F8CF592" w14:textId="77777777" w:rsidR="00D24047" w:rsidRPr="00B045DB" w:rsidRDefault="00D24047" w:rsidP="00DB0C25">
            <w:pPr>
              <w:spacing w:before="40" w:after="120"/>
              <w:ind w:right="113"/>
            </w:pPr>
            <w:r w:rsidRPr="00B045DB">
              <w:t>Monténégro</w:t>
            </w:r>
          </w:p>
        </w:tc>
        <w:tc>
          <w:tcPr>
            <w:tcW w:w="3899" w:type="dxa"/>
            <w:shd w:val="clear" w:color="auto" w:fill="auto"/>
          </w:tcPr>
          <w:p w14:paraId="1DB5ADB8" w14:textId="749B45A9" w:rsidR="00D24047" w:rsidRPr="00B045DB" w:rsidRDefault="00D24047" w:rsidP="00390C19">
            <w:pPr>
              <w:spacing w:before="40" w:after="120"/>
            </w:pPr>
            <w:r w:rsidRPr="00B045DB">
              <w:t xml:space="preserve">Construction de la centrale </w:t>
            </w:r>
            <w:proofErr w:type="spellStart"/>
            <w:r w:rsidRPr="00B045DB">
              <w:t>hydroélectrique</w:t>
            </w:r>
            <w:proofErr w:type="spellEnd"/>
            <w:r w:rsidRPr="00B045DB">
              <w:t xml:space="preserve"> de </w:t>
            </w:r>
            <w:proofErr w:type="spellStart"/>
            <w:r w:rsidRPr="00B045DB">
              <w:t>Buk</w:t>
            </w:r>
            <w:proofErr w:type="spellEnd"/>
            <w:r w:rsidRPr="00B045DB">
              <w:t xml:space="preserve"> </w:t>
            </w:r>
            <w:proofErr w:type="spellStart"/>
            <w:r w:rsidRPr="00B045DB">
              <w:t>Bijela</w:t>
            </w:r>
            <w:proofErr w:type="spellEnd"/>
            <w:r w:rsidRPr="00B045DB">
              <w:t xml:space="preserve"> sur la Drina</w:t>
            </w:r>
          </w:p>
        </w:tc>
      </w:tr>
      <w:tr w:rsidR="00D24047" w:rsidRPr="00B045DB" w14:paraId="3312BDEB" w14:textId="77777777" w:rsidTr="00390C19">
        <w:tc>
          <w:tcPr>
            <w:tcW w:w="1554" w:type="dxa"/>
            <w:tcBorders>
              <w:bottom w:val="single" w:sz="12" w:space="0" w:color="auto"/>
            </w:tcBorders>
            <w:shd w:val="clear" w:color="auto" w:fill="auto"/>
            <w:hideMark/>
          </w:tcPr>
          <w:p w14:paraId="7D1D0032" w14:textId="77777777" w:rsidR="00D24047" w:rsidRPr="00B045DB" w:rsidRDefault="00D24047" w:rsidP="00DB0C25">
            <w:pPr>
              <w:spacing w:before="40" w:after="120"/>
              <w:ind w:right="113"/>
            </w:pPr>
            <w:r w:rsidRPr="00B045DB">
              <w:t>EIA/IC/S/9</w:t>
            </w:r>
          </w:p>
        </w:tc>
        <w:tc>
          <w:tcPr>
            <w:tcW w:w="1862" w:type="dxa"/>
            <w:tcBorders>
              <w:bottom w:val="single" w:sz="12" w:space="0" w:color="auto"/>
            </w:tcBorders>
            <w:shd w:val="clear" w:color="auto" w:fill="auto"/>
            <w:hideMark/>
          </w:tcPr>
          <w:p w14:paraId="5C9D78AC" w14:textId="77777777" w:rsidR="00D24047" w:rsidRPr="00B045DB" w:rsidRDefault="00D24047" w:rsidP="00DB0C25">
            <w:pPr>
              <w:spacing w:before="40" w:after="120"/>
              <w:ind w:right="113"/>
            </w:pPr>
            <w:r w:rsidRPr="00B045DB">
              <w:t>Pologne</w:t>
            </w:r>
          </w:p>
        </w:tc>
        <w:tc>
          <w:tcPr>
            <w:tcW w:w="1189" w:type="dxa"/>
            <w:tcBorders>
              <w:bottom w:val="single" w:sz="12" w:space="0" w:color="auto"/>
            </w:tcBorders>
            <w:shd w:val="clear" w:color="auto" w:fill="auto"/>
            <w:hideMark/>
          </w:tcPr>
          <w:p w14:paraId="202B37BA" w14:textId="77777777" w:rsidR="00D24047" w:rsidRPr="00B045DB" w:rsidRDefault="00D24047" w:rsidP="00DB0C25">
            <w:pPr>
              <w:spacing w:before="40" w:after="120"/>
              <w:ind w:right="113"/>
            </w:pPr>
            <w:r w:rsidRPr="00B045DB">
              <w:t>Bélarus</w:t>
            </w:r>
          </w:p>
        </w:tc>
        <w:tc>
          <w:tcPr>
            <w:tcW w:w="3899" w:type="dxa"/>
            <w:tcBorders>
              <w:bottom w:val="single" w:sz="12" w:space="0" w:color="auto"/>
            </w:tcBorders>
            <w:shd w:val="clear" w:color="auto" w:fill="auto"/>
            <w:hideMark/>
          </w:tcPr>
          <w:p w14:paraId="35059ADC" w14:textId="552CC21B" w:rsidR="00D24047" w:rsidRPr="00B045DB" w:rsidRDefault="00D24047" w:rsidP="00390C19">
            <w:pPr>
              <w:spacing w:before="40" w:after="120"/>
            </w:pPr>
            <w:r w:rsidRPr="00B045DB">
              <w:t>Construction d</w:t>
            </w:r>
            <w:r w:rsidR="003B2315" w:rsidRPr="00B045DB">
              <w:t>’</w:t>
            </w:r>
            <w:r w:rsidRPr="00B045DB">
              <w:t>une barrière dans la «</w:t>
            </w:r>
            <w:r w:rsidR="00390C19" w:rsidRPr="00B045DB">
              <w:t xml:space="preserve"> </w:t>
            </w:r>
            <w:r w:rsidRPr="00B045DB">
              <w:t xml:space="preserve">Forêt de </w:t>
            </w:r>
            <w:proofErr w:type="spellStart"/>
            <w:r w:rsidRPr="00B045DB">
              <w:t>Bialowieza</w:t>
            </w:r>
            <w:proofErr w:type="spellEnd"/>
            <w:r w:rsidRPr="00B045DB">
              <w:t xml:space="preserve"> » par la Pologne</w:t>
            </w:r>
          </w:p>
        </w:tc>
      </w:tr>
    </w:tbl>
    <w:p w14:paraId="710CAB99" w14:textId="02687348" w:rsidR="00D24047" w:rsidRPr="00027956" w:rsidRDefault="00306C84" w:rsidP="00306C84">
      <w:pPr>
        <w:pStyle w:val="H1G"/>
        <w:rPr>
          <w:lang w:val="en-US"/>
        </w:rPr>
      </w:pPr>
      <w:r w:rsidRPr="00B045DB">
        <w:tab/>
      </w:r>
      <w:r w:rsidR="00D24047" w:rsidRPr="00027956">
        <w:rPr>
          <w:lang w:val="en-US"/>
        </w:rPr>
        <w:t>A.</w:t>
      </w:r>
      <w:r w:rsidR="00D24047" w:rsidRPr="00027956">
        <w:rPr>
          <w:lang w:val="en-US"/>
        </w:rPr>
        <w:tab/>
      </w:r>
      <w:proofErr w:type="spellStart"/>
      <w:r w:rsidR="00D24047" w:rsidRPr="00027956">
        <w:rPr>
          <w:lang w:val="en-US"/>
        </w:rPr>
        <w:t>Serbie</w:t>
      </w:r>
      <w:proofErr w:type="spellEnd"/>
    </w:p>
    <w:p w14:paraId="0E1FF483" w14:textId="0501FA86" w:rsidR="00D24047" w:rsidRPr="00027956" w:rsidRDefault="001E39A4" w:rsidP="001E39A4">
      <w:pPr>
        <w:pStyle w:val="H4G"/>
        <w:rPr>
          <w:b/>
          <w:lang w:val="en-US"/>
        </w:rPr>
      </w:pPr>
      <w:r w:rsidRPr="00027956">
        <w:rPr>
          <w:lang w:val="en-US"/>
        </w:rPr>
        <w:tab/>
      </w:r>
      <w:r w:rsidRPr="00027956">
        <w:rPr>
          <w:lang w:val="en-US"/>
        </w:rPr>
        <w:tab/>
      </w:r>
      <w:r w:rsidR="00D24047" w:rsidRPr="00027956">
        <w:rPr>
          <w:lang w:val="en-US"/>
        </w:rPr>
        <w:t>EIA/IC/S/6</w:t>
      </w:r>
    </w:p>
    <w:p w14:paraId="7C4AD6FC" w14:textId="35547197" w:rsidR="00D24047" w:rsidRPr="00B045DB" w:rsidRDefault="00D24047" w:rsidP="00D24047">
      <w:pPr>
        <w:pStyle w:val="SingleTxtG"/>
      </w:pPr>
      <w:r w:rsidRPr="00B045DB">
        <w:t>30.</w:t>
      </w:r>
      <w:r w:rsidRPr="00B045DB">
        <w:tab/>
        <w:t>Le 30</w:t>
      </w:r>
      <w:r w:rsidR="00306C84" w:rsidRPr="00B045DB">
        <w:t> </w:t>
      </w:r>
      <w:r w:rsidRPr="00B045DB">
        <w:t>mai 2019, la Bulgarie a présenté au Comité une communication dans laquelle elle faisait part de ses préoccupations quant au respect par la Serbie des obligations que lui imposait la Convention concernant plusieurs activités extractives menées à proximité de la frontière avec la Bulgarie. Les activités concernaient la construction d</w:t>
      </w:r>
      <w:r w:rsidR="003B2315" w:rsidRPr="00B045DB">
        <w:t>’</w:t>
      </w:r>
      <w:r w:rsidRPr="00B045DB">
        <w:t xml:space="preserve">une installation expérimentale destinée à tester la technologie de flottation en vue du traitement de minerais de cuivre, de plomb et de zinc à </w:t>
      </w:r>
      <w:proofErr w:type="spellStart"/>
      <w:r w:rsidRPr="00B045DB">
        <w:t>Karamanica</w:t>
      </w:r>
      <w:proofErr w:type="spellEnd"/>
      <w:r w:rsidRPr="00B045DB">
        <w:t>, l</w:t>
      </w:r>
      <w:r w:rsidR="003B2315" w:rsidRPr="00B045DB">
        <w:t>’</w:t>
      </w:r>
      <w:r w:rsidRPr="00B045DB">
        <w:t>exploitation des minerais et l</w:t>
      </w:r>
      <w:r w:rsidR="003B2315" w:rsidRPr="00B045DB">
        <w:t>’</w:t>
      </w:r>
      <w:r w:rsidRPr="00B045DB">
        <w:t xml:space="preserve">activité minière aux mines de </w:t>
      </w:r>
      <w:proofErr w:type="spellStart"/>
      <w:r w:rsidRPr="00B045DB">
        <w:t>Podvirovi</w:t>
      </w:r>
      <w:proofErr w:type="spellEnd"/>
      <w:r w:rsidRPr="00B045DB">
        <w:t xml:space="preserve"> et </w:t>
      </w:r>
      <w:proofErr w:type="spellStart"/>
      <w:r w:rsidRPr="00B045DB">
        <w:t>Popovica</w:t>
      </w:r>
      <w:proofErr w:type="spellEnd"/>
      <w:r w:rsidRPr="00B045DB">
        <w:t xml:space="preserve"> et l</w:t>
      </w:r>
      <w:r w:rsidR="003B2315" w:rsidRPr="00B045DB">
        <w:t>’</w:t>
      </w:r>
      <w:r w:rsidRPr="00B045DB">
        <w:t xml:space="preserve">augmentation de la production de métaux à la mine de </w:t>
      </w:r>
      <w:proofErr w:type="spellStart"/>
      <w:r w:rsidRPr="00B045DB">
        <w:t>Grot</w:t>
      </w:r>
      <w:proofErr w:type="spellEnd"/>
      <w:r w:rsidRPr="00B045DB">
        <w:t>. Au titre de cette question, le Comité a également examiné les informations communiquées le 10 février 2019 par l</w:t>
      </w:r>
      <w:r w:rsidR="003B2315" w:rsidRPr="00B045DB">
        <w:t>’</w:t>
      </w:r>
      <w:r w:rsidRPr="00B045DB">
        <w:t xml:space="preserve">organisation non gouvernementale (ONG) bulgare </w:t>
      </w:r>
      <w:proofErr w:type="spellStart"/>
      <w:r w:rsidRPr="00B045DB">
        <w:t>Balkanka</w:t>
      </w:r>
      <w:proofErr w:type="spellEnd"/>
      <w:r w:rsidRPr="00B045DB">
        <w:t xml:space="preserve"> Association concernant l</w:t>
      </w:r>
      <w:r w:rsidR="003B2315" w:rsidRPr="00B045DB">
        <w:t>’</w:t>
      </w:r>
      <w:r w:rsidRPr="00B045DB">
        <w:t xml:space="preserve">installation expérimentale de </w:t>
      </w:r>
      <w:proofErr w:type="spellStart"/>
      <w:r w:rsidRPr="00B045DB">
        <w:t>Karamanica</w:t>
      </w:r>
      <w:proofErr w:type="spellEnd"/>
      <w:r w:rsidRPr="00B045DB">
        <w:t xml:space="preserve"> (EIA/IC/INFO/31).</w:t>
      </w:r>
    </w:p>
    <w:p w14:paraId="5E266BDE" w14:textId="3FDBFC7E" w:rsidR="00D24047" w:rsidRPr="00B045DB" w:rsidRDefault="00D24047" w:rsidP="00D24047">
      <w:pPr>
        <w:pStyle w:val="SingleTxtG"/>
      </w:pPr>
      <w:r w:rsidRPr="00B045DB">
        <w:t>31.</w:t>
      </w:r>
      <w:r w:rsidR="00F13A57">
        <w:tab/>
      </w:r>
      <w:r w:rsidRPr="00B045DB">
        <w:t>Le Comité a invité les deux Parties à engager des discussions bilatérales, en vue de rechercher des solutions possibles. Au cours d</w:t>
      </w:r>
      <w:r w:rsidR="003B2315" w:rsidRPr="00B045DB">
        <w:t>’</w:t>
      </w:r>
      <w:r w:rsidRPr="00B045DB">
        <w:t>une audition tenue à la cinquantième session du Comité (Genève, 4-7</w:t>
      </w:r>
      <w:r w:rsidR="00306C84" w:rsidRPr="00B045DB">
        <w:t> </w:t>
      </w:r>
      <w:r w:rsidRPr="00B045DB">
        <w:t>mai 2021), la Bulgarie et la Serbie ont fourni des clarifications</w:t>
      </w:r>
      <w:r w:rsidRPr="00B045DB">
        <w:rPr>
          <w:rStyle w:val="Appelnotedebasdep"/>
        </w:rPr>
        <w:footnoteReference w:id="28"/>
      </w:r>
      <w:r w:rsidRPr="00B045DB">
        <w:t>.</w:t>
      </w:r>
    </w:p>
    <w:p w14:paraId="03051A44" w14:textId="17B85B6B" w:rsidR="00D24047" w:rsidRPr="00B045DB" w:rsidRDefault="00D24047" w:rsidP="00D24047">
      <w:pPr>
        <w:pStyle w:val="SingleTxtG"/>
      </w:pPr>
      <w:r w:rsidRPr="00B045DB">
        <w:t>32.</w:t>
      </w:r>
      <w:r w:rsidRPr="00B045DB">
        <w:tab/>
        <w:t>Le Comité a constaté que la Serbie avait respecté les dispositions de la Convention concernant l</w:t>
      </w:r>
      <w:r w:rsidR="003B2315" w:rsidRPr="00B045DB">
        <w:t>’</w:t>
      </w:r>
      <w:r w:rsidRPr="00B045DB">
        <w:t xml:space="preserve">installation pilote de </w:t>
      </w:r>
      <w:proofErr w:type="spellStart"/>
      <w:r w:rsidRPr="00B045DB">
        <w:t>Karamanica</w:t>
      </w:r>
      <w:proofErr w:type="spellEnd"/>
      <w:r w:rsidRPr="00B045DB">
        <w:t xml:space="preserve"> et l</w:t>
      </w:r>
      <w:r w:rsidR="003B2315" w:rsidRPr="00B045DB">
        <w:t>’</w:t>
      </w:r>
      <w:r w:rsidRPr="00B045DB">
        <w:t>extension de l</w:t>
      </w:r>
      <w:r w:rsidR="003B2315" w:rsidRPr="00B045DB">
        <w:t>’</w:t>
      </w:r>
      <w:r w:rsidRPr="00B045DB">
        <w:t xml:space="preserve">exploitation des sites miniers de </w:t>
      </w:r>
      <w:proofErr w:type="spellStart"/>
      <w:r w:rsidRPr="00B045DB">
        <w:t>Podvirovi</w:t>
      </w:r>
      <w:proofErr w:type="spellEnd"/>
      <w:r w:rsidRPr="00B045DB">
        <w:t xml:space="preserve"> et </w:t>
      </w:r>
      <w:proofErr w:type="spellStart"/>
      <w:r w:rsidRPr="00B045DB">
        <w:t>Popovica</w:t>
      </w:r>
      <w:proofErr w:type="spellEnd"/>
      <w:r w:rsidRPr="00B045DB">
        <w:t xml:space="preserve"> en notifiant à la Bulgarie l</w:t>
      </w:r>
      <w:r w:rsidR="003B2315" w:rsidRPr="00B045DB">
        <w:t>’</w:t>
      </w:r>
      <w:r w:rsidRPr="00B045DB">
        <w:t>activité qu</w:t>
      </w:r>
      <w:r w:rsidR="003B2315" w:rsidRPr="00B045DB">
        <w:t>’</w:t>
      </w:r>
      <w:r w:rsidRPr="00B045DB">
        <w:t xml:space="preserve">il était proposé de mener à la mine de </w:t>
      </w:r>
      <w:proofErr w:type="spellStart"/>
      <w:r w:rsidRPr="00B045DB">
        <w:t>Grot</w:t>
      </w:r>
      <w:proofErr w:type="spellEnd"/>
      <w:r w:rsidRPr="00B045DB">
        <w:t xml:space="preserve"> en 2009. Toutefois, le Comité a constaté que la Serbie n</w:t>
      </w:r>
      <w:r w:rsidR="003B2315" w:rsidRPr="00B045DB">
        <w:t>’</w:t>
      </w:r>
      <w:r w:rsidRPr="00B045DB">
        <w:t>avait pas respecté la Convention en 2019, en ne notifiant pas à la Bulgarie la modification majeure apportée à l</w:t>
      </w:r>
      <w:r w:rsidR="003B2315" w:rsidRPr="00B045DB">
        <w:t>’</w:t>
      </w:r>
      <w:r w:rsidRPr="00B045DB">
        <w:t>activité. Le Comité a également constaté que la Bulgarie avait manqué aux obligations qui lui incombent en vertu de la Convention en ne répondant pas à la notification de la Serbie dans le délai imparti</w:t>
      </w:r>
      <w:r w:rsidRPr="00B045DB">
        <w:rPr>
          <w:rStyle w:val="Appelnotedebasdep"/>
        </w:rPr>
        <w:footnoteReference w:id="29"/>
      </w:r>
      <w:r w:rsidRPr="00B045DB">
        <w:t>.</w:t>
      </w:r>
    </w:p>
    <w:p w14:paraId="75CD446B" w14:textId="422843B1" w:rsidR="00D24047" w:rsidRPr="00F13A57" w:rsidRDefault="00D24047" w:rsidP="00D24047">
      <w:pPr>
        <w:pStyle w:val="SingleTxtG"/>
      </w:pPr>
      <w:r w:rsidRPr="00B045DB">
        <w:t>33.</w:t>
      </w:r>
      <w:r w:rsidRPr="00B045DB">
        <w:tab/>
        <w:t>Le 14</w:t>
      </w:r>
      <w:r w:rsidR="00306C84" w:rsidRPr="00B045DB">
        <w:t> </w:t>
      </w:r>
      <w:r w:rsidRPr="00B045DB">
        <w:t xml:space="preserve">août 2022, suite à la publication des conclusions et recommandations du Comité, </w:t>
      </w:r>
      <w:proofErr w:type="spellStart"/>
      <w:r w:rsidRPr="00B045DB">
        <w:t>Balkanka</w:t>
      </w:r>
      <w:proofErr w:type="spellEnd"/>
      <w:r w:rsidRPr="00B045DB">
        <w:t xml:space="preserve"> Association a informé le Comité que la mine de </w:t>
      </w:r>
      <w:proofErr w:type="spellStart"/>
      <w:r w:rsidRPr="00B045DB">
        <w:t>Podvirovi</w:t>
      </w:r>
      <w:proofErr w:type="spellEnd"/>
      <w:r w:rsidRPr="00B045DB">
        <w:t xml:space="preserve"> était toujours en activité et qu</w:t>
      </w:r>
      <w:r w:rsidR="003B2315" w:rsidRPr="00B045DB">
        <w:t>’</w:t>
      </w:r>
      <w:r w:rsidRPr="00B045DB">
        <w:t>aucune évaluation de l</w:t>
      </w:r>
      <w:r w:rsidR="003B2315" w:rsidRPr="00B045DB">
        <w:t>’</w:t>
      </w:r>
      <w:r w:rsidRPr="00B045DB">
        <w:t>impact national ou transfrontière sur l</w:t>
      </w:r>
      <w:r w:rsidR="003B2315" w:rsidRPr="00B045DB">
        <w:t>’</w:t>
      </w:r>
      <w:r w:rsidRPr="00B045DB">
        <w:t>environnement n</w:t>
      </w:r>
      <w:r w:rsidR="003B2315" w:rsidRPr="00B045DB">
        <w:t>’</w:t>
      </w:r>
      <w:r w:rsidRPr="00B045DB">
        <w:t xml:space="preserve">avait été réalisée. Elle a également fait part de ses préoccupations concernant le projet de construction de plusieurs petites centrales </w:t>
      </w:r>
      <w:proofErr w:type="spellStart"/>
      <w:r w:rsidRPr="00B045DB">
        <w:t>hydroélectriques</w:t>
      </w:r>
      <w:proofErr w:type="spellEnd"/>
      <w:r w:rsidRPr="00B045DB">
        <w:t xml:space="preserve"> sur la </w:t>
      </w:r>
      <w:proofErr w:type="spellStart"/>
      <w:r w:rsidRPr="00B045DB">
        <w:t>Dragovishtitsa</w:t>
      </w:r>
      <w:proofErr w:type="spellEnd"/>
      <w:r w:rsidRPr="00B045DB">
        <w:t xml:space="preserve">. Compte </w:t>
      </w:r>
      <w:r w:rsidRPr="00B045DB">
        <w:lastRenderedPageBreak/>
        <w:t xml:space="preserve">tenu de ces nouvelles informations, le Comité a inclus une demande supplémentaire à la </w:t>
      </w:r>
      <w:r w:rsidRPr="00F13A57">
        <w:t>Serbie dans le projet de décision.</w:t>
      </w:r>
    </w:p>
    <w:p w14:paraId="5EC6B309" w14:textId="3E7AD565" w:rsidR="00D24047" w:rsidRPr="00B045DB" w:rsidRDefault="00D24047" w:rsidP="00D24047">
      <w:pPr>
        <w:pStyle w:val="SingleTxtG"/>
      </w:pPr>
      <w:r w:rsidRPr="00F13A57">
        <w:t>34.</w:t>
      </w:r>
      <w:r w:rsidRPr="00F13A57">
        <w:tab/>
        <w:t>Dans le projet de décision IX/4j</w:t>
      </w:r>
      <w:r w:rsidRPr="00F13A57">
        <w:rPr>
          <w:rStyle w:val="Appelnotedebasdep"/>
        </w:rPr>
        <w:footnoteReference w:id="30"/>
      </w:r>
      <w:r w:rsidRPr="00F13A57">
        <w:t>, le Comité a recommandé que la Réunion des Parties demande, entre autres, à la Bulgarie et à la Serbie de veiller à ce que le public bulgare ait la possibilité de participer à la procédure transfrontière en cours concernant l</w:t>
      </w:r>
      <w:r w:rsidR="003B2315" w:rsidRPr="00F13A57">
        <w:t>’</w:t>
      </w:r>
      <w:r w:rsidRPr="00F13A57">
        <w:t xml:space="preserve">usine de flottation permanente de </w:t>
      </w:r>
      <w:proofErr w:type="spellStart"/>
      <w:r w:rsidRPr="00F13A57">
        <w:t>Karamanica</w:t>
      </w:r>
      <w:proofErr w:type="spellEnd"/>
      <w:r w:rsidRPr="00F13A57">
        <w:t xml:space="preserve"> et que la Serbie veille à ce que la Convention soit pleinement appliquée dans le contexte de toute décision future concernant les activités minières prévues, et que l</w:t>
      </w:r>
      <w:r w:rsidR="003B2315" w:rsidRPr="00F13A57">
        <w:t>’</w:t>
      </w:r>
      <w:r w:rsidRPr="00F13A57">
        <w:t>impact cumulatif des activités minières nouvelles et préexistantes, ainsi que l</w:t>
      </w:r>
      <w:r w:rsidR="003B2315" w:rsidRPr="00F13A57">
        <w:t>’</w:t>
      </w:r>
      <w:r w:rsidRPr="00F13A57">
        <w:t>impact cumulatif d</w:t>
      </w:r>
      <w:r w:rsidR="003B2315" w:rsidRPr="00F13A57">
        <w:t>’</w:t>
      </w:r>
      <w:r w:rsidRPr="00F13A57">
        <w:t>autres activités affectant les conditions dans le système d</w:t>
      </w:r>
      <w:r w:rsidR="003B2315" w:rsidRPr="00F13A57">
        <w:t>’</w:t>
      </w:r>
      <w:r w:rsidRPr="00F13A57">
        <w:t>eau, soient correctement pris en</w:t>
      </w:r>
      <w:r w:rsidRPr="00B045DB">
        <w:t xml:space="preserve"> compte.</w:t>
      </w:r>
    </w:p>
    <w:p w14:paraId="07CF3BE9" w14:textId="70B5E730" w:rsidR="00D24047" w:rsidRPr="00027956" w:rsidRDefault="00306C84" w:rsidP="00306C84">
      <w:pPr>
        <w:pStyle w:val="H1G"/>
        <w:rPr>
          <w:lang w:val="en-US"/>
        </w:rPr>
      </w:pPr>
      <w:r w:rsidRPr="00B045DB">
        <w:tab/>
      </w:r>
      <w:r w:rsidR="00D24047" w:rsidRPr="00027956">
        <w:rPr>
          <w:lang w:val="en-US"/>
        </w:rPr>
        <w:t>B.</w:t>
      </w:r>
      <w:r w:rsidR="00D24047" w:rsidRPr="00027956">
        <w:rPr>
          <w:lang w:val="en-US"/>
        </w:rPr>
        <w:tab/>
        <w:t>Albanie</w:t>
      </w:r>
    </w:p>
    <w:p w14:paraId="343A12BE" w14:textId="562177E8" w:rsidR="00D24047" w:rsidRPr="00027956" w:rsidRDefault="00F13A57" w:rsidP="00F13A57">
      <w:pPr>
        <w:pStyle w:val="H4G"/>
        <w:rPr>
          <w:lang w:val="en-US"/>
        </w:rPr>
      </w:pPr>
      <w:r w:rsidRPr="00027956">
        <w:rPr>
          <w:lang w:val="en-US"/>
        </w:rPr>
        <w:tab/>
      </w:r>
      <w:r w:rsidRPr="00027956">
        <w:rPr>
          <w:lang w:val="en-US"/>
        </w:rPr>
        <w:tab/>
      </w:r>
      <w:r w:rsidR="00D24047" w:rsidRPr="00027956">
        <w:rPr>
          <w:lang w:val="en-US"/>
        </w:rPr>
        <w:t>EIA/IC/S/7</w:t>
      </w:r>
    </w:p>
    <w:p w14:paraId="32EDC63C" w14:textId="642EDA31" w:rsidR="00D24047" w:rsidRPr="00B045DB" w:rsidRDefault="00D24047" w:rsidP="00D24047">
      <w:pPr>
        <w:pStyle w:val="SingleTxtG"/>
      </w:pPr>
      <w:r w:rsidRPr="00B045DB">
        <w:t>35.</w:t>
      </w:r>
      <w:r w:rsidRPr="00B045DB">
        <w:tab/>
        <w:t>Le 11</w:t>
      </w:r>
      <w:r w:rsidR="00306C84" w:rsidRPr="00B045DB">
        <w:t> </w:t>
      </w:r>
      <w:r w:rsidRPr="00B045DB">
        <w:t>septembre 2019, le Monténégro a présenté au Comité une communication dans laquelle il faisait part de ses préoccupations quant au respect par l</w:t>
      </w:r>
      <w:r w:rsidR="003B2315" w:rsidRPr="00B045DB">
        <w:t>’</w:t>
      </w:r>
      <w:r w:rsidRPr="00B045DB">
        <w:t xml:space="preserve">Albanie des obligations que lui imposaient la Convention et le Protocole concernant la construction prévue de plusieurs petites centrales </w:t>
      </w:r>
      <w:proofErr w:type="spellStart"/>
      <w:r w:rsidRPr="00B045DB">
        <w:t>hydroélectriques</w:t>
      </w:r>
      <w:proofErr w:type="spellEnd"/>
      <w:r w:rsidRPr="00B045DB">
        <w:t xml:space="preserve"> sur la </w:t>
      </w:r>
      <w:proofErr w:type="spellStart"/>
      <w:r w:rsidRPr="00B045DB">
        <w:t>Cijevna</w:t>
      </w:r>
      <w:proofErr w:type="spellEnd"/>
      <w:r w:rsidRPr="00B045DB">
        <w:t xml:space="preserve">. La construction de petites centrales </w:t>
      </w:r>
      <w:proofErr w:type="spellStart"/>
      <w:r w:rsidRPr="00B045DB">
        <w:t>hydroélectriques</w:t>
      </w:r>
      <w:proofErr w:type="spellEnd"/>
      <w:r w:rsidRPr="00B045DB">
        <w:t xml:space="preserve"> n</w:t>
      </w:r>
      <w:r w:rsidR="003B2315" w:rsidRPr="00B045DB">
        <w:t>’</w:t>
      </w:r>
      <w:r w:rsidRPr="00B045DB">
        <w:t>étant pas visée à l</w:t>
      </w:r>
      <w:r w:rsidR="003B2315" w:rsidRPr="00B045DB">
        <w:t>’</w:t>
      </w:r>
      <w:r w:rsidRPr="00B045DB">
        <w:t>appendice I de la Convention ni à l</w:t>
      </w:r>
      <w:r w:rsidR="003B2315" w:rsidRPr="00B045DB">
        <w:t>’</w:t>
      </w:r>
      <w:r w:rsidRPr="00B045DB">
        <w:t>annexe I du Protocole, le Comité a examiné l</w:t>
      </w:r>
      <w:r w:rsidR="003B2315" w:rsidRPr="00B045DB">
        <w:t>’</w:t>
      </w:r>
      <w:r w:rsidRPr="00B045DB">
        <w:t>application du paragraphe 5 de l</w:t>
      </w:r>
      <w:r w:rsidR="003B2315" w:rsidRPr="00B045DB">
        <w:t>’</w:t>
      </w:r>
      <w:r w:rsidRPr="00B045DB">
        <w:t>article 2 de la Convention.</w:t>
      </w:r>
    </w:p>
    <w:p w14:paraId="66DAC303" w14:textId="2BED60AF" w:rsidR="00D24047" w:rsidRPr="00B045DB" w:rsidRDefault="00D24047" w:rsidP="00D24047">
      <w:pPr>
        <w:pStyle w:val="SingleTxtG"/>
      </w:pPr>
      <w:r w:rsidRPr="00B045DB">
        <w:t>36.</w:t>
      </w:r>
      <w:r w:rsidRPr="00B045DB">
        <w:tab/>
        <w:t>En 2019 également, suite à une demande du Monténégro, une procédure consultative a été entamée au titre de la Convention sur la protection et l</w:t>
      </w:r>
      <w:r w:rsidR="003B2315" w:rsidRPr="00B045DB">
        <w:t>’</w:t>
      </w:r>
      <w:r w:rsidRPr="00B045DB">
        <w:t>utilisation des cours d</w:t>
      </w:r>
      <w:r w:rsidR="003B2315" w:rsidRPr="00B045DB">
        <w:t>’</w:t>
      </w:r>
      <w:r w:rsidRPr="00B045DB">
        <w:t>eau transfrontières et des lacs internationaux (Convention sur l</w:t>
      </w:r>
      <w:r w:rsidR="003B2315" w:rsidRPr="00B045DB">
        <w:t>’</w:t>
      </w:r>
      <w:r w:rsidRPr="00B045DB">
        <w:t>eau)</w:t>
      </w:r>
      <w:r w:rsidRPr="00B045DB">
        <w:rPr>
          <w:rStyle w:val="Appelnotedebasdep"/>
        </w:rPr>
        <w:footnoteReference w:id="31"/>
      </w:r>
      <w:r w:rsidRPr="00B045DB">
        <w:t>. Après un retard dans la procédure de la Convention d</w:t>
      </w:r>
      <w:r w:rsidR="003B2315" w:rsidRPr="00B045DB">
        <w:t>’</w:t>
      </w:r>
      <w:r w:rsidRPr="00B045DB">
        <w:t>Espoo dû à des ressources insuffisantes, le Comité a demandé aux Parties concernées de faire le point sur leurs discussions bilatérales à sa cinquante</w:t>
      </w:r>
      <w:r w:rsidR="00F13A57">
        <w:noBreakHyphen/>
      </w:r>
      <w:r w:rsidRPr="00B045DB">
        <w:t>quatrième session, avant qu</w:t>
      </w:r>
      <w:r w:rsidR="003B2315" w:rsidRPr="00B045DB">
        <w:t>’</w:t>
      </w:r>
      <w:r w:rsidRPr="00B045DB">
        <w:t>il prépare ses conclusions et recommandations</w:t>
      </w:r>
      <w:r w:rsidRPr="00B045DB">
        <w:rPr>
          <w:rStyle w:val="Appelnotedebasdep"/>
        </w:rPr>
        <w:footnoteReference w:id="32"/>
      </w:r>
      <w:r w:rsidRPr="00B045DB">
        <w:t>.</w:t>
      </w:r>
    </w:p>
    <w:p w14:paraId="71783469" w14:textId="4CA2E5B3" w:rsidR="00D24047" w:rsidRPr="00B045DB" w:rsidRDefault="00D24047" w:rsidP="00D24047">
      <w:pPr>
        <w:pStyle w:val="SingleTxtG"/>
      </w:pPr>
      <w:r w:rsidRPr="00B045DB">
        <w:t>37.</w:t>
      </w:r>
      <w:r w:rsidRPr="00B045DB">
        <w:rPr>
          <w:b/>
        </w:rPr>
        <w:tab/>
      </w:r>
      <w:r w:rsidRPr="00B045DB">
        <w:t>Dans le projet de décision IX/4a-V/4a</w:t>
      </w:r>
      <w:r w:rsidRPr="00B045DB">
        <w:rPr>
          <w:rStyle w:val="Appelnotedebasdep"/>
        </w:rPr>
        <w:footnoteReference w:id="33"/>
      </w:r>
      <w:r w:rsidRPr="00B045DB">
        <w:t>, le Comité a recommandé aux Réunions des Parties d</w:t>
      </w:r>
      <w:r w:rsidR="003B2315" w:rsidRPr="00B045DB">
        <w:t>’</w:t>
      </w:r>
      <w:r w:rsidRPr="00B045DB">
        <w:t>approuver les conclusions du Comité selon lesquelles : l</w:t>
      </w:r>
      <w:r w:rsidR="003B2315" w:rsidRPr="00B045DB">
        <w:t>’</w:t>
      </w:r>
      <w:r w:rsidRPr="00B045DB">
        <w:t>Albanie et le Monténégro avaient rempli leurs obligations au titre de l</w:t>
      </w:r>
      <w:r w:rsidR="003B2315" w:rsidRPr="00B045DB">
        <w:t>’</w:t>
      </w:r>
      <w:r w:rsidRPr="00B045DB">
        <w:t>article 2 (par.</w:t>
      </w:r>
      <w:r w:rsidR="00306C84" w:rsidRPr="00B045DB">
        <w:t> </w:t>
      </w:r>
      <w:r w:rsidRPr="00B045DB">
        <w:t>5) de la Convention ; l</w:t>
      </w:r>
      <w:r w:rsidR="003B2315" w:rsidRPr="00B045DB">
        <w:t>’</w:t>
      </w:r>
      <w:r w:rsidRPr="00B045DB">
        <w:t>Albanie n</w:t>
      </w:r>
      <w:r w:rsidR="003B2315" w:rsidRPr="00B045DB">
        <w:t>’</w:t>
      </w:r>
      <w:r w:rsidRPr="00B045DB">
        <w:t>avait pas enfreint les dispositions des paragraphes 2 et 6 de l</w:t>
      </w:r>
      <w:r w:rsidR="003B2315" w:rsidRPr="00B045DB">
        <w:t>’</w:t>
      </w:r>
      <w:r w:rsidRPr="00B045DB">
        <w:t>article 2 de la Convention</w:t>
      </w:r>
      <w:r w:rsidR="00F13A57">
        <w:t xml:space="preserve"> </w:t>
      </w:r>
      <w:r w:rsidRPr="00B045DB">
        <w:t>; et le Protocole n</w:t>
      </w:r>
      <w:r w:rsidR="003B2315" w:rsidRPr="00B045DB">
        <w:t>’</w:t>
      </w:r>
      <w:r w:rsidRPr="00B045DB">
        <w:t>était pas applicable.</w:t>
      </w:r>
    </w:p>
    <w:p w14:paraId="2B7F96AF" w14:textId="30490EE6" w:rsidR="00D24047" w:rsidRPr="00027956" w:rsidRDefault="00306C84" w:rsidP="00306C84">
      <w:pPr>
        <w:pStyle w:val="H1G"/>
        <w:rPr>
          <w:lang w:val="en-US"/>
        </w:rPr>
      </w:pPr>
      <w:r w:rsidRPr="00B045DB">
        <w:tab/>
      </w:r>
      <w:r w:rsidR="00D24047" w:rsidRPr="00027956">
        <w:rPr>
          <w:lang w:val="en-US"/>
        </w:rPr>
        <w:t>C.</w:t>
      </w:r>
      <w:r w:rsidR="00D24047" w:rsidRPr="00027956">
        <w:rPr>
          <w:lang w:val="en-US"/>
        </w:rPr>
        <w:tab/>
      </w:r>
      <w:proofErr w:type="spellStart"/>
      <w:r w:rsidR="00D24047" w:rsidRPr="00027956">
        <w:rPr>
          <w:lang w:val="en-US"/>
        </w:rPr>
        <w:t>Bosnie-Herezégovine</w:t>
      </w:r>
      <w:proofErr w:type="spellEnd"/>
    </w:p>
    <w:p w14:paraId="58C478D6" w14:textId="702AB34C" w:rsidR="00D24047" w:rsidRPr="00027956" w:rsidRDefault="00F13A57" w:rsidP="00F13A57">
      <w:pPr>
        <w:pStyle w:val="H4G"/>
        <w:rPr>
          <w:lang w:val="en-US"/>
        </w:rPr>
      </w:pPr>
      <w:r w:rsidRPr="00027956">
        <w:rPr>
          <w:lang w:val="en-US"/>
        </w:rPr>
        <w:tab/>
      </w:r>
      <w:r w:rsidRPr="00027956">
        <w:rPr>
          <w:lang w:val="en-US"/>
        </w:rPr>
        <w:tab/>
      </w:r>
      <w:r w:rsidR="00D24047" w:rsidRPr="00027956">
        <w:rPr>
          <w:lang w:val="en-US"/>
        </w:rPr>
        <w:t>EIA/IC/S/8-SEA/IC/S/1</w:t>
      </w:r>
    </w:p>
    <w:p w14:paraId="045C8B9A" w14:textId="471ECA53" w:rsidR="00D24047" w:rsidRPr="00B045DB" w:rsidRDefault="00D24047" w:rsidP="00D24047">
      <w:pPr>
        <w:pStyle w:val="SingleTxtG"/>
      </w:pPr>
      <w:r w:rsidRPr="00B045DB">
        <w:rPr>
          <w:iCs/>
        </w:rPr>
        <w:t>38.</w:t>
      </w:r>
      <w:r w:rsidRPr="00B045DB">
        <w:rPr>
          <w:iCs/>
        </w:rPr>
        <w:tab/>
        <w:t>Le 11</w:t>
      </w:r>
      <w:r w:rsidR="00306C84" w:rsidRPr="00B045DB">
        <w:rPr>
          <w:iCs/>
        </w:rPr>
        <w:t> </w:t>
      </w:r>
      <w:r w:rsidRPr="00B045DB">
        <w:rPr>
          <w:iCs/>
        </w:rPr>
        <w:t xml:space="preserve">décembre 2020, le Monténégro a soumis au Comité des informations dans lesquelles il faisait part de ses préoccupations quant au respect par la Bosnie-Herzégovine </w:t>
      </w:r>
      <w:r w:rsidRPr="00B045DB">
        <w:t xml:space="preserve">de ses obligations au titre de la Convention et du Protocole en ce qui concerne la construction de la centrale </w:t>
      </w:r>
      <w:proofErr w:type="spellStart"/>
      <w:r w:rsidRPr="00B045DB">
        <w:t>hydroélectrique</w:t>
      </w:r>
      <w:proofErr w:type="spellEnd"/>
      <w:r w:rsidRPr="00B045DB">
        <w:t xml:space="preserve"> de </w:t>
      </w:r>
      <w:proofErr w:type="spellStart"/>
      <w:r w:rsidRPr="00B045DB">
        <w:t>Buk</w:t>
      </w:r>
      <w:proofErr w:type="spellEnd"/>
      <w:r w:rsidRPr="00B045DB">
        <w:t xml:space="preserve"> </w:t>
      </w:r>
      <w:proofErr w:type="spellStart"/>
      <w:r w:rsidRPr="00B045DB">
        <w:t>Bijela</w:t>
      </w:r>
      <w:proofErr w:type="spellEnd"/>
      <w:r w:rsidRPr="00B045DB">
        <w:t xml:space="preserve"> sur la Drina. Avant la communication, le 15</w:t>
      </w:r>
      <w:r w:rsidR="00306C84" w:rsidRPr="00B045DB">
        <w:t> </w:t>
      </w:r>
      <w:r w:rsidRPr="00B045DB">
        <w:t xml:space="preserve">mai 2020, le Comité avait reçu des informations de quatre ONG (Aarhus </w:t>
      </w:r>
      <w:proofErr w:type="spellStart"/>
      <w:r w:rsidRPr="00B045DB">
        <w:t>Centar</w:t>
      </w:r>
      <w:proofErr w:type="spellEnd"/>
      <w:r w:rsidRPr="00B045DB">
        <w:t xml:space="preserve"> et Centre for </w:t>
      </w:r>
      <w:proofErr w:type="spellStart"/>
      <w:r w:rsidRPr="00B045DB">
        <w:t>Environment</w:t>
      </w:r>
      <w:proofErr w:type="spellEnd"/>
      <w:r w:rsidRPr="00B045DB">
        <w:t xml:space="preserve"> (Bosnie-Herzégovine), Green Home et </w:t>
      </w:r>
      <w:proofErr w:type="spellStart"/>
      <w:r w:rsidRPr="00B045DB">
        <w:t>Environmental</w:t>
      </w:r>
      <w:proofErr w:type="spellEnd"/>
      <w:r w:rsidRPr="00B045DB">
        <w:t xml:space="preserve"> </w:t>
      </w:r>
      <w:proofErr w:type="spellStart"/>
      <w:r w:rsidRPr="00B045DB">
        <w:t>Movement</w:t>
      </w:r>
      <w:proofErr w:type="spellEnd"/>
      <w:r w:rsidRPr="00B045DB">
        <w:t xml:space="preserve"> Ozon (Monténégro)) sur la même question.</w:t>
      </w:r>
    </w:p>
    <w:p w14:paraId="6D644EF6" w14:textId="32B8A9BB" w:rsidR="00D24047" w:rsidRPr="00B045DB" w:rsidRDefault="00D24047" w:rsidP="00D24047">
      <w:pPr>
        <w:pStyle w:val="SingleTxtG"/>
      </w:pPr>
      <w:r w:rsidRPr="00B045DB">
        <w:t>39.</w:t>
      </w:r>
      <w:r w:rsidRPr="00B045DB">
        <w:tab/>
        <w:t>Au cours d</w:t>
      </w:r>
      <w:r w:rsidR="003B2315" w:rsidRPr="00B045DB">
        <w:t>’</w:t>
      </w:r>
      <w:r w:rsidRPr="00B045DB">
        <w:t>une audition à la cinquante-deuxième session du Comité, la Bosnie</w:t>
      </w:r>
      <w:r w:rsidR="00F13A57">
        <w:noBreakHyphen/>
      </w:r>
      <w:r w:rsidRPr="00B045DB">
        <w:t>Herzégovine et le Monténégro ont clarifié certains faits concernant leurs échanges transfrontières au cours de la procédure d</w:t>
      </w:r>
      <w:r w:rsidR="003B2315" w:rsidRPr="00B045DB">
        <w:t>’</w:t>
      </w:r>
      <w:r w:rsidRPr="00B045DB">
        <w:t>évaluation de l</w:t>
      </w:r>
      <w:r w:rsidR="003B2315" w:rsidRPr="00B045DB">
        <w:t>’</w:t>
      </w:r>
      <w:r w:rsidRPr="00B045DB">
        <w:t>impact sur l</w:t>
      </w:r>
      <w:r w:rsidR="003B2315" w:rsidRPr="00B045DB">
        <w:t>’</w:t>
      </w:r>
      <w:r w:rsidRPr="00B045DB">
        <w:t>environnement de 2012-2013, et la Bosnie-Herzégovine a fourni des précisions concernant sa stratégie énergétique. Après la publication des conclusions et recommandations du Comité</w:t>
      </w:r>
      <w:r w:rsidRPr="00B045DB">
        <w:rPr>
          <w:rStyle w:val="Appelnotedebasdep"/>
        </w:rPr>
        <w:footnoteReference w:id="34"/>
      </w:r>
      <w:r w:rsidRPr="00B045DB">
        <w:t xml:space="preserve"> et la présentation du projet de décision IX/4c-V/4c à la douzième réunion du Groupe de travail </w:t>
      </w:r>
      <w:r w:rsidRPr="00B045DB">
        <w:lastRenderedPageBreak/>
        <w:t>(Genève, 13-15</w:t>
      </w:r>
      <w:r w:rsidR="00306C84" w:rsidRPr="00B045DB">
        <w:t> </w:t>
      </w:r>
      <w:r w:rsidRPr="00B045DB">
        <w:t>juin 2023), le Monténégro a informé le Comité que la Bosnie-Herzégovine n</w:t>
      </w:r>
      <w:r w:rsidR="003B2315" w:rsidRPr="00B045DB">
        <w:t>’</w:t>
      </w:r>
      <w:r w:rsidRPr="00B045DB">
        <w:t>avait pas fixé de délai au Monténégro pour répondre au cours de la procédure de 2012</w:t>
      </w:r>
      <w:r w:rsidR="00306C84" w:rsidRPr="00B045DB">
        <w:noBreakHyphen/>
      </w:r>
      <w:r w:rsidRPr="00B045DB">
        <w:t>2013.</w:t>
      </w:r>
    </w:p>
    <w:p w14:paraId="3C36202A" w14:textId="09B02252" w:rsidR="00D24047" w:rsidRPr="00B045DB" w:rsidRDefault="00D24047" w:rsidP="00D24047">
      <w:pPr>
        <w:pStyle w:val="SingleTxtG"/>
      </w:pPr>
      <w:r w:rsidRPr="00F13A57">
        <w:t>40.</w:t>
      </w:r>
      <w:r w:rsidRPr="00F13A57">
        <w:tab/>
        <w:t>À la lumière de ces nouvelles informations, le Comité a révisé ses conclusions et recommandations</w:t>
      </w:r>
      <w:r w:rsidRPr="00F13A57">
        <w:rPr>
          <w:rStyle w:val="Appelnotedebasdep"/>
        </w:rPr>
        <w:footnoteReference w:id="35"/>
      </w:r>
      <w:r w:rsidRPr="00F13A57">
        <w:t xml:space="preserve"> ainsi que le projet de décision IX/4c</w:t>
      </w:r>
      <w:r w:rsidR="00FD2633" w:rsidRPr="00F13A57">
        <w:noBreakHyphen/>
      </w:r>
      <w:r w:rsidRPr="00F13A57">
        <w:t>V/4c</w:t>
      </w:r>
      <w:r w:rsidRPr="00F13A57">
        <w:rPr>
          <w:rStyle w:val="Appelnotedebasdep"/>
        </w:rPr>
        <w:footnoteReference w:id="36"/>
      </w:r>
      <w:r w:rsidRPr="00F13A57">
        <w:t>. Il a recommandé aux Réunions des Parties d</w:t>
      </w:r>
      <w:r w:rsidR="003B2315" w:rsidRPr="00F13A57">
        <w:t>’</w:t>
      </w:r>
      <w:r w:rsidRPr="00F13A57">
        <w:t>approuver ses conclusions selon lesquelles, en ne notifiant pas l</w:t>
      </w:r>
      <w:r w:rsidR="003B2315" w:rsidRPr="00F13A57">
        <w:t>’</w:t>
      </w:r>
      <w:r w:rsidRPr="00F13A57">
        <w:t>activité au Monténégro au début de la procédure de 2012-2013, la Bosnie-Herzégovine avait manqué aux obligations qui lui incombaient au titre des articles 2 (par. 4) et 3 (par. 1) de la Convention. En ne procédant pas à une nouvelle évaluation de l</w:t>
      </w:r>
      <w:r w:rsidR="003B2315" w:rsidRPr="00F13A57">
        <w:t>’</w:t>
      </w:r>
      <w:r w:rsidRPr="00F13A57">
        <w:t>impact sur l</w:t>
      </w:r>
      <w:r w:rsidR="003B2315" w:rsidRPr="00F13A57">
        <w:t>’</w:t>
      </w:r>
      <w:r w:rsidRPr="00F13A57">
        <w:t>environnement avant de délivrer un nouveau permis en 2019, la Bosnie-Herzégovine avait en outre manqué aux obligations qui lui incombaient en vertu des articles 2 (par. 2 et</w:t>
      </w:r>
      <w:r w:rsidRPr="00B045DB">
        <w:t xml:space="preserve"> 3) et 4</w:t>
      </w:r>
      <w:r w:rsidR="00FD2633" w:rsidRPr="00B045DB">
        <w:t> </w:t>
      </w:r>
      <w:r w:rsidRPr="00B045DB">
        <w:t>(par. 1) de la Convention, et il lui a été demandé de mener une procédure d</w:t>
      </w:r>
      <w:r w:rsidR="003B2315" w:rsidRPr="00B045DB">
        <w:t>’</w:t>
      </w:r>
      <w:r w:rsidRPr="00B045DB">
        <w:t>évaluation de l</w:t>
      </w:r>
      <w:r w:rsidR="003B2315" w:rsidRPr="00B045DB">
        <w:t>’</w:t>
      </w:r>
      <w:r w:rsidRPr="00B045DB">
        <w:t>impact transfrontière sur l</w:t>
      </w:r>
      <w:r w:rsidR="003B2315" w:rsidRPr="00B045DB">
        <w:t>’</w:t>
      </w:r>
      <w:r w:rsidRPr="00B045DB">
        <w:t>environnement à laquelle participeraient le Monténégro et, le cas échéant, d</w:t>
      </w:r>
      <w:r w:rsidR="003B2315" w:rsidRPr="00B045DB">
        <w:t>’</w:t>
      </w:r>
      <w:r w:rsidRPr="00B045DB">
        <w:t>autres Parties touchées.</w:t>
      </w:r>
    </w:p>
    <w:p w14:paraId="037CBB36" w14:textId="5C1F3B57" w:rsidR="00D24047" w:rsidRPr="00027956" w:rsidRDefault="00FD2633" w:rsidP="00FD2633">
      <w:pPr>
        <w:pStyle w:val="H1G"/>
        <w:rPr>
          <w:lang w:val="en-US"/>
        </w:rPr>
      </w:pPr>
      <w:r w:rsidRPr="00B045DB">
        <w:tab/>
      </w:r>
      <w:r w:rsidR="00D24047" w:rsidRPr="00027956">
        <w:rPr>
          <w:lang w:val="en-US"/>
        </w:rPr>
        <w:t>D.</w:t>
      </w:r>
      <w:r w:rsidR="00D24047" w:rsidRPr="00027956">
        <w:rPr>
          <w:lang w:val="en-US"/>
        </w:rPr>
        <w:tab/>
      </w:r>
      <w:proofErr w:type="spellStart"/>
      <w:r w:rsidR="00D24047" w:rsidRPr="00027956">
        <w:rPr>
          <w:lang w:val="en-US"/>
        </w:rPr>
        <w:t>Pologne</w:t>
      </w:r>
      <w:proofErr w:type="spellEnd"/>
    </w:p>
    <w:p w14:paraId="6326B2D3" w14:textId="3FBD209C" w:rsidR="00D24047" w:rsidRPr="00027956" w:rsidRDefault="00FD2633" w:rsidP="00FD2633">
      <w:pPr>
        <w:pStyle w:val="H4G"/>
        <w:rPr>
          <w:lang w:val="en-US"/>
        </w:rPr>
      </w:pPr>
      <w:r w:rsidRPr="00027956">
        <w:rPr>
          <w:lang w:val="en-US"/>
        </w:rPr>
        <w:tab/>
      </w:r>
      <w:r w:rsidRPr="00027956">
        <w:rPr>
          <w:lang w:val="en-US"/>
        </w:rPr>
        <w:tab/>
      </w:r>
      <w:r w:rsidR="00D24047" w:rsidRPr="00027956">
        <w:rPr>
          <w:lang w:val="en-US"/>
        </w:rPr>
        <w:t>EIA/IC/S/9</w:t>
      </w:r>
    </w:p>
    <w:p w14:paraId="5EA728EF" w14:textId="5E8E5D35" w:rsidR="00D24047" w:rsidRPr="00B045DB" w:rsidRDefault="00D24047" w:rsidP="00D24047">
      <w:pPr>
        <w:pStyle w:val="SingleTxtG"/>
      </w:pPr>
      <w:r w:rsidRPr="00B045DB">
        <w:rPr>
          <w:iCs/>
        </w:rPr>
        <w:t>41.</w:t>
      </w:r>
      <w:r w:rsidRPr="00B045DB">
        <w:rPr>
          <w:iCs/>
        </w:rPr>
        <w:tab/>
        <w:t>À sa cinquante-septième session (Genève, 29</w:t>
      </w:r>
      <w:r w:rsidR="00FD2633" w:rsidRPr="00B045DB">
        <w:rPr>
          <w:iCs/>
        </w:rPr>
        <w:t> </w:t>
      </w:r>
      <w:r w:rsidRPr="00B045DB">
        <w:rPr>
          <w:iCs/>
        </w:rPr>
        <w:t>août-1</w:t>
      </w:r>
      <w:r w:rsidRPr="00B045DB">
        <w:rPr>
          <w:iCs/>
          <w:vertAlign w:val="superscript"/>
        </w:rPr>
        <w:t>er</w:t>
      </w:r>
      <w:r w:rsidR="00FD2633" w:rsidRPr="00B045DB">
        <w:rPr>
          <w:iCs/>
        </w:rPr>
        <w:t> </w:t>
      </w:r>
      <w:r w:rsidRPr="00B045DB">
        <w:rPr>
          <w:iCs/>
        </w:rPr>
        <w:t>septembre 2023), l</w:t>
      </w:r>
      <w:r w:rsidRPr="00B045DB">
        <w:t>e Comité a commencé l</w:t>
      </w:r>
      <w:r w:rsidR="003B2315" w:rsidRPr="00B045DB">
        <w:t>’</w:t>
      </w:r>
      <w:r w:rsidRPr="00B045DB">
        <w:t>examen de la communication du Bélarus datée du 12</w:t>
      </w:r>
      <w:r w:rsidR="00FD2633" w:rsidRPr="00B045DB">
        <w:t> </w:t>
      </w:r>
      <w:r w:rsidRPr="00B045DB">
        <w:t>avril 2023 dans laquelle celui-ci exprimait ses préoccupations quant au respect par la Pologne des obligations qui lui incombaient en vertu de la Convention pour ce qui était de la construction d</w:t>
      </w:r>
      <w:r w:rsidR="003B2315" w:rsidRPr="00B045DB">
        <w:t>’</w:t>
      </w:r>
      <w:r w:rsidRPr="00B045DB">
        <w:t xml:space="preserve">une barrière sur le territoire du site transfrontière de la forêt de </w:t>
      </w:r>
      <w:proofErr w:type="spellStart"/>
      <w:r w:rsidRPr="00B045DB">
        <w:t>Bialowieza</w:t>
      </w:r>
      <w:proofErr w:type="spellEnd"/>
      <w:r w:rsidRPr="00B045DB">
        <w:t>, inscrit au Patrimoine mondial par l</w:t>
      </w:r>
      <w:r w:rsidR="003B2315" w:rsidRPr="00B045DB">
        <w:t>’</w:t>
      </w:r>
      <w:r w:rsidRPr="00B045DB">
        <w:t>Organisation des Nations Unies pour l</w:t>
      </w:r>
      <w:r w:rsidR="003B2315" w:rsidRPr="00B045DB">
        <w:t>’</w:t>
      </w:r>
      <w:r w:rsidRPr="00B045DB">
        <w:t>éducation, la science et la culture (UNESCO) et situé à la frontière entre les deux pays. Selon la réponse de la Pologne à la communication, datée du 17</w:t>
      </w:r>
      <w:r w:rsidR="00FD2633" w:rsidRPr="00B045DB">
        <w:t> </w:t>
      </w:r>
      <w:r w:rsidRPr="00B045DB">
        <w:t>juillet 2023, la construction du mur de sécurité frontalier de l</w:t>
      </w:r>
      <w:r w:rsidR="003B2315" w:rsidRPr="00B045DB">
        <w:t>’</w:t>
      </w:r>
      <w:r w:rsidRPr="00B045DB">
        <w:t>État ne relevait pas de la Convention et, en vertu de l</w:t>
      </w:r>
      <w:r w:rsidR="003B2315" w:rsidRPr="00B045DB">
        <w:t>’</w:t>
      </w:r>
      <w:r w:rsidRPr="00B045DB">
        <w:t>article 2 (par.</w:t>
      </w:r>
      <w:r w:rsidR="00FD2633" w:rsidRPr="00B045DB">
        <w:t> </w:t>
      </w:r>
      <w:r w:rsidRPr="00B045DB">
        <w:t>8) de celle-ci, pour des raisons de sécurité nationale, les lois nationales pourraient être appliquées et prévaloir sur la Convention, ce qui permettait la construction du mur. Le Comité a demandé des clarifications à la Biélorussie et à la Pologne pour sa prochaine session (Genève, 27</w:t>
      </w:r>
      <w:r w:rsidR="001E39A4" w:rsidRPr="00B045DB">
        <w:t> </w:t>
      </w:r>
      <w:r w:rsidRPr="00B045DB">
        <w:t>février-1</w:t>
      </w:r>
      <w:r w:rsidRPr="00B045DB">
        <w:rPr>
          <w:vertAlign w:val="superscript"/>
        </w:rPr>
        <w:t>er</w:t>
      </w:r>
      <w:r w:rsidR="00FD2633" w:rsidRPr="00B045DB">
        <w:t> </w:t>
      </w:r>
      <w:r w:rsidRPr="00B045DB">
        <w:t>mars 2024).</w:t>
      </w:r>
    </w:p>
    <w:p w14:paraId="4DDA4253" w14:textId="079E4162" w:rsidR="00D24047" w:rsidRPr="00B045DB" w:rsidRDefault="00FD2633" w:rsidP="00FD2633">
      <w:pPr>
        <w:pStyle w:val="HChG"/>
      </w:pPr>
      <w:r w:rsidRPr="00B045DB">
        <w:tab/>
      </w:r>
      <w:r w:rsidR="00D24047" w:rsidRPr="00B045DB">
        <w:t>IV.</w:t>
      </w:r>
      <w:r w:rsidR="00D24047" w:rsidRPr="00B045DB">
        <w:tab/>
        <w:t>Initiatives du Comité</w:t>
      </w:r>
    </w:p>
    <w:p w14:paraId="492F3A66" w14:textId="3F8E3AF7" w:rsidR="00D24047" w:rsidRPr="00B045DB" w:rsidRDefault="00D24047" w:rsidP="00D24047">
      <w:pPr>
        <w:pStyle w:val="SingleTxtG"/>
      </w:pPr>
      <w:r w:rsidRPr="00B045DB">
        <w:t>42.</w:t>
      </w:r>
      <w:r w:rsidRPr="00B045DB">
        <w:tab/>
        <w:t>Conformément à l</w:t>
      </w:r>
      <w:r w:rsidR="003B2315" w:rsidRPr="00B045DB">
        <w:t>’</w:t>
      </w:r>
      <w:r w:rsidRPr="00B045DB">
        <w:t>article 15 de son règlement intérieur, le Comité a pris cinq initiatives en application du paragraphe 6 du texte définissant sa structure et ses fonctions</w:t>
      </w:r>
      <w:r w:rsidRPr="00B045DB">
        <w:rPr>
          <w:rStyle w:val="Appelnotedebasdep"/>
        </w:rPr>
        <w:footnoteReference w:id="37"/>
      </w:r>
      <w:r w:rsidRPr="00B045DB">
        <w:t>, sur la base d</w:t>
      </w:r>
      <w:r w:rsidR="003B2315" w:rsidRPr="00B045DB">
        <w:t>’</w:t>
      </w:r>
      <w:r w:rsidRPr="00B045DB">
        <w:t>une sérieuse suspicion de non-respect par une Partie des obligations qui lui incombent au titre de la Convention. Il a clos une initiative concernant les obligations d</w:t>
      </w:r>
      <w:r w:rsidR="003B2315" w:rsidRPr="00B045DB">
        <w:t>’</w:t>
      </w:r>
      <w:r w:rsidRPr="00B045DB">
        <w:t>une Partie au titre de la Convention, débutée en 2020, et une initiative au titre du Protocole, débutée en 2019.</w:t>
      </w:r>
    </w:p>
    <w:p w14:paraId="33E04980" w14:textId="4FA22A2C" w:rsidR="00D24047" w:rsidRPr="00B045DB" w:rsidRDefault="00FD2633" w:rsidP="00FD2633">
      <w:pPr>
        <w:pStyle w:val="H1G"/>
      </w:pPr>
      <w:r w:rsidRPr="00B045DB">
        <w:tab/>
      </w:r>
      <w:r w:rsidR="00D24047" w:rsidRPr="00B045DB">
        <w:t>A.</w:t>
      </w:r>
      <w:r w:rsidR="00D24047" w:rsidRPr="00B045DB">
        <w:tab/>
        <w:t>Questions relatives à la Convention</w:t>
      </w:r>
    </w:p>
    <w:p w14:paraId="3E70834D" w14:textId="017AE261" w:rsidR="00D24047" w:rsidRPr="00B045DB" w:rsidRDefault="00FD2633" w:rsidP="00FD2633">
      <w:pPr>
        <w:pStyle w:val="H23G"/>
      </w:pPr>
      <w:r w:rsidRPr="00B045DB">
        <w:tab/>
      </w:r>
      <w:r w:rsidR="00D24047" w:rsidRPr="00B045DB">
        <w:t>1.</w:t>
      </w:r>
      <w:r w:rsidR="00D24047" w:rsidRPr="00B045DB">
        <w:tab/>
        <w:t>Bélarus</w:t>
      </w:r>
    </w:p>
    <w:p w14:paraId="7D69E59B" w14:textId="689E3ED0" w:rsidR="00D24047" w:rsidRPr="00B045DB" w:rsidRDefault="00FD2633" w:rsidP="00FD2633">
      <w:pPr>
        <w:pStyle w:val="H4G"/>
      </w:pPr>
      <w:r w:rsidRPr="00B045DB">
        <w:tab/>
      </w:r>
      <w:r w:rsidRPr="00B045DB">
        <w:tab/>
      </w:r>
      <w:r w:rsidR="00D24047" w:rsidRPr="00B045DB">
        <w:t>EIA/IC/CI/11 et EIA/IC/INFO/21</w:t>
      </w:r>
    </w:p>
    <w:p w14:paraId="629A53D5" w14:textId="26E07C13" w:rsidR="00D24047" w:rsidRPr="00D56407" w:rsidRDefault="00D24047" w:rsidP="00D24047">
      <w:pPr>
        <w:pStyle w:val="SingleTxtG"/>
      </w:pPr>
      <w:r w:rsidRPr="00B045DB">
        <w:t>43.</w:t>
      </w:r>
      <w:r w:rsidRPr="00B045DB">
        <w:tab/>
        <w:t>Le 18</w:t>
      </w:r>
      <w:r w:rsidR="001E39A4" w:rsidRPr="00B045DB">
        <w:t> </w:t>
      </w:r>
      <w:r w:rsidRPr="00B045DB">
        <w:t xml:space="preserve">juillet 2016, le Bélarus a adopté la loi </w:t>
      </w:r>
      <w:r w:rsidR="001E39A4" w:rsidRPr="00B045DB">
        <w:rPr>
          <w:rFonts w:eastAsia="MS Mincho"/>
          <w:szCs w:val="22"/>
        </w:rPr>
        <w:t>n</w:t>
      </w:r>
      <w:r w:rsidR="001E39A4" w:rsidRPr="00B045DB">
        <w:rPr>
          <w:rFonts w:eastAsia="MS Mincho"/>
          <w:szCs w:val="22"/>
          <w:vertAlign w:val="superscript"/>
        </w:rPr>
        <w:t>o</w:t>
      </w:r>
      <w:r w:rsidR="001E39A4" w:rsidRPr="00B045DB">
        <w:t> </w:t>
      </w:r>
      <w:r w:rsidRPr="00B045DB">
        <w:t>399-3 relative à l</w:t>
      </w:r>
      <w:r w:rsidR="003B2315" w:rsidRPr="00B045DB">
        <w:t>’</w:t>
      </w:r>
      <w:r w:rsidRPr="00B045DB">
        <w:t>expertise écologique d</w:t>
      </w:r>
      <w:r w:rsidR="003B2315" w:rsidRPr="00B045DB">
        <w:t>’</w:t>
      </w:r>
      <w:r w:rsidRPr="00B045DB">
        <w:t>État, à l</w:t>
      </w:r>
      <w:r w:rsidR="003B2315" w:rsidRPr="00B045DB">
        <w:t>’</w:t>
      </w:r>
      <w:r w:rsidRPr="00B045DB">
        <w:t>évaluation stratégique environnementale et à l</w:t>
      </w:r>
      <w:r w:rsidR="003B2315" w:rsidRPr="00B045DB">
        <w:t>’</w:t>
      </w:r>
      <w:r w:rsidRPr="00B045DB">
        <w:t>évaluation de l</w:t>
      </w:r>
      <w:r w:rsidR="003B2315" w:rsidRPr="00B045DB">
        <w:t>’</w:t>
      </w:r>
      <w:r w:rsidRPr="00B045DB">
        <w:t>impact sur l</w:t>
      </w:r>
      <w:r w:rsidR="003B2315" w:rsidRPr="00B045DB">
        <w:t>’</w:t>
      </w:r>
      <w:r w:rsidRPr="00B045DB">
        <w:t>environnement (ci-après «</w:t>
      </w:r>
      <w:r w:rsidR="001E39A4" w:rsidRPr="00B045DB">
        <w:t> </w:t>
      </w:r>
      <w:r w:rsidRPr="00B045DB">
        <w:t>la loi</w:t>
      </w:r>
      <w:r w:rsidR="001E39A4" w:rsidRPr="00B045DB">
        <w:t> </w:t>
      </w:r>
      <w:r w:rsidRPr="00B045DB">
        <w:t>»). À sa trente-neuvième session (Genève, 5-7</w:t>
      </w:r>
      <w:r w:rsidR="001E39A4" w:rsidRPr="00B045DB">
        <w:t> </w:t>
      </w:r>
      <w:r w:rsidRPr="00B045DB">
        <w:t>septembre 2017), le Comité a commencé à recueillir des informations concernant ladite loi</w:t>
      </w:r>
      <w:r w:rsidRPr="00B045DB">
        <w:rPr>
          <w:rStyle w:val="Appelnotedebasdep"/>
        </w:rPr>
        <w:footnoteReference w:id="38"/>
      </w:r>
      <w:r w:rsidRPr="00B045DB">
        <w:t>. En examinant la loi et la législation subsidiaire s</w:t>
      </w:r>
      <w:r w:rsidR="003B2315" w:rsidRPr="00B045DB">
        <w:t>’</w:t>
      </w:r>
      <w:r w:rsidRPr="00B045DB">
        <w:t xml:space="preserve">y rapportant, le Comité a relevé plusieurs </w:t>
      </w:r>
      <w:r w:rsidRPr="00B045DB">
        <w:lastRenderedPageBreak/>
        <w:t xml:space="preserve">lacunes par rapport à la </w:t>
      </w:r>
      <w:r w:rsidRPr="00D56407">
        <w:t>Convention. Par lettre datée du 2</w:t>
      </w:r>
      <w:r w:rsidR="001E39A4" w:rsidRPr="00D56407">
        <w:t> </w:t>
      </w:r>
      <w:r w:rsidRPr="00D56407">
        <w:t>janvier 2019, il a communiqué au Bélarus une liste non exhaustive des lacunes constatées et lui a demandé des précisions sur les mesures que le pays envisageait de prendre pour remédier à ces lacunes</w:t>
      </w:r>
      <w:r w:rsidRPr="00D56407">
        <w:rPr>
          <w:rStyle w:val="Appelnotedebasdep"/>
        </w:rPr>
        <w:footnoteReference w:id="39"/>
      </w:r>
      <w:r w:rsidRPr="00D56407">
        <w:t>.</w:t>
      </w:r>
    </w:p>
    <w:p w14:paraId="558EFB34" w14:textId="6B20F0AA" w:rsidR="00D24047" w:rsidRPr="00B045DB" w:rsidRDefault="00D24047" w:rsidP="00D24047">
      <w:pPr>
        <w:pStyle w:val="SingleTxtG"/>
      </w:pPr>
      <w:r w:rsidRPr="00D56407">
        <w:t>44.</w:t>
      </w:r>
      <w:r w:rsidRPr="00D56407">
        <w:tab/>
        <w:t>Entre 2017 et 2021, le B</w:t>
      </w:r>
      <w:r w:rsidR="00D56407">
        <w:t>é</w:t>
      </w:r>
      <w:r w:rsidRPr="00D56407">
        <w:t>larus a bénéficié d</w:t>
      </w:r>
      <w:r w:rsidR="003B2315" w:rsidRPr="00D56407">
        <w:t>’</w:t>
      </w:r>
      <w:r w:rsidRPr="00D56407">
        <w:t>une assistance en matière de législation</w:t>
      </w:r>
      <w:r w:rsidRPr="00B045DB">
        <w:t xml:space="preserve"> financée par l</w:t>
      </w:r>
      <w:r w:rsidR="003B2315" w:rsidRPr="00B045DB">
        <w:t>’</w:t>
      </w:r>
      <w:r w:rsidRPr="00B045DB">
        <w:t>Union européenne, d</w:t>
      </w:r>
      <w:r w:rsidR="003B2315" w:rsidRPr="00B045DB">
        <w:t>’</w:t>
      </w:r>
      <w:r w:rsidRPr="00B045DB">
        <w:t>abord dans le cadre du programme de l</w:t>
      </w:r>
      <w:r w:rsidR="003B2315" w:rsidRPr="00B045DB">
        <w:t>’</w:t>
      </w:r>
      <w:r w:rsidRPr="00B045DB">
        <w:t>UE pour une économie plus verte dans les pays du Partenariat oriental, puis dans le cadre du programme EU4Environment, avec l</w:t>
      </w:r>
      <w:r w:rsidR="003B2315" w:rsidRPr="00B045DB">
        <w:t>’</w:t>
      </w:r>
      <w:r w:rsidRPr="00B045DB">
        <w:t>appui du secrétariat. Depuis 2017, le Comité a interrogé à plusieurs reprises le Bélarus sur les mesures en cours d</w:t>
      </w:r>
      <w:r w:rsidR="003B2315" w:rsidRPr="00B045DB">
        <w:t>’</w:t>
      </w:r>
      <w:r w:rsidRPr="00B045DB">
        <w:t>adoption pour mettre sa législation en conformité avec la Convention.</w:t>
      </w:r>
    </w:p>
    <w:p w14:paraId="6947D826" w14:textId="1D815117" w:rsidR="00D24047" w:rsidRPr="00B045DB" w:rsidRDefault="00D24047" w:rsidP="00D24047">
      <w:pPr>
        <w:pStyle w:val="SingleTxtG"/>
      </w:pPr>
      <w:r w:rsidRPr="00B045DB">
        <w:t>45.</w:t>
      </w:r>
      <w:r w:rsidRPr="00B045DB">
        <w:tab/>
        <w:t>Le Comité a mené des consultations informelles avec le Bélarus à sa cinquante</w:t>
      </w:r>
      <w:r w:rsidR="001E39A4" w:rsidRPr="00B045DB">
        <w:noBreakHyphen/>
      </w:r>
      <w:r w:rsidRPr="00B045DB">
        <w:t>quatrième session. Il a constaté avec regret que le B</w:t>
      </w:r>
      <w:r w:rsidR="00635E16">
        <w:t>é</w:t>
      </w:r>
      <w:r w:rsidRPr="00B045DB">
        <w:t>larus n</w:t>
      </w:r>
      <w:r w:rsidR="003B2315" w:rsidRPr="00B045DB">
        <w:t>’</w:t>
      </w:r>
      <w:r w:rsidRPr="00B045DB">
        <w:t>avait pas encore adopté la législation modifiée et qu</w:t>
      </w:r>
      <w:r w:rsidR="003B2315" w:rsidRPr="00B045DB">
        <w:t>’</w:t>
      </w:r>
      <w:r w:rsidRPr="00B045DB">
        <w:t>il ne prévoyait de le faire qu</w:t>
      </w:r>
      <w:r w:rsidR="003B2315" w:rsidRPr="00B045DB">
        <w:t>’</w:t>
      </w:r>
      <w:r w:rsidRPr="00B045DB">
        <w:t>en décembre 2023. Le Comité a rappelé les dix années d</w:t>
      </w:r>
      <w:r w:rsidR="003B2315" w:rsidRPr="00B045DB">
        <w:t>’</w:t>
      </w:r>
      <w:r w:rsidRPr="00B045DB">
        <w:t>assistance en matière de législation fournie au B</w:t>
      </w:r>
      <w:r w:rsidR="00635E16">
        <w:t>é</w:t>
      </w:r>
      <w:r w:rsidRPr="00B045DB">
        <w:t>larus grâce au financement de l</w:t>
      </w:r>
      <w:r w:rsidR="003B2315" w:rsidRPr="00B045DB">
        <w:t>’</w:t>
      </w:r>
      <w:r w:rsidRPr="00B045DB">
        <w:t>Union européenne, ainsi que les recommandations concernant les domaines à améliorer</w:t>
      </w:r>
      <w:r w:rsidRPr="00B045DB">
        <w:rPr>
          <w:rStyle w:val="Appelnotedebasdep"/>
        </w:rPr>
        <w:footnoteReference w:id="40"/>
      </w:r>
      <w:r w:rsidRPr="00B045DB">
        <w:t>.</w:t>
      </w:r>
    </w:p>
    <w:p w14:paraId="043C16FB" w14:textId="661B28CD" w:rsidR="00D24047" w:rsidRPr="00B045DB" w:rsidRDefault="00D24047" w:rsidP="00D24047">
      <w:pPr>
        <w:pStyle w:val="SingleTxtG"/>
      </w:pPr>
      <w:r w:rsidRPr="00B045DB">
        <w:t>46.</w:t>
      </w:r>
      <w:r w:rsidRPr="00B045DB">
        <w:tab/>
        <w:t>À sa cinquante-sixième session, le Comité, après six années de suivi de la révision par le Bélarus de sa législation, a pris une initiative fondée sur une sérieuse suspicion de non</w:t>
      </w:r>
      <w:r w:rsidR="00635E16">
        <w:noBreakHyphen/>
      </w:r>
      <w:r w:rsidRPr="00B045DB">
        <w:t>respect par le Bélarus de ses obligations au titre de la Convention. Dans ses conclusions et recommandations</w:t>
      </w:r>
      <w:r w:rsidRPr="00B045DB">
        <w:rPr>
          <w:rStyle w:val="Appelnotedebasdep"/>
        </w:rPr>
        <w:footnoteReference w:id="41"/>
      </w:r>
      <w:r w:rsidRPr="00B045DB">
        <w:t xml:space="preserve"> et dans le projet de décision IX/4f</w:t>
      </w:r>
      <w:r w:rsidRPr="00B045DB">
        <w:rPr>
          <w:rStyle w:val="Appelnotedebasdep"/>
        </w:rPr>
        <w:footnoteReference w:id="42"/>
      </w:r>
      <w:r w:rsidRPr="00B045DB">
        <w:t>, le Comité a recommandé à la Réunion des Parties de se féliciter des améliorations apportées par le B</w:t>
      </w:r>
      <w:r w:rsidR="00635E16">
        <w:t>é</w:t>
      </w:r>
      <w:r w:rsidRPr="00B045DB">
        <w:t>larus à sa législation nationale grâce à l</w:t>
      </w:r>
      <w:r w:rsidR="003B2315" w:rsidRPr="00B045DB">
        <w:t>’</w:t>
      </w:r>
      <w:r w:rsidRPr="00B045DB">
        <w:t>adoption en juillet 2023 de la loi mais de regretter qu</w:t>
      </w:r>
      <w:r w:rsidR="003B2315" w:rsidRPr="00B045DB">
        <w:t>’</w:t>
      </w:r>
      <w:r w:rsidRPr="00B045DB">
        <w:t>il n</w:t>
      </w:r>
      <w:r w:rsidR="003B2315" w:rsidRPr="00B045DB">
        <w:t>’</w:t>
      </w:r>
      <w:r w:rsidRPr="00B045DB">
        <w:t>ait pas été remédié à toutes les lacunes constatées dans sa législation antérieure.</w:t>
      </w:r>
    </w:p>
    <w:p w14:paraId="104A4140" w14:textId="76B7BB24" w:rsidR="00D24047" w:rsidRPr="00B045DB" w:rsidRDefault="001E39A4" w:rsidP="001E39A4">
      <w:pPr>
        <w:pStyle w:val="H23G"/>
      </w:pPr>
      <w:r w:rsidRPr="00B045DB">
        <w:tab/>
      </w:r>
      <w:r w:rsidRPr="00B045DB">
        <w:tab/>
      </w:r>
      <w:r w:rsidR="00D24047" w:rsidRPr="00B045DB">
        <w:t xml:space="preserve">Prolongation de la durée de vie des centrales nucléaires en Belgique, en Bulgarie </w:t>
      </w:r>
      <w:r w:rsidRPr="00B045DB">
        <w:br/>
      </w:r>
      <w:r w:rsidR="00D24047" w:rsidRPr="00B045DB">
        <w:t xml:space="preserve">et en </w:t>
      </w:r>
      <w:r w:rsidR="00635E16">
        <w:t>Tchéquie</w:t>
      </w:r>
    </w:p>
    <w:p w14:paraId="0BB5F238" w14:textId="7FD96CF2" w:rsidR="00D24047" w:rsidRPr="00B045DB" w:rsidRDefault="001E39A4" w:rsidP="001E39A4">
      <w:pPr>
        <w:pStyle w:val="H4G"/>
      </w:pPr>
      <w:r w:rsidRPr="00B045DB">
        <w:tab/>
      </w:r>
      <w:r w:rsidRPr="00B045DB">
        <w:tab/>
      </w:r>
      <w:r w:rsidR="00D24047" w:rsidRPr="00B045DB">
        <w:t>EIA/IC/CI/9, EIA/IC/CI/8 et EIA/IC/CI/10</w:t>
      </w:r>
    </w:p>
    <w:p w14:paraId="5E1A0A23" w14:textId="14EE8CFA" w:rsidR="00D24047" w:rsidRPr="00B045DB" w:rsidRDefault="00D24047" w:rsidP="00D24047">
      <w:pPr>
        <w:pStyle w:val="SingleTxtG"/>
      </w:pPr>
      <w:r w:rsidRPr="0023166B">
        <w:t>47.</w:t>
      </w:r>
      <w:r w:rsidRPr="0023166B">
        <w:tab/>
        <w:t>Pendant la période intersessions, le Comité a poursuivi l</w:t>
      </w:r>
      <w:r w:rsidR="003B2315" w:rsidRPr="0023166B">
        <w:t>’</w:t>
      </w:r>
      <w:r w:rsidRPr="0023166B">
        <w:t>examen de la prolongation de la durée de vie des centrales nucléaires qu</w:t>
      </w:r>
      <w:r w:rsidR="003B2315" w:rsidRPr="0023166B">
        <w:t>’</w:t>
      </w:r>
      <w:r w:rsidRPr="0023166B">
        <w:t>il avait mis en suspens pendant la préparation des Lignes directrices relatives à l</w:t>
      </w:r>
      <w:r w:rsidR="003B2315" w:rsidRPr="0023166B">
        <w:t>’</w:t>
      </w:r>
      <w:r w:rsidRPr="0023166B">
        <w:t>applicabilité de la Convention s</w:t>
      </w:r>
      <w:r w:rsidR="003B2315" w:rsidRPr="0023166B">
        <w:t>’</w:t>
      </w:r>
      <w:r w:rsidRPr="0023166B">
        <w:t>agissant de la prolongation de la durée de vie des centrales nucléaires (ci-après les Lignes directrices)</w:t>
      </w:r>
      <w:r w:rsidRPr="0023166B">
        <w:rPr>
          <w:rStyle w:val="Appelnotedebasdep"/>
        </w:rPr>
        <w:footnoteReference w:id="43"/>
      </w:r>
      <w:r w:rsidRPr="0023166B">
        <w:t>, que la Réunion des Parties à la Convention a adoptées à sa huitième session par la décision</w:t>
      </w:r>
      <w:r w:rsidR="001E39A4" w:rsidRPr="0023166B">
        <w:t> </w:t>
      </w:r>
      <w:r w:rsidRPr="0023166B">
        <w:t>VIII/6 (ECE/</w:t>
      </w:r>
      <w:r w:rsidRPr="00B045DB">
        <w:t>MP.EIA/30/Add.2-ECE/MP.EIA/SEA/13/Add.2).</w:t>
      </w:r>
    </w:p>
    <w:p w14:paraId="2803B89C" w14:textId="2C35F0F0" w:rsidR="00D24047" w:rsidRPr="00B045DB" w:rsidRDefault="00D24047" w:rsidP="00D24047">
      <w:pPr>
        <w:pStyle w:val="SingleTxtG"/>
      </w:pPr>
      <w:r w:rsidRPr="00B045DB">
        <w:t>48.</w:t>
      </w:r>
      <w:r w:rsidRPr="00B045DB">
        <w:tab/>
        <w:t>Alors que plusieurs Parties d</w:t>
      </w:r>
      <w:r w:rsidR="003B2315" w:rsidRPr="00B045DB">
        <w:t>’</w:t>
      </w:r>
      <w:r w:rsidRPr="00B045DB">
        <w:t>origine ont contesté l</w:t>
      </w:r>
      <w:r w:rsidR="003B2315" w:rsidRPr="00B045DB">
        <w:t>’</w:t>
      </w:r>
      <w:r w:rsidRPr="00B045DB">
        <w:t>applicabilité des Lignes directrices aux activités proposées avant leur approbation en 2020, le Comité a souligné que les Lignes directrices ne faisaient qu</w:t>
      </w:r>
      <w:r w:rsidR="003B2315" w:rsidRPr="00B045DB">
        <w:t>’</w:t>
      </w:r>
      <w:r w:rsidRPr="00B045DB">
        <w:t>interpréter la Convention pour soutenir son application pratique. Elles n</w:t>
      </w:r>
      <w:r w:rsidR="003B2315" w:rsidRPr="00B045DB">
        <w:t>’</w:t>
      </w:r>
      <w:r w:rsidRPr="00B045DB">
        <w:t>imposaient pas de nouvelles obligations aux Parties ni n</w:t>
      </w:r>
      <w:r w:rsidR="003B2315" w:rsidRPr="00B045DB">
        <w:t>’</w:t>
      </w:r>
      <w:r w:rsidRPr="00B045DB">
        <w:t>élargissaient le champ d</w:t>
      </w:r>
      <w:r w:rsidR="003B2315" w:rsidRPr="00B045DB">
        <w:t>’</w:t>
      </w:r>
      <w:r w:rsidRPr="00B045DB">
        <w:t>application des articles de la Convention. Comme la Réunion des Parties l</w:t>
      </w:r>
      <w:r w:rsidR="003B2315" w:rsidRPr="00B045DB">
        <w:t>’</w:t>
      </w:r>
      <w:r w:rsidRPr="00B045DB">
        <w:t>a recommandé à sa huitième session, le Comité prend en considération les Lignes directrices lorsqu</w:t>
      </w:r>
      <w:r w:rsidR="003B2315" w:rsidRPr="00B045DB">
        <w:t>’</w:t>
      </w:r>
      <w:r w:rsidRPr="00B045DB">
        <w:t>il s</w:t>
      </w:r>
      <w:r w:rsidR="003B2315" w:rsidRPr="00B045DB">
        <w:t>’</w:t>
      </w:r>
      <w:r w:rsidRPr="00B045DB">
        <w:t>acquitte de ses fonctions</w:t>
      </w:r>
      <w:r w:rsidRPr="00B045DB">
        <w:rPr>
          <w:rStyle w:val="Appelnotedebasdep"/>
        </w:rPr>
        <w:footnoteReference w:id="44"/>
      </w:r>
      <w:r w:rsidRPr="00B045DB">
        <w:t>. Il en agit ainsi en vue d</w:t>
      </w:r>
      <w:r w:rsidR="003B2315" w:rsidRPr="00B045DB">
        <w:t>’</w:t>
      </w:r>
      <w:r w:rsidRPr="00B045DB">
        <w:t>assurer une interprétation cohérente de la Convention pour tous les cas de prolongation de la durée de vie, que ceux-ci soient nouveaux ou en cours. Par conséquent, le Comité prend également en considération les Lignes directrices dans les procédures qui étaient déjà en cours d</w:t>
      </w:r>
      <w:r w:rsidR="003B2315" w:rsidRPr="00B045DB">
        <w:t>’</w:t>
      </w:r>
      <w:r w:rsidRPr="00B045DB">
        <w:t>examen avant l</w:t>
      </w:r>
      <w:r w:rsidR="003B2315" w:rsidRPr="00B045DB">
        <w:t>’</w:t>
      </w:r>
      <w:r w:rsidRPr="00B045DB">
        <w:t>approbation de ce texte.</w:t>
      </w:r>
    </w:p>
    <w:p w14:paraId="31CDEE9F" w14:textId="5CA85DA8" w:rsidR="00D24047" w:rsidRPr="00B045DB" w:rsidRDefault="001E39A4" w:rsidP="001E39A4">
      <w:pPr>
        <w:pStyle w:val="H23G"/>
      </w:pPr>
      <w:r w:rsidRPr="00B045DB">
        <w:lastRenderedPageBreak/>
        <w:tab/>
      </w:r>
      <w:r w:rsidR="00D24047" w:rsidRPr="00B045DB">
        <w:t>2.</w:t>
      </w:r>
      <w:r w:rsidR="00D24047" w:rsidRPr="00B045DB">
        <w:tab/>
        <w:t>Belgique</w:t>
      </w:r>
    </w:p>
    <w:p w14:paraId="44481B35" w14:textId="6CB20209" w:rsidR="00D24047" w:rsidRPr="00B045DB" w:rsidRDefault="001E39A4" w:rsidP="001E39A4">
      <w:pPr>
        <w:pStyle w:val="H4G"/>
      </w:pPr>
      <w:r w:rsidRPr="00B045DB">
        <w:tab/>
      </w:r>
      <w:r w:rsidRPr="00B045DB">
        <w:tab/>
      </w:r>
      <w:r w:rsidR="00D24047" w:rsidRPr="00B045DB">
        <w:t>EIA/IC/CI/9</w:t>
      </w:r>
    </w:p>
    <w:p w14:paraId="1D48AB1B" w14:textId="06221A00" w:rsidR="00D24047" w:rsidRPr="00B045DB" w:rsidRDefault="00D24047" w:rsidP="00D24047">
      <w:pPr>
        <w:pStyle w:val="SingleTxtG"/>
      </w:pPr>
      <w:r w:rsidRPr="00B045DB">
        <w:rPr>
          <w:iCs/>
        </w:rPr>
        <w:t>49.</w:t>
      </w:r>
      <w:r w:rsidRPr="00B045DB">
        <w:rPr>
          <w:iCs/>
        </w:rPr>
        <w:tab/>
      </w:r>
      <w:r w:rsidRPr="00B045DB">
        <w:t>Le 14</w:t>
      </w:r>
      <w:r w:rsidR="001E39A4" w:rsidRPr="00B045DB">
        <w:t> </w:t>
      </w:r>
      <w:r w:rsidRPr="00B045DB">
        <w:t>mars 2016, le Comité a reçu des informations des Länder allemands de Rhénanie-du-Nord-Westphalie et de Rhénanie-Palatinat exprimant des préoccupations quant au respect par la Belgique de ses obligations au titre de la Convention en ce qui concerne la prolongation de la durée de vie des tranches 1 et 2 de la centrale nucléaire de Doel et de la tranche 1 de la centrale nucléaire de Tihange</w:t>
      </w:r>
      <w:r w:rsidRPr="00B045DB">
        <w:rPr>
          <w:rStyle w:val="Appelnotedebasdep"/>
        </w:rPr>
        <w:footnoteReference w:id="45"/>
      </w:r>
      <w:r w:rsidRPr="00B045DB">
        <w:t>. Les deux Länder allemands affirmaient notamment que la Belgique n</w:t>
      </w:r>
      <w:r w:rsidR="003B2315" w:rsidRPr="00B045DB">
        <w:t>’</w:t>
      </w:r>
      <w:r w:rsidRPr="00B045DB">
        <w:t>avait pas respecté les articles 1</w:t>
      </w:r>
      <w:r w:rsidR="001E39A4" w:rsidRPr="00B045DB">
        <w:rPr>
          <w:vertAlign w:val="superscript"/>
        </w:rPr>
        <w:t>er</w:t>
      </w:r>
      <w:r w:rsidR="001E39A4" w:rsidRPr="00B045DB">
        <w:t xml:space="preserve"> </w:t>
      </w:r>
      <w:r w:rsidRPr="00B045DB">
        <w:t>à 7 de la Convention en ne procédant pas à une évaluation de l</w:t>
      </w:r>
      <w:r w:rsidR="003B2315" w:rsidRPr="00B045DB">
        <w:t>’</w:t>
      </w:r>
      <w:r w:rsidRPr="00B045DB">
        <w:t>impact sur l</w:t>
      </w:r>
      <w:r w:rsidR="003B2315" w:rsidRPr="00B045DB">
        <w:t>’</w:t>
      </w:r>
      <w:r w:rsidRPr="00B045DB">
        <w:t>environnement avant de prendre la décision d</w:t>
      </w:r>
      <w:r w:rsidR="003B2315" w:rsidRPr="00B045DB">
        <w:t>’</w:t>
      </w:r>
      <w:r w:rsidRPr="00B045DB">
        <w:t>autoriser la prolongation de la durée de vie des tranches susmentionnées.</w:t>
      </w:r>
    </w:p>
    <w:p w14:paraId="07D8DF0A" w14:textId="0943364B" w:rsidR="00D24047" w:rsidRPr="00B045DB" w:rsidRDefault="00D24047" w:rsidP="00D24047">
      <w:pPr>
        <w:pStyle w:val="SingleTxtG"/>
      </w:pPr>
      <w:r w:rsidRPr="00B045DB">
        <w:t>50.</w:t>
      </w:r>
      <w:r w:rsidRPr="00B045DB">
        <w:tab/>
        <w:t>Entre 2016 et 2017, le Comité a recueilli des informations auprès de l</w:t>
      </w:r>
      <w:r w:rsidR="003B2315" w:rsidRPr="00B045DB">
        <w:t>’</w:t>
      </w:r>
      <w:r w:rsidRPr="00B045DB">
        <w:t xml:space="preserve">Allemagne, </w:t>
      </w:r>
      <w:r w:rsidR="00C92038" w:rsidRPr="00B045DB">
        <w:t xml:space="preserve">de la Belgique, </w:t>
      </w:r>
      <w:r w:rsidRPr="00B045DB">
        <w:t>des deux Länder allemands et d</w:t>
      </w:r>
      <w:r w:rsidR="003B2315" w:rsidRPr="00B045DB">
        <w:t>’</w:t>
      </w:r>
      <w:r w:rsidRPr="00B045DB">
        <w:t>une ONG allemande. La Belgique ayant demandé en 2017 d</w:t>
      </w:r>
      <w:r w:rsidR="003B2315" w:rsidRPr="00B045DB">
        <w:t>’</w:t>
      </w:r>
      <w:r w:rsidRPr="00B045DB">
        <w:t>attendre l</w:t>
      </w:r>
      <w:r w:rsidR="003B2315" w:rsidRPr="00B045DB">
        <w:t>’</w:t>
      </w:r>
      <w:r w:rsidRPr="00B045DB">
        <w:t>issue de la procédure judiciaire devant la Cour de justice de l</w:t>
      </w:r>
      <w:r w:rsidR="003B2315" w:rsidRPr="00B045DB">
        <w:t>’</w:t>
      </w:r>
      <w:r w:rsidRPr="00B045DB">
        <w:t>Union européenne</w:t>
      </w:r>
      <w:r w:rsidRPr="00B045DB">
        <w:rPr>
          <w:rStyle w:val="Appelnotedebasdep"/>
        </w:rPr>
        <w:footnoteReference w:id="46"/>
      </w:r>
      <w:r w:rsidRPr="00B045DB">
        <w:t xml:space="preserve"> et la Cour constitutionnelle de Belgique concernant la centrale nucléaire de Doel, et du fait que les Lignes directrices étaient alors en cours d</w:t>
      </w:r>
      <w:r w:rsidR="003B2315" w:rsidRPr="00B045DB">
        <w:t>’</w:t>
      </w:r>
      <w:r w:rsidRPr="00B045DB">
        <w:t>élaboration, le Comité n</w:t>
      </w:r>
      <w:r w:rsidR="003B2315" w:rsidRPr="00B045DB">
        <w:t>’</w:t>
      </w:r>
      <w:r w:rsidRPr="00B045DB">
        <w:t>a pas poussé plus loin l</w:t>
      </w:r>
      <w:r w:rsidR="003B2315" w:rsidRPr="00B045DB">
        <w:t>’</w:t>
      </w:r>
      <w:r w:rsidRPr="00B045DB">
        <w:t>examen de la question avant sa cinquantième session (Genève, 4-7 mai 2021).</w:t>
      </w:r>
    </w:p>
    <w:p w14:paraId="25F126E6" w14:textId="150BC500" w:rsidR="00D24047" w:rsidRPr="00B045DB" w:rsidRDefault="00D24047" w:rsidP="00D24047">
      <w:pPr>
        <w:pStyle w:val="SingleTxtG"/>
      </w:pPr>
      <w:r w:rsidRPr="00B045DB">
        <w:t>51.</w:t>
      </w:r>
      <w:r w:rsidRPr="00B045DB">
        <w:tab/>
        <w:t>Suite à la décision rendue par la Cour constitutionnelle de Belgique le 5</w:t>
      </w:r>
      <w:r w:rsidR="001E39A4" w:rsidRPr="00B045DB">
        <w:t> </w:t>
      </w:r>
      <w:r w:rsidRPr="00B045DB">
        <w:t>mars 2020, le pays a engagé une procédure transfrontière au titre de la Convention concernant les tranches 1 et 2 de la centrale nucléaire de Doel avec toutes les Parties ayant manifesté le souhait d</w:t>
      </w:r>
      <w:r w:rsidR="003B2315" w:rsidRPr="00B045DB">
        <w:t>’</w:t>
      </w:r>
      <w:r w:rsidRPr="00B045DB">
        <w:t>y participer. Le Comité a donc décidé de clore l</w:t>
      </w:r>
      <w:r w:rsidR="003B2315" w:rsidRPr="00B045DB">
        <w:t>’</w:t>
      </w:r>
      <w:r w:rsidRPr="00B045DB">
        <w:t>examen de la question pour ce qui était de ces deux tranches. Il a également noté que la Belgique n</w:t>
      </w:r>
      <w:r w:rsidR="003B2315" w:rsidRPr="00B045DB">
        <w:t>’</w:t>
      </w:r>
      <w:r w:rsidRPr="00B045DB">
        <w:t>avait pris aucune mesure pour engager une procédure transfrontière concernant la tranche 1 de la centrale nucléaire de Tihange.</w:t>
      </w:r>
    </w:p>
    <w:p w14:paraId="2F6E1C19" w14:textId="7DE93EA9" w:rsidR="00D24047" w:rsidRPr="00B045DB" w:rsidRDefault="00D24047" w:rsidP="00D24047">
      <w:pPr>
        <w:pStyle w:val="SingleTxtG"/>
      </w:pPr>
      <w:r w:rsidRPr="00B045DB">
        <w:t>52.</w:t>
      </w:r>
      <w:r w:rsidRPr="00B045DB">
        <w:tab/>
        <w:t>À sa cinquante-deuxième session, le Comité a pris une initiative concernant la tranche</w:t>
      </w:r>
      <w:r w:rsidR="001E39A4" w:rsidRPr="00B045DB">
        <w:t> </w:t>
      </w:r>
      <w:r w:rsidRPr="00B045DB">
        <w:t>1 de la centrale nucléaire de Tihange</w:t>
      </w:r>
      <w:r w:rsidRPr="00B045DB">
        <w:rPr>
          <w:rStyle w:val="Appelnotedebasdep"/>
        </w:rPr>
        <w:footnoteReference w:id="47"/>
      </w:r>
      <w:r w:rsidRPr="00B045DB">
        <w:t xml:space="preserve"> et a organisé des auditions avec les Parties concernées à sa cinquante-quatrième session</w:t>
      </w:r>
      <w:r w:rsidRPr="00B045DB">
        <w:rPr>
          <w:rStyle w:val="Appelnotedebasdep"/>
        </w:rPr>
        <w:footnoteReference w:id="48"/>
      </w:r>
      <w:r w:rsidRPr="00B045DB">
        <w:t>.</w:t>
      </w:r>
    </w:p>
    <w:p w14:paraId="2E38BD0E" w14:textId="026474DA" w:rsidR="00D24047" w:rsidRPr="00B045DB" w:rsidRDefault="00D24047" w:rsidP="00D24047">
      <w:pPr>
        <w:pStyle w:val="SingleTxtG"/>
      </w:pPr>
      <w:r w:rsidRPr="00B045DB">
        <w:t>53.</w:t>
      </w:r>
      <w:r w:rsidRPr="00B045DB">
        <w:tab/>
        <w:t>Lorsqu</w:t>
      </w:r>
      <w:r w:rsidR="003B2315" w:rsidRPr="00B045DB">
        <w:t>’</w:t>
      </w:r>
      <w:r w:rsidRPr="00B045DB">
        <w:t>il a examiné les dispositions pertinentes de la Convention énoncées aux articles 2 (par.</w:t>
      </w:r>
      <w:r w:rsidR="001E39A4" w:rsidRPr="00B045DB">
        <w:t> </w:t>
      </w:r>
      <w:r w:rsidRPr="00B045DB">
        <w:t>3) et 3 (par.</w:t>
      </w:r>
      <w:r w:rsidR="001E39A4" w:rsidRPr="00B045DB">
        <w:t> </w:t>
      </w:r>
      <w:r w:rsidRPr="00B045DB">
        <w:t>1) et leur application, le Comité a pris en compte les Lignes directrices (voir par. 48 ci-dessus).</w:t>
      </w:r>
    </w:p>
    <w:p w14:paraId="51B990FC" w14:textId="7B3032E8" w:rsidR="00D24047" w:rsidRPr="00B045DB" w:rsidRDefault="00D24047" w:rsidP="00D24047">
      <w:pPr>
        <w:pStyle w:val="SingleTxtG"/>
      </w:pPr>
      <w:r w:rsidRPr="00B045DB">
        <w:t>54.</w:t>
      </w:r>
      <w:r w:rsidRPr="00B045DB">
        <w:tab/>
        <w:t>Le Comité a estimé que la mise en œuvre de plusieurs mesures incluses dans le plan d</w:t>
      </w:r>
      <w:r w:rsidR="003B2315" w:rsidRPr="00B045DB">
        <w:t>’</w:t>
      </w:r>
      <w:r w:rsidRPr="00B045DB">
        <w:t>action de 2012 pour l</w:t>
      </w:r>
      <w:r w:rsidR="003B2315" w:rsidRPr="00B045DB">
        <w:t>’</w:t>
      </w:r>
      <w:r w:rsidRPr="00B045DB">
        <w:t>exploitation à long terme constituait une modification majeure d</w:t>
      </w:r>
      <w:r w:rsidR="003B2315" w:rsidRPr="00B045DB">
        <w:t>’</w:t>
      </w:r>
      <w:r w:rsidRPr="00B045DB">
        <w:t>une activité visée à l</w:t>
      </w:r>
      <w:r w:rsidR="003B2315" w:rsidRPr="00B045DB">
        <w:t>’</w:t>
      </w:r>
      <w:r w:rsidRPr="00B045DB">
        <w:t>annexe</w:t>
      </w:r>
      <w:r w:rsidR="001E39A4" w:rsidRPr="00B045DB">
        <w:t> </w:t>
      </w:r>
      <w:r w:rsidRPr="00B045DB">
        <w:t>I de la Convention</w:t>
      </w:r>
      <w:r w:rsidRPr="00B045DB">
        <w:rPr>
          <w:rStyle w:val="Appelnotedebasdep"/>
        </w:rPr>
        <w:footnoteReference w:id="49"/>
      </w:r>
      <w:r w:rsidRPr="00B045DB">
        <w:t>. Il a conclu que l</w:t>
      </w:r>
      <w:r w:rsidR="003B2315" w:rsidRPr="00B045DB">
        <w:t>’</w:t>
      </w:r>
      <w:r w:rsidRPr="00B045DB">
        <w:t>activité était une prolongation de la durée de vie et correspondait à des situations décrites à la section C du chapitre II des Lignes directrices</w:t>
      </w:r>
      <w:r w:rsidRPr="00B045DB">
        <w:rPr>
          <w:rStyle w:val="Appelnotedebasdep"/>
        </w:rPr>
        <w:footnoteReference w:id="50"/>
      </w:r>
      <w:r w:rsidRPr="00B045DB">
        <w:t>. Il a également conclu que la Belgique n</w:t>
      </w:r>
      <w:r w:rsidR="003B2315" w:rsidRPr="00B045DB">
        <w:t>’</w:t>
      </w:r>
      <w:r w:rsidRPr="00B045DB">
        <w:t>avait pas évalué tous les impacts transfrontières préjudiciables importants que pouvait occasionner l</w:t>
      </w:r>
      <w:r w:rsidR="003B2315" w:rsidRPr="00B045DB">
        <w:t>’</w:t>
      </w:r>
      <w:r w:rsidRPr="00B045DB">
        <w:t>activité, tant au cours de son fonctionnement normal qu</w:t>
      </w:r>
      <w:r w:rsidR="003B2315" w:rsidRPr="00B045DB">
        <w:t>’</w:t>
      </w:r>
      <w:r w:rsidRPr="00B045DB">
        <w:t>à la suite d</w:t>
      </w:r>
      <w:r w:rsidR="003B2315" w:rsidRPr="00B045DB">
        <w:t>’</w:t>
      </w:r>
      <w:r w:rsidRPr="00B045DB">
        <w:t>un accident, dans le cadre de la poursuite de l</w:t>
      </w:r>
      <w:r w:rsidR="003B2315" w:rsidRPr="00B045DB">
        <w:t>’</w:t>
      </w:r>
      <w:r w:rsidRPr="00B045DB">
        <w:t>exploitation de la tranche au-delà de 2015</w:t>
      </w:r>
      <w:r w:rsidRPr="00B045DB">
        <w:rPr>
          <w:rStyle w:val="Appelnotedebasdep"/>
        </w:rPr>
        <w:footnoteReference w:id="51"/>
      </w:r>
      <w:r w:rsidRPr="00B045DB">
        <w:t>. Le Comité a conclu que la Belgique n</w:t>
      </w:r>
      <w:r w:rsidR="003B2315" w:rsidRPr="00B045DB">
        <w:t>’</w:t>
      </w:r>
      <w:r w:rsidRPr="00B045DB">
        <w:t>avait pas respecté les articles 2 (par.</w:t>
      </w:r>
      <w:r w:rsidR="001E39A4" w:rsidRPr="00B045DB">
        <w:t> </w:t>
      </w:r>
      <w:r w:rsidRPr="00B045DB">
        <w:t>3) et 3 (par.</w:t>
      </w:r>
      <w:r w:rsidR="001E39A4" w:rsidRPr="00B045DB">
        <w:t> </w:t>
      </w:r>
      <w:r w:rsidRPr="00B045DB">
        <w:t>1) de la Convention lorsqu</w:t>
      </w:r>
      <w:r w:rsidR="003B2315" w:rsidRPr="00B045DB">
        <w:t>’</w:t>
      </w:r>
      <w:r w:rsidRPr="00B045DB">
        <w:t>elle avait prolongé la durée de vie de la tranche 1 de la centrale nucléaire de Tihange et qu</w:t>
      </w:r>
      <w:r w:rsidR="003B2315" w:rsidRPr="00B045DB">
        <w:t>’</w:t>
      </w:r>
      <w:r w:rsidRPr="00B045DB">
        <w:t>elle avait préparé l</w:t>
      </w:r>
      <w:r w:rsidR="003B2315" w:rsidRPr="00B045DB">
        <w:t>’</w:t>
      </w:r>
      <w:r w:rsidRPr="00B045DB">
        <w:t>exploitation à long terme de la tranche 1 sans appliquer la Convention.</w:t>
      </w:r>
    </w:p>
    <w:p w14:paraId="56FBF7A6" w14:textId="1CEBE4A8" w:rsidR="00D24047" w:rsidRPr="00B045DB" w:rsidRDefault="00D24047" w:rsidP="00D24047">
      <w:pPr>
        <w:pStyle w:val="SingleTxtG"/>
      </w:pPr>
      <w:r w:rsidRPr="00B045DB">
        <w:t>55.</w:t>
      </w:r>
      <w:r w:rsidRPr="00B045DB">
        <w:tab/>
        <w:t>Le Comité a constaté avec satisfaction que la Belgique s</w:t>
      </w:r>
      <w:r w:rsidR="003B2315" w:rsidRPr="00B045DB">
        <w:t>’</w:t>
      </w:r>
      <w:r w:rsidRPr="00B045DB">
        <w:t>était engagée à notifier aux Parties potentiellement touchées toute prolongation future de la durée de vie d</w:t>
      </w:r>
      <w:r w:rsidR="003B2315" w:rsidRPr="00B045DB">
        <w:t>’</w:t>
      </w:r>
      <w:r w:rsidRPr="00B045DB">
        <w:t>une autre tranche de la centrale nucléaire de Tihange, conformément à l</w:t>
      </w:r>
      <w:r w:rsidR="003B2315" w:rsidRPr="00B045DB">
        <w:t>’</w:t>
      </w:r>
      <w:r w:rsidRPr="00B045DB">
        <w:t xml:space="preserve">article 3 (par. 1) de la </w:t>
      </w:r>
      <w:r w:rsidRPr="00B045DB">
        <w:lastRenderedPageBreak/>
        <w:t>Convention. Il a recommandé dans le projet de décision IX/4g</w:t>
      </w:r>
      <w:r w:rsidRPr="00B045DB">
        <w:rPr>
          <w:rStyle w:val="Appelnotedebasdep"/>
        </w:rPr>
        <w:footnoteReference w:id="52"/>
      </w:r>
      <w:r w:rsidRPr="00B045DB">
        <w:t xml:space="preserve"> que la Réunion des Parties approuve les conclusions du Comité (voir par</w:t>
      </w:r>
      <w:r w:rsidR="002C2862">
        <w:t>. </w:t>
      </w:r>
      <w:r w:rsidRPr="00B045DB">
        <w:t>54 ci-dessus) et demande à la Belgique d</w:t>
      </w:r>
      <w:r w:rsidR="003B2315" w:rsidRPr="00B045DB">
        <w:t>’</w:t>
      </w:r>
      <w:r w:rsidRPr="00B045DB">
        <w:t>appliquer pleinement la Convention dans le contexte de toute décision future concernant la centrale nucléaire de Tihange.</w:t>
      </w:r>
    </w:p>
    <w:p w14:paraId="1B588EEC" w14:textId="2A8A5978" w:rsidR="00D24047" w:rsidRPr="002C2862" w:rsidRDefault="001E39A4" w:rsidP="001E39A4">
      <w:pPr>
        <w:pStyle w:val="H23G"/>
      </w:pPr>
      <w:r w:rsidRPr="00B045DB">
        <w:tab/>
      </w:r>
      <w:r w:rsidR="00D24047" w:rsidRPr="002C2862">
        <w:t>3.</w:t>
      </w:r>
      <w:r w:rsidR="00D24047" w:rsidRPr="002C2862">
        <w:tab/>
        <w:t>Bulgarie</w:t>
      </w:r>
    </w:p>
    <w:p w14:paraId="2F6FB1A0" w14:textId="130B8F44" w:rsidR="00D24047" w:rsidRPr="002C2862" w:rsidRDefault="001E39A4" w:rsidP="001E39A4">
      <w:pPr>
        <w:pStyle w:val="H4G"/>
      </w:pPr>
      <w:r w:rsidRPr="002C2862">
        <w:tab/>
      </w:r>
      <w:r w:rsidRPr="002C2862">
        <w:tab/>
      </w:r>
      <w:r w:rsidR="00D24047" w:rsidRPr="002C2862">
        <w:t>EIA/IC/CI/8</w:t>
      </w:r>
    </w:p>
    <w:p w14:paraId="6AFE224F" w14:textId="31061635" w:rsidR="00D24047" w:rsidRPr="00B045DB" w:rsidRDefault="00D24047" w:rsidP="00D24047">
      <w:pPr>
        <w:pStyle w:val="SingleTxtG"/>
      </w:pPr>
      <w:r w:rsidRPr="002C2862">
        <w:rPr>
          <w:iCs/>
        </w:rPr>
        <w:t>56.</w:t>
      </w:r>
      <w:r w:rsidRPr="002C2862">
        <w:rPr>
          <w:iCs/>
        </w:rPr>
        <w:tab/>
      </w:r>
      <w:r w:rsidRPr="002C2862">
        <w:t>Le 13</w:t>
      </w:r>
      <w:r w:rsidR="001E39A4" w:rsidRPr="002C2862">
        <w:t> </w:t>
      </w:r>
      <w:r w:rsidRPr="002C2862">
        <w:t>mars 2018, le Comité a reçu des informations de l</w:t>
      </w:r>
      <w:r w:rsidR="003B2315" w:rsidRPr="002C2862">
        <w:t>’</w:t>
      </w:r>
      <w:r w:rsidRPr="002C2862">
        <w:t xml:space="preserve">ONG roumaine </w:t>
      </w:r>
      <w:proofErr w:type="spellStart"/>
      <w:r w:rsidRPr="002C2862">
        <w:t>Actiunea</w:t>
      </w:r>
      <w:proofErr w:type="spellEnd"/>
      <w:r w:rsidRPr="002C2862">
        <w:t xml:space="preserve"> </w:t>
      </w:r>
      <w:proofErr w:type="spellStart"/>
      <w:r w:rsidRPr="002C2862">
        <w:t>pentru</w:t>
      </w:r>
      <w:proofErr w:type="spellEnd"/>
      <w:r w:rsidRPr="002C2862">
        <w:t xml:space="preserve"> </w:t>
      </w:r>
      <w:proofErr w:type="spellStart"/>
      <w:r w:rsidRPr="002C2862">
        <w:t>Renasterea</w:t>
      </w:r>
      <w:proofErr w:type="spellEnd"/>
      <w:r w:rsidRPr="002C2862">
        <w:t xml:space="preserve"> </w:t>
      </w:r>
      <w:proofErr w:type="spellStart"/>
      <w:r w:rsidRPr="002C2862">
        <w:t>Craiovei</w:t>
      </w:r>
      <w:proofErr w:type="spellEnd"/>
      <w:r w:rsidRPr="002C2862">
        <w:t xml:space="preserve"> affirmant que la Bulgarie n</w:t>
      </w:r>
      <w:r w:rsidR="003B2315" w:rsidRPr="002C2862">
        <w:t>’</w:t>
      </w:r>
      <w:r w:rsidRPr="002C2862">
        <w:t xml:space="preserve">avait pas respecté ses obligations au titre de la Convention concernant la prolongation de la durée de vie des tranches 5 et 6 de la centrale nucléaire de </w:t>
      </w:r>
      <w:proofErr w:type="spellStart"/>
      <w:r w:rsidRPr="002C2862">
        <w:t>Kozloduy</w:t>
      </w:r>
      <w:proofErr w:type="spellEnd"/>
      <w:r w:rsidRPr="002C2862">
        <w:t xml:space="preserve"> parce qu</w:t>
      </w:r>
      <w:r w:rsidR="003B2315" w:rsidRPr="002C2862">
        <w:t>’</w:t>
      </w:r>
      <w:r w:rsidRPr="002C2862">
        <w:t>elle n</w:t>
      </w:r>
      <w:r w:rsidR="003B2315" w:rsidRPr="002C2862">
        <w:t>’</w:t>
      </w:r>
      <w:r w:rsidRPr="002C2862">
        <w:t>avait pas entrepris de procédure d</w:t>
      </w:r>
      <w:r w:rsidR="003B2315" w:rsidRPr="002C2862">
        <w:t>’</w:t>
      </w:r>
      <w:r w:rsidRPr="002C2862">
        <w:t>évaluation de l</w:t>
      </w:r>
      <w:r w:rsidR="003B2315" w:rsidRPr="002C2862">
        <w:t>’</w:t>
      </w:r>
      <w:r w:rsidRPr="002C2862">
        <w:t>impact transfrontière sur l</w:t>
      </w:r>
      <w:r w:rsidR="003B2315" w:rsidRPr="002C2862">
        <w:t>’</w:t>
      </w:r>
      <w:r w:rsidRPr="002C2862">
        <w:t>environnement</w:t>
      </w:r>
      <w:r w:rsidRPr="00B045DB">
        <w:t xml:space="preserve"> s</w:t>
      </w:r>
      <w:r w:rsidR="003B2315" w:rsidRPr="00B045DB">
        <w:t>’</w:t>
      </w:r>
      <w:r w:rsidRPr="00B045DB">
        <w:t>agissant de la prise de décision relative à la prolongation prévue des deux tranches. La Bulgarie, pour sa part, a affirmé que la Convention ne s</w:t>
      </w:r>
      <w:r w:rsidR="003B2315" w:rsidRPr="00B045DB">
        <w:t>’</w:t>
      </w:r>
      <w:r w:rsidRPr="00B045DB">
        <w:t>appliquait pas à la prolongation de la durée de vie des centrales nucléaires, car celle-ci ne constituait pas une « nouvelle activité » ou une « modification majeure » au sens de l</w:t>
      </w:r>
      <w:r w:rsidR="003B2315" w:rsidRPr="00B045DB">
        <w:t>’</w:t>
      </w:r>
      <w:r w:rsidRPr="00B045DB">
        <w:t>alinéa</w:t>
      </w:r>
      <w:r w:rsidR="001E39A4" w:rsidRPr="00B045DB">
        <w:t> </w:t>
      </w:r>
      <w:r w:rsidRPr="00B045DB">
        <w:t>v) de l</w:t>
      </w:r>
      <w:r w:rsidR="003B2315" w:rsidRPr="00B045DB">
        <w:t>’</w:t>
      </w:r>
      <w:r w:rsidRPr="00B045DB">
        <w:t>article premier de la Convention et n</w:t>
      </w:r>
      <w:r w:rsidR="003B2315" w:rsidRPr="00B045DB">
        <w:t>’</w:t>
      </w:r>
      <w:r w:rsidRPr="00B045DB">
        <w:t>était pas expressément mentionnée dans l</w:t>
      </w:r>
      <w:r w:rsidR="003B2315" w:rsidRPr="00B045DB">
        <w:t>’</w:t>
      </w:r>
      <w:r w:rsidRPr="00B045DB">
        <w:t>appendice I de la Convention.</w:t>
      </w:r>
    </w:p>
    <w:p w14:paraId="32773313" w14:textId="5F2ED760" w:rsidR="00D24047" w:rsidRPr="00B045DB" w:rsidRDefault="00D24047" w:rsidP="00D24047">
      <w:pPr>
        <w:pStyle w:val="SingleTxtG"/>
      </w:pPr>
      <w:r w:rsidRPr="00B045DB">
        <w:t>57.</w:t>
      </w:r>
      <w:r w:rsidRPr="00B045DB">
        <w:tab/>
        <w:t xml:space="preserve">Entre 2018 et 2020, le Comité a recueilli des informations auprès de la Bulgarie, des Parties touchées </w:t>
      </w:r>
      <w:r w:rsidR="001E39A4" w:rsidRPr="00B045DB">
        <w:t>−</w:t>
      </w:r>
      <w:r w:rsidRPr="00B045DB">
        <w:t xml:space="preserve"> l</w:t>
      </w:r>
      <w:r w:rsidR="003B2315" w:rsidRPr="00B045DB">
        <w:t>’</w:t>
      </w:r>
      <w:r w:rsidRPr="00B045DB">
        <w:t xml:space="preserve">Autriche, la Roumanie et la Serbie </w:t>
      </w:r>
      <w:r w:rsidR="001E39A4" w:rsidRPr="00B045DB">
        <w:t>−</w:t>
      </w:r>
      <w:r w:rsidRPr="00B045DB">
        <w:t xml:space="preserve"> et de l</w:t>
      </w:r>
      <w:r w:rsidR="003B2315" w:rsidRPr="00B045DB">
        <w:t>’</w:t>
      </w:r>
      <w:r w:rsidRPr="00B045DB">
        <w:t>ONG. Le travail du Comité a été entravé par le manque de coopération de la Bulgarie, qui n</w:t>
      </w:r>
      <w:r w:rsidR="003B2315" w:rsidRPr="00B045DB">
        <w:t>’</w:t>
      </w:r>
      <w:r w:rsidRPr="00B045DB">
        <w:t>a pas fourni les informations et la documentation demandées.</w:t>
      </w:r>
    </w:p>
    <w:p w14:paraId="21EF3BD7" w14:textId="3C3F8D92" w:rsidR="00D24047" w:rsidRPr="00B045DB" w:rsidRDefault="00D24047" w:rsidP="00D24047">
      <w:pPr>
        <w:pStyle w:val="SingleTxtG"/>
      </w:pPr>
      <w:r w:rsidRPr="00B045DB">
        <w:t>58.</w:t>
      </w:r>
      <w:r w:rsidRPr="00B045DB">
        <w:tab/>
        <w:t>À sa cinquante-deuxième session, le Comité a pris une initiative et il a mené des auditions avec l</w:t>
      </w:r>
      <w:r w:rsidR="003B2315" w:rsidRPr="00B045DB">
        <w:t>’</w:t>
      </w:r>
      <w:r w:rsidRPr="00B045DB">
        <w:t>Autriche, la Bulgarie, la Roumanie et la Serbie à sa cinquante-troisième session (Genève (en ligne), 10-13</w:t>
      </w:r>
      <w:r w:rsidR="001E39A4" w:rsidRPr="00B045DB">
        <w:t> </w:t>
      </w:r>
      <w:r w:rsidRPr="00B045DB">
        <w:t>mai 2022).</w:t>
      </w:r>
    </w:p>
    <w:p w14:paraId="71D77C12" w14:textId="69224B8D" w:rsidR="00D24047" w:rsidRPr="00B045DB" w:rsidRDefault="00D24047" w:rsidP="00D24047">
      <w:pPr>
        <w:pStyle w:val="SingleTxtG"/>
      </w:pPr>
      <w:r w:rsidRPr="00B045DB">
        <w:t>59.</w:t>
      </w:r>
      <w:r w:rsidRPr="00B045DB">
        <w:tab/>
        <w:t>Le Comité a conclu que la Bulgarie n</w:t>
      </w:r>
      <w:r w:rsidR="003B2315" w:rsidRPr="00B045DB">
        <w:t>’</w:t>
      </w:r>
      <w:r w:rsidRPr="00B045DB">
        <w:t>avait pas respecté les articles 2 (par. 3) et 3</w:t>
      </w:r>
      <w:r w:rsidR="0007242C">
        <w:t> </w:t>
      </w:r>
      <w:r w:rsidRPr="00B045DB">
        <w:t>(par.</w:t>
      </w:r>
      <w:r w:rsidR="0007242C">
        <w:t> </w:t>
      </w:r>
      <w:r w:rsidRPr="00B045DB">
        <w:t xml:space="preserve">1) de la Convention en prolongeant la durée de vie des tranches 5 et 6 de la centrale nucléaire de </w:t>
      </w:r>
      <w:proofErr w:type="spellStart"/>
      <w:r w:rsidRPr="00B045DB">
        <w:t>Kozloduy</w:t>
      </w:r>
      <w:proofErr w:type="spellEnd"/>
      <w:r w:rsidRPr="00B045DB">
        <w:t xml:space="preserve"> et en les préparant en vue de leur exploitation à long terme sans appliquer la Convention. Il a accueilli avec satisfaction le fait que la Bulgarie s</w:t>
      </w:r>
      <w:r w:rsidR="003B2315" w:rsidRPr="00B045DB">
        <w:t>’</w:t>
      </w:r>
      <w:r w:rsidRPr="00B045DB">
        <w:t>était engagée à notifier à l</w:t>
      </w:r>
      <w:r w:rsidR="003B2315" w:rsidRPr="00B045DB">
        <w:t>’</w:t>
      </w:r>
      <w:r w:rsidRPr="00B045DB">
        <w:t>avance à l</w:t>
      </w:r>
      <w:r w:rsidR="003B2315" w:rsidRPr="00B045DB">
        <w:t>’</w:t>
      </w:r>
      <w:r w:rsidRPr="00B045DB">
        <w:t xml:space="preserve">Autriche, à la Roumanie et à la Serbie toute prolongation future de la durée de vie des tranches 5 et 6 de la centrale nucléaire de </w:t>
      </w:r>
      <w:proofErr w:type="spellStart"/>
      <w:r w:rsidRPr="00B045DB">
        <w:t>Kozloduy</w:t>
      </w:r>
      <w:proofErr w:type="spellEnd"/>
      <w:r w:rsidRPr="00B045DB">
        <w:t>, conformément à l</w:t>
      </w:r>
      <w:r w:rsidR="003B2315" w:rsidRPr="00B045DB">
        <w:t>’</w:t>
      </w:r>
      <w:r w:rsidRPr="00B045DB">
        <w:t>article</w:t>
      </w:r>
      <w:r w:rsidR="0007242C">
        <w:t> </w:t>
      </w:r>
      <w:r w:rsidRPr="00B045DB">
        <w:t>3 (par.</w:t>
      </w:r>
      <w:r w:rsidR="001E39A4" w:rsidRPr="00B045DB">
        <w:t> </w:t>
      </w:r>
      <w:r w:rsidRPr="00B045DB">
        <w:t>1) de la Convention</w:t>
      </w:r>
      <w:r w:rsidRPr="00B045DB">
        <w:rPr>
          <w:rStyle w:val="Appelnotedebasdep"/>
        </w:rPr>
        <w:footnoteReference w:id="53"/>
      </w:r>
      <w:r w:rsidRPr="00B045DB">
        <w:t>. Il a recommandé dans le projet de décision IX/4h</w:t>
      </w:r>
      <w:r w:rsidRPr="00B045DB">
        <w:rPr>
          <w:rStyle w:val="Appelnotedebasdep"/>
        </w:rPr>
        <w:footnoteReference w:id="54"/>
      </w:r>
      <w:r w:rsidRPr="00B045DB">
        <w:t xml:space="preserve"> que la Réunion des Parties approuve les conclusions du Comité et demande à la Bulgarie d</w:t>
      </w:r>
      <w:r w:rsidR="003B2315" w:rsidRPr="00B045DB">
        <w:t>’</w:t>
      </w:r>
      <w:r w:rsidRPr="00B045DB">
        <w:t>appliquer pleinement la Convention dans le contexte de toute prise de décision future pour les activités visées à l</w:t>
      </w:r>
      <w:r w:rsidR="003B2315" w:rsidRPr="00B045DB">
        <w:t>’</w:t>
      </w:r>
      <w:r w:rsidRPr="00B045DB">
        <w:t>annexe 1 de la Convention concernant la centrale nucléaire de</w:t>
      </w:r>
      <w:r w:rsidR="0007242C">
        <w:t> </w:t>
      </w:r>
      <w:proofErr w:type="spellStart"/>
      <w:r w:rsidRPr="00B045DB">
        <w:t>Kozloduy</w:t>
      </w:r>
      <w:proofErr w:type="spellEnd"/>
      <w:r w:rsidRPr="00B045DB">
        <w:t>.</w:t>
      </w:r>
    </w:p>
    <w:p w14:paraId="72BFBDFD" w14:textId="4FD3012A" w:rsidR="00D24047" w:rsidRPr="00B045DB" w:rsidRDefault="001E39A4" w:rsidP="001E39A4">
      <w:pPr>
        <w:pStyle w:val="H23G"/>
      </w:pPr>
      <w:r w:rsidRPr="00B045DB">
        <w:tab/>
      </w:r>
      <w:r w:rsidR="00D24047" w:rsidRPr="00B045DB">
        <w:t>4.</w:t>
      </w:r>
      <w:r w:rsidR="00D24047" w:rsidRPr="00B045DB">
        <w:tab/>
        <w:t>Tchéquie</w:t>
      </w:r>
    </w:p>
    <w:p w14:paraId="40E89210" w14:textId="7F94E097" w:rsidR="00D24047" w:rsidRPr="00B045DB" w:rsidRDefault="001E39A4" w:rsidP="001E39A4">
      <w:pPr>
        <w:pStyle w:val="H4G"/>
      </w:pPr>
      <w:r w:rsidRPr="00B045DB">
        <w:tab/>
      </w:r>
      <w:r w:rsidRPr="00B045DB">
        <w:tab/>
      </w:r>
      <w:r w:rsidR="00D24047" w:rsidRPr="00B045DB">
        <w:t>EIA/IC/CI/10</w:t>
      </w:r>
    </w:p>
    <w:p w14:paraId="35385318" w14:textId="0A0CA3DB" w:rsidR="00D24047" w:rsidRPr="00B045DB" w:rsidRDefault="00D24047" w:rsidP="00D24047">
      <w:pPr>
        <w:pStyle w:val="SingleTxtG"/>
      </w:pPr>
      <w:r w:rsidRPr="00B045DB">
        <w:t>60.</w:t>
      </w:r>
      <w:r w:rsidRPr="00B045DB">
        <w:tab/>
        <w:t>Le 27</w:t>
      </w:r>
      <w:r w:rsidR="001E39A4" w:rsidRPr="00B045DB">
        <w:t> </w:t>
      </w:r>
      <w:r w:rsidRPr="00B045DB">
        <w:t xml:space="preserve">juillet 2016, le Comité a reçu des informations de quatre ONG </w:t>
      </w:r>
      <w:r w:rsidR="001E39A4" w:rsidRPr="00B045DB">
        <w:t>−</w:t>
      </w:r>
      <w:r w:rsidRPr="00B045DB">
        <w:t xml:space="preserve"> </w:t>
      </w:r>
      <w:proofErr w:type="spellStart"/>
      <w:r w:rsidRPr="00B045DB">
        <w:t>Oekobuero</w:t>
      </w:r>
      <w:proofErr w:type="spellEnd"/>
      <w:r w:rsidRPr="00B045DB">
        <w:t xml:space="preserve"> et Global 2000 (Autriche), </w:t>
      </w:r>
      <w:proofErr w:type="spellStart"/>
      <w:r w:rsidRPr="00B045DB">
        <w:t>Jihočeské</w:t>
      </w:r>
      <w:proofErr w:type="spellEnd"/>
      <w:r w:rsidRPr="00B045DB">
        <w:t xml:space="preserve"> </w:t>
      </w:r>
      <w:proofErr w:type="spellStart"/>
      <w:r w:rsidRPr="00B045DB">
        <w:t>matky</w:t>
      </w:r>
      <w:proofErr w:type="spellEnd"/>
      <w:r w:rsidRPr="00B045DB">
        <w:t xml:space="preserve"> et Calla (Tchéquie) </w:t>
      </w:r>
      <w:r w:rsidR="001E39A4" w:rsidRPr="00B045DB">
        <w:t>−</w:t>
      </w:r>
      <w:r w:rsidRPr="00B045DB">
        <w:t xml:space="preserve"> qui exprimaient leurs préoccupations quant au respect par la Tchéquie de ses obligations au titre de la Convention concernant la prolongation de la durée de vie de quatre tranches de la centrale nucléaire de</w:t>
      </w:r>
      <w:r w:rsidR="00DF1293">
        <w:t> </w:t>
      </w:r>
      <w:proofErr w:type="spellStart"/>
      <w:r w:rsidRPr="00B045DB">
        <w:t>Dukovany</w:t>
      </w:r>
      <w:proofErr w:type="spellEnd"/>
      <w:r w:rsidRPr="00B045DB">
        <w:t>.</w:t>
      </w:r>
    </w:p>
    <w:p w14:paraId="4CD88D0B" w14:textId="5C7F4EEB" w:rsidR="00D24047" w:rsidRPr="00B045DB" w:rsidRDefault="00D24047" w:rsidP="00D24047">
      <w:pPr>
        <w:pStyle w:val="SingleTxtG"/>
      </w:pPr>
      <w:r w:rsidRPr="00B045DB">
        <w:t>61.</w:t>
      </w:r>
      <w:r w:rsidRPr="00B045DB">
        <w:tab/>
        <w:t>Entre 2016 et 2017, le Comité a recueilli des informations auprès de l</w:t>
      </w:r>
      <w:r w:rsidR="003B2315" w:rsidRPr="00B045DB">
        <w:t>’</w:t>
      </w:r>
      <w:r w:rsidRPr="00B045DB">
        <w:t>Allemagne, de l</w:t>
      </w:r>
      <w:r w:rsidR="003B2315" w:rsidRPr="00B045DB">
        <w:t>’</w:t>
      </w:r>
      <w:r w:rsidRPr="00B045DB">
        <w:t>Autriche, de la Pologne, de la Slovaquie et de la Tchéquie, ainsi que des ONG. Du fait que les Lignes directrices étaient alors en cours d</w:t>
      </w:r>
      <w:r w:rsidR="003B2315" w:rsidRPr="00B045DB">
        <w:t>’</w:t>
      </w:r>
      <w:r w:rsidRPr="00B045DB">
        <w:t>élaboration, le Comité n</w:t>
      </w:r>
      <w:r w:rsidR="003B2315" w:rsidRPr="00B045DB">
        <w:t>’</w:t>
      </w:r>
      <w:r w:rsidRPr="00B045DB">
        <w:t>a pas poussé plus loin l</w:t>
      </w:r>
      <w:r w:rsidR="003B2315" w:rsidRPr="00B045DB">
        <w:t>’</w:t>
      </w:r>
      <w:r w:rsidRPr="00B045DB">
        <w:t>examen de la question avant sa quarante-neuvième session (Genève, 2-5</w:t>
      </w:r>
      <w:r w:rsidR="001E39A4" w:rsidRPr="00B045DB">
        <w:t> </w:t>
      </w:r>
      <w:r w:rsidRPr="00B045DB">
        <w:t>février 2021).</w:t>
      </w:r>
    </w:p>
    <w:p w14:paraId="2AA7CA38" w14:textId="2117DEB8" w:rsidR="00D24047" w:rsidRPr="00B045DB" w:rsidRDefault="00D24047" w:rsidP="00D24047">
      <w:pPr>
        <w:pStyle w:val="SingleTxtG"/>
      </w:pPr>
      <w:r w:rsidRPr="00B045DB">
        <w:lastRenderedPageBreak/>
        <w:t>62.</w:t>
      </w:r>
      <w:r w:rsidRPr="00B045DB">
        <w:tab/>
        <w:t>À sa cinquante-troisième session, le Comité a lancé une initiative</w:t>
      </w:r>
      <w:r w:rsidRPr="00B045DB">
        <w:rPr>
          <w:rStyle w:val="Appelnotedebasdep"/>
        </w:rPr>
        <w:footnoteReference w:id="55"/>
      </w:r>
      <w:r w:rsidRPr="00B045DB">
        <w:t xml:space="preserve"> et a mené des auditions avec l</w:t>
      </w:r>
      <w:r w:rsidR="003B2315" w:rsidRPr="00B045DB">
        <w:t>’</w:t>
      </w:r>
      <w:r w:rsidRPr="00B045DB">
        <w:t>Allemagne, l</w:t>
      </w:r>
      <w:r w:rsidR="003B2315" w:rsidRPr="00B045DB">
        <w:t>’</w:t>
      </w:r>
      <w:r w:rsidRPr="00B045DB">
        <w:t>Autriche et la Tchéquie à sa cinquante-quatrième session</w:t>
      </w:r>
      <w:r w:rsidRPr="00B045DB">
        <w:rPr>
          <w:rStyle w:val="Appelnotedebasdep"/>
        </w:rPr>
        <w:footnoteReference w:id="56"/>
      </w:r>
      <w:r w:rsidRPr="00B045DB">
        <w:t>.</w:t>
      </w:r>
    </w:p>
    <w:p w14:paraId="02059D6A" w14:textId="303D71E7" w:rsidR="00D24047" w:rsidRPr="00B045DB" w:rsidRDefault="00D24047" w:rsidP="00D24047">
      <w:pPr>
        <w:pStyle w:val="SingleTxtG"/>
      </w:pPr>
      <w:r w:rsidRPr="00B045DB">
        <w:t>63.</w:t>
      </w:r>
      <w:r w:rsidRPr="00B045DB">
        <w:tab/>
        <w:t>Lorsqu</w:t>
      </w:r>
      <w:r w:rsidR="003B2315" w:rsidRPr="00B045DB">
        <w:t>’</w:t>
      </w:r>
      <w:r w:rsidRPr="00B045DB">
        <w:t>il a examiné les dispositions pertinentes de la Convention énoncées aux articles 2 (par.</w:t>
      </w:r>
      <w:r w:rsidR="001E39A4" w:rsidRPr="00B045DB">
        <w:t> </w:t>
      </w:r>
      <w:r w:rsidRPr="00B045DB">
        <w:t>3) et 3 (par.</w:t>
      </w:r>
      <w:r w:rsidR="001E39A4" w:rsidRPr="00B045DB">
        <w:t> </w:t>
      </w:r>
      <w:r w:rsidRPr="00B045DB">
        <w:t>1) et leur application, le Comité a pris en considération les Lignes directrices (voir par. 48 ci-dessus).</w:t>
      </w:r>
    </w:p>
    <w:p w14:paraId="2C74A188" w14:textId="0F1C61ED" w:rsidR="00D24047" w:rsidRPr="00B045DB" w:rsidRDefault="00D24047" w:rsidP="00D24047">
      <w:pPr>
        <w:pStyle w:val="SingleTxtG"/>
      </w:pPr>
      <w:r w:rsidRPr="00B045DB">
        <w:t>64.</w:t>
      </w:r>
      <w:r w:rsidRPr="00B045DB">
        <w:tab/>
        <w:t>Le Comité s</w:t>
      </w:r>
      <w:r w:rsidR="003B2315" w:rsidRPr="00B045DB">
        <w:t>’</w:t>
      </w:r>
      <w:r w:rsidRPr="00B045DB">
        <w:t>est félicité de la bonne coopération de la Tchéquie, qui avait facilité ses travaux en lui fournissant les informations demandées en temps voulu et en veillant à la bonne qualité de ces informations.</w:t>
      </w:r>
    </w:p>
    <w:p w14:paraId="1165B6D4" w14:textId="6FFEC128" w:rsidR="00D24047" w:rsidRPr="00B045DB" w:rsidRDefault="00D24047" w:rsidP="00D24047">
      <w:pPr>
        <w:pStyle w:val="SingleTxtG"/>
      </w:pPr>
      <w:r w:rsidRPr="00B045DB">
        <w:t>65.</w:t>
      </w:r>
      <w:r w:rsidRPr="00B045DB">
        <w:tab/>
        <w:t>Le Comité a précisé qu</w:t>
      </w:r>
      <w:r w:rsidR="003B2315" w:rsidRPr="00B045DB">
        <w:t>’</w:t>
      </w:r>
      <w:r w:rsidRPr="00B045DB">
        <w:t>il pouvait examiner le respect de la Convention même après que la décision finale sur l</w:t>
      </w:r>
      <w:r w:rsidR="003B2315" w:rsidRPr="00B045DB">
        <w:t>’</w:t>
      </w:r>
      <w:r w:rsidRPr="00B045DB">
        <w:t>activité en question avait été prise, conformément à l</w:t>
      </w:r>
      <w:r w:rsidR="003B2315" w:rsidRPr="00B045DB">
        <w:t>’</w:t>
      </w:r>
      <w:r w:rsidRPr="00B045DB">
        <w:t>objectif et aux fonctions du Comité</w:t>
      </w:r>
      <w:r w:rsidRPr="00B045DB">
        <w:rPr>
          <w:rStyle w:val="Appelnotedebasdep"/>
        </w:rPr>
        <w:footnoteReference w:id="57"/>
      </w:r>
      <w:r w:rsidRPr="00B045DB">
        <w:t>.</w:t>
      </w:r>
    </w:p>
    <w:p w14:paraId="06239406" w14:textId="3C640E8A" w:rsidR="00D24047" w:rsidRPr="00B045DB" w:rsidRDefault="00D24047" w:rsidP="00D24047">
      <w:pPr>
        <w:pStyle w:val="SingleTxtG"/>
      </w:pPr>
      <w:r w:rsidRPr="00B045DB">
        <w:t>66.</w:t>
      </w:r>
      <w:r w:rsidRPr="00B045DB">
        <w:tab/>
        <w:t>Le Comité a conclu que les Lignes directrices s</w:t>
      </w:r>
      <w:r w:rsidR="003B2315" w:rsidRPr="00B045DB">
        <w:t>’</w:t>
      </w:r>
      <w:r w:rsidRPr="00B045DB">
        <w:t xml:space="preserve">appliquaient à la prolongation de la durée de vie des tranches 1 à 4 de la centrale nucléaire de </w:t>
      </w:r>
      <w:proofErr w:type="spellStart"/>
      <w:r w:rsidRPr="00B045DB">
        <w:t>Dukovany</w:t>
      </w:r>
      <w:proofErr w:type="spellEnd"/>
      <w:r w:rsidRPr="00B045DB">
        <w:t>, car l</w:t>
      </w:r>
      <w:r w:rsidR="003B2315" w:rsidRPr="00B045DB">
        <w:t>’</w:t>
      </w:r>
      <w:r w:rsidRPr="00B045DB">
        <w:t>activité correspondait à une situation précise décrite à la section C du chapitre II desdites Lignes directrices</w:t>
      </w:r>
      <w:r w:rsidRPr="00B045DB">
        <w:rPr>
          <w:rStyle w:val="Appelnotedebasdep"/>
        </w:rPr>
        <w:footnoteReference w:id="58"/>
      </w:r>
      <w:r w:rsidRPr="00B045DB">
        <w:t>. Il a également conclu que le renouvellement de la licence pour les tranches 1 à 4 et le projet d</w:t>
      </w:r>
      <w:r w:rsidR="003B2315" w:rsidRPr="00B045DB">
        <w:t>’</w:t>
      </w:r>
      <w:r w:rsidRPr="00B045DB">
        <w:t>investissement pour l</w:t>
      </w:r>
      <w:r w:rsidR="003B2315" w:rsidRPr="00B045DB">
        <w:t>’</w:t>
      </w:r>
      <w:r w:rsidRPr="00B045DB">
        <w:t>exploitation à long terme des quatre tranches</w:t>
      </w:r>
      <w:r w:rsidR="00BB7A3A">
        <w:t xml:space="preserve"> </w:t>
      </w:r>
      <w:r w:rsidRPr="00B045DB">
        <w:t>constituaient une «</w:t>
      </w:r>
      <w:r w:rsidR="00BB7A3A">
        <w:t> </w:t>
      </w:r>
      <w:r w:rsidRPr="00B045DB">
        <w:t>modification majeure</w:t>
      </w:r>
      <w:r w:rsidR="00BB7A3A">
        <w:t> </w:t>
      </w:r>
      <w:r w:rsidRPr="00B045DB">
        <w:t>» apportée à une activité visée à l</w:t>
      </w:r>
      <w:r w:rsidR="003B2315" w:rsidRPr="00B045DB">
        <w:t>’</w:t>
      </w:r>
      <w:r w:rsidRPr="00B045DB">
        <w:t>appendice</w:t>
      </w:r>
      <w:r w:rsidR="00663FCA" w:rsidRPr="00B045DB">
        <w:t> </w:t>
      </w:r>
      <w:r w:rsidRPr="00B045DB">
        <w:t>I de la Convention</w:t>
      </w:r>
      <w:r w:rsidRPr="00B045DB">
        <w:rPr>
          <w:rStyle w:val="Appelnotedebasdep"/>
        </w:rPr>
        <w:footnoteReference w:id="59"/>
      </w:r>
      <w:r w:rsidRPr="00B045DB">
        <w:t>.</w:t>
      </w:r>
    </w:p>
    <w:p w14:paraId="1DF255B7" w14:textId="102F106F" w:rsidR="00D24047" w:rsidRPr="00B045DB" w:rsidRDefault="00D24047" w:rsidP="00D24047">
      <w:pPr>
        <w:pStyle w:val="SingleTxtG"/>
      </w:pPr>
      <w:r w:rsidRPr="00B045DB">
        <w:t>67.</w:t>
      </w:r>
      <w:r w:rsidRPr="00B045DB">
        <w:tab/>
        <w:t>Le Comité a estimé que la Tchéquie n</w:t>
      </w:r>
      <w:r w:rsidR="003B2315" w:rsidRPr="00B045DB">
        <w:t>’</w:t>
      </w:r>
      <w:r w:rsidRPr="00B045DB">
        <w:t>avait pas respecté les articles 2 (par. 3) et 3</w:t>
      </w:r>
      <w:r w:rsidR="00663FCA" w:rsidRPr="00B045DB">
        <w:t> </w:t>
      </w:r>
      <w:r w:rsidRPr="00B045DB">
        <w:t>(par.</w:t>
      </w:r>
      <w:r w:rsidR="00663FCA" w:rsidRPr="00B045DB">
        <w:t> </w:t>
      </w:r>
      <w:r w:rsidRPr="00B045DB">
        <w:t xml:space="preserve">1) de la Convention en prolongeant la durée de vie des tranches 1 à 4 de la centrale nucléaire de </w:t>
      </w:r>
      <w:proofErr w:type="spellStart"/>
      <w:r w:rsidRPr="00B045DB">
        <w:t>Dukovany</w:t>
      </w:r>
      <w:proofErr w:type="spellEnd"/>
      <w:r w:rsidRPr="00B045DB">
        <w:t xml:space="preserve"> et en les préparant en vue de leur exploitation à long terme sans appliquer la Convention.</w:t>
      </w:r>
    </w:p>
    <w:p w14:paraId="74CF1569" w14:textId="434754C1" w:rsidR="00D24047" w:rsidRPr="00B045DB" w:rsidRDefault="00D24047" w:rsidP="00D24047">
      <w:pPr>
        <w:pStyle w:val="SingleTxtG"/>
      </w:pPr>
      <w:r w:rsidRPr="00B045DB">
        <w:t>68.</w:t>
      </w:r>
      <w:r w:rsidRPr="00B045DB">
        <w:tab/>
        <w:t>Le Comité a accueilli avec satisfaction le fait que la Tchéquie s</w:t>
      </w:r>
      <w:r w:rsidR="003B2315" w:rsidRPr="00B045DB">
        <w:t>’</w:t>
      </w:r>
      <w:r w:rsidRPr="00B045DB">
        <w:t>était engagée à notifier à l</w:t>
      </w:r>
      <w:r w:rsidR="003B2315" w:rsidRPr="00B045DB">
        <w:t>’</w:t>
      </w:r>
      <w:r w:rsidRPr="00B045DB">
        <w:t>avance à l</w:t>
      </w:r>
      <w:r w:rsidR="003B2315" w:rsidRPr="00B045DB">
        <w:t>’</w:t>
      </w:r>
      <w:r w:rsidRPr="00B045DB">
        <w:t>Allemagne et à l</w:t>
      </w:r>
      <w:r w:rsidR="003B2315" w:rsidRPr="00B045DB">
        <w:t>’</w:t>
      </w:r>
      <w:r w:rsidRPr="00B045DB">
        <w:t>Autriche toute prolongation future de la durée de vie d</w:t>
      </w:r>
      <w:r w:rsidR="003B2315" w:rsidRPr="00B045DB">
        <w:t>’</w:t>
      </w:r>
      <w:r w:rsidRPr="00B045DB">
        <w:t>une centrale nucléaire et toute modification substantielle des licences d</w:t>
      </w:r>
      <w:r w:rsidR="003B2315" w:rsidRPr="00B045DB">
        <w:t>’</w:t>
      </w:r>
      <w:r w:rsidRPr="00B045DB">
        <w:t>exploitation des tranches situées sur son territoire. Il a recommandé dans le projet de décision IX/4i</w:t>
      </w:r>
      <w:r w:rsidRPr="00B045DB">
        <w:rPr>
          <w:rStyle w:val="Appelnotedebasdep"/>
        </w:rPr>
        <w:footnoteReference w:id="60"/>
      </w:r>
      <w:r w:rsidRPr="00B045DB">
        <w:t xml:space="preserve"> que la Réunion des Parties approuve les conclusions du Comité et demande à la Tchéquie d</w:t>
      </w:r>
      <w:r w:rsidR="003B2315" w:rsidRPr="00B045DB">
        <w:t>’</w:t>
      </w:r>
      <w:r w:rsidRPr="00B045DB">
        <w:t>appliquer pleinement la Convention en ce qui concerne toute activité de prolongation de la durée de vie d</w:t>
      </w:r>
      <w:r w:rsidR="003B2315" w:rsidRPr="00B045DB">
        <w:t>’</w:t>
      </w:r>
      <w:r w:rsidRPr="00B045DB">
        <w:t>une centrale nucléaire tchèque.</w:t>
      </w:r>
    </w:p>
    <w:p w14:paraId="4775455F" w14:textId="798B3805" w:rsidR="00D24047" w:rsidRPr="00B045DB" w:rsidRDefault="00663FCA" w:rsidP="00663FCA">
      <w:pPr>
        <w:pStyle w:val="H23G"/>
      </w:pPr>
      <w:r w:rsidRPr="00B045DB">
        <w:tab/>
      </w:r>
      <w:r w:rsidR="00D24047" w:rsidRPr="00B045DB">
        <w:t>5.</w:t>
      </w:r>
      <w:r w:rsidR="00D24047" w:rsidRPr="00B045DB">
        <w:tab/>
        <w:t>France</w:t>
      </w:r>
    </w:p>
    <w:p w14:paraId="78F31A76" w14:textId="777A0CA6" w:rsidR="00D24047" w:rsidRPr="00B045DB" w:rsidRDefault="00663FCA" w:rsidP="00663FCA">
      <w:pPr>
        <w:pStyle w:val="H4G"/>
      </w:pPr>
      <w:r w:rsidRPr="00B045DB">
        <w:tab/>
      </w:r>
      <w:r w:rsidRPr="00B045DB">
        <w:tab/>
      </w:r>
      <w:r w:rsidR="00D24047" w:rsidRPr="00B045DB">
        <w:t>EIA/IC/CI/12 et EIA/IC/INFO/32</w:t>
      </w:r>
    </w:p>
    <w:p w14:paraId="214B0F9D" w14:textId="5A593F64" w:rsidR="00D24047" w:rsidRPr="00B045DB" w:rsidRDefault="00D24047" w:rsidP="00D24047">
      <w:pPr>
        <w:pStyle w:val="SingleTxtG"/>
      </w:pPr>
      <w:r w:rsidRPr="00B045DB">
        <w:t>69.</w:t>
      </w:r>
      <w:r w:rsidRPr="00B045DB">
        <w:tab/>
        <w:t>Le 9</w:t>
      </w:r>
      <w:r w:rsidR="00663FCA" w:rsidRPr="00B045DB">
        <w:t> </w:t>
      </w:r>
      <w:r w:rsidRPr="00B045DB">
        <w:t>mars 2020, le Com</w:t>
      </w:r>
      <w:r w:rsidR="00BB7A3A">
        <w:t>i</w:t>
      </w:r>
      <w:r w:rsidRPr="00B045DB">
        <w:t>té a reçu des informations de l</w:t>
      </w:r>
      <w:r w:rsidR="003B2315" w:rsidRPr="00B045DB">
        <w:t>’</w:t>
      </w:r>
      <w:r w:rsidRPr="00B045DB">
        <w:t xml:space="preserve">ONG Greenpeace France au sujet de la prolongation prévue par la France de la durée de vie de 32 tranches de </w:t>
      </w:r>
      <w:r w:rsidR="00BB7A3A">
        <w:t>huit</w:t>
      </w:r>
      <w:r w:rsidRPr="00B045DB">
        <w:t xml:space="preserve"> centrales nucléaires</w:t>
      </w:r>
      <w:r w:rsidRPr="00B045DB">
        <w:rPr>
          <w:rStyle w:val="Appelnotedebasdep"/>
        </w:rPr>
        <w:footnoteReference w:id="61"/>
      </w:r>
      <w:r w:rsidRPr="00B045DB">
        <w:t>. Entre 2020 et 2023, le Comité a recueilli des informations auprès de la France et de l</w:t>
      </w:r>
      <w:r w:rsidR="003B2315" w:rsidRPr="00B045DB">
        <w:t>’</w:t>
      </w:r>
      <w:r w:rsidRPr="00B045DB">
        <w:t>ONG. La France ayant apparemment l</w:t>
      </w:r>
      <w:r w:rsidR="003B2315" w:rsidRPr="00B045DB">
        <w:t>’</w:t>
      </w:r>
      <w:r w:rsidRPr="00B045DB">
        <w:t>intention de poursuivre l</w:t>
      </w:r>
      <w:r w:rsidR="003B2315" w:rsidRPr="00B045DB">
        <w:t>’</w:t>
      </w:r>
      <w:r w:rsidRPr="00B045DB">
        <w:t>exploitation des 32 réacteurs au-delà du quatrième examen périodique de la sûreté, sans effectuer au préalable de procédure d</w:t>
      </w:r>
      <w:r w:rsidR="003B2315" w:rsidRPr="00B045DB">
        <w:t>’</w:t>
      </w:r>
      <w:r w:rsidRPr="00B045DB">
        <w:t>évaluation des impacts transfrontières conformément à la Convention, le Comité a établi le 18</w:t>
      </w:r>
      <w:r w:rsidR="006946C4" w:rsidRPr="00B045DB">
        <w:t> </w:t>
      </w:r>
      <w:r w:rsidRPr="00B045DB">
        <w:t>février 2022 une lettre d</w:t>
      </w:r>
      <w:r w:rsidR="003B2315" w:rsidRPr="00B045DB">
        <w:t>’</w:t>
      </w:r>
      <w:r w:rsidRPr="00B045DB">
        <w:t>orientation à l</w:t>
      </w:r>
      <w:r w:rsidR="003B2315" w:rsidRPr="00B045DB">
        <w:t>’</w:t>
      </w:r>
      <w:r w:rsidRPr="00B045DB">
        <w:t>intention de la France en vue d</w:t>
      </w:r>
      <w:r w:rsidR="003B2315" w:rsidRPr="00B045DB">
        <w:t>’</w:t>
      </w:r>
      <w:r w:rsidRPr="00B045DB">
        <w:t>assurer le respect de la Convention</w:t>
      </w:r>
      <w:r w:rsidRPr="00B045DB">
        <w:rPr>
          <w:rStyle w:val="Appelnotedebasdep"/>
        </w:rPr>
        <w:footnoteReference w:id="62"/>
      </w:r>
      <w:r w:rsidRPr="00B045DB">
        <w:t>.</w:t>
      </w:r>
    </w:p>
    <w:p w14:paraId="57A2BF7E" w14:textId="3764E0F1" w:rsidR="00D24047" w:rsidRPr="00B045DB" w:rsidRDefault="00D24047" w:rsidP="00D24047">
      <w:pPr>
        <w:pStyle w:val="SingleTxtG"/>
      </w:pPr>
      <w:r w:rsidRPr="00B045DB">
        <w:t>70.</w:t>
      </w:r>
      <w:r w:rsidRPr="00B045DB">
        <w:tab/>
        <w:t xml:space="preserve">Suite à la conclusion du quatrième examen périodique des réacteurs de 900 </w:t>
      </w:r>
      <w:proofErr w:type="spellStart"/>
      <w:r w:rsidRPr="00B045DB">
        <w:t>MWe</w:t>
      </w:r>
      <w:proofErr w:type="spellEnd"/>
      <w:r w:rsidRPr="00B045DB">
        <w:t>, l</w:t>
      </w:r>
      <w:r w:rsidR="003B2315" w:rsidRPr="00B045DB">
        <w:t>’</w:t>
      </w:r>
      <w:r w:rsidRPr="00B045DB">
        <w:t>Autorité de sûreté nucléaire française a pris des décisions concernant la centrale nucléaire du Tricastin le 23</w:t>
      </w:r>
      <w:r w:rsidR="00BB7A3A">
        <w:t> </w:t>
      </w:r>
      <w:r w:rsidRPr="00B045DB">
        <w:t>février 2021 et les 29 juin et 7 juillet 2023, prescrivant les conditions de la poursuite de l</w:t>
      </w:r>
      <w:r w:rsidR="003B2315" w:rsidRPr="00B045DB">
        <w:t>’</w:t>
      </w:r>
      <w:r w:rsidRPr="00B045DB">
        <w:t xml:space="preserve">exploitation et autorisant les modifications. En dépit des orientations formulées </w:t>
      </w:r>
      <w:r w:rsidRPr="00B045DB">
        <w:lastRenderedPageBreak/>
        <w:t>par le Comité à l</w:t>
      </w:r>
      <w:r w:rsidR="003B2315" w:rsidRPr="00B045DB">
        <w:t>’</w:t>
      </w:r>
      <w:r w:rsidRPr="00B045DB">
        <w:t>intention de la France en février 2022 concernant les éventuels impacts transfrontières des prolongations de durée de vie des réacteurs, et bien que l</w:t>
      </w:r>
      <w:r w:rsidR="003B2315" w:rsidRPr="00B045DB">
        <w:t>’</w:t>
      </w:r>
      <w:r w:rsidRPr="00B045DB">
        <w:t xml:space="preserve">Italie ait demandé à la France le 14 janvier </w:t>
      </w:r>
      <w:r w:rsidR="00BB7A3A">
        <w:t xml:space="preserve">2021 </w:t>
      </w:r>
      <w:r w:rsidRPr="00B045DB">
        <w:t>d</w:t>
      </w:r>
      <w:r w:rsidR="003B2315" w:rsidRPr="00B045DB">
        <w:t>’</w:t>
      </w:r>
      <w:r w:rsidRPr="00B045DB">
        <w:t>être associée à une procédure transfrontière, la France a fait valoir qu</w:t>
      </w:r>
      <w:r w:rsidR="003B2315" w:rsidRPr="00B045DB">
        <w:t>’</w:t>
      </w:r>
      <w:r w:rsidRPr="00B045DB">
        <w:t>il n</w:t>
      </w:r>
      <w:r w:rsidR="003B2315" w:rsidRPr="00B045DB">
        <w:t>’</w:t>
      </w:r>
      <w:r w:rsidRPr="00B045DB">
        <w:t>y avait pas d</w:t>
      </w:r>
      <w:r w:rsidR="003B2315" w:rsidRPr="00B045DB">
        <w:t>’</w:t>
      </w:r>
      <w:r w:rsidRPr="00B045DB">
        <w:t>impacts transfrontières.</w:t>
      </w:r>
    </w:p>
    <w:p w14:paraId="19992D3A" w14:textId="4CA5F58B" w:rsidR="00D24047" w:rsidRPr="00581917" w:rsidRDefault="00D24047" w:rsidP="00D24047">
      <w:pPr>
        <w:pStyle w:val="SingleTxtG"/>
      </w:pPr>
      <w:r w:rsidRPr="00581917">
        <w:t>71.</w:t>
      </w:r>
      <w:r w:rsidRPr="00581917">
        <w:tab/>
        <w:t>À sa cinquante-septième session, le Comité a conclu à une sérieuse suspicion de non</w:t>
      </w:r>
      <w:r w:rsidR="00581917">
        <w:noBreakHyphen/>
      </w:r>
      <w:r w:rsidRPr="00581917">
        <w:t>respect par la France des obligations qui lui incombaient au titre des articles 2 (par. 2 et</w:t>
      </w:r>
      <w:r w:rsidR="00581917">
        <w:t> </w:t>
      </w:r>
      <w:r w:rsidRPr="00581917">
        <w:t>3) et 3 (par. 1 et 7) de la Convention en ce qui concernait la prolongation de la durée de vie de la tranche 1 de la centrale nucléaire du Tricastin, et il a pris une initiative. Il a invité la France à une audition lors de sa cinquante-neuvième session (Genève, 18-21 juin 2024)</w:t>
      </w:r>
      <w:r w:rsidRPr="00581917">
        <w:rPr>
          <w:rStyle w:val="Appelnotedebasdep"/>
        </w:rPr>
        <w:footnoteReference w:id="63"/>
      </w:r>
      <w:r w:rsidRPr="00581917">
        <w:t>.</w:t>
      </w:r>
    </w:p>
    <w:p w14:paraId="2468C57E" w14:textId="63CA7EA8" w:rsidR="00D24047" w:rsidRPr="00B045DB" w:rsidRDefault="006946C4" w:rsidP="006946C4">
      <w:pPr>
        <w:pStyle w:val="H23G"/>
      </w:pPr>
      <w:r w:rsidRPr="00581917">
        <w:tab/>
      </w:r>
      <w:r w:rsidR="00D24047" w:rsidRPr="00581917">
        <w:t>6.</w:t>
      </w:r>
      <w:r w:rsidR="00D24047" w:rsidRPr="00581917">
        <w:tab/>
        <w:t>Ukraine</w:t>
      </w:r>
    </w:p>
    <w:p w14:paraId="626D27D2" w14:textId="78BA0F1C" w:rsidR="00D24047" w:rsidRPr="00B045DB" w:rsidRDefault="006946C4" w:rsidP="006946C4">
      <w:pPr>
        <w:pStyle w:val="H4G"/>
      </w:pPr>
      <w:r w:rsidRPr="00B045DB">
        <w:tab/>
      </w:r>
      <w:r w:rsidRPr="00B045DB">
        <w:tab/>
      </w:r>
      <w:r w:rsidR="00D24047" w:rsidRPr="00B045DB">
        <w:t>EIA/IC/CI/7</w:t>
      </w:r>
    </w:p>
    <w:p w14:paraId="109D9436" w14:textId="3553CF48" w:rsidR="00D24047" w:rsidRPr="00B045DB" w:rsidRDefault="00D24047" w:rsidP="00D24047">
      <w:pPr>
        <w:pStyle w:val="SingleTxtG"/>
      </w:pPr>
      <w:r w:rsidRPr="00B045DB">
        <w:rPr>
          <w:iCs/>
        </w:rPr>
        <w:t>72.</w:t>
      </w:r>
      <w:r w:rsidRPr="00B045DB">
        <w:rPr>
          <w:iCs/>
        </w:rPr>
        <w:tab/>
      </w:r>
      <w:r w:rsidRPr="00B045DB">
        <w:t>Le Comité a poursuivi l</w:t>
      </w:r>
      <w:r w:rsidR="003B2315" w:rsidRPr="00B045DB">
        <w:t>’</w:t>
      </w:r>
      <w:r w:rsidRPr="00B045DB">
        <w:t>examen de son initiative relative au respect par l</w:t>
      </w:r>
      <w:r w:rsidR="003B2315" w:rsidRPr="00B045DB">
        <w:t>’</w:t>
      </w:r>
      <w:r w:rsidRPr="00B045DB">
        <w:t>Ukraine de ses obligations au titre de la Convention concernant la construction d</w:t>
      </w:r>
      <w:r w:rsidR="003B2315" w:rsidRPr="00B045DB">
        <w:t>’</w:t>
      </w:r>
      <w:r w:rsidRPr="00B045DB">
        <w:t xml:space="preserve">un grand complexe touristique dans les montagnes de </w:t>
      </w:r>
      <w:proofErr w:type="spellStart"/>
      <w:r w:rsidRPr="00B045DB">
        <w:t>Svydovets</w:t>
      </w:r>
      <w:proofErr w:type="spellEnd"/>
      <w:r w:rsidRPr="00B045DB">
        <w:t xml:space="preserve"> (Ukraine), prise à la quarante-huitième session du Comité (Genève, 1</w:t>
      </w:r>
      <w:r w:rsidR="006946C4" w:rsidRPr="00B045DB">
        <w:rPr>
          <w:vertAlign w:val="superscript"/>
        </w:rPr>
        <w:t>er</w:t>
      </w:r>
      <w:r w:rsidRPr="00B045DB">
        <w:t>-4</w:t>
      </w:r>
      <w:r w:rsidR="008F158B">
        <w:t> </w:t>
      </w:r>
      <w:r w:rsidRPr="00B045DB">
        <w:t>septembre 2020). Il a rappelé que l</w:t>
      </w:r>
      <w:r w:rsidR="003B2315" w:rsidRPr="00B045DB">
        <w:t>’</w:t>
      </w:r>
      <w:r w:rsidRPr="00B045DB">
        <w:t>Ukraine avait informé son propre public de l</w:t>
      </w:r>
      <w:r w:rsidR="003B2315" w:rsidRPr="00B045DB">
        <w:t>’</w:t>
      </w:r>
      <w:r w:rsidRPr="00B045DB">
        <w:t>activité prévue près de la frontière avec la Hongrie et la Roumanie en mars 2018. Malgré les demandes de la Hongrie et de la Roumanie, l</w:t>
      </w:r>
      <w:r w:rsidR="003B2315" w:rsidRPr="00B045DB">
        <w:t>’</w:t>
      </w:r>
      <w:r w:rsidRPr="00B045DB">
        <w:t>Ukraine n</w:t>
      </w:r>
      <w:r w:rsidR="003B2315" w:rsidRPr="00B045DB">
        <w:t>’</w:t>
      </w:r>
      <w:r w:rsidRPr="00B045DB">
        <w:t>avait pas notifié ces pays conformément aux articles 2 (par.</w:t>
      </w:r>
      <w:r w:rsidR="006946C4" w:rsidRPr="00B045DB">
        <w:t> </w:t>
      </w:r>
      <w:r w:rsidRPr="00B045DB">
        <w:t>4) et 3 (par.</w:t>
      </w:r>
      <w:r w:rsidR="006946C4" w:rsidRPr="00B045DB">
        <w:t> </w:t>
      </w:r>
      <w:r w:rsidRPr="00B045DB">
        <w:t>1) de la Convention. Le Comité a également constaté que l</w:t>
      </w:r>
      <w:r w:rsidR="003B2315" w:rsidRPr="00B045DB">
        <w:t>’</w:t>
      </w:r>
      <w:r w:rsidRPr="00B045DB">
        <w:t>Ukraine n</w:t>
      </w:r>
      <w:r w:rsidR="003B2315" w:rsidRPr="00B045DB">
        <w:t>’</w:t>
      </w:r>
      <w:r w:rsidRPr="00B045DB">
        <w:t>avait pas répondu à la demande réitérée de la Roumanie d</w:t>
      </w:r>
      <w:r w:rsidR="003B2315" w:rsidRPr="00B045DB">
        <w:t>’</w:t>
      </w:r>
      <w:r w:rsidRPr="00B045DB">
        <w:t>échanger des informations suffisantes et d</w:t>
      </w:r>
      <w:r w:rsidR="003B2315" w:rsidRPr="00B045DB">
        <w:t>’</w:t>
      </w:r>
      <w:r w:rsidRPr="00B045DB">
        <w:t>entamer des discussions au titre du paragraphe</w:t>
      </w:r>
      <w:r w:rsidR="006946C4" w:rsidRPr="00B045DB">
        <w:t> </w:t>
      </w:r>
      <w:r w:rsidRPr="00B045DB">
        <w:t>7 de l</w:t>
      </w:r>
      <w:r w:rsidR="003B2315" w:rsidRPr="00B045DB">
        <w:t>’</w:t>
      </w:r>
      <w:r w:rsidRPr="00B045DB">
        <w:t>article 3 de la Convention.</w:t>
      </w:r>
    </w:p>
    <w:p w14:paraId="084B84D5" w14:textId="7AD6E08B" w:rsidR="00D24047" w:rsidRPr="00B045DB" w:rsidRDefault="00D24047" w:rsidP="00D24047">
      <w:pPr>
        <w:pStyle w:val="SingleTxtG"/>
      </w:pPr>
      <w:r w:rsidRPr="00B045DB">
        <w:t>73.</w:t>
      </w:r>
      <w:r w:rsidRPr="00B045DB">
        <w:tab/>
        <w:t>Le Comité a tenu une audition avec la Hongrie, la Roumanie et l</w:t>
      </w:r>
      <w:r w:rsidR="003B2315" w:rsidRPr="00B045DB">
        <w:t>’</w:t>
      </w:r>
      <w:r w:rsidRPr="00B045DB">
        <w:t>Ukraine à sa cinquante et unième session (Genève, 4-7</w:t>
      </w:r>
      <w:r w:rsidR="006946C4" w:rsidRPr="00B045DB">
        <w:t> </w:t>
      </w:r>
      <w:r w:rsidRPr="00B045DB">
        <w:t>octobre 2021) et a pris acte de la clarification de l</w:t>
      </w:r>
      <w:r w:rsidR="003B2315" w:rsidRPr="00B045DB">
        <w:t>’</w:t>
      </w:r>
      <w:r w:rsidRPr="00B045DB">
        <w:t>Ukraine selon laquelle l</w:t>
      </w:r>
      <w:r w:rsidR="003B2315" w:rsidRPr="00B045DB">
        <w:t>’</w:t>
      </w:r>
      <w:r w:rsidRPr="00B045DB">
        <w:t>activité constituait un simple projet et qu</w:t>
      </w:r>
      <w:r w:rsidR="003B2315" w:rsidRPr="00B045DB">
        <w:t>’</w:t>
      </w:r>
      <w:r w:rsidRPr="00B045DB">
        <w:t>aucune activité n</w:t>
      </w:r>
      <w:r w:rsidR="003B2315" w:rsidRPr="00B045DB">
        <w:t>’</w:t>
      </w:r>
      <w:r w:rsidRPr="00B045DB">
        <w:t>était en cours à l</w:t>
      </w:r>
      <w:r w:rsidR="003B2315" w:rsidRPr="00B045DB">
        <w:t>’</w:t>
      </w:r>
      <w:r w:rsidRPr="00B045DB">
        <w:t>heure actuelle.</w:t>
      </w:r>
    </w:p>
    <w:p w14:paraId="54338F1B" w14:textId="2CD1B77C" w:rsidR="00D24047" w:rsidRPr="00B045DB" w:rsidRDefault="00D24047" w:rsidP="00D24047">
      <w:pPr>
        <w:pStyle w:val="SingleTxtG"/>
      </w:pPr>
      <w:r w:rsidRPr="00B045DB">
        <w:t>74.</w:t>
      </w:r>
      <w:r w:rsidRPr="00B045DB">
        <w:tab/>
        <w:t>Le Comité a repris ses travaux à sa cinquante-sixième session et a tenu des consultations informelles avec l</w:t>
      </w:r>
      <w:r w:rsidR="003B2315" w:rsidRPr="00B045DB">
        <w:t>’</w:t>
      </w:r>
      <w:r w:rsidRPr="00B045DB">
        <w:t>Ukraine (voir par</w:t>
      </w:r>
      <w:r w:rsidR="006946C4" w:rsidRPr="00B045DB">
        <w:t>. </w:t>
      </w:r>
      <w:r w:rsidRPr="00B045DB">
        <w:t>21 ci-dessus). L</w:t>
      </w:r>
      <w:r w:rsidR="003B2315" w:rsidRPr="00B045DB">
        <w:t>’</w:t>
      </w:r>
      <w:r w:rsidRPr="00B045DB">
        <w:t>Ukraine a confirmé que l</w:t>
      </w:r>
      <w:r w:rsidR="003B2315" w:rsidRPr="00B045DB">
        <w:t>’</w:t>
      </w:r>
      <w:r w:rsidRPr="00B045DB">
        <w:t>activité était encore à l</w:t>
      </w:r>
      <w:r w:rsidR="003B2315" w:rsidRPr="00B045DB">
        <w:t>’</w:t>
      </w:r>
      <w:r w:rsidRPr="00B045DB">
        <w:t>état de projet et qu</w:t>
      </w:r>
      <w:r w:rsidR="003B2315" w:rsidRPr="00B045DB">
        <w:t>’</w:t>
      </w:r>
      <w:r w:rsidRPr="00B045DB">
        <w:t>aucun permis pour des travaux préparatoires ou de construction n</w:t>
      </w:r>
      <w:r w:rsidR="003B2315" w:rsidRPr="00B045DB">
        <w:t>’</w:t>
      </w:r>
      <w:r w:rsidRPr="00B045DB">
        <w:t>avait été délivré.</w:t>
      </w:r>
    </w:p>
    <w:p w14:paraId="5905F3B2" w14:textId="75922EE9" w:rsidR="00D24047" w:rsidRPr="00B045DB" w:rsidRDefault="00D24047" w:rsidP="00D24047">
      <w:pPr>
        <w:pStyle w:val="SingleTxtG"/>
      </w:pPr>
      <w:r w:rsidRPr="00B045DB">
        <w:t>75.</w:t>
      </w:r>
      <w:r w:rsidRPr="00B045DB">
        <w:tab/>
        <w:t>À sa cinquante-septième session (Genève, 29 août-1</w:t>
      </w:r>
      <w:r w:rsidRPr="00B045DB">
        <w:rPr>
          <w:vertAlign w:val="superscript"/>
        </w:rPr>
        <w:t>er</w:t>
      </w:r>
      <w:r w:rsidR="006946C4" w:rsidRPr="00B045DB">
        <w:t> </w:t>
      </w:r>
      <w:r w:rsidRPr="00B045DB">
        <w:t>septembre 2023), le Comité est convenu que, sans preuve que l</w:t>
      </w:r>
      <w:r w:rsidR="003B2315" w:rsidRPr="00B045DB">
        <w:t>’</w:t>
      </w:r>
      <w:r w:rsidRPr="00B045DB">
        <w:t>activité était censée se concrétiser, il n</w:t>
      </w:r>
      <w:r w:rsidR="003B2315" w:rsidRPr="00B045DB">
        <w:t>’</w:t>
      </w:r>
      <w:r w:rsidRPr="00B045DB">
        <w:t>y avait aucune raison de poursuivre l</w:t>
      </w:r>
      <w:r w:rsidR="003B2315" w:rsidRPr="00B045DB">
        <w:t>’</w:t>
      </w:r>
      <w:r w:rsidRPr="00B045DB">
        <w:t>examen de la question et il a clos le dossier. Il a rappelé à l</w:t>
      </w:r>
      <w:r w:rsidR="003B2315" w:rsidRPr="00B045DB">
        <w:t>’</w:t>
      </w:r>
      <w:r w:rsidRPr="00B045DB">
        <w:t>Ukraine que si l</w:t>
      </w:r>
      <w:r w:rsidR="003B2315" w:rsidRPr="00B045DB">
        <w:t>’</w:t>
      </w:r>
      <w:r w:rsidRPr="00B045DB">
        <w:t>activité proposée devait être mise en œuvre à l</w:t>
      </w:r>
      <w:r w:rsidR="003B2315" w:rsidRPr="00B045DB">
        <w:t>’</w:t>
      </w:r>
      <w:r w:rsidRPr="00B045DB">
        <w:t>avenir, l</w:t>
      </w:r>
      <w:r w:rsidR="003B2315" w:rsidRPr="00B045DB">
        <w:t>’</w:t>
      </w:r>
      <w:r w:rsidRPr="00B045DB">
        <w:t>Ukraine devrait évaluer si elle relevait de la Convention, et il a rappelé ses précédents avis concernant une telle évaluation</w:t>
      </w:r>
      <w:r w:rsidRPr="00B045DB">
        <w:rPr>
          <w:rStyle w:val="Appelnotedebasdep"/>
        </w:rPr>
        <w:footnoteReference w:id="64"/>
      </w:r>
      <w:r w:rsidRPr="00B045DB">
        <w:t>.</w:t>
      </w:r>
    </w:p>
    <w:p w14:paraId="5462DB4A" w14:textId="6B43BC78" w:rsidR="00D24047" w:rsidRPr="00B045DB" w:rsidRDefault="006946C4" w:rsidP="006946C4">
      <w:pPr>
        <w:pStyle w:val="H1G"/>
      </w:pPr>
      <w:r w:rsidRPr="00B045DB">
        <w:tab/>
      </w:r>
      <w:r w:rsidR="00D24047" w:rsidRPr="00B045DB">
        <w:t>B.</w:t>
      </w:r>
      <w:r w:rsidR="00D24047" w:rsidRPr="00B045DB">
        <w:tab/>
        <w:t>Questions relatives au Protocole</w:t>
      </w:r>
    </w:p>
    <w:p w14:paraId="6F8387BD" w14:textId="5469AD86" w:rsidR="00D24047" w:rsidRPr="00B045DB" w:rsidRDefault="006946C4" w:rsidP="006946C4">
      <w:pPr>
        <w:pStyle w:val="H23G"/>
      </w:pPr>
      <w:r w:rsidRPr="00B045DB">
        <w:tab/>
      </w:r>
      <w:r w:rsidRPr="00B045DB">
        <w:tab/>
      </w:r>
      <w:r w:rsidR="00D24047" w:rsidRPr="00B045DB">
        <w:t>Serbie</w:t>
      </w:r>
    </w:p>
    <w:p w14:paraId="23FB400B" w14:textId="3711B704" w:rsidR="00D24047" w:rsidRPr="00B045DB" w:rsidRDefault="006946C4" w:rsidP="006946C4">
      <w:pPr>
        <w:pStyle w:val="H4G"/>
      </w:pPr>
      <w:r w:rsidRPr="00B045DB">
        <w:tab/>
      </w:r>
      <w:r w:rsidRPr="00B045DB">
        <w:tab/>
      </w:r>
      <w:r w:rsidR="00D24047" w:rsidRPr="00B045DB">
        <w:t>EIA/IC/CI/6</w:t>
      </w:r>
    </w:p>
    <w:p w14:paraId="78D4AC80" w14:textId="09B530CC" w:rsidR="00D24047" w:rsidRPr="00B045DB" w:rsidRDefault="00D24047" w:rsidP="00D24047">
      <w:pPr>
        <w:pStyle w:val="SingleTxtG"/>
      </w:pPr>
      <w:r w:rsidRPr="00B045DB">
        <w:rPr>
          <w:iCs/>
        </w:rPr>
        <w:t>76.</w:t>
      </w:r>
      <w:r w:rsidRPr="00B045DB">
        <w:rPr>
          <w:iCs/>
        </w:rPr>
        <w:tab/>
        <w:t>Suite à la collecte d</w:t>
      </w:r>
      <w:r w:rsidR="003B2315" w:rsidRPr="00B045DB">
        <w:rPr>
          <w:iCs/>
        </w:rPr>
        <w:t>’</w:t>
      </w:r>
      <w:r w:rsidRPr="00B045DB">
        <w:rPr>
          <w:iCs/>
        </w:rPr>
        <w:t xml:space="preserve">informations </w:t>
      </w:r>
      <w:r w:rsidRPr="00B045DB">
        <w:t>(SEA/IC/INFO/1) qu</w:t>
      </w:r>
      <w:r w:rsidR="003B2315" w:rsidRPr="00B045DB">
        <w:t>’</w:t>
      </w:r>
      <w:r w:rsidRPr="00B045DB">
        <w:t>il avait entamée à sa trente</w:t>
      </w:r>
      <w:r w:rsidR="006946C4" w:rsidRPr="00B045DB">
        <w:noBreakHyphen/>
      </w:r>
      <w:r w:rsidRPr="00B045DB">
        <w:t>deuxième session (Genève, 9-11</w:t>
      </w:r>
      <w:r w:rsidR="006946C4" w:rsidRPr="00B045DB">
        <w:t> </w:t>
      </w:r>
      <w:r w:rsidRPr="00B045DB">
        <w:t>décembre 2014)</w:t>
      </w:r>
      <w:r w:rsidRPr="00B045DB">
        <w:rPr>
          <w:rStyle w:val="Appelnotedebasdep"/>
        </w:rPr>
        <w:footnoteReference w:id="65"/>
      </w:r>
      <w:r w:rsidRPr="00B045DB">
        <w:t xml:space="preserve"> après que des informations avaient été fournies par l</w:t>
      </w:r>
      <w:r w:rsidR="003B2315" w:rsidRPr="00B045DB">
        <w:t>’</w:t>
      </w:r>
      <w:r w:rsidRPr="00B045DB">
        <w:t xml:space="preserve">ONG </w:t>
      </w:r>
      <w:proofErr w:type="spellStart"/>
      <w:r w:rsidRPr="00B045DB">
        <w:t>Bankwatch</w:t>
      </w:r>
      <w:proofErr w:type="spellEnd"/>
      <w:r w:rsidRPr="00B045DB">
        <w:t xml:space="preserve"> Roumanie, le Comité a pris, à sa quarante-sixième session (Genève, 10-13</w:t>
      </w:r>
      <w:r w:rsidR="008F158B">
        <w:t> </w:t>
      </w:r>
      <w:r w:rsidRPr="00B045DB">
        <w:t>décembre 2019), une initiative fondée sur la sérieuse suspicion de non</w:t>
      </w:r>
      <w:r w:rsidR="006946C4" w:rsidRPr="00B045DB">
        <w:noBreakHyphen/>
      </w:r>
      <w:r w:rsidRPr="00B045DB">
        <w:t>respect par la Serbie de ses obligations au titre de l</w:t>
      </w:r>
      <w:r w:rsidR="003B2315" w:rsidRPr="00B045DB">
        <w:t>’</w:t>
      </w:r>
      <w:r w:rsidRPr="00B045DB">
        <w:t>article 10 (par.</w:t>
      </w:r>
      <w:r w:rsidR="006946C4" w:rsidRPr="00B045DB">
        <w:t> </w:t>
      </w:r>
      <w:r w:rsidRPr="00B045DB">
        <w:t>1</w:t>
      </w:r>
      <w:r w:rsidR="006946C4" w:rsidRPr="00B045DB">
        <w:t xml:space="preserve"> </w:t>
      </w:r>
      <w:r w:rsidRPr="00B045DB">
        <w:t>et 2) du Protocole s</w:t>
      </w:r>
      <w:r w:rsidR="003B2315" w:rsidRPr="00B045DB">
        <w:t>’</w:t>
      </w:r>
      <w:r w:rsidRPr="00B045DB">
        <w:t>agissant de la Stratégie nationale de développement du secteur de l</w:t>
      </w:r>
      <w:r w:rsidR="003B2315" w:rsidRPr="00B045DB">
        <w:t>’</w:t>
      </w:r>
      <w:r w:rsidRPr="00B045DB">
        <w:t>énergie pour la période allant jusqu</w:t>
      </w:r>
      <w:r w:rsidR="003B2315" w:rsidRPr="00B045DB">
        <w:t>’</w:t>
      </w:r>
      <w:r w:rsidRPr="00B045DB">
        <w:t>à 2025 et des prévisions jusqu</w:t>
      </w:r>
      <w:r w:rsidR="003B2315" w:rsidRPr="00B045DB">
        <w:t>’</w:t>
      </w:r>
      <w:r w:rsidRPr="00B045DB">
        <w:t>à 2030 ainsi que du Programme de mise en œuvre de la Stratégie pour la période 2017-2023</w:t>
      </w:r>
      <w:r w:rsidRPr="00B045DB">
        <w:rPr>
          <w:rStyle w:val="Appelnotedebasdep"/>
        </w:rPr>
        <w:footnoteReference w:id="66"/>
      </w:r>
      <w:r w:rsidRPr="00B045DB">
        <w:t>.</w:t>
      </w:r>
    </w:p>
    <w:p w14:paraId="11EAA7C9" w14:textId="77777777" w:rsidR="00D24047" w:rsidRPr="00080BED" w:rsidRDefault="00D24047" w:rsidP="00D24047">
      <w:pPr>
        <w:pStyle w:val="SingleTxtG"/>
      </w:pPr>
      <w:r w:rsidRPr="00080BED">
        <w:lastRenderedPageBreak/>
        <w:t>77.</w:t>
      </w:r>
      <w:r w:rsidRPr="00080BED">
        <w:tab/>
        <w:t>Pendant la période intersessions, le Comité a demandé des informations supplémentaires à la Serbie et aux Parties touchées (Croatie, Hongrie et Roumanie), suite à une audition avec la Serbie en novembre 2020.</w:t>
      </w:r>
    </w:p>
    <w:p w14:paraId="7233721A" w14:textId="6FE0B6FA" w:rsidR="00D24047" w:rsidRPr="00B045DB" w:rsidRDefault="00D24047" w:rsidP="00D24047">
      <w:pPr>
        <w:pStyle w:val="SingleTxtG"/>
      </w:pPr>
      <w:r w:rsidRPr="00080BED">
        <w:t>78.</w:t>
      </w:r>
      <w:r w:rsidRPr="00080BED">
        <w:tab/>
        <w:t>Le Comité a conclu que la Serbie avait manqué aux obligations qui lui incombaient en vertu de l</w:t>
      </w:r>
      <w:r w:rsidR="003B2315" w:rsidRPr="00080BED">
        <w:t>’</w:t>
      </w:r>
      <w:r w:rsidRPr="00080BED">
        <w:t>article 3 (par. 1) du Protocole s</w:t>
      </w:r>
      <w:r w:rsidR="003B2315" w:rsidRPr="00080BED">
        <w:t>’</w:t>
      </w:r>
      <w:r w:rsidRPr="00080BED">
        <w:t>agissant des mesures législatives, réglementaires et autres à prendre pour appliquer dûment les dispositions de l</w:t>
      </w:r>
      <w:r w:rsidR="003B2315" w:rsidRPr="00080BED">
        <w:t>’</w:t>
      </w:r>
      <w:r w:rsidRPr="00080BED">
        <w:t>article 10, relatif aux consultations transfrontières, et de l</w:t>
      </w:r>
      <w:r w:rsidR="003B2315" w:rsidRPr="00080BED">
        <w:t>’</w:t>
      </w:r>
      <w:r w:rsidRPr="00080BED">
        <w:t>article 11, relatif à la prise de décision et à la communication de la décision aux Parties consultées. Il a également conclu que la Serbie ne respectait pas les obligations qui lui incombaient en vertu du Protocole s</w:t>
      </w:r>
      <w:r w:rsidR="003B2315" w:rsidRPr="00080BED">
        <w:t>’</w:t>
      </w:r>
      <w:r w:rsidRPr="00080BED">
        <w:t>agissant de la Stratégie de développement du secteur de l</w:t>
      </w:r>
      <w:r w:rsidR="003B2315" w:rsidRPr="00080BED">
        <w:t>’</w:t>
      </w:r>
      <w:r w:rsidRPr="00080BED">
        <w:t>énergie, du fait qu</w:t>
      </w:r>
      <w:r w:rsidR="003B2315" w:rsidRPr="00080BED">
        <w:t>’</w:t>
      </w:r>
      <w:r w:rsidRPr="00080BED">
        <w:t>elle n</w:t>
      </w:r>
      <w:r w:rsidR="003B2315" w:rsidRPr="00080BED">
        <w:t>’</w:t>
      </w:r>
      <w:r w:rsidRPr="00080BED">
        <w:t>avait pas notifié la Croatie, la Hongrie et la Roumanie, et s</w:t>
      </w:r>
      <w:r w:rsidR="003B2315" w:rsidRPr="00080BED">
        <w:t>’</w:t>
      </w:r>
      <w:r w:rsidRPr="00080BED">
        <w:t>agissant du Programme de mise en œuvre de la Stratégie pour la période</w:t>
      </w:r>
      <w:r w:rsidRPr="00B045DB">
        <w:t xml:space="preserve"> 2017-2023, en ce qui concernait les consultations transfrontières avec la Hongrie et leurs modalités, la prise en compte des résultats des consultations transfrontières dans le processus décisionnel et la communication de ces résultats aux Parties touchées</w:t>
      </w:r>
      <w:r w:rsidRPr="00B045DB">
        <w:rPr>
          <w:rStyle w:val="Appelnotedebasdep"/>
        </w:rPr>
        <w:footnoteReference w:id="67"/>
      </w:r>
      <w:r w:rsidRPr="00B045DB">
        <w:t>.</w:t>
      </w:r>
    </w:p>
    <w:p w14:paraId="3AAD5677" w14:textId="77777777" w:rsidR="00D24047" w:rsidRPr="00B045DB" w:rsidRDefault="00D24047" w:rsidP="00D24047">
      <w:pPr>
        <w:pStyle w:val="SingleTxtG"/>
      </w:pPr>
      <w:r w:rsidRPr="00B045DB">
        <w:t>79.</w:t>
      </w:r>
      <w:r w:rsidRPr="00B045DB">
        <w:tab/>
        <w:t>Le Comité a recommandé dans le projet de décision V/4d</w:t>
      </w:r>
      <w:r w:rsidRPr="00B045DB">
        <w:rPr>
          <w:rStyle w:val="Appelnotedebasdep"/>
        </w:rPr>
        <w:footnoteReference w:id="68"/>
      </w:r>
      <w:r w:rsidRPr="00B045DB">
        <w:t xml:space="preserve"> que la Réunion des Parties approuve ses conclusions.</w:t>
      </w:r>
    </w:p>
    <w:p w14:paraId="26DAF95C" w14:textId="591B6546" w:rsidR="00D24047" w:rsidRPr="00B045DB" w:rsidRDefault="001346C5" w:rsidP="001346C5">
      <w:pPr>
        <w:pStyle w:val="HChG"/>
      </w:pPr>
      <w:r w:rsidRPr="00B045DB">
        <w:tab/>
      </w:r>
      <w:r w:rsidR="00D24047" w:rsidRPr="00B045DB">
        <w:t>V.</w:t>
      </w:r>
      <w:r w:rsidR="00D24047" w:rsidRPr="00B045DB">
        <w:tab/>
        <w:t>Informations provenant d</w:t>
      </w:r>
      <w:r w:rsidR="003B2315" w:rsidRPr="00B045DB">
        <w:t>’</w:t>
      </w:r>
      <w:r w:rsidR="00D24047" w:rsidRPr="00B045DB">
        <w:t>autres sources (dossiers de collecte d</w:t>
      </w:r>
      <w:r w:rsidR="003B2315" w:rsidRPr="00B045DB">
        <w:t>’</w:t>
      </w:r>
      <w:r w:rsidR="00D24047" w:rsidRPr="00B045DB">
        <w:t>informations)</w:t>
      </w:r>
    </w:p>
    <w:p w14:paraId="399D0801" w14:textId="200E1AFB" w:rsidR="00D24047" w:rsidRPr="00B045DB" w:rsidRDefault="00D24047" w:rsidP="00D24047">
      <w:pPr>
        <w:pStyle w:val="SingleTxtG"/>
      </w:pPr>
      <w:r w:rsidRPr="00B045DB">
        <w:rPr>
          <w:bCs/>
        </w:rPr>
        <w:t>80.</w:t>
      </w:r>
      <w:r w:rsidRPr="00B045DB">
        <w:rPr>
          <w:bCs/>
        </w:rPr>
        <w:tab/>
      </w:r>
      <w:r w:rsidRPr="00B045DB">
        <w:t>Le Comité a également examiné les informations reçues de sources autres que les Parties, conformément à l</w:t>
      </w:r>
      <w:r w:rsidR="003B2315" w:rsidRPr="00B045DB">
        <w:t>’</w:t>
      </w:r>
      <w:r w:rsidRPr="00B045DB">
        <w:t>article 15 (par.</w:t>
      </w:r>
      <w:r w:rsidR="001346C5" w:rsidRPr="00B045DB">
        <w:t> </w:t>
      </w:r>
      <w:r w:rsidRPr="00B045DB">
        <w:t>1) de son règlement intérieur. Il s</w:t>
      </w:r>
      <w:r w:rsidR="003B2315" w:rsidRPr="00B045DB">
        <w:t>’</w:t>
      </w:r>
      <w:r w:rsidRPr="00B045DB">
        <w:t>agissait au total de 20 questions : 18 portaient sur l</w:t>
      </w:r>
      <w:r w:rsidR="003B2315" w:rsidRPr="00B045DB">
        <w:t>’</w:t>
      </w:r>
      <w:r w:rsidRPr="00B045DB">
        <w:t>application de la Convention et 2 sur l</w:t>
      </w:r>
      <w:r w:rsidR="003B2315" w:rsidRPr="00B045DB">
        <w:t>’</w:t>
      </w:r>
      <w:r w:rsidRPr="00B045DB">
        <w:t>application du Protocole (voir tableau 2 ci-dessous).</w:t>
      </w:r>
    </w:p>
    <w:p w14:paraId="7C634E34" w14:textId="734BC89E" w:rsidR="00D24047" w:rsidRPr="00B045DB" w:rsidRDefault="00D24047" w:rsidP="001346C5">
      <w:pPr>
        <w:pStyle w:val="Titre1"/>
        <w:spacing w:after="120"/>
        <w:rPr>
          <w:b/>
        </w:rPr>
      </w:pPr>
      <w:r w:rsidRPr="00B045DB">
        <w:t xml:space="preserve">Tableau 2 </w:t>
      </w:r>
      <w:r w:rsidR="001346C5" w:rsidRPr="00B045DB">
        <w:br/>
      </w:r>
      <w:r w:rsidRPr="00B045DB">
        <w:rPr>
          <w:b/>
        </w:rPr>
        <w:t>Informations provenant d</w:t>
      </w:r>
      <w:r w:rsidR="003B2315" w:rsidRPr="00B045DB">
        <w:rPr>
          <w:b/>
        </w:rPr>
        <w:t>’</w:t>
      </w:r>
      <w:r w:rsidRPr="00B045DB">
        <w:rPr>
          <w:b/>
        </w:rPr>
        <w:t>autres sources</w:t>
      </w:r>
    </w:p>
    <w:tbl>
      <w:tblPr>
        <w:tblW w:w="8504" w:type="dxa"/>
        <w:tblInd w:w="1134" w:type="dxa"/>
        <w:tblLayout w:type="fixed"/>
        <w:tblCellMar>
          <w:left w:w="0" w:type="dxa"/>
          <w:right w:w="0" w:type="dxa"/>
        </w:tblCellMar>
        <w:tblLook w:val="01E0" w:firstRow="1" w:lastRow="1" w:firstColumn="1" w:lastColumn="1" w:noHBand="0" w:noVBand="0"/>
      </w:tblPr>
      <w:tblGrid>
        <w:gridCol w:w="2072"/>
        <w:gridCol w:w="1414"/>
        <w:gridCol w:w="2309"/>
        <w:gridCol w:w="2709"/>
      </w:tblGrid>
      <w:tr w:rsidR="00DB0C25" w:rsidRPr="00B045DB" w14:paraId="4DD293CA" w14:textId="77777777" w:rsidTr="00027956">
        <w:trPr>
          <w:tblHeader/>
        </w:trPr>
        <w:tc>
          <w:tcPr>
            <w:tcW w:w="2072" w:type="dxa"/>
            <w:tcBorders>
              <w:top w:val="single" w:sz="4" w:space="0" w:color="auto"/>
              <w:bottom w:val="single" w:sz="12" w:space="0" w:color="auto"/>
            </w:tcBorders>
            <w:shd w:val="clear" w:color="auto" w:fill="auto"/>
            <w:vAlign w:val="bottom"/>
          </w:tcPr>
          <w:p w14:paraId="08BC10EA" w14:textId="77777777" w:rsidR="00D24047" w:rsidRPr="00B045DB" w:rsidRDefault="00D24047" w:rsidP="00FE3634">
            <w:pPr>
              <w:spacing w:before="80" w:after="80" w:line="200" w:lineRule="exact"/>
              <w:ind w:right="113"/>
              <w:rPr>
                <w:i/>
                <w:sz w:val="16"/>
              </w:rPr>
            </w:pPr>
            <w:r w:rsidRPr="00B045DB">
              <w:rPr>
                <w:i/>
                <w:sz w:val="16"/>
              </w:rPr>
              <w:t>Référence du Comité</w:t>
            </w:r>
          </w:p>
        </w:tc>
        <w:tc>
          <w:tcPr>
            <w:tcW w:w="1414" w:type="dxa"/>
            <w:tcBorders>
              <w:top w:val="single" w:sz="4" w:space="0" w:color="auto"/>
              <w:bottom w:val="single" w:sz="12" w:space="0" w:color="auto"/>
            </w:tcBorders>
            <w:shd w:val="clear" w:color="auto" w:fill="auto"/>
            <w:vAlign w:val="bottom"/>
          </w:tcPr>
          <w:p w14:paraId="31E18367" w14:textId="77777777" w:rsidR="00D24047" w:rsidRPr="00B045DB" w:rsidRDefault="00D24047" w:rsidP="00FE3634">
            <w:pPr>
              <w:spacing w:before="80" w:after="80" w:line="200" w:lineRule="exact"/>
              <w:ind w:right="113"/>
              <w:rPr>
                <w:i/>
                <w:sz w:val="16"/>
              </w:rPr>
            </w:pPr>
            <w:r w:rsidRPr="00B045DB">
              <w:rPr>
                <w:i/>
                <w:sz w:val="16"/>
              </w:rPr>
              <w:t>Partie concernée</w:t>
            </w:r>
          </w:p>
        </w:tc>
        <w:tc>
          <w:tcPr>
            <w:tcW w:w="2309" w:type="dxa"/>
            <w:tcBorders>
              <w:top w:val="single" w:sz="4" w:space="0" w:color="auto"/>
              <w:bottom w:val="single" w:sz="12" w:space="0" w:color="auto"/>
            </w:tcBorders>
            <w:shd w:val="clear" w:color="auto" w:fill="auto"/>
            <w:vAlign w:val="bottom"/>
          </w:tcPr>
          <w:p w14:paraId="337AC835" w14:textId="77777777" w:rsidR="00D24047" w:rsidRPr="00B045DB" w:rsidRDefault="00D24047" w:rsidP="00FE3634">
            <w:pPr>
              <w:spacing w:before="80" w:after="80" w:line="200" w:lineRule="exact"/>
              <w:ind w:right="113"/>
              <w:rPr>
                <w:i/>
                <w:sz w:val="16"/>
              </w:rPr>
            </w:pPr>
            <w:r w:rsidRPr="00B045DB">
              <w:rPr>
                <w:i/>
                <w:sz w:val="16"/>
              </w:rPr>
              <w:t>Situation</w:t>
            </w:r>
          </w:p>
        </w:tc>
        <w:tc>
          <w:tcPr>
            <w:tcW w:w="2709" w:type="dxa"/>
            <w:tcBorders>
              <w:top w:val="single" w:sz="4" w:space="0" w:color="auto"/>
              <w:bottom w:val="single" w:sz="12" w:space="0" w:color="auto"/>
            </w:tcBorders>
            <w:shd w:val="clear" w:color="auto" w:fill="auto"/>
            <w:vAlign w:val="bottom"/>
          </w:tcPr>
          <w:p w14:paraId="085F5F2A" w14:textId="77777777" w:rsidR="00D24047" w:rsidRPr="00B045DB" w:rsidRDefault="00D24047" w:rsidP="00FE3634">
            <w:pPr>
              <w:spacing w:before="80" w:after="80" w:line="200" w:lineRule="exact"/>
              <w:rPr>
                <w:i/>
                <w:sz w:val="16"/>
              </w:rPr>
            </w:pPr>
            <w:r w:rsidRPr="00B045DB">
              <w:rPr>
                <w:i/>
                <w:sz w:val="16"/>
              </w:rPr>
              <w:t>Question</w:t>
            </w:r>
          </w:p>
        </w:tc>
      </w:tr>
      <w:tr w:rsidR="00FE3634" w:rsidRPr="00B045DB" w14:paraId="4E2FC9FC" w14:textId="77777777" w:rsidTr="00027956">
        <w:trPr>
          <w:trHeight w:hRule="exact" w:val="113"/>
          <w:tblHeader/>
        </w:trPr>
        <w:tc>
          <w:tcPr>
            <w:tcW w:w="2072" w:type="dxa"/>
            <w:tcBorders>
              <w:top w:val="single" w:sz="12" w:space="0" w:color="auto"/>
            </w:tcBorders>
            <w:shd w:val="clear" w:color="auto" w:fill="auto"/>
          </w:tcPr>
          <w:p w14:paraId="159DFDFB" w14:textId="77777777" w:rsidR="00FE3634" w:rsidRPr="00B045DB" w:rsidRDefault="00FE3634" w:rsidP="00FE3634">
            <w:pPr>
              <w:spacing w:before="40" w:after="120"/>
              <w:ind w:right="113"/>
            </w:pPr>
          </w:p>
        </w:tc>
        <w:tc>
          <w:tcPr>
            <w:tcW w:w="1414" w:type="dxa"/>
            <w:tcBorders>
              <w:top w:val="single" w:sz="12" w:space="0" w:color="auto"/>
            </w:tcBorders>
            <w:shd w:val="clear" w:color="auto" w:fill="auto"/>
          </w:tcPr>
          <w:p w14:paraId="69253BE8" w14:textId="77777777" w:rsidR="00FE3634" w:rsidRPr="00B045DB" w:rsidRDefault="00FE3634" w:rsidP="00FE3634">
            <w:pPr>
              <w:spacing w:before="40" w:after="120"/>
              <w:ind w:right="113"/>
            </w:pPr>
          </w:p>
        </w:tc>
        <w:tc>
          <w:tcPr>
            <w:tcW w:w="2309" w:type="dxa"/>
            <w:tcBorders>
              <w:top w:val="single" w:sz="12" w:space="0" w:color="auto"/>
            </w:tcBorders>
            <w:shd w:val="clear" w:color="auto" w:fill="auto"/>
          </w:tcPr>
          <w:p w14:paraId="54781630" w14:textId="77777777" w:rsidR="00FE3634" w:rsidRPr="00B045DB" w:rsidRDefault="00FE3634" w:rsidP="00FE3634">
            <w:pPr>
              <w:spacing w:before="40" w:after="120"/>
              <w:ind w:right="113"/>
            </w:pPr>
          </w:p>
        </w:tc>
        <w:tc>
          <w:tcPr>
            <w:tcW w:w="2709" w:type="dxa"/>
            <w:tcBorders>
              <w:top w:val="single" w:sz="12" w:space="0" w:color="auto"/>
            </w:tcBorders>
            <w:shd w:val="clear" w:color="auto" w:fill="auto"/>
          </w:tcPr>
          <w:p w14:paraId="1DF8004A" w14:textId="77777777" w:rsidR="00FE3634" w:rsidRPr="00B045DB" w:rsidRDefault="00FE3634" w:rsidP="00FE3634">
            <w:pPr>
              <w:spacing w:before="40" w:after="120"/>
            </w:pPr>
          </w:p>
        </w:tc>
      </w:tr>
      <w:tr w:rsidR="0008299C" w:rsidRPr="00B045DB" w14:paraId="6C16BF6C" w14:textId="77777777" w:rsidTr="008152D0">
        <w:tc>
          <w:tcPr>
            <w:tcW w:w="3486" w:type="dxa"/>
            <w:gridSpan w:val="2"/>
            <w:shd w:val="clear" w:color="auto" w:fill="auto"/>
          </w:tcPr>
          <w:p w14:paraId="55FFA04B" w14:textId="483398B7" w:rsidR="0008299C" w:rsidRPr="00B045DB" w:rsidRDefault="0008299C" w:rsidP="00FE3634">
            <w:pPr>
              <w:spacing w:before="40" w:after="120"/>
              <w:ind w:right="113"/>
            </w:pPr>
            <w:r w:rsidRPr="00B045DB">
              <w:t>Questions relatives à</w:t>
            </w:r>
            <w:r>
              <w:t xml:space="preserve"> </w:t>
            </w:r>
            <w:r w:rsidRPr="00B045DB">
              <w:t>la Convention</w:t>
            </w:r>
          </w:p>
        </w:tc>
        <w:tc>
          <w:tcPr>
            <w:tcW w:w="2309" w:type="dxa"/>
            <w:shd w:val="clear" w:color="auto" w:fill="auto"/>
          </w:tcPr>
          <w:p w14:paraId="4AB550EF" w14:textId="77777777" w:rsidR="0008299C" w:rsidRPr="00B045DB" w:rsidRDefault="0008299C" w:rsidP="00FE3634">
            <w:pPr>
              <w:spacing w:before="40" w:after="120"/>
              <w:ind w:right="113"/>
            </w:pPr>
          </w:p>
        </w:tc>
        <w:tc>
          <w:tcPr>
            <w:tcW w:w="2709" w:type="dxa"/>
            <w:shd w:val="clear" w:color="auto" w:fill="auto"/>
          </w:tcPr>
          <w:p w14:paraId="28EECC0C" w14:textId="77777777" w:rsidR="0008299C" w:rsidRPr="00B045DB" w:rsidRDefault="0008299C" w:rsidP="00FE3634">
            <w:pPr>
              <w:spacing w:before="40" w:after="120"/>
            </w:pPr>
          </w:p>
        </w:tc>
      </w:tr>
      <w:tr w:rsidR="00D24047" w:rsidRPr="00B045DB" w14:paraId="2339D6E3" w14:textId="77777777" w:rsidTr="00027956">
        <w:tc>
          <w:tcPr>
            <w:tcW w:w="2072" w:type="dxa"/>
            <w:shd w:val="clear" w:color="auto" w:fill="auto"/>
          </w:tcPr>
          <w:p w14:paraId="3FBA94FC" w14:textId="77777777" w:rsidR="00D24047" w:rsidRPr="00B045DB" w:rsidRDefault="00D24047" w:rsidP="00FE3634">
            <w:pPr>
              <w:spacing w:before="40" w:after="120"/>
              <w:ind w:right="113"/>
            </w:pPr>
            <w:r w:rsidRPr="00B045DB">
              <w:t>EIA/IC/INFO/10</w:t>
            </w:r>
          </w:p>
        </w:tc>
        <w:tc>
          <w:tcPr>
            <w:tcW w:w="1414" w:type="dxa"/>
            <w:shd w:val="clear" w:color="auto" w:fill="auto"/>
          </w:tcPr>
          <w:p w14:paraId="73F26009" w14:textId="77777777" w:rsidR="00D24047" w:rsidRPr="00B045DB" w:rsidRDefault="00D24047" w:rsidP="00FE3634">
            <w:pPr>
              <w:spacing w:before="40" w:after="120"/>
              <w:ind w:right="113"/>
            </w:pPr>
            <w:r w:rsidRPr="00B045DB">
              <w:t>Ukraine</w:t>
            </w:r>
          </w:p>
        </w:tc>
        <w:tc>
          <w:tcPr>
            <w:tcW w:w="2309" w:type="dxa"/>
            <w:shd w:val="clear" w:color="auto" w:fill="auto"/>
          </w:tcPr>
          <w:p w14:paraId="345B26F7" w14:textId="38915A8E" w:rsidR="00D24047" w:rsidRPr="00B045DB" w:rsidRDefault="00D24047" w:rsidP="00FE3634">
            <w:pPr>
              <w:spacing w:before="40" w:after="120"/>
              <w:ind w:right="113"/>
            </w:pPr>
            <w:r w:rsidRPr="00B045DB">
              <w:t>En cours depuis nov</w:t>
            </w:r>
            <w:r w:rsidR="001346C5" w:rsidRPr="00B045DB">
              <w:t>embre</w:t>
            </w:r>
            <w:r w:rsidRPr="00B045DB">
              <w:t xml:space="preserve"> 2012</w:t>
            </w:r>
          </w:p>
        </w:tc>
        <w:tc>
          <w:tcPr>
            <w:tcW w:w="2709" w:type="dxa"/>
            <w:shd w:val="clear" w:color="auto" w:fill="auto"/>
          </w:tcPr>
          <w:p w14:paraId="27F2A893" w14:textId="551B637F" w:rsidR="00D24047" w:rsidRPr="00B045DB" w:rsidRDefault="00D24047" w:rsidP="00FE3634">
            <w:pPr>
              <w:spacing w:before="40" w:after="120"/>
            </w:pPr>
            <w:r w:rsidRPr="00B045DB">
              <w:t xml:space="preserve">Construction prévue des réacteurs nucléaires 3 et 4 de la centrale de </w:t>
            </w:r>
            <w:proofErr w:type="spellStart"/>
            <w:r w:rsidRPr="00B045DB">
              <w:t>Khmelnytsky</w:t>
            </w:r>
            <w:proofErr w:type="spellEnd"/>
            <w:r w:rsidRPr="00B045DB">
              <w:t xml:space="preserve"> </w:t>
            </w:r>
          </w:p>
        </w:tc>
      </w:tr>
      <w:tr w:rsidR="00D24047" w:rsidRPr="00B045DB" w14:paraId="7D8B4331" w14:textId="77777777" w:rsidTr="00027956">
        <w:tc>
          <w:tcPr>
            <w:tcW w:w="2072" w:type="dxa"/>
            <w:shd w:val="clear" w:color="auto" w:fill="auto"/>
          </w:tcPr>
          <w:p w14:paraId="7CF580E0" w14:textId="77777777" w:rsidR="00D24047" w:rsidRPr="00B045DB" w:rsidRDefault="00D24047" w:rsidP="00FE3634">
            <w:pPr>
              <w:spacing w:before="40" w:after="120"/>
              <w:ind w:right="113"/>
            </w:pPr>
            <w:r w:rsidRPr="00B045DB">
              <w:t>EIA/IC/INFO/13</w:t>
            </w:r>
          </w:p>
        </w:tc>
        <w:tc>
          <w:tcPr>
            <w:tcW w:w="1414" w:type="dxa"/>
            <w:shd w:val="clear" w:color="auto" w:fill="auto"/>
          </w:tcPr>
          <w:p w14:paraId="715E1D57" w14:textId="77777777" w:rsidR="00D24047" w:rsidRPr="00B045DB" w:rsidRDefault="00D24047" w:rsidP="00FE3634">
            <w:pPr>
              <w:spacing w:before="40" w:after="120"/>
              <w:ind w:right="113"/>
            </w:pPr>
            <w:r w:rsidRPr="00B045DB">
              <w:t>Ukraine</w:t>
            </w:r>
          </w:p>
        </w:tc>
        <w:tc>
          <w:tcPr>
            <w:tcW w:w="2309" w:type="dxa"/>
            <w:shd w:val="clear" w:color="auto" w:fill="auto"/>
          </w:tcPr>
          <w:p w14:paraId="42987822" w14:textId="5F46C21A" w:rsidR="00D24047" w:rsidRPr="00B045DB" w:rsidRDefault="00D24047" w:rsidP="00FE3634">
            <w:pPr>
              <w:spacing w:before="40" w:after="120"/>
              <w:ind w:right="113"/>
            </w:pPr>
            <w:r w:rsidRPr="00B045DB">
              <w:t>En cours depuis juin 2014/</w:t>
            </w:r>
            <w:r w:rsidR="00FE3634" w:rsidRPr="00B045DB">
              <w:t xml:space="preserve"> </w:t>
            </w:r>
            <w:r w:rsidRPr="00B045DB">
              <w:t xml:space="preserve">réouverture en </w:t>
            </w:r>
            <w:r w:rsidR="00FE3634" w:rsidRPr="00B045DB">
              <w:t>septembre</w:t>
            </w:r>
            <w:r w:rsidRPr="00B045DB">
              <w:t xml:space="preserve"> 2020</w:t>
            </w:r>
          </w:p>
        </w:tc>
        <w:tc>
          <w:tcPr>
            <w:tcW w:w="2709" w:type="dxa"/>
            <w:shd w:val="clear" w:color="auto" w:fill="auto"/>
          </w:tcPr>
          <w:p w14:paraId="6E458EFC" w14:textId="7380D0F2" w:rsidR="00D24047" w:rsidRPr="00B045DB" w:rsidRDefault="00D24047" w:rsidP="00FE3634">
            <w:pPr>
              <w:spacing w:before="40" w:after="120"/>
            </w:pPr>
            <w:r w:rsidRPr="00B045DB">
              <w:t>Construction et exploitation prévues de la mine d</w:t>
            </w:r>
            <w:r w:rsidR="003B2315" w:rsidRPr="00B045DB">
              <w:t>’</w:t>
            </w:r>
            <w:r w:rsidRPr="00B045DB">
              <w:t>or de</w:t>
            </w:r>
            <w:r w:rsidR="00080BED">
              <w:t> </w:t>
            </w:r>
            <w:proofErr w:type="spellStart"/>
            <w:r w:rsidRPr="00B045DB">
              <w:t>Muzhiyevo</w:t>
            </w:r>
            <w:proofErr w:type="spellEnd"/>
            <w:r w:rsidRPr="00B045DB">
              <w:t xml:space="preserve"> </w:t>
            </w:r>
          </w:p>
        </w:tc>
      </w:tr>
      <w:tr w:rsidR="00D24047" w:rsidRPr="00B045DB" w14:paraId="1E185FDC" w14:textId="77777777" w:rsidTr="00027956">
        <w:tc>
          <w:tcPr>
            <w:tcW w:w="2072" w:type="dxa"/>
            <w:shd w:val="clear" w:color="auto" w:fill="auto"/>
          </w:tcPr>
          <w:p w14:paraId="629DB37F" w14:textId="77777777" w:rsidR="00D24047" w:rsidRPr="00B045DB" w:rsidRDefault="00D24047" w:rsidP="00FE3634">
            <w:pPr>
              <w:spacing w:before="40" w:after="120"/>
              <w:ind w:right="113"/>
            </w:pPr>
            <w:r w:rsidRPr="00B045DB">
              <w:t>EIA/IC/INFO/15</w:t>
            </w:r>
          </w:p>
        </w:tc>
        <w:tc>
          <w:tcPr>
            <w:tcW w:w="1414" w:type="dxa"/>
            <w:shd w:val="clear" w:color="auto" w:fill="auto"/>
          </w:tcPr>
          <w:p w14:paraId="56FC0359" w14:textId="47E878F6" w:rsidR="00D24047" w:rsidRPr="00B045DB" w:rsidRDefault="00D24047" w:rsidP="00FE3634">
            <w:pPr>
              <w:spacing w:before="40" w:after="120"/>
              <w:ind w:right="113"/>
            </w:pPr>
            <w:r w:rsidRPr="00027956">
              <w:t>Pays-Bas</w:t>
            </w:r>
            <w:r w:rsidR="00027956">
              <w:t xml:space="preserve"> (Royaume des)</w:t>
            </w:r>
          </w:p>
        </w:tc>
        <w:tc>
          <w:tcPr>
            <w:tcW w:w="2309" w:type="dxa"/>
            <w:shd w:val="clear" w:color="auto" w:fill="auto"/>
          </w:tcPr>
          <w:p w14:paraId="1D1962F9" w14:textId="42C13B25" w:rsidR="00D24047" w:rsidRPr="00B045DB" w:rsidRDefault="00D24047" w:rsidP="00FE3634">
            <w:pPr>
              <w:spacing w:before="40" w:after="120"/>
              <w:ind w:right="113"/>
            </w:pPr>
            <w:r w:rsidRPr="00B045DB">
              <w:t>Début en sept</w:t>
            </w:r>
            <w:r w:rsidR="00FE3634" w:rsidRPr="00B045DB">
              <w:t>embre</w:t>
            </w:r>
            <w:r w:rsidRPr="00B045DB">
              <w:t xml:space="preserve"> 2014/</w:t>
            </w:r>
            <w:r w:rsidR="00080BED">
              <w:t xml:space="preserve"> </w:t>
            </w:r>
            <w:r w:rsidRPr="00B045DB">
              <w:t>clôture en août 2023</w:t>
            </w:r>
          </w:p>
        </w:tc>
        <w:tc>
          <w:tcPr>
            <w:tcW w:w="2709" w:type="dxa"/>
            <w:shd w:val="clear" w:color="auto" w:fill="auto"/>
          </w:tcPr>
          <w:p w14:paraId="71F6A4AC" w14:textId="425EB1A6" w:rsidR="00D24047" w:rsidRPr="00B045DB" w:rsidRDefault="00D24047" w:rsidP="00FE3634">
            <w:pPr>
              <w:spacing w:before="40" w:after="120"/>
            </w:pPr>
            <w:r w:rsidRPr="00B045DB">
              <w:t>Prolongation de la durée de vie de la centrale nucléaire de</w:t>
            </w:r>
            <w:r w:rsidR="00080BED">
              <w:t> </w:t>
            </w:r>
            <w:proofErr w:type="spellStart"/>
            <w:r w:rsidRPr="00B045DB">
              <w:t>Borssele</w:t>
            </w:r>
            <w:proofErr w:type="spellEnd"/>
          </w:p>
        </w:tc>
      </w:tr>
      <w:tr w:rsidR="00D24047" w:rsidRPr="00B045DB" w14:paraId="73B1327C" w14:textId="77777777" w:rsidTr="00027956">
        <w:tc>
          <w:tcPr>
            <w:tcW w:w="2072" w:type="dxa"/>
            <w:shd w:val="clear" w:color="auto" w:fill="auto"/>
          </w:tcPr>
          <w:p w14:paraId="28223AB0" w14:textId="77777777" w:rsidR="00D24047" w:rsidRPr="00B045DB" w:rsidRDefault="00D24047" w:rsidP="00FE3634">
            <w:pPr>
              <w:spacing w:before="40" w:after="120"/>
              <w:ind w:right="113"/>
            </w:pPr>
            <w:r w:rsidRPr="00B045DB">
              <w:t>EIA/IC/INFO/16</w:t>
            </w:r>
          </w:p>
        </w:tc>
        <w:tc>
          <w:tcPr>
            <w:tcW w:w="1414" w:type="dxa"/>
            <w:shd w:val="clear" w:color="auto" w:fill="auto"/>
          </w:tcPr>
          <w:p w14:paraId="44323B84" w14:textId="77777777" w:rsidR="00D24047" w:rsidRPr="00B045DB" w:rsidRDefault="00D24047" w:rsidP="00FE3634">
            <w:pPr>
              <w:spacing w:before="40" w:after="120"/>
              <w:ind w:right="113"/>
            </w:pPr>
            <w:r w:rsidRPr="00B045DB">
              <w:t>Bosnie- Herzégovine</w:t>
            </w:r>
          </w:p>
        </w:tc>
        <w:tc>
          <w:tcPr>
            <w:tcW w:w="2309" w:type="dxa"/>
            <w:shd w:val="clear" w:color="auto" w:fill="auto"/>
          </w:tcPr>
          <w:p w14:paraId="56221F07" w14:textId="4807ABE4" w:rsidR="00D24047" w:rsidRPr="00B045DB" w:rsidRDefault="00D24047" w:rsidP="00FE3634">
            <w:pPr>
              <w:spacing w:before="40" w:after="120"/>
              <w:ind w:right="113"/>
            </w:pPr>
            <w:r w:rsidRPr="00B045DB">
              <w:t xml:space="preserve">Clôture en </w:t>
            </w:r>
            <w:r w:rsidR="00FE3634" w:rsidRPr="00B045DB">
              <w:t>février</w:t>
            </w:r>
            <w:r w:rsidRPr="00B045DB">
              <w:t xml:space="preserve"> 2021</w:t>
            </w:r>
          </w:p>
        </w:tc>
        <w:tc>
          <w:tcPr>
            <w:tcW w:w="2709" w:type="dxa"/>
            <w:shd w:val="clear" w:color="auto" w:fill="auto"/>
          </w:tcPr>
          <w:p w14:paraId="760D34D8" w14:textId="45D1F95B" w:rsidR="00D24047" w:rsidRPr="00B045DB" w:rsidRDefault="00D24047" w:rsidP="00FE3634">
            <w:pPr>
              <w:spacing w:before="40" w:after="120"/>
            </w:pPr>
            <w:r w:rsidRPr="00B045DB">
              <w:t>Construction de la centrale thermique d</w:t>
            </w:r>
            <w:r w:rsidR="003B2315" w:rsidRPr="00B045DB">
              <w:t>’</w:t>
            </w:r>
            <w:proofErr w:type="spellStart"/>
            <w:r w:rsidRPr="00B045DB">
              <w:t>Ugljevik</w:t>
            </w:r>
            <w:proofErr w:type="spellEnd"/>
          </w:p>
        </w:tc>
      </w:tr>
      <w:tr w:rsidR="00D24047" w:rsidRPr="00B045DB" w14:paraId="04401BEA" w14:textId="77777777" w:rsidTr="00027956">
        <w:tc>
          <w:tcPr>
            <w:tcW w:w="2072" w:type="dxa"/>
            <w:shd w:val="clear" w:color="auto" w:fill="auto"/>
          </w:tcPr>
          <w:p w14:paraId="6FEAAE2A" w14:textId="0840E2F9" w:rsidR="00D24047" w:rsidRPr="00B045DB" w:rsidRDefault="00D24047" w:rsidP="00FE3634">
            <w:pPr>
              <w:spacing w:before="40" w:after="120"/>
              <w:ind w:right="113"/>
            </w:pPr>
            <w:r w:rsidRPr="00B045DB">
              <w:t>EIA/IC/INFO/18</w:t>
            </w:r>
          </w:p>
        </w:tc>
        <w:tc>
          <w:tcPr>
            <w:tcW w:w="1414" w:type="dxa"/>
            <w:shd w:val="clear" w:color="auto" w:fill="auto"/>
          </w:tcPr>
          <w:p w14:paraId="1928697C" w14:textId="77777777" w:rsidR="00D24047" w:rsidRPr="00B045DB" w:rsidRDefault="00D24047" w:rsidP="00FE3634">
            <w:pPr>
              <w:spacing w:before="40" w:after="120"/>
              <w:ind w:right="113"/>
            </w:pPr>
            <w:r w:rsidRPr="00B045DB">
              <w:t>Belgique</w:t>
            </w:r>
          </w:p>
        </w:tc>
        <w:tc>
          <w:tcPr>
            <w:tcW w:w="2309" w:type="dxa"/>
            <w:shd w:val="clear" w:color="auto" w:fill="auto"/>
          </w:tcPr>
          <w:p w14:paraId="3E638700" w14:textId="3B4BBDC5" w:rsidR="00D24047" w:rsidRPr="00B045DB" w:rsidRDefault="00D24047" w:rsidP="00FE3634">
            <w:pPr>
              <w:spacing w:before="40" w:after="120"/>
              <w:ind w:right="113"/>
            </w:pPr>
            <w:r w:rsidRPr="00B045DB">
              <w:t>Début en sept</w:t>
            </w:r>
            <w:r w:rsidR="00FE3634" w:rsidRPr="00B045DB">
              <w:t>embre</w:t>
            </w:r>
            <w:r w:rsidRPr="00B045DB">
              <w:t xml:space="preserve"> 2016/</w:t>
            </w:r>
            <w:r w:rsidR="00FE3634" w:rsidRPr="00B045DB">
              <w:t xml:space="preserve"> </w:t>
            </w:r>
            <w:r w:rsidRPr="00B045DB">
              <w:t>clôture en oct</w:t>
            </w:r>
            <w:r w:rsidR="00FE3634" w:rsidRPr="00B045DB">
              <w:t>obre</w:t>
            </w:r>
            <w:r w:rsidRPr="00B045DB">
              <w:t xml:space="preserve"> 2022/</w:t>
            </w:r>
            <w:r w:rsidR="00FE3634" w:rsidRPr="00B045DB">
              <w:t xml:space="preserve"> </w:t>
            </w:r>
            <w:r w:rsidRPr="00B045DB">
              <w:t>conduit à EIA/IC/CI/9</w:t>
            </w:r>
            <w:r w:rsidR="001346C5" w:rsidRPr="00B045DB">
              <w:rPr>
                <w:i/>
                <w:sz w:val="18"/>
                <w:szCs w:val="18"/>
                <w:vertAlign w:val="superscript"/>
              </w:rPr>
              <w:t>a</w:t>
            </w:r>
          </w:p>
        </w:tc>
        <w:tc>
          <w:tcPr>
            <w:tcW w:w="2709" w:type="dxa"/>
            <w:shd w:val="clear" w:color="auto" w:fill="auto"/>
          </w:tcPr>
          <w:p w14:paraId="0B3ED362" w14:textId="2357FFE9" w:rsidR="00D24047" w:rsidRPr="00B045DB" w:rsidRDefault="00D24047" w:rsidP="00FE3634">
            <w:pPr>
              <w:spacing w:before="40" w:after="120"/>
            </w:pPr>
            <w:r w:rsidRPr="00B045DB">
              <w:t>Prolongation de la durée de vie des centrales nucléaires de Doel et de Tihange</w:t>
            </w:r>
          </w:p>
        </w:tc>
      </w:tr>
      <w:tr w:rsidR="00D24047" w:rsidRPr="00B045DB" w14:paraId="10B62D42" w14:textId="77777777" w:rsidTr="00027956">
        <w:tc>
          <w:tcPr>
            <w:tcW w:w="2072" w:type="dxa"/>
            <w:shd w:val="clear" w:color="auto" w:fill="auto"/>
          </w:tcPr>
          <w:p w14:paraId="2A7B9429" w14:textId="77777777" w:rsidR="00D24047" w:rsidRPr="00B045DB" w:rsidRDefault="00D24047" w:rsidP="00FE3634">
            <w:pPr>
              <w:spacing w:before="40" w:after="120"/>
              <w:ind w:right="113"/>
            </w:pPr>
            <w:r w:rsidRPr="00B045DB">
              <w:t>EIA/IC/INFO/19</w:t>
            </w:r>
          </w:p>
        </w:tc>
        <w:tc>
          <w:tcPr>
            <w:tcW w:w="1414" w:type="dxa"/>
            <w:shd w:val="clear" w:color="auto" w:fill="auto"/>
          </w:tcPr>
          <w:p w14:paraId="61EFAC8E" w14:textId="77777777" w:rsidR="00D24047" w:rsidRPr="00B045DB" w:rsidRDefault="00D24047" w:rsidP="00FE3634">
            <w:pPr>
              <w:spacing w:before="40" w:after="120"/>
              <w:ind w:right="113"/>
            </w:pPr>
            <w:r w:rsidRPr="00B045DB">
              <w:t>Tchéquie</w:t>
            </w:r>
          </w:p>
        </w:tc>
        <w:tc>
          <w:tcPr>
            <w:tcW w:w="2309" w:type="dxa"/>
            <w:shd w:val="clear" w:color="auto" w:fill="auto"/>
          </w:tcPr>
          <w:p w14:paraId="42BB9E40" w14:textId="6185FA21" w:rsidR="00D24047" w:rsidRPr="00B045DB" w:rsidRDefault="00D24047" w:rsidP="00FE3634">
            <w:pPr>
              <w:spacing w:before="40" w:after="120"/>
              <w:ind w:right="113"/>
            </w:pPr>
            <w:r w:rsidRPr="00B045DB">
              <w:t>Début en mar</w:t>
            </w:r>
            <w:r w:rsidR="00FE3634" w:rsidRPr="00B045DB">
              <w:t>s</w:t>
            </w:r>
            <w:r w:rsidRPr="00B045DB">
              <w:t xml:space="preserve"> 2016/</w:t>
            </w:r>
            <w:r w:rsidR="00FE3634" w:rsidRPr="00B045DB">
              <w:t xml:space="preserve"> </w:t>
            </w:r>
            <w:r w:rsidRPr="00B045DB">
              <w:t>clôture en mar</w:t>
            </w:r>
            <w:r w:rsidR="00FE3634" w:rsidRPr="00B045DB">
              <w:t>s</w:t>
            </w:r>
            <w:r w:rsidRPr="00B045DB">
              <w:t xml:space="preserve"> 2022/</w:t>
            </w:r>
            <w:r w:rsidR="00FE3634" w:rsidRPr="00B045DB">
              <w:t xml:space="preserve"> </w:t>
            </w:r>
            <w:r w:rsidRPr="00B045DB">
              <w:t>conduit à EIA/IC/CI/10</w:t>
            </w:r>
            <w:r w:rsidRPr="00B045DB">
              <w:rPr>
                <w:i/>
                <w:iCs/>
                <w:sz w:val="18"/>
                <w:szCs w:val="18"/>
                <w:vertAlign w:val="superscript"/>
              </w:rPr>
              <w:t>a</w:t>
            </w:r>
          </w:p>
        </w:tc>
        <w:tc>
          <w:tcPr>
            <w:tcW w:w="2709" w:type="dxa"/>
            <w:shd w:val="clear" w:color="auto" w:fill="auto"/>
          </w:tcPr>
          <w:p w14:paraId="32B2CED9" w14:textId="0981A204" w:rsidR="00D24047" w:rsidRPr="00B045DB" w:rsidRDefault="00D24047" w:rsidP="00FE3634">
            <w:pPr>
              <w:spacing w:before="40" w:after="120"/>
            </w:pPr>
            <w:r w:rsidRPr="00B045DB">
              <w:t>Prolongation de la durée de vie de la centrale nucléaire de</w:t>
            </w:r>
            <w:r w:rsidR="00080BED">
              <w:t> </w:t>
            </w:r>
            <w:proofErr w:type="spellStart"/>
            <w:r w:rsidRPr="00B045DB">
              <w:t>Dukovany</w:t>
            </w:r>
            <w:proofErr w:type="spellEnd"/>
            <w:r w:rsidRPr="00B045DB">
              <w:t xml:space="preserve"> </w:t>
            </w:r>
          </w:p>
        </w:tc>
      </w:tr>
      <w:tr w:rsidR="00D24047" w:rsidRPr="00B045DB" w14:paraId="1E180860" w14:textId="77777777" w:rsidTr="00027956">
        <w:tc>
          <w:tcPr>
            <w:tcW w:w="2072" w:type="dxa"/>
            <w:shd w:val="clear" w:color="auto" w:fill="auto"/>
          </w:tcPr>
          <w:p w14:paraId="37F2E8F6" w14:textId="77777777" w:rsidR="00D24047" w:rsidRPr="001667B8" w:rsidRDefault="00D24047" w:rsidP="00FE3634">
            <w:pPr>
              <w:spacing w:before="40" w:after="120"/>
              <w:ind w:right="113"/>
            </w:pPr>
            <w:r w:rsidRPr="001667B8">
              <w:lastRenderedPageBreak/>
              <w:t>EIA/IC/INFO/20</w:t>
            </w:r>
          </w:p>
        </w:tc>
        <w:tc>
          <w:tcPr>
            <w:tcW w:w="1414" w:type="dxa"/>
            <w:shd w:val="clear" w:color="auto" w:fill="auto"/>
          </w:tcPr>
          <w:p w14:paraId="7CDFF0BE" w14:textId="77777777" w:rsidR="00D24047" w:rsidRPr="001667B8" w:rsidRDefault="00D24047" w:rsidP="00FE3634">
            <w:pPr>
              <w:spacing w:before="40" w:after="120"/>
              <w:ind w:right="113"/>
            </w:pPr>
            <w:r w:rsidRPr="001667B8">
              <w:t>Ukraine</w:t>
            </w:r>
          </w:p>
        </w:tc>
        <w:tc>
          <w:tcPr>
            <w:tcW w:w="2309" w:type="dxa"/>
            <w:shd w:val="clear" w:color="auto" w:fill="auto"/>
          </w:tcPr>
          <w:p w14:paraId="36239EE3" w14:textId="112DEFE9" w:rsidR="00D24047" w:rsidRPr="001667B8" w:rsidRDefault="00D24047" w:rsidP="00FE3634">
            <w:pPr>
              <w:spacing w:before="40" w:after="120"/>
              <w:ind w:right="113"/>
            </w:pPr>
            <w:r w:rsidRPr="001667B8">
              <w:t>En cours depuis sept</w:t>
            </w:r>
            <w:r w:rsidR="00FE3634" w:rsidRPr="001667B8">
              <w:t>embre</w:t>
            </w:r>
            <w:r w:rsidRPr="001667B8">
              <w:t xml:space="preserve"> 2016</w:t>
            </w:r>
          </w:p>
        </w:tc>
        <w:tc>
          <w:tcPr>
            <w:tcW w:w="2709" w:type="dxa"/>
            <w:shd w:val="clear" w:color="auto" w:fill="auto"/>
          </w:tcPr>
          <w:p w14:paraId="0F9339AB" w14:textId="22E28BA1" w:rsidR="00D24047" w:rsidRPr="001667B8" w:rsidRDefault="00D24047" w:rsidP="00FE3634">
            <w:pPr>
              <w:spacing w:before="40" w:after="120"/>
            </w:pPr>
            <w:r w:rsidRPr="001667B8">
              <w:t xml:space="preserve">Prolongation de la durée de vie de 12 tranches des centrales nucléaires de Rivne, </w:t>
            </w:r>
            <w:r w:rsidRPr="00F12381">
              <w:t>Ukraine</w:t>
            </w:r>
            <w:r w:rsidR="00FE3634" w:rsidRPr="00F12381">
              <w:noBreakHyphen/>
            </w:r>
            <w:r w:rsidRPr="00F12381">
              <w:t>Sud,</w:t>
            </w:r>
            <w:r w:rsidRPr="001667B8">
              <w:t xml:space="preserve"> </w:t>
            </w:r>
            <w:proofErr w:type="spellStart"/>
            <w:r w:rsidRPr="001667B8">
              <w:t>Zaporizhia</w:t>
            </w:r>
            <w:proofErr w:type="spellEnd"/>
            <w:r w:rsidRPr="001667B8">
              <w:t xml:space="preserve"> et </w:t>
            </w:r>
            <w:proofErr w:type="spellStart"/>
            <w:r w:rsidRPr="001667B8">
              <w:t>Khmelnitsky</w:t>
            </w:r>
            <w:proofErr w:type="spellEnd"/>
          </w:p>
        </w:tc>
      </w:tr>
      <w:tr w:rsidR="00D24047" w:rsidRPr="00B045DB" w14:paraId="37B77DEE" w14:textId="77777777" w:rsidTr="00027956">
        <w:tc>
          <w:tcPr>
            <w:tcW w:w="2072" w:type="dxa"/>
            <w:shd w:val="clear" w:color="auto" w:fill="auto"/>
          </w:tcPr>
          <w:p w14:paraId="1B0607A5" w14:textId="77777777" w:rsidR="00D24047" w:rsidRPr="001667B8" w:rsidRDefault="00D24047" w:rsidP="00FE3634">
            <w:pPr>
              <w:spacing w:before="40" w:after="120"/>
              <w:ind w:right="113"/>
            </w:pPr>
            <w:r w:rsidRPr="001667B8">
              <w:t>EIA/IC/INFO/21</w:t>
            </w:r>
          </w:p>
        </w:tc>
        <w:tc>
          <w:tcPr>
            <w:tcW w:w="1414" w:type="dxa"/>
            <w:shd w:val="clear" w:color="auto" w:fill="auto"/>
          </w:tcPr>
          <w:p w14:paraId="51600454" w14:textId="77777777" w:rsidR="00D24047" w:rsidRPr="001667B8" w:rsidRDefault="00D24047" w:rsidP="00FE3634">
            <w:pPr>
              <w:spacing w:before="40" w:after="120"/>
              <w:ind w:right="113"/>
            </w:pPr>
            <w:r w:rsidRPr="001667B8">
              <w:t>Bélarus</w:t>
            </w:r>
          </w:p>
        </w:tc>
        <w:tc>
          <w:tcPr>
            <w:tcW w:w="2309" w:type="dxa"/>
            <w:shd w:val="clear" w:color="auto" w:fill="auto"/>
          </w:tcPr>
          <w:p w14:paraId="6B92FDFA" w14:textId="246F83AF" w:rsidR="00D24047" w:rsidRPr="001667B8" w:rsidRDefault="00D24047" w:rsidP="00FE3634">
            <w:pPr>
              <w:spacing w:before="40" w:after="120"/>
              <w:ind w:right="113"/>
            </w:pPr>
            <w:r w:rsidRPr="001667B8">
              <w:t>Début en sept</w:t>
            </w:r>
            <w:r w:rsidR="00FE3634" w:rsidRPr="001667B8">
              <w:t>embre</w:t>
            </w:r>
            <w:r w:rsidRPr="001667B8">
              <w:t xml:space="preserve"> 2017/</w:t>
            </w:r>
            <w:r w:rsidR="00FE3634" w:rsidRPr="001667B8">
              <w:t xml:space="preserve"> </w:t>
            </w:r>
            <w:r w:rsidRPr="001667B8">
              <w:t>clôture en mai 2023/</w:t>
            </w:r>
            <w:r w:rsidR="00FE3634" w:rsidRPr="001667B8">
              <w:t xml:space="preserve"> </w:t>
            </w:r>
            <w:r w:rsidRPr="001667B8">
              <w:t>conduit à EIA/IC/CI/11</w:t>
            </w:r>
            <w:r w:rsidR="001346C5" w:rsidRPr="001667B8">
              <w:rPr>
                <w:i/>
                <w:sz w:val="18"/>
                <w:szCs w:val="18"/>
                <w:vertAlign w:val="superscript"/>
              </w:rPr>
              <w:t>a</w:t>
            </w:r>
          </w:p>
        </w:tc>
        <w:tc>
          <w:tcPr>
            <w:tcW w:w="2709" w:type="dxa"/>
            <w:shd w:val="clear" w:color="auto" w:fill="auto"/>
          </w:tcPr>
          <w:p w14:paraId="01265C81" w14:textId="1C2BC16D" w:rsidR="00D24047" w:rsidRPr="001667B8" w:rsidRDefault="00D24047" w:rsidP="00FE3634">
            <w:pPr>
              <w:spacing w:before="40" w:after="120"/>
            </w:pPr>
            <w:r w:rsidRPr="001667B8">
              <w:t>Respect de la Convention s</w:t>
            </w:r>
            <w:r w:rsidR="003B2315" w:rsidRPr="001667B8">
              <w:t>’</w:t>
            </w:r>
            <w:r w:rsidRPr="001667B8">
              <w:t>agissant de la loi et des règlements du Bélarus concernant l</w:t>
            </w:r>
            <w:r w:rsidR="003B2315" w:rsidRPr="001667B8">
              <w:t>’</w:t>
            </w:r>
            <w:r w:rsidRPr="001667B8">
              <w:t>évaluation de l</w:t>
            </w:r>
            <w:r w:rsidR="003B2315" w:rsidRPr="001667B8">
              <w:t>’</w:t>
            </w:r>
            <w:r w:rsidRPr="001667B8">
              <w:t>impact sur l</w:t>
            </w:r>
            <w:r w:rsidR="003B2315" w:rsidRPr="001667B8">
              <w:t>’</w:t>
            </w:r>
            <w:r w:rsidRPr="001667B8">
              <w:t>environnement, l</w:t>
            </w:r>
            <w:r w:rsidR="003B2315" w:rsidRPr="001667B8">
              <w:t>’</w:t>
            </w:r>
            <w:r w:rsidRPr="001667B8">
              <w:t>évaluation stratégique environnementale et l</w:t>
            </w:r>
            <w:r w:rsidR="003B2315" w:rsidRPr="001667B8">
              <w:t>’</w:t>
            </w:r>
            <w:r w:rsidRPr="001667B8">
              <w:t>expertise écologique de l</w:t>
            </w:r>
            <w:r w:rsidR="003B2315" w:rsidRPr="001667B8">
              <w:t>’</w:t>
            </w:r>
            <w:r w:rsidRPr="001667B8">
              <w:t>État</w:t>
            </w:r>
          </w:p>
        </w:tc>
      </w:tr>
      <w:tr w:rsidR="00D24047" w:rsidRPr="00B045DB" w14:paraId="0181F099" w14:textId="77777777" w:rsidTr="00027956">
        <w:tc>
          <w:tcPr>
            <w:tcW w:w="2072" w:type="dxa"/>
            <w:shd w:val="clear" w:color="auto" w:fill="auto"/>
          </w:tcPr>
          <w:p w14:paraId="1566EEBA" w14:textId="77777777" w:rsidR="00D24047" w:rsidRPr="00B045DB" w:rsidRDefault="00D24047" w:rsidP="00FE3634">
            <w:pPr>
              <w:spacing w:before="40" w:after="120"/>
              <w:ind w:right="113"/>
            </w:pPr>
            <w:r w:rsidRPr="00B045DB">
              <w:t>EIA/IC/INFO/23</w:t>
            </w:r>
          </w:p>
        </w:tc>
        <w:tc>
          <w:tcPr>
            <w:tcW w:w="1414" w:type="dxa"/>
            <w:shd w:val="clear" w:color="auto" w:fill="auto"/>
          </w:tcPr>
          <w:p w14:paraId="28E11DA7" w14:textId="77777777" w:rsidR="00D24047" w:rsidRPr="00B045DB" w:rsidRDefault="00D24047" w:rsidP="00FE3634">
            <w:pPr>
              <w:spacing w:before="40" w:after="120"/>
              <w:ind w:right="113"/>
            </w:pPr>
            <w:r w:rsidRPr="00B045DB">
              <w:t>Bosnie- Herzégovine</w:t>
            </w:r>
          </w:p>
        </w:tc>
        <w:tc>
          <w:tcPr>
            <w:tcW w:w="2309" w:type="dxa"/>
            <w:shd w:val="clear" w:color="auto" w:fill="auto"/>
          </w:tcPr>
          <w:p w14:paraId="5F3B5F77" w14:textId="77777777" w:rsidR="00D24047" w:rsidRPr="00B045DB" w:rsidRDefault="00D24047" w:rsidP="00FE3634">
            <w:pPr>
              <w:spacing w:before="40" w:after="120"/>
              <w:ind w:right="113"/>
            </w:pPr>
            <w:r w:rsidRPr="00B045DB">
              <w:t>Clôture en mai 2021</w:t>
            </w:r>
          </w:p>
        </w:tc>
        <w:tc>
          <w:tcPr>
            <w:tcW w:w="2709" w:type="dxa"/>
            <w:shd w:val="clear" w:color="auto" w:fill="auto"/>
          </w:tcPr>
          <w:p w14:paraId="03CA433B" w14:textId="55A82B8B" w:rsidR="00D24047" w:rsidRPr="00B045DB" w:rsidRDefault="00D24047" w:rsidP="00FE3634">
            <w:pPr>
              <w:spacing w:before="40" w:after="120"/>
            </w:pPr>
            <w:r w:rsidRPr="00B045DB">
              <w:t xml:space="preserve">Construction de la centrale thermique de </w:t>
            </w:r>
            <w:proofErr w:type="spellStart"/>
            <w:r w:rsidRPr="00B045DB">
              <w:t>Banovići</w:t>
            </w:r>
            <w:proofErr w:type="spellEnd"/>
          </w:p>
        </w:tc>
      </w:tr>
      <w:tr w:rsidR="00D24047" w:rsidRPr="00B045DB" w14:paraId="0CCF6C60" w14:textId="77777777" w:rsidTr="00027956">
        <w:tc>
          <w:tcPr>
            <w:tcW w:w="2072" w:type="dxa"/>
            <w:shd w:val="clear" w:color="auto" w:fill="auto"/>
          </w:tcPr>
          <w:p w14:paraId="70F7DFF7" w14:textId="77777777" w:rsidR="00D24047" w:rsidRPr="00B045DB" w:rsidRDefault="00D24047" w:rsidP="00FE3634">
            <w:pPr>
              <w:spacing w:before="40" w:after="120"/>
              <w:ind w:right="113"/>
            </w:pPr>
            <w:r w:rsidRPr="00B045DB">
              <w:t>EIA/IC/INFO/24</w:t>
            </w:r>
          </w:p>
        </w:tc>
        <w:tc>
          <w:tcPr>
            <w:tcW w:w="1414" w:type="dxa"/>
            <w:shd w:val="clear" w:color="auto" w:fill="auto"/>
          </w:tcPr>
          <w:p w14:paraId="70580462" w14:textId="77777777" w:rsidR="00D24047" w:rsidRPr="00B045DB" w:rsidRDefault="00D24047" w:rsidP="00FE3634">
            <w:pPr>
              <w:spacing w:before="40" w:after="120"/>
              <w:ind w:right="113"/>
            </w:pPr>
            <w:r w:rsidRPr="00B045DB">
              <w:t>Bosnie- Herzégovine</w:t>
            </w:r>
          </w:p>
        </w:tc>
        <w:tc>
          <w:tcPr>
            <w:tcW w:w="2309" w:type="dxa"/>
            <w:shd w:val="clear" w:color="auto" w:fill="auto"/>
          </w:tcPr>
          <w:p w14:paraId="7BAD2081" w14:textId="3838A724" w:rsidR="00D24047" w:rsidRPr="00B045DB" w:rsidRDefault="00D24047" w:rsidP="00FE3634">
            <w:pPr>
              <w:spacing w:before="40" w:after="120"/>
              <w:ind w:right="113"/>
            </w:pPr>
            <w:r w:rsidRPr="00B045DB">
              <w:t>Clôture en oct</w:t>
            </w:r>
            <w:r w:rsidR="00FE3634" w:rsidRPr="00B045DB">
              <w:t>obre</w:t>
            </w:r>
            <w:r w:rsidRPr="00B045DB">
              <w:t xml:space="preserve"> 2021</w:t>
            </w:r>
          </w:p>
        </w:tc>
        <w:tc>
          <w:tcPr>
            <w:tcW w:w="2709" w:type="dxa"/>
            <w:shd w:val="clear" w:color="auto" w:fill="auto"/>
          </w:tcPr>
          <w:p w14:paraId="3BC4ED46" w14:textId="2F9B4F22" w:rsidR="00D24047" w:rsidRPr="00B045DB" w:rsidRDefault="00D24047" w:rsidP="00FE3634">
            <w:pPr>
              <w:spacing w:before="40" w:after="120"/>
            </w:pPr>
            <w:r w:rsidRPr="00B045DB">
              <w:t>Construction de la centrale thermique de Tuzla</w:t>
            </w:r>
          </w:p>
        </w:tc>
      </w:tr>
      <w:tr w:rsidR="00D24047" w:rsidRPr="00B045DB" w14:paraId="2EF9F9C0" w14:textId="77777777" w:rsidTr="00027956">
        <w:tc>
          <w:tcPr>
            <w:tcW w:w="2072" w:type="dxa"/>
            <w:shd w:val="clear" w:color="auto" w:fill="auto"/>
          </w:tcPr>
          <w:p w14:paraId="0C7D5F77" w14:textId="77777777" w:rsidR="00D24047" w:rsidRPr="00B045DB" w:rsidRDefault="00D24047" w:rsidP="00FE3634">
            <w:pPr>
              <w:spacing w:before="40" w:after="120"/>
              <w:ind w:right="113"/>
            </w:pPr>
            <w:r w:rsidRPr="00B045DB">
              <w:t>EIA/IC/INFO/25</w:t>
            </w:r>
          </w:p>
        </w:tc>
        <w:tc>
          <w:tcPr>
            <w:tcW w:w="1414" w:type="dxa"/>
            <w:shd w:val="clear" w:color="auto" w:fill="auto"/>
          </w:tcPr>
          <w:p w14:paraId="40C421BC" w14:textId="77777777" w:rsidR="00D24047" w:rsidRPr="00B045DB" w:rsidRDefault="00D24047" w:rsidP="00FE3634">
            <w:pPr>
              <w:spacing w:before="40" w:after="120"/>
              <w:ind w:right="113"/>
            </w:pPr>
            <w:r w:rsidRPr="00B045DB">
              <w:t>Suisse</w:t>
            </w:r>
          </w:p>
        </w:tc>
        <w:tc>
          <w:tcPr>
            <w:tcW w:w="2309" w:type="dxa"/>
            <w:shd w:val="clear" w:color="auto" w:fill="auto"/>
          </w:tcPr>
          <w:p w14:paraId="3F4F0A68" w14:textId="7437AACF" w:rsidR="00D24047" w:rsidRPr="00B045DB" w:rsidRDefault="00D24047" w:rsidP="00FE3634">
            <w:pPr>
              <w:spacing w:before="40" w:after="120"/>
              <w:ind w:right="113"/>
            </w:pPr>
            <w:r w:rsidRPr="00B045DB">
              <w:t>Clôture en mai 2021</w:t>
            </w:r>
          </w:p>
        </w:tc>
        <w:tc>
          <w:tcPr>
            <w:tcW w:w="2709" w:type="dxa"/>
            <w:shd w:val="clear" w:color="auto" w:fill="auto"/>
          </w:tcPr>
          <w:p w14:paraId="564EFAD7" w14:textId="5AC0CDE6" w:rsidR="00D24047" w:rsidRPr="00B045DB" w:rsidRDefault="00D24047" w:rsidP="00FE3634">
            <w:pPr>
              <w:spacing w:before="40" w:after="120"/>
            </w:pPr>
            <w:r w:rsidRPr="00B045DB">
              <w:t>Construction de pistes et modification des règles d</w:t>
            </w:r>
            <w:r w:rsidR="003B2315" w:rsidRPr="00B045DB">
              <w:t>’</w:t>
            </w:r>
            <w:r w:rsidRPr="00B045DB">
              <w:t>exploitation de l</w:t>
            </w:r>
            <w:r w:rsidR="003B2315" w:rsidRPr="00B045DB">
              <w:t>’</w:t>
            </w:r>
            <w:r w:rsidRPr="00B045DB">
              <w:t>aéroport de Zurich</w:t>
            </w:r>
          </w:p>
        </w:tc>
      </w:tr>
      <w:tr w:rsidR="00D24047" w:rsidRPr="00B045DB" w14:paraId="78C51790" w14:textId="77777777" w:rsidTr="00027956">
        <w:tc>
          <w:tcPr>
            <w:tcW w:w="2072" w:type="dxa"/>
            <w:shd w:val="clear" w:color="auto" w:fill="auto"/>
          </w:tcPr>
          <w:p w14:paraId="46EF06F4" w14:textId="77777777" w:rsidR="00D24047" w:rsidRPr="00B045DB" w:rsidRDefault="00D24047" w:rsidP="00FE3634">
            <w:pPr>
              <w:spacing w:before="40" w:after="120"/>
              <w:ind w:right="113"/>
            </w:pPr>
            <w:r w:rsidRPr="00B045DB">
              <w:t>EIA/IC/INFO/28</w:t>
            </w:r>
          </w:p>
        </w:tc>
        <w:tc>
          <w:tcPr>
            <w:tcW w:w="1414" w:type="dxa"/>
            <w:shd w:val="clear" w:color="auto" w:fill="auto"/>
          </w:tcPr>
          <w:p w14:paraId="5AEA8E10" w14:textId="77777777" w:rsidR="00D24047" w:rsidRPr="00B045DB" w:rsidRDefault="00D24047" w:rsidP="00FE3634">
            <w:pPr>
              <w:spacing w:before="40" w:after="120"/>
              <w:ind w:right="113"/>
            </w:pPr>
            <w:r w:rsidRPr="00B045DB">
              <w:t>Bulgarie</w:t>
            </w:r>
          </w:p>
        </w:tc>
        <w:tc>
          <w:tcPr>
            <w:tcW w:w="2309" w:type="dxa"/>
            <w:shd w:val="clear" w:color="auto" w:fill="auto"/>
          </w:tcPr>
          <w:p w14:paraId="352295A6" w14:textId="366C9E59" w:rsidR="00D24047" w:rsidRPr="00B045DB" w:rsidRDefault="00D24047" w:rsidP="00FE3634">
            <w:pPr>
              <w:spacing w:before="40" w:after="120"/>
              <w:ind w:right="113"/>
            </w:pPr>
            <w:r w:rsidRPr="00B045DB">
              <w:t>Début en mar</w:t>
            </w:r>
            <w:r w:rsidR="00FE3634" w:rsidRPr="00B045DB">
              <w:t>s</w:t>
            </w:r>
            <w:r w:rsidRPr="00B045DB">
              <w:t xml:space="preserve"> 2019/</w:t>
            </w:r>
            <w:r w:rsidR="00FE3634" w:rsidRPr="00B045DB">
              <w:t xml:space="preserve"> </w:t>
            </w:r>
            <w:r w:rsidRPr="00B045DB">
              <w:t>clôture en mar</w:t>
            </w:r>
            <w:r w:rsidR="00FE3634" w:rsidRPr="00B045DB">
              <w:t xml:space="preserve">s </w:t>
            </w:r>
            <w:r w:rsidRPr="00B045DB">
              <w:t>2022/</w:t>
            </w:r>
            <w:r w:rsidR="00FE3634" w:rsidRPr="00B045DB">
              <w:t xml:space="preserve"> </w:t>
            </w:r>
            <w:r w:rsidRPr="00B045DB">
              <w:t>conduit à EIA/IC/CI/8</w:t>
            </w:r>
            <w:r w:rsidRPr="00B045DB">
              <w:rPr>
                <w:i/>
                <w:sz w:val="18"/>
                <w:szCs w:val="18"/>
                <w:vertAlign w:val="superscript"/>
              </w:rPr>
              <w:t>a</w:t>
            </w:r>
          </w:p>
        </w:tc>
        <w:tc>
          <w:tcPr>
            <w:tcW w:w="2709" w:type="dxa"/>
            <w:shd w:val="clear" w:color="auto" w:fill="auto"/>
          </w:tcPr>
          <w:p w14:paraId="0AD3C1F9" w14:textId="16A0B0C7" w:rsidR="00D24047" w:rsidRPr="00B045DB" w:rsidRDefault="00D24047" w:rsidP="00FE3634">
            <w:pPr>
              <w:spacing w:before="40" w:after="120"/>
            </w:pPr>
            <w:r w:rsidRPr="00B045DB">
              <w:t xml:space="preserve">Prolongation de la durée de vie de la centrale nucléaire de </w:t>
            </w:r>
            <w:proofErr w:type="spellStart"/>
            <w:r w:rsidRPr="00B045DB">
              <w:t>Kozloduy</w:t>
            </w:r>
            <w:proofErr w:type="spellEnd"/>
          </w:p>
        </w:tc>
      </w:tr>
      <w:tr w:rsidR="00D24047" w:rsidRPr="00B045DB" w14:paraId="2ADA9B3E" w14:textId="77777777" w:rsidTr="00027956">
        <w:tc>
          <w:tcPr>
            <w:tcW w:w="2072" w:type="dxa"/>
            <w:shd w:val="clear" w:color="auto" w:fill="auto"/>
          </w:tcPr>
          <w:p w14:paraId="3C25F2AA" w14:textId="77777777" w:rsidR="00D24047" w:rsidRPr="00B045DB" w:rsidRDefault="00D24047" w:rsidP="00FE3634">
            <w:pPr>
              <w:spacing w:before="40" w:after="120"/>
              <w:ind w:right="113"/>
            </w:pPr>
            <w:r w:rsidRPr="00B045DB">
              <w:t>EIA/IC/INFO/30</w:t>
            </w:r>
          </w:p>
        </w:tc>
        <w:tc>
          <w:tcPr>
            <w:tcW w:w="1414" w:type="dxa"/>
            <w:shd w:val="clear" w:color="auto" w:fill="auto"/>
          </w:tcPr>
          <w:p w14:paraId="16DB2745" w14:textId="77777777" w:rsidR="00D24047" w:rsidRPr="00B045DB" w:rsidRDefault="00D24047" w:rsidP="00FE3634">
            <w:pPr>
              <w:spacing w:before="40" w:after="120"/>
              <w:ind w:right="113"/>
            </w:pPr>
            <w:r w:rsidRPr="00B045DB">
              <w:t>Danemark</w:t>
            </w:r>
          </w:p>
        </w:tc>
        <w:tc>
          <w:tcPr>
            <w:tcW w:w="2309" w:type="dxa"/>
            <w:shd w:val="clear" w:color="auto" w:fill="auto"/>
          </w:tcPr>
          <w:p w14:paraId="707E4ECA" w14:textId="18297805" w:rsidR="00D24047" w:rsidRPr="00B045DB" w:rsidRDefault="00D24047" w:rsidP="00FE3634">
            <w:pPr>
              <w:spacing w:before="40" w:after="120"/>
              <w:ind w:right="113"/>
            </w:pPr>
            <w:r w:rsidRPr="00B045DB">
              <w:t>Clôture en fév</w:t>
            </w:r>
            <w:r w:rsidR="00FE3634" w:rsidRPr="00B045DB">
              <w:t>rier</w:t>
            </w:r>
            <w:r w:rsidRPr="00B045DB">
              <w:t xml:space="preserve"> 2021</w:t>
            </w:r>
          </w:p>
        </w:tc>
        <w:tc>
          <w:tcPr>
            <w:tcW w:w="2709" w:type="dxa"/>
            <w:shd w:val="clear" w:color="auto" w:fill="auto"/>
          </w:tcPr>
          <w:p w14:paraId="38A19B96" w14:textId="7F131CA2" w:rsidR="00D24047" w:rsidRPr="00B045DB" w:rsidRDefault="00D24047" w:rsidP="00FE3634">
            <w:pPr>
              <w:spacing w:before="40" w:after="120"/>
            </w:pPr>
            <w:r w:rsidRPr="00B045DB">
              <w:t>Nord Stream 2</w:t>
            </w:r>
            <w:r w:rsidR="001667B8">
              <w:t xml:space="preserve"> </w:t>
            </w:r>
            <w:r w:rsidRPr="00B045DB">
              <w:t>: conditions préalables à la création d</w:t>
            </w:r>
            <w:r w:rsidR="003B2315" w:rsidRPr="00B045DB">
              <w:t>’</w:t>
            </w:r>
            <w:r w:rsidRPr="00B045DB">
              <w:t>une commission d</w:t>
            </w:r>
            <w:r w:rsidR="003B2315" w:rsidRPr="00B045DB">
              <w:t>’</w:t>
            </w:r>
            <w:r w:rsidRPr="00B045DB">
              <w:t>enquête</w:t>
            </w:r>
          </w:p>
        </w:tc>
      </w:tr>
      <w:tr w:rsidR="00D24047" w:rsidRPr="00B045DB" w14:paraId="27595CCD" w14:textId="77777777" w:rsidTr="00027956">
        <w:tc>
          <w:tcPr>
            <w:tcW w:w="2072" w:type="dxa"/>
            <w:shd w:val="clear" w:color="auto" w:fill="auto"/>
          </w:tcPr>
          <w:p w14:paraId="1F825385" w14:textId="77777777" w:rsidR="00D24047" w:rsidRPr="00B045DB" w:rsidRDefault="00D24047" w:rsidP="00FE3634">
            <w:pPr>
              <w:spacing w:before="40" w:after="120"/>
              <w:ind w:right="113"/>
            </w:pPr>
            <w:r w:rsidRPr="00B045DB">
              <w:t>EIA/IC/INFO/32</w:t>
            </w:r>
          </w:p>
        </w:tc>
        <w:tc>
          <w:tcPr>
            <w:tcW w:w="1414" w:type="dxa"/>
            <w:shd w:val="clear" w:color="auto" w:fill="auto"/>
          </w:tcPr>
          <w:p w14:paraId="65CADF6B" w14:textId="77777777" w:rsidR="00D24047" w:rsidRPr="00B045DB" w:rsidRDefault="00D24047" w:rsidP="00FE3634">
            <w:pPr>
              <w:spacing w:before="40" w:after="120"/>
              <w:ind w:right="113"/>
            </w:pPr>
            <w:r w:rsidRPr="00B045DB">
              <w:t>France</w:t>
            </w:r>
          </w:p>
        </w:tc>
        <w:tc>
          <w:tcPr>
            <w:tcW w:w="2309" w:type="dxa"/>
            <w:shd w:val="clear" w:color="auto" w:fill="auto"/>
          </w:tcPr>
          <w:p w14:paraId="32E9FE5D" w14:textId="10CEE080" w:rsidR="00D24047" w:rsidRPr="00B045DB" w:rsidRDefault="00D24047" w:rsidP="00FE3634">
            <w:pPr>
              <w:spacing w:before="40" w:after="120"/>
              <w:ind w:right="113"/>
            </w:pPr>
            <w:r w:rsidRPr="00B045DB">
              <w:t>Début en mar</w:t>
            </w:r>
            <w:r w:rsidR="00FE3634" w:rsidRPr="00B045DB">
              <w:t>s</w:t>
            </w:r>
            <w:r w:rsidRPr="00B045DB">
              <w:t xml:space="preserve"> 2020/</w:t>
            </w:r>
            <w:r w:rsidR="00FE3634" w:rsidRPr="00B045DB">
              <w:t xml:space="preserve"> </w:t>
            </w:r>
            <w:r w:rsidRPr="00B045DB">
              <w:t>clôture en sept</w:t>
            </w:r>
            <w:r w:rsidR="00FE3634" w:rsidRPr="00B045DB">
              <w:t>embre</w:t>
            </w:r>
            <w:r w:rsidRPr="00B045DB">
              <w:t xml:space="preserve"> 2023/</w:t>
            </w:r>
            <w:r w:rsidR="00FE3634" w:rsidRPr="00B045DB">
              <w:t xml:space="preserve"> </w:t>
            </w:r>
            <w:r w:rsidRPr="00B045DB">
              <w:t>conduit à EIA/IC/CI/12</w:t>
            </w:r>
            <w:r w:rsidRPr="00B045DB">
              <w:rPr>
                <w:i/>
                <w:iCs/>
                <w:sz w:val="18"/>
                <w:szCs w:val="18"/>
                <w:vertAlign w:val="superscript"/>
              </w:rPr>
              <w:t>a</w:t>
            </w:r>
          </w:p>
        </w:tc>
        <w:tc>
          <w:tcPr>
            <w:tcW w:w="2709" w:type="dxa"/>
            <w:shd w:val="clear" w:color="auto" w:fill="auto"/>
          </w:tcPr>
          <w:p w14:paraId="55CFFE3D" w14:textId="77777777" w:rsidR="00D24047" w:rsidRPr="00B045DB" w:rsidRDefault="00D24047" w:rsidP="00FE3634">
            <w:pPr>
              <w:spacing w:before="40" w:after="120"/>
            </w:pPr>
            <w:r w:rsidRPr="00B045DB">
              <w:t xml:space="preserve">Prolongation de la durée de vie de </w:t>
            </w:r>
            <w:r w:rsidRPr="00F12381">
              <w:t>32 réacteurs</w:t>
            </w:r>
            <w:r w:rsidRPr="00B045DB">
              <w:t xml:space="preserve"> de 8 centrales nucléaires</w:t>
            </w:r>
          </w:p>
        </w:tc>
      </w:tr>
      <w:tr w:rsidR="00D24047" w:rsidRPr="00B045DB" w14:paraId="2D2B4AE9" w14:textId="77777777" w:rsidTr="00027956">
        <w:tc>
          <w:tcPr>
            <w:tcW w:w="2072" w:type="dxa"/>
            <w:shd w:val="clear" w:color="auto" w:fill="auto"/>
          </w:tcPr>
          <w:p w14:paraId="2A49FADE" w14:textId="77777777" w:rsidR="00D24047" w:rsidRPr="00B045DB" w:rsidRDefault="00D24047" w:rsidP="00FE3634">
            <w:pPr>
              <w:spacing w:before="40" w:after="120"/>
              <w:ind w:right="113"/>
            </w:pPr>
            <w:r w:rsidRPr="00B045DB">
              <w:t>EIA/IC/INFO/34</w:t>
            </w:r>
          </w:p>
        </w:tc>
        <w:tc>
          <w:tcPr>
            <w:tcW w:w="1414" w:type="dxa"/>
            <w:shd w:val="clear" w:color="auto" w:fill="auto"/>
          </w:tcPr>
          <w:p w14:paraId="7329DAAE" w14:textId="77777777" w:rsidR="00D24047" w:rsidRPr="00B045DB" w:rsidRDefault="00D24047" w:rsidP="00FE3634">
            <w:pPr>
              <w:spacing w:before="40" w:after="120"/>
              <w:ind w:right="113"/>
            </w:pPr>
            <w:r w:rsidRPr="00B045DB">
              <w:t>Espagne</w:t>
            </w:r>
          </w:p>
        </w:tc>
        <w:tc>
          <w:tcPr>
            <w:tcW w:w="2309" w:type="dxa"/>
            <w:shd w:val="clear" w:color="auto" w:fill="auto"/>
          </w:tcPr>
          <w:p w14:paraId="27B742B8" w14:textId="282B6FA0" w:rsidR="00D24047" w:rsidRPr="00B045DB" w:rsidRDefault="00D24047" w:rsidP="00FE3634">
            <w:pPr>
              <w:spacing w:before="40" w:after="120"/>
              <w:ind w:right="113"/>
            </w:pPr>
            <w:r w:rsidRPr="00B045DB">
              <w:t>Clôture en oct</w:t>
            </w:r>
            <w:r w:rsidR="00FE3634" w:rsidRPr="00B045DB">
              <w:t>obre</w:t>
            </w:r>
            <w:r w:rsidRPr="00B045DB">
              <w:t xml:space="preserve"> 2022</w:t>
            </w:r>
          </w:p>
        </w:tc>
        <w:tc>
          <w:tcPr>
            <w:tcW w:w="2709" w:type="dxa"/>
            <w:shd w:val="clear" w:color="auto" w:fill="auto"/>
          </w:tcPr>
          <w:p w14:paraId="3C8749E9" w14:textId="07C6C12A" w:rsidR="00D24047" w:rsidRPr="00B045DB" w:rsidRDefault="00D24047" w:rsidP="00FE3634">
            <w:pPr>
              <w:spacing w:before="40" w:after="120"/>
            </w:pPr>
            <w:r w:rsidRPr="00B045DB">
              <w:t>Prolongation de la durée de vie de la centrale nucléaire d</w:t>
            </w:r>
            <w:r w:rsidR="003B2315" w:rsidRPr="00B045DB">
              <w:t>’</w:t>
            </w:r>
            <w:proofErr w:type="spellStart"/>
            <w:r w:rsidRPr="00B045DB">
              <w:t>Almaraz</w:t>
            </w:r>
            <w:proofErr w:type="spellEnd"/>
          </w:p>
        </w:tc>
      </w:tr>
      <w:tr w:rsidR="00D24047" w:rsidRPr="00B045DB" w14:paraId="46450406" w14:textId="77777777" w:rsidTr="00027956">
        <w:tc>
          <w:tcPr>
            <w:tcW w:w="2072" w:type="dxa"/>
            <w:shd w:val="clear" w:color="auto" w:fill="auto"/>
          </w:tcPr>
          <w:p w14:paraId="70E58942" w14:textId="77777777" w:rsidR="00D24047" w:rsidRPr="00B045DB" w:rsidRDefault="00D24047" w:rsidP="00FE3634">
            <w:pPr>
              <w:spacing w:before="40" w:after="120"/>
              <w:ind w:right="113"/>
            </w:pPr>
            <w:r w:rsidRPr="00B045DB">
              <w:t>EIA/IC/INFO/35</w:t>
            </w:r>
          </w:p>
        </w:tc>
        <w:tc>
          <w:tcPr>
            <w:tcW w:w="1414" w:type="dxa"/>
            <w:shd w:val="clear" w:color="auto" w:fill="auto"/>
          </w:tcPr>
          <w:p w14:paraId="30CFA728" w14:textId="77777777" w:rsidR="00D24047" w:rsidRPr="00B045DB" w:rsidRDefault="00D24047" w:rsidP="00FE3634">
            <w:pPr>
              <w:spacing w:before="40" w:after="120"/>
              <w:ind w:right="113"/>
            </w:pPr>
            <w:r w:rsidRPr="00B045DB">
              <w:t>Allemagne</w:t>
            </w:r>
          </w:p>
        </w:tc>
        <w:tc>
          <w:tcPr>
            <w:tcW w:w="2309" w:type="dxa"/>
            <w:shd w:val="clear" w:color="auto" w:fill="auto"/>
          </w:tcPr>
          <w:p w14:paraId="294C7EE0" w14:textId="038E6DC8" w:rsidR="00D24047" w:rsidRPr="00B045DB" w:rsidRDefault="00D24047" w:rsidP="00FE3634">
            <w:pPr>
              <w:spacing w:before="40" w:after="120"/>
              <w:ind w:right="113"/>
            </w:pPr>
            <w:r w:rsidRPr="00B045DB">
              <w:t>En cours depuis août 2023</w:t>
            </w:r>
          </w:p>
        </w:tc>
        <w:tc>
          <w:tcPr>
            <w:tcW w:w="2709" w:type="dxa"/>
            <w:shd w:val="clear" w:color="auto" w:fill="auto"/>
          </w:tcPr>
          <w:p w14:paraId="76AC2CF1" w14:textId="77777777" w:rsidR="00D24047" w:rsidRPr="00B045DB" w:rsidRDefault="00D24047" w:rsidP="00FE3634">
            <w:pPr>
              <w:spacing w:before="40" w:after="120"/>
            </w:pPr>
            <w:r w:rsidRPr="00B045DB">
              <w:t>Projet de gaz naturel liquéfié</w:t>
            </w:r>
          </w:p>
        </w:tc>
      </w:tr>
      <w:tr w:rsidR="00D24047" w:rsidRPr="00B045DB" w14:paraId="2F35952F" w14:textId="77777777" w:rsidTr="00027956">
        <w:tc>
          <w:tcPr>
            <w:tcW w:w="2072" w:type="dxa"/>
            <w:shd w:val="clear" w:color="auto" w:fill="auto"/>
          </w:tcPr>
          <w:p w14:paraId="60B8385D" w14:textId="77777777" w:rsidR="00D24047" w:rsidRPr="00B045DB" w:rsidRDefault="00D24047" w:rsidP="00FE3634">
            <w:pPr>
              <w:spacing w:before="40" w:after="120"/>
              <w:ind w:right="113"/>
            </w:pPr>
            <w:r w:rsidRPr="00B045DB">
              <w:t>EIA/IC/INFO/36</w:t>
            </w:r>
          </w:p>
        </w:tc>
        <w:tc>
          <w:tcPr>
            <w:tcW w:w="1414" w:type="dxa"/>
            <w:shd w:val="clear" w:color="auto" w:fill="auto"/>
          </w:tcPr>
          <w:p w14:paraId="16572DFD" w14:textId="57055B5A" w:rsidR="00D24047" w:rsidRPr="00B045DB" w:rsidRDefault="00D24047" w:rsidP="00FE3634">
            <w:pPr>
              <w:spacing w:before="40" w:after="120"/>
              <w:ind w:right="113"/>
            </w:pPr>
            <w:r w:rsidRPr="00B045DB">
              <w:t>Macédoine du</w:t>
            </w:r>
            <w:r w:rsidR="00521BDB">
              <w:t> </w:t>
            </w:r>
            <w:r w:rsidRPr="00B045DB">
              <w:t>Nord</w:t>
            </w:r>
          </w:p>
        </w:tc>
        <w:tc>
          <w:tcPr>
            <w:tcW w:w="2309" w:type="dxa"/>
            <w:shd w:val="clear" w:color="auto" w:fill="auto"/>
          </w:tcPr>
          <w:p w14:paraId="298C1376" w14:textId="77777777" w:rsidR="00D24047" w:rsidRPr="00B045DB" w:rsidRDefault="00D24047" w:rsidP="00FE3634">
            <w:pPr>
              <w:spacing w:before="40" w:after="120"/>
              <w:ind w:right="113"/>
            </w:pPr>
            <w:r w:rsidRPr="00B045DB">
              <w:t>En cours depuis août 2023</w:t>
            </w:r>
          </w:p>
        </w:tc>
        <w:tc>
          <w:tcPr>
            <w:tcW w:w="2709" w:type="dxa"/>
            <w:shd w:val="clear" w:color="auto" w:fill="auto"/>
          </w:tcPr>
          <w:p w14:paraId="7DD35374" w14:textId="40CB4E54" w:rsidR="00D24047" w:rsidRPr="00B045DB" w:rsidRDefault="00D24047" w:rsidP="00FE3634">
            <w:pPr>
              <w:spacing w:before="40" w:after="120"/>
            </w:pPr>
            <w:r w:rsidRPr="00B045DB">
              <w:t>Développement d</w:t>
            </w:r>
            <w:r w:rsidR="003B2315" w:rsidRPr="00B045DB">
              <w:t>’</w:t>
            </w:r>
            <w:r w:rsidRPr="00B045DB">
              <w:t>une mine d</w:t>
            </w:r>
            <w:r w:rsidR="003B2315" w:rsidRPr="00B045DB">
              <w:t>’</w:t>
            </w:r>
            <w:r w:rsidRPr="00B045DB">
              <w:t>or et de cuivre</w:t>
            </w:r>
          </w:p>
        </w:tc>
      </w:tr>
      <w:tr w:rsidR="00D24047" w:rsidRPr="00B045DB" w14:paraId="4A56DE0F" w14:textId="77777777" w:rsidTr="00027956">
        <w:tc>
          <w:tcPr>
            <w:tcW w:w="2072" w:type="dxa"/>
            <w:shd w:val="clear" w:color="auto" w:fill="auto"/>
          </w:tcPr>
          <w:p w14:paraId="35A8F248" w14:textId="77777777" w:rsidR="00D24047" w:rsidRPr="00B045DB" w:rsidRDefault="00D24047" w:rsidP="00FE3634">
            <w:pPr>
              <w:spacing w:before="40" w:after="120"/>
              <w:ind w:right="113"/>
            </w:pPr>
            <w:r w:rsidRPr="00B045DB">
              <w:t>EIA/IC/INFO/37</w:t>
            </w:r>
          </w:p>
        </w:tc>
        <w:tc>
          <w:tcPr>
            <w:tcW w:w="1414" w:type="dxa"/>
            <w:shd w:val="clear" w:color="auto" w:fill="auto"/>
          </w:tcPr>
          <w:p w14:paraId="2D639591" w14:textId="77777777" w:rsidR="00D24047" w:rsidRPr="00B045DB" w:rsidRDefault="00D24047" w:rsidP="00FE3634">
            <w:pPr>
              <w:spacing w:before="40" w:after="120"/>
              <w:ind w:right="113"/>
            </w:pPr>
            <w:r w:rsidRPr="00B045DB">
              <w:t>Bulgarie</w:t>
            </w:r>
          </w:p>
        </w:tc>
        <w:tc>
          <w:tcPr>
            <w:tcW w:w="2309" w:type="dxa"/>
            <w:shd w:val="clear" w:color="auto" w:fill="auto"/>
          </w:tcPr>
          <w:p w14:paraId="606D943F" w14:textId="77777777" w:rsidR="00D24047" w:rsidRPr="00B045DB" w:rsidRDefault="00D24047" w:rsidP="00FE3634">
            <w:pPr>
              <w:spacing w:before="40" w:after="120"/>
              <w:ind w:right="113"/>
            </w:pPr>
            <w:r w:rsidRPr="00B045DB">
              <w:t>En cours depuis août 2023</w:t>
            </w:r>
          </w:p>
        </w:tc>
        <w:tc>
          <w:tcPr>
            <w:tcW w:w="2709" w:type="dxa"/>
            <w:shd w:val="clear" w:color="auto" w:fill="auto"/>
          </w:tcPr>
          <w:p w14:paraId="66DD140B" w14:textId="059A9FDF" w:rsidR="00D24047" w:rsidRPr="00B045DB" w:rsidRDefault="00D24047" w:rsidP="00FE3634">
            <w:pPr>
              <w:spacing w:before="40" w:after="120"/>
            </w:pPr>
            <w:r w:rsidRPr="00B045DB">
              <w:t>Activités minières en Bulgarie</w:t>
            </w:r>
          </w:p>
        </w:tc>
      </w:tr>
      <w:tr w:rsidR="00390C19" w:rsidRPr="00B045DB" w14:paraId="567BAF97" w14:textId="77777777" w:rsidTr="005626F8">
        <w:tc>
          <w:tcPr>
            <w:tcW w:w="3486" w:type="dxa"/>
            <w:gridSpan w:val="2"/>
            <w:shd w:val="clear" w:color="auto" w:fill="auto"/>
          </w:tcPr>
          <w:p w14:paraId="517813A1" w14:textId="2031E2EF" w:rsidR="00390C19" w:rsidRPr="00B045DB" w:rsidRDefault="00390C19" w:rsidP="00FE3634">
            <w:pPr>
              <w:spacing w:before="40" w:after="120"/>
              <w:ind w:right="113"/>
            </w:pPr>
          </w:p>
        </w:tc>
        <w:tc>
          <w:tcPr>
            <w:tcW w:w="2309" w:type="dxa"/>
            <w:shd w:val="clear" w:color="auto" w:fill="auto"/>
          </w:tcPr>
          <w:p w14:paraId="0695E5C1" w14:textId="77777777" w:rsidR="00390C19" w:rsidRPr="00B045DB" w:rsidRDefault="00390C19" w:rsidP="00FE3634">
            <w:pPr>
              <w:spacing w:before="40" w:after="120"/>
              <w:ind w:right="113"/>
            </w:pPr>
          </w:p>
        </w:tc>
        <w:tc>
          <w:tcPr>
            <w:tcW w:w="2709" w:type="dxa"/>
            <w:shd w:val="clear" w:color="auto" w:fill="auto"/>
          </w:tcPr>
          <w:p w14:paraId="3F9BC906" w14:textId="77777777" w:rsidR="00390C19" w:rsidRPr="00B045DB" w:rsidRDefault="00390C19" w:rsidP="00FE3634">
            <w:pPr>
              <w:spacing w:before="40" w:after="120"/>
            </w:pPr>
          </w:p>
        </w:tc>
      </w:tr>
      <w:tr w:rsidR="0008299C" w:rsidRPr="00B045DB" w14:paraId="77F65ADA" w14:textId="77777777" w:rsidTr="00A13B45">
        <w:tc>
          <w:tcPr>
            <w:tcW w:w="3486" w:type="dxa"/>
            <w:gridSpan w:val="2"/>
            <w:shd w:val="clear" w:color="auto" w:fill="auto"/>
          </w:tcPr>
          <w:p w14:paraId="00254DA1" w14:textId="77064B4C" w:rsidR="0008299C" w:rsidRPr="00B045DB" w:rsidRDefault="0008299C" w:rsidP="00FE3634">
            <w:pPr>
              <w:spacing w:before="40" w:after="120"/>
              <w:ind w:right="113"/>
            </w:pPr>
            <w:r w:rsidRPr="00B045DB">
              <w:t>Questions relatives au Protocole</w:t>
            </w:r>
          </w:p>
        </w:tc>
        <w:tc>
          <w:tcPr>
            <w:tcW w:w="2309" w:type="dxa"/>
            <w:shd w:val="clear" w:color="auto" w:fill="auto"/>
          </w:tcPr>
          <w:p w14:paraId="321FD61B" w14:textId="77777777" w:rsidR="0008299C" w:rsidRPr="00B045DB" w:rsidRDefault="0008299C" w:rsidP="00FE3634">
            <w:pPr>
              <w:spacing w:before="40" w:after="120"/>
              <w:ind w:right="113"/>
            </w:pPr>
          </w:p>
        </w:tc>
        <w:tc>
          <w:tcPr>
            <w:tcW w:w="2709" w:type="dxa"/>
            <w:shd w:val="clear" w:color="auto" w:fill="auto"/>
          </w:tcPr>
          <w:p w14:paraId="0A65A1A1" w14:textId="77777777" w:rsidR="0008299C" w:rsidRPr="00B045DB" w:rsidRDefault="0008299C" w:rsidP="00FE3634">
            <w:pPr>
              <w:spacing w:before="40" w:after="120"/>
            </w:pPr>
          </w:p>
        </w:tc>
      </w:tr>
      <w:tr w:rsidR="00D24047" w:rsidRPr="00B045DB" w14:paraId="1EC85E66" w14:textId="77777777" w:rsidTr="00027956">
        <w:tc>
          <w:tcPr>
            <w:tcW w:w="2072" w:type="dxa"/>
            <w:shd w:val="clear" w:color="auto" w:fill="auto"/>
          </w:tcPr>
          <w:p w14:paraId="620C0779" w14:textId="77777777" w:rsidR="00D24047" w:rsidRPr="00B045DB" w:rsidRDefault="00D24047" w:rsidP="00FE3634">
            <w:pPr>
              <w:spacing w:before="40" w:after="120"/>
              <w:ind w:right="113"/>
            </w:pPr>
            <w:r w:rsidRPr="00B045DB">
              <w:t>SEA/IC/INFO/4</w:t>
            </w:r>
          </w:p>
        </w:tc>
        <w:tc>
          <w:tcPr>
            <w:tcW w:w="1414" w:type="dxa"/>
            <w:shd w:val="clear" w:color="auto" w:fill="auto"/>
          </w:tcPr>
          <w:p w14:paraId="0287A213" w14:textId="77777777" w:rsidR="00D24047" w:rsidRPr="00B045DB" w:rsidRDefault="00D24047" w:rsidP="00FE3634">
            <w:pPr>
              <w:spacing w:before="40" w:after="120"/>
              <w:ind w:right="113"/>
            </w:pPr>
            <w:r w:rsidRPr="00B045DB">
              <w:t>Pologne</w:t>
            </w:r>
          </w:p>
        </w:tc>
        <w:tc>
          <w:tcPr>
            <w:tcW w:w="2309" w:type="dxa"/>
            <w:shd w:val="clear" w:color="auto" w:fill="auto"/>
          </w:tcPr>
          <w:p w14:paraId="286162B5" w14:textId="497E3746" w:rsidR="00D24047" w:rsidRPr="00B045DB" w:rsidRDefault="00D24047" w:rsidP="00FE3634">
            <w:pPr>
              <w:spacing w:before="40" w:after="120"/>
              <w:ind w:right="113"/>
            </w:pPr>
            <w:r w:rsidRPr="00B045DB">
              <w:t>Clôture en mai 2022</w:t>
            </w:r>
          </w:p>
        </w:tc>
        <w:tc>
          <w:tcPr>
            <w:tcW w:w="2709" w:type="dxa"/>
            <w:shd w:val="clear" w:color="auto" w:fill="auto"/>
          </w:tcPr>
          <w:p w14:paraId="3B148F40" w14:textId="6525979B" w:rsidR="00D24047" w:rsidRPr="00B045DB" w:rsidRDefault="00D24047" w:rsidP="00FE3634">
            <w:pPr>
              <w:spacing w:before="40" w:after="120"/>
            </w:pPr>
            <w:r w:rsidRPr="00B045DB">
              <w:t>Politique énergétique de la Pologne jusqu</w:t>
            </w:r>
            <w:r w:rsidR="003B2315" w:rsidRPr="00B045DB">
              <w:t>’</w:t>
            </w:r>
            <w:r w:rsidRPr="00B045DB">
              <w:t>en 2040</w:t>
            </w:r>
          </w:p>
        </w:tc>
      </w:tr>
      <w:tr w:rsidR="00D24047" w:rsidRPr="00B045DB" w14:paraId="66A7A568" w14:textId="77777777" w:rsidTr="00027956">
        <w:tc>
          <w:tcPr>
            <w:tcW w:w="2072" w:type="dxa"/>
            <w:tcBorders>
              <w:bottom w:val="single" w:sz="12" w:space="0" w:color="auto"/>
            </w:tcBorders>
            <w:shd w:val="clear" w:color="auto" w:fill="auto"/>
          </w:tcPr>
          <w:p w14:paraId="07DA21DC" w14:textId="77777777" w:rsidR="00D24047" w:rsidRPr="00B045DB" w:rsidRDefault="00D24047" w:rsidP="00521BDB">
            <w:pPr>
              <w:keepNext/>
              <w:spacing w:before="40" w:after="120"/>
              <w:ind w:right="113"/>
            </w:pPr>
            <w:r w:rsidRPr="00B045DB">
              <w:t>SEA/IC/INFO/5</w:t>
            </w:r>
          </w:p>
        </w:tc>
        <w:tc>
          <w:tcPr>
            <w:tcW w:w="1414" w:type="dxa"/>
            <w:tcBorders>
              <w:bottom w:val="single" w:sz="12" w:space="0" w:color="auto"/>
            </w:tcBorders>
            <w:shd w:val="clear" w:color="auto" w:fill="auto"/>
          </w:tcPr>
          <w:p w14:paraId="5651AE3E" w14:textId="77777777" w:rsidR="00D24047" w:rsidRPr="00B045DB" w:rsidRDefault="00D24047" w:rsidP="00521BDB">
            <w:pPr>
              <w:keepNext/>
              <w:spacing w:before="40" w:after="120"/>
              <w:ind w:right="113"/>
            </w:pPr>
            <w:r w:rsidRPr="00B045DB">
              <w:t>Allemagne</w:t>
            </w:r>
          </w:p>
        </w:tc>
        <w:tc>
          <w:tcPr>
            <w:tcW w:w="2309" w:type="dxa"/>
            <w:tcBorders>
              <w:bottom w:val="single" w:sz="12" w:space="0" w:color="auto"/>
            </w:tcBorders>
            <w:shd w:val="clear" w:color="auto" w:fill="auto"/>
          </w:tcPr>
          <w:p w14:paraId="169658A4" w14:textId="2EDB4CBA" w:rsidR="00D24047" w:rsidRPr="00B045DB" w:rsidRDefault="00D24047" w:rsidP="00521BDB">
            <w:pPr>
              <w:keepNext/>
              <w:spacing w:before="40" w:after="120"/>
              <w:ind w:right="113"/>
            </w:pPr>
            <w:r w:rsidRPr="00B045DB">
              <w:t>Clôture en oct</w:t>
            </w:r>
            <w:r w:rsidR="00521BDB">
              <w:t>obre</w:t>
            </w:r>
            <w:r w:rsidRPr="00B045DB">
              <w:t xml:space="preserve"> 2022</w:t>
            </w:r>
          </w:p>
        </w:tc>
        <w:tc>
          <w:tcPr>
            <w:tcW w:w="2709" w:type="dxa"/>
            <w:tcBorders>
              <w:bottom w:val="single" w:sz="12" w:space="0" w:color="auto"/>
            </w:tcBorders>
            <w:shd w:val="clear" w:color="auto" w:fill="auto"/>
          </w:tcPr>
          <w:p w14:paraId="20D3566F" w14:textId="6DFC8C60" w:rsidR="00D24047" w:rsidRPr="00B045DB" w:rsidRDefault="00D24047" w:rsidP="00521BDB">
            <w:pPr>
              <w:keepNext/>
              <w:spacing w:before="40" w:after="120"/>
            </w:pPr>
            <w:r w:rsidRPr="00B045DB">
              <w:t>Implantation d</w:t>
            </w:r>
            <w:r w:rsidR="003B2315" w:rsidRPr="00B045DB">
              <w:t>’</w:t>
            </w:r>
            <w:r w:rsidRPr="00B045DB">
              <w:t>une installation de</w:t>
            </w:r>
            <w:r w:rsidR="00521BDB">
              <w:t> </w:t>
            </w:r>
            <w:r w:rsidRPr="00B045DB">
              <w:t>stockage de déchets hautement radioactifs</w:t>
            </w:r>
          </w:p>
        </w:tc>
      </w:tr>
    </w:tbl>
    <w:p w14:paraId="488172C1" w14:textId="2746841C" w:rsidR="00D24047" w:rsidRPr="00B045DB" w:rsidRDefault="00D24047" w:rsidP="00521BDB">
      <w:pPr>
        <w:pStyle w:val="SingleTxtG"/>
        <w:spacing w:before="120" w:after="240"/>
        <w:ind w:right="0" w:firstLine="170"/>
        <w:jc w:val="left"/>
        <w:rPr>
          <w:sz w:val="18"/>
          <w:szCs w:val="18"/>
        </w:rPr>
      </w:pPr>
      <w:r w:rsidRPr="00B045DB">
        <w:rPr>
          <w:i/>
          <w:iCs/>
          <w:sz w:val="18"/>
          <w:szCs w:val="18"/>
          <w:vertAlign w:val="superscript"/>
        </w:rPr>
        <w:t>a</w:t>
      </w:r>
      <w:r w:rsidR="001346C5" w:rsidRPr="00B045DB">
        <w:rPr>
          <w:sz w:val="18"/>
          <w:szCs w:val="18"/>
        </w:rPr>
        <w:t xml:space="preserve">  </w:t>
      </w:r>
      <w:r w:rsidRPr="00B045DB">
        <w:rPr>
          <w:sz w:val="18"/>
          <w:szCs w:val="18"/>
        </w:rPr>
        <w:t>Les dossiers de collecte d</w:t>
      </w:r>
      <w:r w:rsidR="003B2315" w:rsidRPr="00B045DB">
        <w:rPr>
          <w:sz w:val="18"/>
          <w:szCs w:val="18"/>
        </w:rPr>
        <w:t>’</w:t>
      </w:r>
      <w:r w:rsidRPr="00B045DB">
        <w:rPr>
          <w:sz w:val="18"/>
          <w:szCs w:val="18"/>
        </w:rPr>
        <w:t>informations qui ont conduit à une initiative du Comité sont résumés dans la</w:t>
      </w:r>
      <w:r w:rsidR="00521BDB">
        <w:rPr>
          <w:sz w:val="18"/>
          <w:szCs w:val="18"/>
        </w:rPr>
        <w:t> </w:t>
      </w:r>
      <w:r w:rsidRPr="00B045DB">
        <w:rPr>
          <w:sz w:val="18"/>
          <w:szCs w:val="18"/>
        </w:rPr>
        <w:t>section</w:t>
      </w:r>
      <w:r w:rsidR="00521BDB">
        <w:rPr>
          <w:sz w:val="18"/>
          <w:szCs w:val="18"/>
        </w:rPr>
        <w:t> </w:t>
      </w:r>
      <w:r w:rsidRPr="00B045DB">
        <w:rPr>
          <w:sz w:val="18"/>
          <w:szCs w:val="18"/>
        </w:rPr>
        <w:t>IV ci-dessus.</w:t>
      </w:r>
    </w:p>
    <w:p w14:paraId="291C2623" w14:textId="6030144F" w:rsidR="00D24047" w:rsidRPr="00B045DB" w:rsidRDefault="00FE3634" w:rsidP="00FE3634">
      <w:pPr>
        <w:pStyle w:val="H1G"/>
      </w:pPr>
      <w:r w:rsidRPr="00B045DB">
        <w:lastRenderedPageBreak/>
        <w:tab/>
      </w:r>
      <w:r w:rsidR="00D24047" w:rsidRPr="00B045DB">
        <w:t>A.</w:t>
      </w:r>
      <w:r w:rsidR="00D24047" w:rsidRPr="00B045DB">
        <w:tab/>
        <w:t>Questions relatives à la Convention</w:t>
      </w:r>
    </w:p>
    <w:p w14:paraId="37EFE641" w14:textId="2F880A32" w:rsidR="00D24047" w:rsidRPr="00B045DB" w:rsidRDefault="00FE3634" w:rsidP="00FE3634">
      <w:pPr>
        <w:pStyle w:val="H23G"/>
      </w:pPr>
      <w:r w:rsidRPr="00B045DB">
        <w:tab/>
      </w:r>
      <w:r w:rsidR="00D24047" w:rsidRPr="00B045DB">
        <w:t>1.</w:t>
      </w:r>
      <w:r w:rsidR="00D24047" w:rsidRPr="00B045DB">
        <w:tab/>
        <w:t>Bosnie-Herzégovine</w:t>
      </w:r>
    </w:p>
    <w:p w14:paraId="096127C7" w14:textId="2990F9A1" w:rsidR="00D24047" w:rsidRPr="00B045DB" w:rsidRDefault="00FE3634" w:rsidP="00FE3634">
      <w:pPr>
        <w:pStyle w:val="H4G"/>
      </w:pPr>
      <w:r w:rsidRPr="00B045DB">
        <w:tab/>
      </w:r>
      <w:r w:rsidRPr="00B045DB">
        <w:tab/>
      </w:r>
      <w:r w:rsidR="00D24047" w:rsidRPr="00B045DB">
        <w:t>EIA/IC/INFO/16</w:t>
      </w:r>
    </w:p>
    <w:p w14:paraId="6F3FC0CD" w14:textId="49567964" w:rsidR="00D24047" w:rsidRPr="00B045DB" w:rsidRDefault="00D24047" w:rsidP="00D24047">
      <w:pPr>
        <w:pStyle w:val="SingleTxtG"/>
      </w:pPr>
      <w:r w:rsidRPr="00B045DB">
        <w:rPr>
          <w:iCs/>
        </w:rPr>
        <w:t>81.</w:t>
      </w:r>
      <w:r w:rsidRPr="00B045DB">
        <w:rPr>
          <w:iCs/>
        </w:rPr>
        <w:tab/>
      </w:r>
      <w:r w:rsidRPr="00B045DB">
        <w:t>Le 18</w:t>
      </w:r>
      <w:r w:rsidR="00FE3634" w:rsidRPr="00B045DB">
        <w:t> </w:t>
      </w:r>
      <w:r w:rsidRPr="00B045DB">
        <w:t>septembre 2014, le Comité a reçu des informations du Centre pour l</w:t>
      </w:r>
      <w:r w:rsidR="003B2315" w:rsidRPr="00B045DB">
        <w:t>’</w:t>
      </w:r>
      <w:r w:rsidRPr="00B045DB">
        <w:t>environnement (Bosnie-Herzégovine) concernant le projet de construction d</w:t>
      </w:r>
      <w:r w:rsidR="003B2315" w:rsidRPr="00B045DB">
        <w:t>’</w:t>
      </w:r>
      <w:r w:rsidRPr="00B045DB">
        <w:t>un troisième bloc pour la centrale thermique d</w:t>
      </w:r>
      <w:r w:rsidR="003B2315" w:rsidRPr="00B045DB">
        <w:t>’</w:t>
      </w:r>
      <w:proofErr w:type="spellStart"/>
      <w:r w:rsidRPr="00B045DB">
        <w:t>Ugljevik</w:t>
      </w:r>
      <w:proofErr w:type="spellEnd"/>
      <w:r w:rsidRPr="00B045DB">
        <w:t xml:space="preserve"> (Bosnie-Herzégovine), près de la frontière avec la Serbie. Le Comité a tenu des consultations informelles avec la Bosnie-Herzégovine et la Serbie le 29</w:t>
      </w:r>
      <w:r w:rsidR="00FE3634" w:rsidRPr="00B045DB">
        <w:t> </w:t>
      </w:r>
      <w:r w:rsidRPr="00B045DB">
        <w:t>octobre 2020. À sa cinquantième session, le Comité a constaté que la Serbie, le 27</w:t>
      </w:r>
      <w:r w:rsidR="00FE3634" w:rsidRPr="00B045DB">
        <w:t> </w:t>
      </w:r>
      <w:r w:rsidRPr="00B045DB">
        <w:t>janvier 2020, avait confirmé sa volonté de participer à la procédure transfrontière, en réponse à la notification préalable de la Bosnie-Herzégovine, datée du 11</w:t>
      </w:r>
      <w:r w:rsidR="00FE3634" w:rsidRPr="00B045DB">
        <w:t> </w:t>
      </w:r>
      <w:r w:rsidRPr="00B045DB">
        <w:t>octobre 2019, concernant l</w:t>
      </w:r>
      <w:r w:rsidR="003B2315" w:rsidRPr="00B045DB">
        <w:t>’</w:t>
      </w:r>
      <w:r w:rsidRPr="00B045DB">
        <w:t>activité. Le Comité a également constaté que, dans ses informations du 25</w:t>
      </w:r>
      <w:r w:rsidR="00FE3634" w:rsidRPr="00B045DB">
        <w:t> </w:t>
      </w:r>
      <w:r w:rsidRPr="00B045DB">
        <w:t>janvier 2021, la Bosnie-Herzégovine avait confirmé qu</w:t>
      </w:r>
      <w:r w:rsidR="003B2315" w:rsidRPr="00B045DB">
        <w:t>’</w:t>
      </w:r>
      <w:r w:rsidRPr="00B045DB">
        <w:t>elle notifierait dûment les États voisins lorsqu</w:t>
      </w:r>
      <w:r w:rsidR="003B2315" w:rsidRPr="00B045DB">
        <w:t>’</w:t>
      </w:r>
      <w:r w:rsidRPr="00B045DB">
        <w:t>elle entamerait une nouvelle procédure administrative destinée à approuver l</w:t>
      </w:r>
      <w:r w:rsidR="003B2315" w:rsidRPr="00B045DB">
        <w:t>’</w:t>
      </w:r>
      <w:r w:rsidRPr="00B045DB">
        <w:t>étude d</w:t>
      </w:r>
      <w:r w:rsidR="003B2315" w:rsidRPr="00B045DB">
        <w:t>’</w:t>
      </w:r>
      <w:r w:rsidRPr="00B045DB">
        <w:t>impact sur l</w:t>
      </w:r>
      <w:r w:rsidR="003B2315" w:rsidRPr="00B045DB">
        <w:t>’</w:t>
      </w:r>
      <w:r w:rsidRPr="00B045DB">
        <w:t>environnement</w:t>
      </w:r>
      <w:r w:rsidRPr="00B045DB">
        <w:rPr>
          <w:rStyle w:val="Appelnotedebasdep"/>
        </w:rPr>
        <w:footnoteReference w:id="69"/>
      </w:r>
      <w:r w:rsidRPr="00B045DB">
        <w:t>.</w:t>
      </w:r>
    </w:p>
    <w:p w14:paraId="7BD46B8F" w14:textId="1AB7A515" w:rsidR="00D24047" w:rsidRPr="00B045DB" w:rsidRDefault="00D24047" w:rsidP="00D24047">
      <w:pPr>
        <w:pStyle w:val="SingleTxtG"/>
      </w:pPr>
      <w:r w:rsidRPr="00B045DB">
        <w:t>82.</w:t>
      </w:r>
      <w:r w:rsidRPr="00B045DB">
        <w:tab/>
        <w:t>Le Comité a conclu qu</w:t>
      </w:r>
      <w:r w:rsidR="003B2315" w:rsidRPr="00B045DB">
        <w:t>’</w:t>
      </w:r>
      <w:r w:rsidRPr="00B045DB">
        <w:t>il n</w:t>
      </w:r>
      <w:r w:rsidR="003B2315" w:rsidRPr="00B045DB">
        <w:t>’</w:t>
      </w:r>
      <w:r w:rsidRPr="00B045DB">
        <w:t>était pas nécessaire de poursuivre sa collecte d</w:t>
      </w:r>
      <w:r w:rsidR="003B2315" w:rsidRPr="00B045DB">
        <w:t>’</w:t>
      </w:r>
      <w:r w:rsidRPr="00B045DB">
        <w:t>informations et a formulé des recommandations à l</w:t>
      </w:r>
      <w:r w:rsidR="003B2315" w:rsidRPr="00B045DB">
        <w:t>’</w:t>
      </w:r>
      <w:r w:rsidRPr="00B045DB">
        <w:t>intention de la Bosnie-Herzégovine</w:t>
      </w:r>
      <w:r w:rsidRPr="00B045DB">
        <w:rPr>
          <w:rStyle w:val="Appelnotedebasdep"/>
        </w:rPr>
        <w:footnoteReference w:id="70"/>
      </w:r>
      <w:r w:rsidRPr="00B045DB">
        <w:t>.</w:t>
      </w:r>
    </w:p>
    <w:p w14:paraId="1F2F4D27" w14:textId="26FA1897" w:rsidR="00D24047" w:rsidRPr="00B045DB" w:rsidRDefault="00FE3634" w:rsidP="00FE3634">
      <w:pPr>
        <w:pStyle w:val="H4G"/>
      </w:pPr>
      <w:r w:rsidRPr="00B045DB">
        <w:tab/>
      </w:r>
      <w:r w:rsidRPr="00B045DB">
        <w:tab/>
      </w:r>
      <w:r w:rsidR="00D24047" w:rsidRPr="00B045DB">
        <w:t>ECE/IC/INFO/23 et ECE/IC/INFO/24</w:t>
      </w:r>
    </w:p>
    <w:p w14:paraId="74AFA2E9" w14:textId="699834F9" w:rsidR="00D24047" w:rsidRPr="00B045DB" w:rsidRDefault="00D24047" w:rsidP="00D24047">
      <w:pPr>
        <w:pStyle w:val="SingleTxtG"/>
      </w:pPr>
      <w:r w:rsidRPr="00B045DB">
        <w:t>83.</w:t>
      </w:r>
      <w:r w:rsidRPr="00B045DB">
        <w:tab/>
        <w:t>Le 14</w:t>
      </w:r>
      <w:r w:rsidR="00FE3634" w:rsidRPr="00B045DB">
        <w:t> </w:t>
      </w:r>
      <w:r w:rsidRPr="00B045DB">
        <w:t>avril 2017, le Comité a reçu des informations de «</w:t>
      </w:r>
      <w:r w:rsidR="00FE3634" w:rsidRPr="00B045DB">
        <w:t> </w:t>
      </w:r>
      <w:proofErr w:type="spellStart"/>
      <w:r w:rsidRPr="00B045DB">
        <w:t>Ekotim</w:t>
      </w:r>
      <w:proofErr w:type="spellEnd"/>
      <w:r w:rsidR="00FE3634" w:rsidRPr="00B045DB">
        <w:t> </w:t>
      </w:r>
      <w:r w:rsidRPr="00B045DB">
        <w:t xml:space="preserve">» </w:t>
      </w:r>
      <w:r w:rsidR="00FE3634" w:rsidRPr="00B045DB">
        <w:t>−</w:t>
      </w:r>
      <w:r w:rsidRPr="00B045DB">
        <w:t xml:space="preserve"> Society for protection and </w:t>
      </w:r>
      <w:proofErr w:type="spellStart"/>
      <w:r w:rsidRPr="00B045DB">
        <w:t>advancement</w:t>
      </w:r>
      <w:proofErr w:type="spellEnd"/>
      <w:r w:rsidRPr="00B045DB">
        <w:t xml:space="preserve"> of </w:t>
      </w:r>
      <w:proofErr w:type="spellStart"/>
      <w:r w:rsidRPr="00B045DB">
        <w:t>environment</w:t>
      </w:r>
      <w:proofErr w:type="spellEnd"/>
      <w:r w:rsidRPr="00B045DB">
        <w:t xml:space="preserve">, nature and </w:t>
      </w:r>
      <w:proofErr w:type="spellStart"/>
      <w:r w:rsidRPr="00B045DB">
        <w:t>health</w:t>
      </w:r>
      <w:proofErr w:type="spellEnd"/>
      <w:r w:rsidRPr="00B045DB">
        <w:t xml:space="preserve"> (Bosnie-Herzégovine) concernant le projet de construction de deux centrales à charbon à proximité des frontières avec la Croatie et la Serbie, respectivement à </w:t>
      </w:r>
      <w:proofErr w:type="spellStart"/>
      <w:r w:rsidRPr="00B045DB">
        <w:t>Banovići</w:t>
      </w:r>
      <w:proofErr w:type="spellEnd"/>
      <w:r w:rsidRPr="00B045DB">
        <w:t xml:space="preserve"> et Tuzla. Le Comité a tenu des consultations informelles avec les trois pays le 29</w:t>
      </w:r>
      <w:r w:rsidR="00FE3634" w:rsidRPr="00B045DB">
        <w:t> </w:t>
      </w:r>
      <w:r w:rsidRPr="00B045DB">
        <w:t>octobre 2020.</w:t>
      </w:r>
    </w:p>
    <w:p w14:paraId="1109CB5E" w14:textId="77B9150F" w:rsidR="00D24047" w:rsidRPr="00B045DB" w:rsidRDefault="00D24047" w:rsidP="00D24047">
      <w:pPr>
        <w:pStyle w:val="SingleTxtG"/>
      </w:pPr>
      <w:r w:rsidRPr="00B045DB">
        <w:t>84.</w:t>
      </w:r>
      <w:r w:rsidRPr="00B045DB">
        <w:tab/>
        <w:t xml:space="preserve">À sa cinquantième session, le Comité a constaté que le permis environnemental pour la construction de la centrale électrique de </w:t>
      </w:r>
      <w:proofErr w:type="spellStart"/>
      <w:r w:rsidRPr="00B045DB">
        <w:t>Banovići</w:t>
      </w:r>
      <w:proofErr w:type="spellEnd"/>
      <w:r w:rsidRPr="00B045DB">
        <w:t xml:space="preserve"> avait expiré, et que la Bosnie</w:t>
      </w:r>
      <w:r w:rsidR="00FE3634" w:rsidRPr="00B045DB">
        <w:noBreakHyphen/>
      </w:r>
      <w:r w:rsidRPr="00B045DB">
        <w:t>Herzégovine avait assuré le Comité qu</w:t>
      </w:r>
      <w:r w:rsidR="003B2315" w:rsidRPr="00B045DB">
        <w:t>’</w:t>
      </w:r>
      <w:r w:rsidRPr="00B045DB">
        <w:t>elle engagerait une nouvelle procédure dans le respect de la Convention et tiendrait des consultations avec la Croatie et la Serbie, si le promoteur soumettait une nouvelle demande. Le Comité a clôturé le document ECE/IC/INFO/23 en mai 2021</w:t>
      </w:r>
      <w:r w:rsidRPr="00B045DB">
        <w:rPr>
          <w:rStyle w:val="Appelnotedebasdep"/>
        </w:rPr>
        <w:footnoteReference w:id="71"/>
      </w:r>
      <w:r w:rsidRPr="00B045DB">
        <w:t>.</w:t>
      </w:r>
    </w:p>
    <w:p w14:paraId="3FCB9F67" w14:textId="08891695" w:rsidR="00D24047" w:rsidRPr="00B045DB" w:rsidRDefault="00D24047" w:rsidP="00D24047">
      <w:pPr>
        <w:pStyle w:val="SingleTxtG"/>
      </w:pPr>
      <w:r w:rsidRPr="00B045DB">
        <w:t>85.</w:t>
      </w:r>
      <w:r w:rsidRPr="00B045DB">
        <w:tab/>
        <w:t>En ce qui concerne la centrale électrique de Tuzla, à sa cinquante et unième session, le Comité a constaté que, suite à l</w:t>
      </w:r>
      <w:r w:rsidR="003B2315" w:rsidRPr="00B045DB">
        <w:t>’</w:t>
      </w:r>
      <w:r w:rsidRPr="00B045DB">
        <w:t>expiration de l</w:t>
      </w:r>
      <w:r w:rsidR="003B2315" w:rsidRPr="00B045DB">
        <w:t>’</w:t>
      </w:r>
      <w:r w:rsidRPr="00B045DB">
        <w:t>ancien permis environnemental pour l</w:t>
      </w:r>
      <w:r w:rsidR="003B2315" w:rsidRPr="00B045DB">
        <w:t>’</w:t>
      </w:r>
      <w:r w:rsidRPr="00B045DB">
        <w:t>activité le 18</w:t>
      </w:r>
      <w:r w:rsidR="00B71DDA" w:rsidRPr="00B045DB">
        <w:t> </w:t>
      </w:r>
      <w:r w:rsidRPr="00B045DB">
        <w:t>juillet 2021, la Bosnie-Herzégovine avait entamé une nouvelle procédure d</w:t>
      </w:r>
      <w:r w:rsidR="003B2315" w:rsidRPr="00B045DB">
        <w:t>’</w:t>
      </w:r>
      <w:r w:rsidRPr="00B045DB">
        <w:t>autorisation. Le 22</w:t>
      </w:r>
      <w:r w:rsidR="00B71DDA" w:rsidRPr="00B045DB">
        <w:t> </w:t>
      </w:r>
      <w:r w:rsidRPr="00B045DB">
        <w:t>juillet 2021, elle avait notifié la Croatie, la Serbie et le Monténégro. Le Comité a conclu qu</w:t>
      </w:r>
      <w:r w:rsidR="003B2315" w:rsidRPr="00B045DB">
        <w:t>’</w:t>
      </w:r>
      <w:r w:rsidRPr="00B045DB">
        <w:t>il n</w:t>
      </w:r>
      <w:r w:rsidR="003B2315" w:rsidRPr="00B045DB">
        <w:t>’</w:t>
      </w:r>
      <w:r w:rsidRPr="00B045DB">
        <w:t>était pas nécessaire de poursuivre la collecte d</w:t>
      </w:r>
      <w:r w:rsidR="003B2315" w:rsidRPr="00B045DB">
        <w:t>’</w:t>
      </w:r>
      <w:r w:rsidRPr="00B045DB">
        <w:t>informations, a clôturé le document ECE/IC/INFO/24 et a formulé des recommandations à l</w:t>
      </w:r>
      <w:r w:rsidR="003B2315" w:rsidRPr="00B045DB">
        <w:t>’</w:t>
      </w:r>
      <w:r w:rsidRPr="00B045DB">
        <w:t>intention de la Bosnie</w:t>
      </w:r>
      <w:r w:rsidR="00521BDB">
        <w:noBreakHyphen/>
      </w:r>
      <w:r w:rsidRPr="00B045DB">
        <w:t>Herzégovine</w:t>
      </w:r>
      <w:r w:rsidRPr="00B045DB">
        <w:rPr>
          <w:rStyle w:val="Appelnotedebasdep"/>
        </w:rPr>
        <w:footnoteReference w:id="72"/>
      </w:r>
      <w:r w:rsidRPr="00B045DB">
        <w:t>.</w:t>
      </w:r>
    </w:p>
    <w:p w14:paraId="01AF0C7C" w14:textId="499B99C0" w:rsidR="00D24047" w:rsidRPr="00B045DB" w:rsidRDefault="00B71DDA" w:rsidP="00B71DDA">
      <w:pPr>
        <w:pStyle w:val="H23G"/>
      </w:pPr>
      <w:r w:rsidRPr="00B045DB">
        <w:tab/>
      </w:r>
      <w:r w:rsidR="00D24047" w:rsidRPr="00B045DB">
        <w:t>2.</w:t>
      </w:r>
      <w:r w:rsidR="00D24047" w:rsidRPr="00B045DB">
        <w:tab/>
        <w:t>Bulgarie</w:t>
      </w:r>
    </w:p>
    <w:p w14:paraId="337EB143" w14:textId="77C8C45D" w:rsidR="00D24047" w:rsidRPr="00B045DB" w:rsidRDefault="00B71DDA" w:rsidP="00B71DDA">
      <w:pPr>
        <w:pStyle w:val="H4G"/>
      </w:pPr>
      <w:r w:rsidRPr="00B045DB">
        <w:tab/>
      </w:r>
      <w:r w:rsidRPr="00B045DB">
        <w:tab/>
      </w:r>
      <w:r w:rsidR="00D24047" w:rsidRPr="00B045DB">
        <w:t>EIA/IC/INFO/37</w:t>
      </w:r>
    </w:p>
    <w:p w14:paraId="1E63245F" w14:textId="50D359A9" w:rsidR="00D24047" w:rsidRPr="00B045DB" w:rsidRDefault="00D24047" w:rsidP="00D24047">
      <w:pPr>
        <w:pStyle w:val="SingleTxtG"/>
      </w:pPr>
      <w:r w:rsidRPr="00B045DB">
        <w:rPr>
          <w:iCs/>
        </w:rPr>
        <w:t>86.</w:t>
      </w:r>
      <w:r w:rsidRPr="00B045DB">
        <w:rPr>
          <w:iCs/>
        </w:rPr>
        <w:tab/>
      </w:r>
      <w:r w:rsidRPr="00B045DB">
        <w:t>Le Comité a débuté l</w:t>
      </w:r>
      <w:r w:rsidR="003B2315" w:rsidRPr="00B045DB">
        <w:t>’</w:t>
      </w:r>
      <w:r w:rsidRPr="00B045DB">
        <w:t>examen des informations communiquées le 14</w:t>
      </w:r>
      <w:r w:rsidR="00B71DDA" w:rsidRPr="00B045DB">
        <w:t> </w:t>
      </w:r>
      <w:r w:rsidRPr="00B045DB">
        <w:t>août 2023 par l</w:t>
      </w:r>
      <w:r w:rsidR="003B2315" w:rsidRPr="00B045DB">
        <w:t>’</w:t>
      </w:r>
      <w:r w:rsidRPr="00B045DB">
        <w:t>ONG bulgare «</w:t>
      </w:r>
      <w:r w:rsidR="00C93E84">
        <w:t xml:space="preserve"> </w:t>
      </w:r>
      <w:proofErr w:type="spellStart"/>
      <w:r w:rsidRPr="00B045DB">
        <w:t>Balkanka</w:t>
      </w:r>
      <w:proofErr w:type="spellEnd"/>
      <w:r w:rsidRPr="00B045DB">
        <w:t xml:space="preserve"> Association</w:t>
      </w:r>
      <w:r w:rsidR="00C93E84">
        <w:t xml:space="preserve"> </w:t>
      </w:r>
      <w:r w:rsidRPr="00B045DB">
        <w:t>» concernant plusieurs activités minières prévues en Bulgarie, près de la frontière avec la Grèce. Selon l</w:t>
      </w:r>
      <w:r w:rsidR="003B2315" w:rsidRPr="00B045DB">
        <w:t>’</w:t>
      </w:r>
      <w:r w:rsidRPr="00B045DB">
        <w:t>ONG, les mines d</w:t>
      </w:r>
      <w:r w:rsidR="003B2315" w:rsidRPr="00B045DB">
        <w:t>’</w:t>
      </w:r>
      <w:r w:rsidRPr="00B045DB">
        <w:t>or d</w:t>
      </w:r>
      <w:r w:rsidR="003B2315" w:rsidRPr="00B045DB">
        <w:t>’</w:t>
      </w:r>
      <w:r w:rsidRPr="00B045DB">
        <w:t xml:space="preserve">Ada </w:t>
      </w:r>
      <w:proofErr w:type="spellStart"/>
      <w:r w:rsidRPr="00B045DB">
        <w:t>Tepe</w:t>
      </w:r>
      <w:proofErr w:type="spellEnd"/>
      <w:r w:rsidRPr="00B045DB">
        <w:t xml:space="preserve"> et de </w:t>
      </w:r>
      <w:proofErr w:type="spellStart"/>
      <w:r w:rsidRPr="00B045DB">
        <w:t>Tintyava</w:t>
      </w:r>
      <w:proofErr w:type="spellEnd"/>
      <w:r w:rsidRPr="00B045DB">
        <w:t xml:space="preserve"> risquaient de contaminer les bassins transfrontières de la </w:t>
      </w:r>
      <w:proofErr w:type="spellStart"/>
      <w:r w:rsidRPr="00B045DB">
        <w:t>Byala</w:t>
      </w:r>
      <w:proofErr w:type="spellEnd"/>
      <w:r w:rsidRPr="00B045DB">
        <w:t xml:space="preserve"> </w:t>
      </w:r>
      <w:proofErr w:type="spellStart"/>
      <w:r w:rsidRPr="00B045DB">
        <w:t>Reka</w:t>
      </w:r>
      <w:proofErr w:type="spellEnd"/>
      <w:r w:rsidRPr="00B045DB">
        <w:t xml:space="preserve"> et de l</w:t>
      </w:r>
      <w:r w:rsidR="003B2315" w:rsidRPr="00B045DB">
        <w:t>’</w:t>
      </w:r>
      <w:r w:rsidRPr="00B045DB">
        <w:t>Arda</w:t>
      </w:r>
      <w:r w:rsidRPr="00B045DB">
        <w:rPr>
          <w:rStyle w:val="Appelnotedebasdep"/>
        </w:rPr>
        <w:footnoteReference w:id="73"/>
      </w:r>
      <w:r w:rsidRPr="00B045DB">
        <w:t>. Le Comité a demandé à la Bulgarie des informations sur l</w:t>
      </w:r>
      <w:r w:rsidR="003B2315" w:rsidRPr="00B045DB">
        <w:t>’</w:t>
      </w:r>
      <w:r w:rsidRPr="00B045DB">
        <w:t>activité prévue et l</w:t>
      </w:r>
      <w:r w:rsidR="003B2315" w:rsidRPr="00B045DB">
        <w:t>’</w:t>
      </w:r>
      <w:r w:rsidRPr="00B045DB">
        <w:t>application par la Bulgarie de la Convention, pour examen à sa cinquante-huitième session (Genève, 27</w:t>
      </w:r>
      <w:r w:rsidR="00B71DDA" w:rsidRPr="00B045DB">
        <w:t> </w:t>
      </w:r>
      <w:r w:rsidRPr="00B045DB">
        <w:t>février-1</w:t>
      </w:r>
      <w:r w:rsidRPr="00C93E84">
        <w:rPr>
          <w:vertAlign w:val="superscript"/>
        </w:rPr>
        <w:t>er</w:t>
      </w:r>
      <w:r w:rsidRPr="00B045DB">
        <w:t xml:space="preserve"> mars 2024).</w:t>
      </w:r>
    </w:p>
    <w:p w14:paraId="5C771080" w14:textId="01A69724" w:rsidR="00D24047" w:rsidRPr="00B045DB" w:rsidRDefault="00B71DDA" w:rsidP="00B71DDA">
      <w:pPr>
        <w:pStyle w:val="H23G"/>
      </w:pPr>
      <w:r w:rsidRPr="00B045DB">
        <w:lastRenderedPageBreak/>
        <w:tab/>
      </w:r>
      <w:r w:rsidR="00D24047" w:rsidRPr="00B045DB">
        <w:t>3.</w:t>
      </w:r>
      <w:r w:rsidR="00D24047" w:rsidRPr="00B045DB">
        <w:tab/>
        <w:t>Danemark</w:t>
      </w:r>
    </w:p>
    <w:p w14:paraId="5EC0DCFC" w14:textId="1247635E" w:rsidR="00D24047" w:rsidRPr="00B045DB" w:rsidRDefault="00B71DDA" w:rsidP="00B71DDA">
      <w:pPr>
        <w:pStyle w:val="H4G"/>
      </w:pPr>
      <w:r w:rsidRPr="00B045DB">
        <w:tab/>
      </w:r>
      <w:r w:rsidRPr="00B045DB">
        <w:tab/>
      </w:r>
      <w:r w:rsidR="00D24047" w:rsidRPr="00B045DB">
        <w:t>EIA/IC/INFO/30</w:t>
      </w:r>
    </w:p>
    <w:p w14:paraId="27EA8B43" w14:textId="700BD640" w:rsidR="00D24047" w:rsidRPr="00B045DB" w:rsidRDefault="00D24047" w:rsidP="00D24047">
      <w:pPr>
        <w:pStyle w:val="SingleTxtG"/>
      </w:pPr>
      <w:r w:rsidRPr="00B045DB">
        <w:rPr>
          <w:iCs/>
        </w:rPr>
        <w:t>87.</w:t>
      </w:r>
      <w:r w:rsidRPr="00B045DB">
        <w:rPr>
          <w:iCs/>
        </w:rPr>
        <w:tab/>
      </w:r>
      <w:r w:rsidRPr="00B045DB">
        <w:t>Suite à la demande de l</w:t>
      </w:r>
      <w:r w:rsidR="003B2315" w:rsidRPr="00B045DB">
        <w:t>’</w:t>
      </w:r>
      <w:r w:rsidRPr="00B045DB">
        <w:t>Ukraine en date du 22</w:t>
      </w:r>
      <w:r w:rsidR="00B71DDA" w:rsidRPr="00B045DB">
        <w:t> </w:t>
      </w:r>
      <w:r w:rsidRPr="00B045DB">
        <w:t>janvier 2019 visant à établir une commission d</w:t>
      </w:r>
      <w:r w:rsidR="003B2315" w:rsidRPr="00B045DB">
        <w:t>’</w:t>
      </w:r>
      <w:r w:rsidRPr="00B045DB">
        <w:t>enquête concernant la construction d</w:t>
      </w:r>
      <w:r w:rsidR="003B2315" w:rsidRPr="00B045DB">
        <w:t>’</w:t>
      </w:r>
      <w:r w:rsidRPr="00B045DB">
        <w:t>un gazoduc entre la Fédération de Russie et l</w:t>
      </w:r>
      <w:r w:rsidR="003B2315" w:rsidRPr="00B045DB">
        <w:t>’</w:t>
      </w:r>
      <w:r w:rsidRPr="00B045DB">
        <w:t>Allemagne (projet Nord Stream 2), le Comité a clarifié les conditions préalables à l</w:t>
      </w:r>
      <w:r w:rsidR="003B2315" w:rsidRPr="00B045DB">
        <w:t>’</w:t>
      </w:r>
      <w:r w:rsidRPr="00B045DB">
        <w:t>établissement d</w:t>
      </w:r>
      <w:r w:rsidR="003B2315" w:rsidRPr="00B045DB">
        <w:t>’</w:t>
      </w:r>
      <w:r w:rsidRPr="00B045DB">
        <w:t>une commission d</w:t>
      </w:r>
      <w:r w:rsidR="003B2315" w:rsidRPr="00B045DB">
        <w:t>’</w:t>
      </w:r>
      <w:r w:rsidRPr="00B045DB">
        <w:t>enquête en vertu de l</w:t>
      </w:r>
      <w:r w:rsidR="003B2315" w:rsidRPr="00B045DB">
        <w:t>’</w:t>
      </w:r>
      <w:r w:rsidRPr="00B045DB">
        <w:t>article 3 (par.</w:t>
      </w:r>
      <w:r w:rsidR="00B71DDA" w:rsidRPr="00B045DB">
        <w:t> </w:t>
      </w:r>
      <w:r w:rsidRPr="00B045DB">
        <w:t>7) et de l</w:t>
      </w:r>
      <w:r w:rsidR="003B2315" w:rsidRPr="00B045DB">
        <w:t>’</w:t>
      </w:r>
      <w:r w:rsidRPr="00B045DB">
        <w:t>appendice</w:t>
      </w:r>
      <w:r w:rsidR="00C93E84">
        <w:t> </w:t>
      </w:r>
      <w:r w:rsidRPr="00B045DB">
        <w:t xml:space="preserve">IV de la Convention et a recueilli des informations auprès </w:t>
      </w:r>
      <w:r w:rsidR="00C93E84" w:rsidRPr="00B045DB">
        <w:t>de l’</w:t>
      </w:r>
      <w:r w:rsidR="00C93E84">
        <w:t>Allemagne,</w:t>
      </w:r>
      <w:r w:rsidR="00C93E84" w:rsidRPr="00B045DB">
        <w:t xml:space="preserve"> </w:t>
      </w:r>
      <w:r w:rsidRPr="00B045DB">
        <w:t>du Danemark, de la Finlande</w:t>
      </w:r>
      <w:r w:rsidR="00C93E84">
        <w:t xml:space="preserve"> </w:t>
      </w:r>
      <w:r w:rsidRPr="00B045DB">
        <w:t>et de la Suède en tant que Parties d</w:t>
      </w:r>
      <w:r w:rsidR="003B2315" w:rsidRPr="00B045DB">
        <w:t>’</w:t>
      </w:r>
      <w:r w:rsidRPr="00B045DB">
        <w:t>origine. Le Comité a observé que toutes les Parties d</w:t>
      </w:r>
      <w:r w:rsidR="003B2315" w:rsidRPr="00B045DB">
        <w:t>’</w:t>
      </w:r>
      <w:r w:rsidRPr="00B045DB">
        <w:t>origine, à l</w:t>
      </w:r>
      <w:r w:rsidR="003B2315" w:rsidRPr="00B045DB">
        <w:t>’</w:t>
      </w:r>
      <w:r w:rsidRPr="00B045DB">
        <w:t>exception du Danemark, avaient réalisé une évaluation de l</w:t>
      </w:r>
      <w:r w:rsidR="003B2315" w:rsidRPr="00B045DB">
        <w:t>’</w:t>
      </w:r>
      <w:r w:rsidRPr="00B045DB">
        <w:t>impact transfrontière sur l</w:t>
      </w:r>
      <w:r w:rsidR="003B2315" w:rsidRPr="00B045DB">
        <w:t>’</w:t>
      </w:r>
      <w:r w:rsidRPr="00B045DB">
        <w:t>environnement en 2018.</w:t>
      </w:r>
    </w:p>
    <w:p w14:paraId="6BED4967" w14:textId="6C93EEC7" w:rsidR="00D24047" w:rsidRPr="00B045DB" w:rsidRDefault="00D24047" w:rsidP="00D24047">
      <w:pPr>
        <w:pStyle w:val="SingleTxtG"/>
      </w:pPr>
      <w:r w:rsidRPr="00B045DB">
        <w:t>88.</w:t>
      </w:r>
      <w:r w:rsidRPr="00B045DB">
        <w:tab/>
        <w:t>À la demande du Comité, le Danemark a fourni à l</w:t>
      </w:r>
      <w:r w:rsidR="003B2315" w:rsidRPr="00B045DB">
        <w:t>’</w:t>
      </w:r>
      <w:r w:rsidRPr="00B045DB">
        <w:t>Ukraine des informations suffisantes pour organiser des discussions au titre de l</w:t>
      </w:r>
      <w:r w:rsidR="003B2315" w:rsidRPr="00B045DB">
        <w:t>’</w:t>
      </w:r>
      <w:r w:rsidRPr="00B045DB">
        <w:t>article 3 (par.</w:t>
      </w:r>
      <w:r w:rsidR="00B71DDA" w:rsidRPr="00B045DB">
        <w:t> </w:t>
      </w:r>
      <w:r w:rsidRPr="00B045DB">
        <w:t>7), comme condition préalable à la création d</w:t>
      </w:r>
      <w:r w:rsidR="003B2315" w:rsidRPr="00B045DB">
        <w:t>’</w:t>
      </w:r>
      <w:r w:rsidRPr="00B045DB">
        <w:t>une commission d</w:t>
      </w:r>
      <w:r w:rsidR="003B2315" w:rsidRPr="00B045DB">
        <w:t>’</w:t>
      </w:r>
      <w:r w:rsidRPr="00B045DB">
        <w:t>enquête. À la suite des informations fournies par le Danemark, l</w:t>
      </w:r>
      <w:r w:rsidR="003B2315" w:rsidRPr="00B045DB">
        <w:t>’</w:t>
      </w:r>
      <w:r w:rsidRPr="00B045DB">
        <w:t>Ukraine a conclu qu</w:t>
      </w:r>
      <w:r w:rsidR="003B2315" w:rsidRPr="00B045DB">
        <w:t>’</w:t>
      </w:r>
      <w:r w:rsidRPr="00B045DB">
        <w:t>un impact transfrontière préjudiciable important d</w:t>
      </w:r>
      <w:r w:rsidR="003B2315" w:rsidRPr="00B045DB">
        <w:t>’</w:t>
      </w:r>
      <w:r w:rsidRPr="00B045DB">
        <w:t>une sous-section danoise du projet Nord Stream 2 n</w:t>
      </w:r>
      <w:r w:rsidR="003B2315" w:rsidRPr="00B045DB">
        <w:t>’</w:t>
      </w:r>
      <w:r w:rsidRPr="00B045DB">
        <w:t>était pas probable. Le Comité a estimé que le Danemark et l</w:t>
      </w:r>
      <w:r w:rsidR="003B2315" w:rsidRPr="00B045DB">
        <w:t>’</w:t>
      </w:r>
      <w:r w:rsidRPr="00B045DB">
        <w:t>Ukraine avaient conclu leurs discussions au titre de l</w:t>
      </w:r>
      <w:r w:rsidR="003B2315" w:rsidRPr="00B045DB">
        <w:t>’</w:t>
      </w:r>
      <w:r w:rsidRPr="00B045DB">
        <w:t>article 3 (par.</w:t>
      </w:r>
      <w:r w:rsidR="00B71DDA" w:rsidRPr="00B045DB">
        <w:t> </w:t>
      </w:r>
      <w:r w:rsidRPr="00B045DB">
        <w:t>7) de la Convention à la satisfaction des deux Parties et il a clos le dossier</w:t>
      </w:r>
      <w:r w:rsidRPr="00B045DB">
        <w:rPr>
          <w:rStyle w:val="Appelnotedebasdep"/>
        </w:rPr>
        <w:footnoteReference w:id="74"/>
      </w:r>
      <w:r w:rsidRPr="00B045DB">
        <w:t>.</w:t>
      </w:r>
    </w:p>
    <w:p w14:paraId="0925D9E0" w14:textId="5AF162BB" w:rsidR="00D24047" w:rsidRPr="00B045DB" w:rsidRDefault="00B71DDA" w:rsidP="00B71DDA">
      <w:pPr>
        <w:pStyle w:val="H23G"/>
      </w:pPr>
      <w:r w:rsidRPr="00B045DB">
        <w:tab/>
      </w:r>
      <w:r w:rsidR="00D24047" w:rsidRPr="00B045DB">
        <w:t>4.</w:t>
      </w:r>
      <w:r w:rsidR="00D24047" w:rsidRPr="00B045DB">
        <w:tab/>
        <w:t>Allemagne</w:t>
      </w:r>
    </w:p>
    <w:p w14:paraId="0C2417C2" w14:textId="443FBB23" w:rsidR="00D24047" w:rsidRPr="00B045DB" w:rsidRDefault="00B71DDA" w:rsidP="00B71DDA">
      <w:pPr>
        <w:pStyle w:val="H4G"/>
      </w:pPr>
      <w:r w:rsidRPr="00B045DB">
        <w:tab/>
      </w:r>
      <w:r w:rsidRPr="00B045DB">
        <w:tab/>
      </w:r>
      <w:r w:rsidR="00D24047" w:rsidRPr="00B045DB">
        <w:t>EIA/IC/INFO/35</w:t>
      </w:r>
    </w:p>
    <w:p w14:paraId="5FB0157D" w14:textId="2B28EA5B" w:rsidR="00D24047" w:rsidRPr="00B045DB" w:rsidRDefault="00D24047" w:rsidP="00D24047">
      <w:pPr>
        <w:pStyle w:val="SingleTxtG"/>
      </w:pPr>
      <w:r w:rsidRPr="00B045DB">
        <w:t>89.</w:t>
      </w:r>
      <w:r w:rsidR="00C93E84">
        <w:tab/>
      </w:r>
      <w:r w:rsidRPr="00B045DB">
        <w:t>À sa cinquante-septième session, le Comité a examiné des informations soumises par l</w:t>
      </w:r>
      <w:r w:rsidR="003B2315" w:rsidRPr="00B045DB">
        <w:t>’</w:t>
      </w:r>
      <w:r w:rsidRPr="00B045DB">
        <w:t xml:space="preserve">ONG allemande Deutsche </w:t>
      </w:r>
      <w:proofErr w:type="spellStart"/>
      <w:r w:rsidRPr="00B045DB">
        <w:t>Umwelthilfe</w:t>
      </w:r>
      <w:proofErr w:type="spellEnd"/>
      <w:r w:rsidRPr="00B045DB">
        <w:t xml:space="preserve"> les 29</w:t>
      </w:r>
      <w:r w:rsidR="00B71DDA" w:rsidRPr="00B045DB">
        <w:t> </w:t>
      </w:r>
      <w:r w:rsidRPr="00B045DB">
        <w:t>juin et 17</w:t>
      </w:r>
      <w:r w:rsidR="00B71DDA" w:rsidRPr="00B045DB">
        <w:t> </w:t>
      </w:r>
      <w:r w:rsidRPr="00B045DB">
        <w:t>juillet 2023, Coalition Clean Baltic et Greenpeace Pologne, les 5 et 21</w:t>
      </w:r>
      <w:r w:rsidR="00B71DDA" w:rsidRPr="00B045DB">
        <w:t> </w:t>
      </w:r>
      <w:r w:rsidRPr="00B045DB">
        <w:t>juillet 2023, respectivement, qui exprimaient des inquiétudes quant au respect par l</w:t>
      </w:r>
      <w:r w:rsidR="003B2315" w:rsidRPr="00B045DB">
        <w:t>’</w:t>
      </w:r>
      <w:r w:rsidRPr="00B045DB">
        <w:t>Allemagne de ses obligations au titre de la Convention concernant un projet de gaz naturel liquéfié dans la baie de Poméranie occidentale (mer</w:t>
      </w:r>
      <w:r w:rsidR="00B71DDA" w:rsidRPr="00B045DB">
        <w:t> </w:t>
      </w:r>
      <w:r w:rsidRPr="00B045DB">
        <w:t>Baltique). Le Comité a demandé à l</w:t>
      </w:r>
      <w:r w:rsidR="003B2315" w:rsidRPr="00B045DB">
        <w:t>’</w:t>
      </w:r>
      <w:r w:rsidRPr="00B045DB">
        <w:t>Allemagne des informations sur l</w:t>
      </w:r>
      <w:r w:rsidR="003B2315" w:rsidRPr="00B045DB">
        <w:t>’</w:t>
      </w:r>
      <w:r w:rsidRPr="00B045DB">
        <w:t>activité prévue et l</w:t>
      </w:r>
      <w:r w:rsidR="003B2315" w:rsidRPr="00B045DB">
        <w:t>’</w:t>
      </w:r>
      <w:r w:rsidRPr="00B045DB">
        <w:t>application par l</w:t>
      </w:r>
      <w:r w:rsidR="003B2315" w:rsidRPr="00B045DB">
        <w:t>’</w:t>
      </w:r>
      <w:r w:rsidRPr="00B045DB">
        <w:t>Allemagne de la Convention, pour examen à sa cinquante-huitième session</w:t>
      </w:r>
      <w:r w:rsidRPr="00B045DB">
        <w:rPr>
          <w:rStyle w:val="Appelnotedebasdep"/>
        </w:rPr>
        <w:footnoteReference w:id="75"/>
      </w:r>
      <w:r w:rsidRPr="00B045DB">
        <w:t>.</w:t>
      </w:r>
    </w:p>
    <w:p w14:paraId="0135361A" w14:textId="6570A7F5" w:rsidR="00D24047" w:rsidRPr="00B045DB" w:rsidRDefault="00B71DDA" w:rsidP="00B71DDA">
      <w:pPr>
        <w:pStyle w:val="H23G"/>
      </w:pPr>
      <w:r w:rsidRPr="00B045DB">
        <w:tab/>
      </w:r>
      <w:r w:rsidR="00D24047" w:rsidRPr="00B045DB">
        <w:t>5.</w:t>
      </w:r>
      <w:r w:rsidR="00D24047" w:rsidRPr="00B045DB">
        <w:tab/>
      </w:r>
      <w:r w:rsidR="00D24047" w:rsidRPr="00027956">
        <w:t>Pays-Bas</w:t>
      </w:r>
    </w:p>
    <w:p w14:paraId="7169472E" w14:textId="0FCCF868" w:rsidR="00D24047" w:rsidRPr="00B045DB" w:rsidRDefault="00B71DDA" w:rsidP="00B71DDA">
      <w:pPr>
        <w:pStyle w:val="H4G"/>
        <w:rPr>
          <w:b/>
        </w:rPr>
      </w:pPr>
      <w:r w:rsidRPr="00B045DB">
        <w:tab/>
      </w:r>
      <w:r w:rsidRPr="00B045DB">
        <w:tab/>
      </w:r>
      <w:r w:rsidR="00D24047" w:rsidRPr="00B045DB">
        <w:t>EIA/IC/INFO/15</w:t>
      </w:r>
    </w:p>
    <w:p w14:paraId="6EDC9157" w14:textId="0CA24993" w:rsidR="00D24047" w:rsidRPr="00B045DB" w:rsidRDefault="00D24047" w:rsidP="00D24047">
      <w:pPr>
        <w:pStyle w:val="SingleTxtG"/>
      </w:pPr>
      <w:r w:rsidRPr="00B045DB">
        <w:t>90.</w:t>
      </w:r>
      <w:r w:rsidRPr="00B045DB">
        <w:tab/>
        <w:t>Le Comité a examiné les informations fournies par l</w:t>
      </w:r>
      <w:r w:rsidR="003B2315" w:rsidRPr="00B045DB">
        <w:t>’</w:t>
      </w:r>
      <w:r w:rsidRPr="00B045DB">
        <w:t xml:space="preserve">ONG Greenpeace Pays-Bas concernant la prolongation de la durée de vie de la centrale nucléaire de </w:t>
      </w:r>
      <w:proofErr w:type="spellStart"/>
      <w:r w:rsidRPr="00A156A4">
        <w:t>Borssele</w:t>
      </w:r>
      <w:proofErr w:type="spellEnd"/>
      <w:r w:rsidRPr="00A156A4">
        <w:t xml:space="preserve"> </w:t>
      </w:r>
      <w:bookmarkStart w:id="0" w:name="_Hlk150778169"/>
      <w:r w:rsidR="00A156A4">
        <w:t>au</w:t>
      </w:r>
      <w:r w:rsidR="006D26A0">
        <w:t>x</w:t>
      </w:r>
      <w:r w:rsidR="00A156A4">
        <w:t xml:space="preserve"> Pays</w:t>
      </w:r>
      <w:r w:rsidR="006D26A0">
        <w:noBreakHyphen/>
      </w:r>
      <w:r w:rsidR="00A156A4">
        <w:t>Bas</w:t>
      </w:r>
      <w:r w:rsidRPr="00A156A4">
        <w:t xml:space="preserve">, ainsi que des informations complémentaires provenant </w:t>
      </w:r>
      <w:r w:rsidR="00A156A4">
        <w:t>des</w:t>
      </w:r>
      <w:r w:rsidRPr="00A156A4">
        <w:t xml:space="preserve"> Pays</w:t>
      </w:r>
      <w:r w:rsidR="00A156A4">
        <w:noBreakHyphen/>
      </w:r>
      <w:r w:rsidRPr="00A156A4">
        <w:t xml:space="preserve">Bas, </w:t>
      </w:r>
      <w:bookmarkEnd w:id="0"/>
      <w:r w:rsidRPr="00A156A4">
        <w:t>de la Belgique et de l</w:t>
      </w:r>
      <w:r w:rsidR="003B2315" w:rsidRPr="00A156A4">
        <w:t>’</w:t>
      </w:r>
      <w:r w:rsidRPr="00A156A4">
        <w:t>Allemagne, à la lumière des Lignes directrices. Il a estimé que l</w:t>
      </w:r>
      <w:r w:rsidR="003B2315" w:rsidRPr="00A156A4">
        <w:t>’</w:t>
      </w:r>
      <w:r w:rsidRPr="00A156A4">
        <w:t>activité était liée aux situations décrites dans les Lignes directrices</w:t>
      </w:r>
      <w:r w:rsidRPr="00A156A4">
        <w:rPr>
          <w:rStyle w:val="Appelnotedebasdep"/>
        </w:rPr>
        <w:footnoteReference w:id="76"/>
      </w:r>
      <w:r w:rsidRPr="00A156A4">
        <w:t>.</w:t>
      </w:r>
      <w:r w:rsidRPr="00B045DB">
        <w:t xml:space="preserve"> À sa cinquante</w:t>
      </w:r>
      <w:r w:rsidR="001F28CD">
        <w:noBreakHyphen/>
      </w:r>
      <w:r w:rsidRPr="00B045DB">
        <w:t>septième session, le Comité est convenu que le renouvellement de l</w:t>
      </w:r>
      <w:r w:rsidR="003B2315" w:rsidRPr="00B045DB">
        <w:t>’</w:t>
      </w:r>
      <w:r w:rsidRPr="00B045DB">
        <w:t>autorisation d</w:t>
      </w:r>
      <w:r w:rsidR="003B2315" w:rsidRPr="00B045DB">
        <w:t>’</w:t>
      </w:r>
      <w:r w:rsidRPr="00B045DB">
        <w:t>exploitation de la centrale nucléaire était une prolongation de la durée de vie et que les modifications qui étaient des conditions préalables à la prolongation de la durée de vie étaient soumises à des évaluations de l</w:t>
      </w:r>
      <w:r w:rsidR="003B2315" w:rsidRPr="00B045DB">
        <w:t>’</w:t>
      </w:r>
      <w:r w:rsidRPr="00B045DB">
        <w:t>impact sur l</w:t>
      </w:r>
      <w:r w:rsidR="003B2315" w:rsidRPr="00B045DB">
        <w:t>’</w:t>
      </w:r>
      <w:r w:rsidRPr="00B045DB">
        <w:t>environnement</w:t>
      </w:r>
      <w:r w:rsidRPr="00AA430A">
        <w:t>. S</w:t>
      </w:r>
      <w:r w:rsidR="003B2315" w:rsidRPr="00AA430A">
        <w:t>’</w:t>
      </w:r>
      <w:r w:rsidRPr="00AA430A">
        <w:t>agissant de la notification, il n</w:t>
      </w:r>
      <w:r w:rsidR="003B2315" w:rsidRPr="00AA430A">
        <w:t>’</w:t>
      </w:r>
      <w:r w:rsidRPr="00AA430A">
        <w:t>existait pas de sérieuse suspicion de non-respect sur la base des faits en l</w:t>
      </w:r>
      <w:r w:rsidR="003B2315" w:rsidRPr="00AA430A">
        <w:t>’</w:t>
      </w:r>
      <w:r w:rsidRPr="00AA430A">
        <w:t>espèce. Le Comité a clos le dossier et a accueilli avec satisfaction la récente application par le</w:t>
      </w:r>
      <w:r w:rsidR="006D26A0">
        <w:t xml:space="preserve">s </w:t>
      </w:r>
      <w:r w:rsidRPr="00AA430A">
        <w:t>Pays-Bas de la Convention dans le cadre du processus de prolongation de la durée d</w:t>
      </w:r>
      <w:r w:rsidR="003B2315" w:rsidRPr="00AA430A">
        <w:t>’</w:t>
      </w:r>
      <w:r w:rsidRPr="00AA430A">
        <w:t xml:space="preserve">exploitation de la centrale nucléaire de </w:t>
      </w:r>
      <w:proofErr w:type="spellStart"/>
      <w:r w:rsidRPr="00AA430A">
        <w:t>Borssele</w:t>
      </w:r>
      <w:proofErr w:type="spellEnd"/>
      <w:r w:rsidRPr="00AA430A">
        <w:t xml:space="preserve"> au-delà de 2033</w:t>
      </w:r>
      <w:r w:rsidRPr="00AA430A">
        <w:rPr>
          <w:rStyle w:val="Appelnotedebasdep"/>
        </w:rPr>
        <w:footnoteReference w:id="77"/>
      </w:r>
      <w:r w:rsidRPr="00AA430A">
        <w:t>.</w:t>
      </w:r>
    </w:p>
    <w:p w14:paraId="1EC0B610" w14:textId="799B55D1" w:rsidR="00D24047" w:rsidRPr="00B045DB" w:rsidRDefault="00B71DDA" w:rsidP="00B71DDA">
      <w:pPr>
        <w:pStyle w:val="H23G"/>
      </w:pPr>
      <w:r w:rsidRPr="00B045DB">
        <w:lastRenderedPageBreak/>
        <w:tab/>
      </w:r>
      <w:r w:rsidR="00D24047" w:rsidRPr="00B045DB">
        <w:t>6.</w:t>
      </w:r>
      <w:r w:rsidR="00D24047" w:rsidRPr="00B045DB">
        <w:tab/>
        <w:t>Macédoine du Nord</w:t>
      </w:r>
    </w:p>
    <w:p w14:paraId="6215363D" w14:textId="23393D4A" w:rsidR="00D24047" w:rsidRPr="00B045DB" w:rsidRDefault="00B71DDA" w:rsidP="00B71DDA">
      <w:pPr>
        <w:pStyle w:val="H4G"/>
      </w:pPr>
      <w:r w:rsidRPr="00B045DB">
        <w:tab/>
      </w:r>
      <w:r w:rsidRPr="00B045DB">
        <w:tab/>
      </w:r>
      <w:r w:rsidR="00D24047" w:rsidRPr="00B045DB">
        <w:t>EIA/IC/INFO/36</w:t>
      </w:r>
    </w:p>
    <w:p w14:paraId="62CEA55D" w14:textId="46F51BEA" w:rsidR="00D24047" w:rsidRPr="00B045DB" w:rsidRDefault="00D24047" w:rsidP="00D24047">
      <w:pPr>
        <w:pStyle w:val="SingleTxtG"/>
      </w:pPr>
      <w:r w:rsidRPr="00B045DB">
        <w:rPr>
          <w:iCs/>
        </w:rPr>
        <w:t>91.</w:t>
      </w:r>
      <w:r w:rsidRPr="00B045DB">
        <w:rPr>
          <w:iCs/>
        </w:rPr>
        <w:tab/>
        <w:t xml:space="preserve">À </w:t>
      </w:r>
      <w:r w:rsidRPr="00B045DB">
        <w:t>sa cinquante-septième session, le Comité a commencé à examiner les informations soumises le 19</w:t>
      </w:r>
      <w:r w:rsidR="00B71DDA" w:rsidRPr="00B045DB">
        <w:t> </w:t>
      </w:r>
      <w:r w:rsidRPr="00B045DB">
        <w:t>juillet 2023 par l</w:t>
      </w:r>
      <w:r w:rsidR="003B2315" w:rsidRPr="00B045DB">
        <w:t>’</w:t>
      </w:r>
      <w:r w:rsidRPr="00B045DB">
        <w:t xml:space="preserve">ONG bulgare </w:t>
      </w:r>
      <w:proofErr w:type="spellStart"/>
      <w:r w:rsidRPr="00B045DB">
        <w:t>Balkanka</w:t>
      </w:r>
      <w:proofErr w:type="spellEnd"/>
      <w:r w:rsidRPr="00B045DB">
        <w:t xml:space="preserve"> Association, qui exprimait des préoccupations quant au respect par la Macédoine du Nord de ses obligations au titre de la Convention concernant le développement d</w:t>
      </w:r>
      <w:r w:rsidR="003B2315" w:rsidRPr="00B045DB">
        <w:t>’</w:t>
      </w:r>
      <w:r w:rsidRPr="00B045DB">
        <w:t>une mine d</w:t>
      </w:r>
      <w:r w:rsidR="003B2315" w:rsidRPr="00B045DB">
        <w:t>’</w:t>
      </w:r>
      <w:r w:rsidRPr="00B045DB">
        <w:t>or et de cuivre près de la frontière avec la Bulgarie. Le Comité a demandé à la Macédoine du Nord des informations sur l</w:t>
      </w:r>
      <w:r w:rsidR="003B2315" w:rsidRPr="00B045DB">
        <w:t>’</w:t>
      </w:r>
      <w:r w:rsidRPr="00B045DB">
        <w:t>activité prévue et l</w:t>
      </w:r>
      <w:r w:rsidR="003B2315" w:rsidRPr="00B045DB">
        <w:t>’</w:t>
      </w:r>
      <w:r w:rsidRPr="00B045DB">
        <w:t>application par la Macédoine du Nord de la Convention, pour examen à sa cinquante-huitième session</w:t>
      </w:r>
      <w:r w:rsidRPr="00B045DB">
        <w:rPr>
          <w:rStyle w:val="Appelnotedebasdep"/>
        </w:rPr>
        <w:footnoteReference w:id="78"/>
      </w:r>
      <w:r w:rsidRPr="00B045DB">
        <w:t>.</w:t>
      </w:r>
    </w:p>
    <w:p w14:paraId="2CAACD82" w14:textId="6D5EAD91" w:rsidR="00D24047" w:rsidRPr="00B045DB" w:rsidRDefault="00B71DDA" w:rsidP="00B71DDA">
      <w:pPr>
        <w:pStyle w:val="H23G"/>
      </w:pPr>
      <w:r w:rsidRPr="00B045DB">
        <w:tab/>
      </w:r>
      <w:r w:rsidR="00D24047" w:rsidRPr="00B045DB">
        <w:t>7.</w:t>
      </w:r>
      <w:r w:rsidR="00D24047" w:rsidRPr="00B045DB">
        <w:tab/>
        <w:t>Espagne</w:t>
      </w:r>
    </w:p>
    <w:p w14:paraId="2F9ABD35" w14:textId="760C9558" w:rsidR="00D24047" w:rsidRPr="00B045DB" w:rsidRDefault="00B71DDA" w:rsidP="00B71DDA">
      <w:pPr>
        <w:pStyle w:val="H4G"/>
      </w:pPr>
      <w:r w:rsidRPr="00B045DB">
        <w:tab/>
      </w:r>
      <w:r w:rsidRPr="00B045DB">
        <w:tab/>
      </w:r>
      <w:r w:rsidR="00D24047" w:rsidRPr="00B045DB">
        <w:t>EIA/IC/INFO/34</w:t>
      </w:r>
    </w:p>
    <w:p w14:paraId="5E5970F2" w14:textId="20179AC9" w:rsidR="00D24047" w:rsidRPr="00B045DB" w:rsidRDefault="00D24047" w:rsidP="00D24047">
      <w:pPr>
        <w:pStyle w:val="SingleTxtG"/>
      </w:pPr>
      <w:r w:rsidRPr="00B045DB">
        <w:rPr>
          <w:iCs/>
        </w:rPr>
        <w:t>92.</w:t>
      </w:r>
      <w:r w:rsidRPr="00B045DB">
        <w:rPr>
          <w:iCs/>
        </w:rPr>
        <w:tab/>
      </w:r>
      <w:r w:rsidRPr="00B045DB">
        <w:t>Le Comité a examiné les informations qu</w:t>
      </w:r>
      <w:r w:rsidR="003B2315" w:rsidRPr="00B045DB">
        <w:t>’</w:t>
      </w:r>
      <w:r w:rsidRPr="00B045DB">
        <w:t>il avait recueillies après avoir reçu, le 30</w:t>
      </w:r>
      <w:r w:rsidR="00B71DDA" w:rsidRPr="00B045DB">
        <w:t> </w:t>
      </w:r>
      <w:r w:rsidRPr="00B045DB">
        <w:t xml:space="preserve">juillet 2020, des renseignements communiqués par le parti politique portugais </w:t>
      </w:r>
      <w:proofErr w:type="spellStart"/>
      <w:r w:rsidRPr="00B045DB">
        <w:t>Pessoas</w:t>
      </w:r>
      <w:proofErr w:type="spellEnd"/>
      <w:r w:rsidR="00600AE0">
        <w:noBreakHyphen/>
      </w:r>
      <w:r w:rsidRPr="00B045DB">
        <w:t>Animais-</w:t>
      </w:r>
      <w:proofErr w:type="spellStart"/>
      <w:r w:rsidRPr="00B045DB">
        <w:t>Natureza</w:t>
      </w:r>
      <w:proofErr w:type="spellEnd"/>
      <w:r w:rsidRPr="00B045DB">
        <w:t>, qui exprimait ses préoccupations quant à la non-application de la Convention par l</w:t>
      </w:r>
      <w:r w:rsidR="003B2315" w:rsidRPr="00B045DB">
        <w:t>’</w:t>
      </w:r>
      <w:r w:rsidRPr="00B045DB">
        <w:t>Espagne pour la prolongation prévue de la durée de vie de deux tranches de la centrale nucléaire d</w:t>
      </w:r>
      <w:r w:rsidR="003B2315" w:rsidRPr="00B045DB">
        <w:t>’</w:t>
      </w:r>
      <w:proofErr w:type="spellStart"/>
      <w:r w:rsidRPr="00B045DB">
        <w:t>Almaraz</w:t>
      </w:r>
      <w:proofErr w:type="spellEnd"/>
      <w:r w:rsidRPr="00B045DB">
        <w:t>. Après avoir examiné les informations à la lumière des Lignes directrices, le Comité a estimé que l</w:t>
      </w:r>
      <w:r w:rsidR="003B2315" w:rsidRPr="00B045DB">
        <w:t>’</w:t>
      </w:r>
      <w:r w:rsidRPr="00B045DB">
        <w:t>activité était liée à une situation déterminée décrite dans les Lignes directrices, notamment que le renouvellement de l</w:t>
      </w:r>
      <w:r w:rsidR="003B2315" w:rsidRPr="00B045DB">
        <w:t>’</w:t>
      </w:r>
      <w:r w:rsidRPr="00B045DB">
        <w:t>autorisation d</w:t>
      </w:r>
      <w:r w:rsidR="003B2315" w:rsidRPr="00B045DB">
        <w:t>’</w:t>
      </w:r>
      <w:r w:rsidRPr="00B045DB">
        <w:t>exploitation était une prolongation de la durée de vie au sens des Lignes directrices. Toutefois, le Comité n</w:t>
      </w:r>
      <w:r w:rsidR="003B2315" w:rsidRPr="00B045DB">
        <w:t>’</w:t>
      </w:r>
      <w:r w:rsidRPr="00B045DB">
        <w:t>a pas considéré que la prolongation de la durée de vie constituait une modification majeure, compte tenu de l</w:t>
      </w:r>
      <w:r w:rsidR="003B2315" w:rsidRPr="00B045DB">
        <w:t>’</w:t>
      </w:r>
      <w:r w:rsidRPr="00B045DB">
        <w:t>ampleur des travaux physiques, de la durée de la prolongation et de la décision de l</w:t>
      </w:r>
      <w:r w:rsidR="003B2315" w:rsidRPr="00B045DB">
        <w:t>’</w:t>
      </w:r>
      <w:r w:rsidRPr="00B045DB">
        <w:t>Espagne de sortir progressivement de l</w:t>
      </w:r>
      <w:r w:rsidR="003B2315" w:rsidRPr="00B045DB">
        <w:t>’</w:t>
      </w:r>
      <w:r w:rsidRPr="00B045DB">
        <w:t>énergie nucléaire. Le Comité a conclu que les informations mises à sa disposition ne faisaient pas naître une sérieuse suspicion de non-respect par l</w:t>
      </w:r>
      <w:r w:rsidR="003B2315" w:rsidRPr="00B045DB">
        <w:t>’</w:t>
      </w:r>
      <w:r w:rsidRPr="00B045DB">
        <w:t>Espagne de ses obligations au titre de la Convention et a clos le dossier</w:t>
      </w:r>
      <w:r w:rsidRPr="00B045DB">
        <w:rPr>
          <w:rStyle w:val="Appelnotedebasdep"/>
        </w:rPr>
        <w:footnoteReference w:id="79"/>
      </w:r>
      <w:r w:rsidRPr="00B045DB">
        <w:t>.</w:t>
      </w:r>
    </w:p>
    <w:p w14:paraId="284ED3D3" w14:textId="00C4076C" w:rsidR="00D24047" w:rsidRPr="00B045DB" w:rsidRDefault="00B71DDA" w:rsidP="00B71DDA">
      <w:pPr>
        <w:pStyle w:val="H23G"/>
      </w:pPr>
      <w:r w:rsidRPr="00B045DB">
        <w:tab/>
      </w:r>
      <w:r w:rsidR="00D24047" w:rsidRPr="00B045DB">
        <w:t>8.</w:t>
      </w:r>
      <w:r w:rsidR="00D24047" w:rsidRPr="00B045DB">
        <w:tab/>
        <w:t>Suisse</w:t>
      </w:r>
    </w:p>
    <w:p w14:paraId="73210C4F" w14:textId="48414812" w:rsidR="00D24047" w:rsidRPr="00B045DB" w:rsidRDefault="00B71DDA" w:rsidP="00B71DDA">
      <w:pPr>
        <w:pStyle w:val="H4G"/>
      </w:pPr>
      <w:r w:rsidRPr="00B045DB">
        <w:tab/>
      </w:r>
      <w:r w:rsidRPr="00B045DB">
        <w:tab/>
      </w:r>
      <w:r w:rsidR="00D24047" w:rsidRPr="00B045DB">
        <w:t>ECE/IC/INFO/25</w:t>
      </w:r>
    </w:p>
    <w:p w14:paraId="55E2178D" w14:textId="1D3DDA9F" w:rsidR="00D24047" w:rsidRPr="00B045DB" w:rsidRDefault="00D24047" w:rsidP="00D24047">
      <w:pPr>
        <w:pStyle w:val="SingleTxtG"/>
      </w:pPr>
      <w:r w:rsidRPr="00F35D5A">
        <w:rPr>
          <w:iCs/>
        </w:rPr>
        <w:t>93.</w:t>
      </w:r>
      <w:r w:rsidRPr="00F35D5A">
        <w:rPr>
          <w:iCs/>
        </w:rPr>
        <w:tab/>
        <w:t xml:space="preserve">À </w:t>
      </w:r>
      <w:r w:rsidRPr="00F35D5A">
        <w:t>sa cinquantième session, le Comité a pris note des informations communiquées par la Suisse selon lesquelles l</w:t>
      </w:r>
      <w:r w:rsidR="003B2315" w:rsidRPr="00F35D5A">
        <w:t>’</w:t>
      </w:r>
      <w:r w:rsidRPr="00F35D5A">
        <w:t>impact environnemental des voies de circulation à grande vitesse à partir de deux pistes de l</w:t>
      </w:r>
      <w:r w:rsidR="003B2315" w:rsidRPr="00F35D5A">
        <w:t>’</w:t>
      </w:r>
      <w:r w:rsidRPr="00F35D5A">
        <w:t>aéroport de Zurich et les modifications apportées au règlement d</w:t>
      </w:r>
      <w:r w:rsidR="003B2315" w:rsidRPr="00F35D5A">
        <w:t>’</w:t>
      </w:r>
      <w:r w:rsidRPr="00F35D5A">
        <w:t>exploitation de 2014 avaient fait l</w:t>
      </w:r>
      <w:r w:rsidR="003B2315" w:rsidRPr="00F35D5A">
        <w:t>’</w:t>
      </w:r>
      <w:r w:rsidRPr="00F35D5A">
        <w:t>objet d</w:t>
      </w:r>
      <w:r w:rsidR="003B2315" w:rsidRPr="00F35D5A">
        <w:t>’</w:t>
      </w:r>
      <w:r w:rsidRPr="00F35D5A">
        <w:t>une évaluation cumulative dans le cadre de la procédure d</w:t>
      </w:r>
      <w:r w:rsidR="003B2315" w:rsidRPr="00F35D5A">
        <w:t>’</w:t>
      </w:r>
      <w:r w:rsidRPr="00F35D5A">
        <w:t>évaluation de l</w:t>
      </w:r>
      <w:r w:rsidR="003B2315" w:rsidRPr="00F35D5A">
        <w:t>’</w:t>
      </w:r>
      <w:r w:rsidRPr="00F35D5A">
        <w:t>impact sur l</w:t>
      </w:r>
      <w:r w:rsidR="003B2315" w:rsidRPr="00F35D5A">
        <w:t>’</w:t>
      </w:r>
      <w:r w:rsidRPr="00F35D5A">
        <w:t>environnement 2013-2014 et qu</w:t>
      </w:r>
      <w:r w:rsidR="003B2315" w:rsidRPr="00F35D5A">
        <w:t>’</w:t>
      </w:r>
      <w:r w:rsidRPr="00F35D5A">
        <w:t>il avait été démontré qu</w:t>
      </w:r>
      <w:r w:rsidR="003B2315" w:rsidRPr="00F35D5A">
        <w:t>’</w:t>
      </w:r>
      <w:r w:rsidRPr="00F35D5A">
        <w:t>un impact préjudiciable important sur le territoire de l</w:t>
      </w:r>
      <w:r w:rsidR="003B2315" w:rsidRPr="00F35D5A">
        <w:t>’</w:t>
      </w:r>
      <w:r w:rsidRPr="00F35D5A">
        <w:t>Allemagne n</w:t>
      </w:r>
      <w:r w:rsidR="003B2315" w:rsidRPr="00F35D5A">
        <w:t>’</w:t>
      </w:r>
      <w:r w:rsidRPr="00F35D5A">
        <w:t>était pas probable. Considérant que l</w:t>
      </w:r>
      <w:r w:rsidR="003B2315" w:rsidRPr="00F35D5A">
        <w:t>’</w:t>
      </w:r>
      <w:r w:rsidRPr="00F35D5A">
        <w:t>Allemagne n</w:t>
      </w:r>
      <w:r w:rsidR="003B2315" w:rsidRPr="00F35D5A">
        <w:t>’</w:t>
      </w:r>
      <w:r w:rsidRPr="00F35D5A">
        <w:t>avait pas démontré sa volonté d</w:t>
      </w:r>
      <w:r w:rsidR="003B2315" w:rsidRPr="00F35D5A">
        <w:t>’</w:t>
      </w:r>
      <w:r w:rsidRPr="00F35D5A">
        <w:t>utiliser le mécanisme prévu à l</w:t>
      </w:r>
      <w:r w:rsidR="003B2315" w:rsidRPr="00F35D5A">
        <w:t>’</w:t>
      </w:r>
      <w:r w:rsidRPr="00F35D5A">
        <w:t>article 3 (par.</w:t>
      </w:r>
      <w:r w:rsidR="00B71DDA" w:rsidRPr="00F35D5A">
        <w:t> </w:t>
      </w:r>
      <w:r w:rsidRPr="00F35D5A">
        <w:t>7) et que les Parties ont communiqué bilatéralement sur la mise en œuvre des activités proposées, le Comité est convenu qu</w:t>
      </w:r>
      <w:r w:rsidR="003B2315" w:rsidRPr="00F35D5A">
        <w:t>’</w:t>
      </w:r>
      <w:r w:rsidRPr="00F35D5A">
        <w:t>il n</w:t>
      </w:r>
      <w:r w:rsidR="003B2315" w:rsidRPr="00F35D5A">
        <w:t>’</w:t>
      </w:r>
      <w:r w:rsidRPr="00F35D5A">
        <w:t>y avait pas lieu de poursuivre l</w:t>
      </w:r>
      <w:r w:rsidR="003B2315" w:rsidRPr="00F35D5A">
        <w:t>’</w:t>
      </w:r>
      <w:r w:rsidRPr="00F35D5A">
        <w:t>examen de la question. Il a encouragé la Suisse à appliquer l</w:t>
      </w:r>
      <w:r w:rsidR="003B2315" w:rsidRPr="00F35D5A">
        <w:t>’</w:t>
      </w:r>
      <w:r w:rsidRPr="00F35D5A">
        <w:t>article 2 (par.</w:t>
      </w:r>
      <w:r w:rsidR="00B71DDA" w:rsidRPr="00F35D5A">
        <w:t> </w:t>
      </w:r>
      <w:r w:rsidRPr="00F35D5A">
        <w:t>7) à toute décision future concernant l</w:t>
      </w:r>
      <w:r w:rsidR="003B2315" w:rsidRPr="00F35D5A">
        <w:t>’</w:t>
      </w:r>
      <w:r w:rsidRPr="00F35D5A">
        <w:t>aéroport de Zurich, ou à des aménagements stratégiques analogues, et a clos l</w:t>
      </w:r>
      <w:r w:rsidR="003B2315" w:rsidRPr="00F35D5A">
        <w:t>’</w:t>
      </w:r>
      <w:r w:rsidRPr="00F35D5A">
        <w:t>affaire</w:t>
      </w:r>
      <w:r w:rsidRPr="00F35D5A">
        <w:rPr>
          <w:rStyle w:val="Appelnotedebasdep"/>
        </w:rPr>
        <w:footnoteReference w:id="80"/>
      </w:r>
      <w:r w:rsidRPr="00F35D5A">
        <w:t>.</w:t>
      </w:r>
    </w:p>
    <w:p w14:paraId="5DAE68F1" w14:textId="484FE5F3" w:rsidR="00D24047" w:rsidRPr="00B045DB" w:rsidRDefault="00B71DDA" w:rsidP="00B71DDA">
      <w:pPr>
        <w:pStyle w:val="H23G"/>
      </w:pPr>
      <w:r w:rsidRPr="00B045DB">
        <w:tab/>
      </w:r>
      <w:r w:rsidR="00D24047" w:rsidRPr="00B045DB">
        <w:t>9.</w:t>
      </w:r>
      <w:r w:rsidR="00D24047" w:rsidRPr="00B045DB">
        <w:tab/>
        <w:t>Ukraine</w:t>
      </w:r>
    </w:p>
    <w:p w14:paraId="06FCD4E6" w14:textId="0B975977" w:rsidR="00D24047" w:rsidRPr="00B045DB" w:rsidRDefault="00B71DDA" w:rsidP="00B71DDA">
      <w:pPr>
        <w:pStyle w:val="H4G"/>
      </w:pPr>
      <w:r w:rsidRPr="00B045DB">
        <w:tab/>
      </w:r>
      <w:r w:rsidRPr="00B045DB">
        <w:tab/>
      </w:r>
      <w:r w:rsidR="00D24047" w:rsidRPr="00B045DB">
        <w:t>EIA/IC/INFO/10</w:t>
      </w:r>
    </w:p>
    <w:p w14:paraId="2C802BE3" w14:textId="21239DB5" w:rsidR="00D24047" w:rsidRPr="00B045DB" w:rsidRDefault="00D24047" w:rsidP="00D24047">
      <w:pPr>
        <w:pStyle w:val="SingleTxtG"/>
      </w:pPr>
      <w:r w:rsidRPr="00B045DB">
        <w:rPr>
          <w:iCs/>
        </w:rPr>
        <w:t>94.</w:t>
      </w:r>
      <w:r w:rsidRPr="00B045DB">
        <w:rPr>
          <w:iCs/>
        </w:rPr>
        <w:tab/>
      </w:r>
      <w:r w:rsidRPr="00B045DB">
        <w:t>Le Comité a examiné les informations fournies par l</w:t>
      </w:r>
      <w:r w:rsidR="003B2315" w:rsidRPr="00B045DB">
        <w:t>’</w:t>
      </w:r>
      <w:r w:rsidRPr="00B045DB">
        <w:t xml:space="preserve">ONG biélorusse </w:t>
      </w:r>
      <w:proofErr w:type="spellStart"/>
      <w:r w:rsidRPr="00B045DB">
        <w:t>Ecohome</w:t>
      </w:r>
      <w:proofErr w:type="spellEnd"/>
      <w:r w:rsidRPr="00B045DB">
        <w:t xml:space="preserve"> concernant le projet de construction de deux tranches de la centrale nucléaire de </w:t>
      </w:r>
      <w:proofErr w:type="spellStart"/>
      <w:r w:rsidRPr="00B045DB">
        <w:t>Khmelnitsky</w:t>
      </w:r>
      <w:proofErr w:type="spellEnd"/>
      <w:r w:rsidRPr="00B045DB">
        <w:t xml:space="preserve"> en Ukraine, à proximité des frontières avec le Bélarus, la République de Moldova et la Roumanie. Au cours des consultations informelles tenues par le Comité à sa cinquante</w:t>
      </w:r>
      <w:r w:rsidR="00B71DDA" w:rsidRPr="00B045DB">
        <w:noBreakHyphen/>
      </w:r>
      <w:r w:rsidRPr="00B045DB">
        <w:t>sixième session, l</w:t>
      </w:r>
      <w:r w:rsidR="003B2315" w:rsidRPr="00B045DB">
        <w:t>’</w:t>
      </w:r>
      <w:r w:rsidRPr="00B045DB">
        <w:t>Ukraine a expliqué qu</w:t>
      </w:r>
      <w:r w:rsidR="003B2315" w:rsidRPr="00B045DB">
        <w:t>’</w:t>
      </w:r>
      <w:r w:rsidRPr="00B045DB">
        <w:t xml:space="preserve">elle ne savait pas si la décision serait </w:t>
      </w:r>
      <w:r w:rsidRPr="00B045DB">
        <w:lastRenderedPageBreak/>
        <w:t>prise au cours de la période de validité des conclusions de l</w:t>
      </w:r>
      <w:r w:rsidR="003B2315" w:rsidRPr="00B045DB">
        <w:t>’</w:t>
      </w:r>
      <w:r w:rsidRPr="00B045DB">
        <w:t>évaluation de l</w:t>
      </w:r>
      <w:r w:rsidR="003B2315" w:rsidRPr="00B045DB">
        <w:t>’</w:t>
      </w:r>
      <w:r w:rsidRPr="00B045DB">
        <w:t>impact sur l</w:t>
      </w:r>
      <w:r w:rsidR="003B2315" w:rsidRPr="00B045DB">
        <w:t>’</w:t>
      </w:r>
      <w:r w:rsidRPr="00B045DB">
        <w:t>environnement, soit jusqu</w:t>
      </w:r>
      <w:r w:rsidR="003B2315" w:rsidRPr="00B045DB">
        <w:t>’</w:t>
      </w:r>
      <w:r w:rsidRPr="00B045DB">
        <w:t>en 2026. Le Comité a conseillé à l</w:t>
      </w:r>
      <w:r w:rsidR="003B2315" w:rsidRPr="00B045DB">
        <w:t>’</w:t>
      </w:r>
      <w:r w:rsidRPr="00B045DB">
        <w:t>Ukraine d</w:t>
      </w:r>
      <w:r w:rsidR="003B2315" w:rsidRPr="00B045DB">
        <w:t>’</w:t>
      </w:r>
      <w:r w:rsidRPr="00B045DB">
        <w:t>informer les Parties concernées en conséquence et</w:t>
      </w:r>
      <w:r w:rsidRPr="00B045DB">
        <w:rPr>
          <w:rStyle w:val="Appelnotedebasdep"/>
        </w:rPr>
        <w:footnoteReference w:id="81"/>
      </w:r>
      <w:r w:rsidRPr="00B045DB">
        <w:t>, en l</w:t>
      </w:r>
      <w:r w:rsidR="003B2315" w:rsidRPr="00B045DB">
        <w:t>’</w:t>
      </w:r>
      <w:r w:rsidRPr="00B045DB">
        <w:t>absence de nouvelles informations de la part de l</w:t>
      </w:r>
      <w:r w:rsidR="003B2315" w:rsidRPr="00B045DB">
        <w:t>’</w:t>
      </w:r>
      <w:r w:rsidRPr="00B045DB">
        <w:t>Ukraine à sa cinquante-septième session, a réitéré son conseil.</w:t>
      </w:r>
    </w:p>
    <w:p w14:paraId="4C205D02" w14:textId="795F00F1" w:rsidR="00D24047" w:rsidRPr="00B045DB" w:rsidRDefault="00B71DDA" w:rsidP="00B71DDA">
      <w:pPr>
        <w:pStyle w:val="H4G"/>
      </w:pPr>
      <w:r w:rsidRPr="00B045DB">
        <w:tab/>
      </w:r>
      <w:r w:rsidRPr="00B045DB">
        <w:tab/>
      </w:r>
      <w:r w:rsidR="00D24047" w:rsidRPr="00B045DB">
        <w:t>EIA/IC/INFO/13</w:t>
      </w:r>
    </w:p>
    <w:p w14:paraId="109D02C0" w14:textId="3F554415" w:rsidR="00D24047" w:rsidRPr="00B045DB" w:rsidRDefault="00D24047" w:rsidP="00D24047">
      <w:pPr>
        <w:pStyle w:val="SingleTxtG"/>
      </w:pPr>
      <w:r w:rsidRPr="00B045DB">
        <w:rPr>
          <w:iCs/>
        </w:rPr>
        <w:t>95.</w:t>
      </w:r>
      <w:r w:rsidRPr="00B045DB">
        <w:rPr>
          <w:iCs/>
        </w:rPr>
        <w:tab/>
      </w:r>
      <w:r w:rsidRPr="00B045DB">
        <w:t>La collecte d</w:t>
      </w:r>
      <w:r w:rsidR="003B2315" w:rsidRPr="00B045DB">
        <w:t>’</w:t>
      </w:r>
      <w:r w:rsidRPr="00B045DB">
        <w:t>informations remonte à 2014, lorsque le Comité a reçu des informations d</w:t>
      </w:r>
      <w:r w:rsidR="003B2315" w:rsidRPr="00B045DB">
        <w:t>’</w:t>
      </w:r>
      <w:r w:rsidRPr="00B045DB">
        <w:t>un parti politique hongrois concernant le projet de réouverture d</w:t>
      </w:r>
      <w:r w:rsidR="003B2315" w:rsidRPr="00B045DB">
        <w:t>’</w:t>
      </w:r>
      <w:r w:rsidRPr="00B045DB">
        <w:t>une mine d</w:t>
      </w:r>
      <w:r w:rsidR="003B2315" w:rsidRPr="00B045DB">
        <w:t>’</w:t>
      </w:r>
      <w:r w:rsidRPr="00B045DB">
        <w:t xml:space="preserve">or utilisant la technologie du cyanure à </w:t>
      </w:r>
      <w:proofErr w:type="spellStart"/>
      <w:r w:rsidRPr="00B045DB">
        <w:t>Muzhiyevo</w:t>
      </w:r>
      <w:proofErr w:type="spellEnd"/>
      <w:r w:rsidRPr="00B045DB">
        <w:t>, en Ukraine, près de la frontière avec la Hongrie. Après des consultations informelles avec la Hongrie et l</w:t>
      </w:r>
      <w:r w:rsidR="003B2315" w:rsidRPr="00B045DB">
        <w:t>’</w:t>
      </w:r>
      <w:r w:rsidRPr="00B045DB">
        <w:t>Ukraine à sa cinquante et unième session</w:t>
      </w:r>
      <w:r w:rsidRPr="00B045DB">
        <w:rPr>
          <w:rStyle w:val="Appelnotedebasdep"/>
        </w:rPr>
        <w:footnoteReference w:id="82"/>
      </w:r>
      <w:r w:rsidRPr="00B045DB">
        <w:t xml:space="preserve"> et la communication du dossier d</w:t>
      </w:r>
      <w:r w:rsidR="003B2315" w:rsidRPr="00B045DB">
        <w:t>’</w:t>
      </w:r>
      <w:r w:rsidRPr="00B045DB">
        <w:t>évaluation de l</w:t>
      </w:r>
      <w:r w:rsidR="003B2315" w:rsidRPr="00B045DB">
        <w:t>’</w:t>
      </w:r>
      <w:r w:rsidRPr="00B045DB">
        <w:t>impact sur l</w:t>
      </w:r>
      <w:r w:rsidR="003B2315" w:rsidRPr="00B045DB">
        <w:t>’</w:t>
      </w:r>
      <w:r w:rsidRPr="00B045DB">
        <w:t>environnement à la Hongrie, le Comité a constaté à sa cinquante-sixième session que les questions posées par la Hongrie à l</w:t>
      </w:r>
      <w:r w:rsidR="003B2315" w:rsidRPr="00B045DB">
        <w:t>’</w:t>
      </w:r>
      <w:r w:rsidRPr="00B045DB">
        <w:t>Ukraine le 9</w:t>
      </w:r>
      <w:r w:rsidR="00B71DDA" w:rsidRPr="00B045DB">
        <w:t> </w:t>
      </w:r>
      <w:r w:rsidRPr="00B045DB">
        <w:t>décembre 2021 restaient sans réponse</w:t>
      </w:r>
      <w:r w:rsidRPr="00B045DB">
        <w:rPr>
          <w:rStyle w:val="Appelnotedebasdep"/>
        </w:rPr>
        <w:footnoteReference w:id="83"/>
      </w:r>
      <w:r w:rsidRPr="00B045DB">
        <w:t>. L</w:t>
      </w:r>
      <w:r w:rsidR="003B2315" w:rsidRPr="00B045DB">
        <w:t>’</w:t>
      </w:r>
      <w:r w:rsidRPr="00B045DB">
        <w:t>Ukraine a expliqué qu</w:t>
      </w:r>
      <w:r w:rsidR="003B2315" w:rsidRPr="00B045DB">
        <w:t>’</w:t>
      </w:r>
      <w:r w:rsidRPr="00B045DB">
        <w:t>aucune activité d</w:t>
      </w:r>
      <w:r w:rsidR="003B2315" w:rsidRPr="00B045DB">
        <w:t>’</w:t>
      </w:r>
      <w:r w:rsidRPr="00B045DB">
        <w:t>extraction minière n</w:t>
      </w:r>
      <w:r w:rsidR="003B2315" w:rsidRPr="00B045DB">
        <w:t>’</w:t>
      </w:r>
      <w:r w:rsidRPr="00B045DB">
        <w:t>avait été menée sur le site, mais que les mesures d</w:t>
      </w:r>
      <w:r w:rsidR="003B2315" w:rsidRPr="00B045DB">
        <w:t>’</w:t>
      </w:r>
      <w:r w:rsidRPr="00B045DB">
        <w:t>élimination des déchets miniers accumulés lors d</w:t>
      </w:r>
      <w:r w:rsidR="003B2315" w:rsidRPr="00B045DB">
        <w:t>’</w:t>
      </w:r>
      <w:r w:rsidRPr="00B045DB">
        <w:t>activités minières antérieures étaient toujours en cours. En raison de la réponse insuffisante de l</w:t>
      </w:r>
      <w:r w:rsidR="003B2315" w:rsidRPr="00B045DB">
        <w:t>’</w:t>
      </w:r>
      <w:r w:rsidRPr="00B045DB">
        <w:t>Ukraine, le Comité n</w:t>
      </w:r>
      <w:r w:rsidR="003B2315" w:rsidRPr="00B045DB">
        <w:t>’</w:t>
      </w:r>
      <w:r w:rsidRPr="00B045DB">
        <w:t>a pas eu la preuve que celle-ci avait entamé des discussions avec la Hongrie conformément à l</w:t>
      </w:r>
      <w:r w:rsidR="003B2315" w:rsidRPr="00B045DB">
        <w:t>’</w:t>
      </w:r>
      <w:r w:rsidRPr="00B045DB">
        <w:t>article 2 (par.</w:t>
      </w:r>
      <w:r w:rsidR="00B71DDA" w:rsidRPr="00B045DB">
        <w:t> </w:t>
      </w:r>
      <w:r w:rsidRPr="00B045DB">
        <w:t>5). En outre, le Comité n</w:t>
      </w:r>
      <w:r w:rsidR="003B2315" w:rsidRPr="00B045DB">
        <w:t>’</w:t>
      </w:r>
      <w:r w:rsidRPr="00B045DB">
        <w:t>a pas pu exclure que l</w:t>
      </w:r>
      <w:r w:rsidR="003B2315" w:rsidRPr="00B045DB">
        <w:t>’</w:t>
      </w:r>
      <w:r w:rsidRPr="00B045DB">
        <w:t>activité relève de l</w:t>
      </w:r>
      <w:r w:rsidR="003B2315" w:rsidRPr="00B045DB">
        <w:t>’</w:t>
      </w:r>
      <w:r w:rsidR="00F12381">
        <w:t>a</w:t>
      </w:r>
      <w:r w:rsidRPr="00B045DB">
        <w:t>ppendice I de la Convention, auquel cas celle-ci devait être notifiée au titre du paragraphe 1 de l</w:t>
      </w:r>
      <w:r w:rsidR="003B2315" w:rsidRPr="00B045DB">
        <w:t>’</w:t>
      </w:r>
      <w:r w:rsidRPr="00B045DB">
        <w:t>article 3 ou bien le paragraphe</w:t>
      </w:r>
      <w:r w:rsidR="00B71DDA" w:rsidRPr="00B045DB">
        <w:t> </w:t>
      </w:r>
      <w:r w:rsidRPr="00B045DB">
        <w:t>7 du même article devait être appliqué. Le Comité est convenu d</w:t>
      </w:r>
      <w:r w:rsidR="003B2315" w:rsidRPr="00B045DB">
        <w:t>’</w:t>
      </w:r>
      <w:r w:rsidRPr="00B045DB">
        <w:t>envisager de prendre une initiative à sa cinquante-neuvième session.</w:t>
      </w:r>
    </w:p>
    <w:p w14:paraId="727F3E3D" w14:textId="5E876332" w:rsidR="00D24047" w:rsidRPr="00B045DB" w:rsidRDefault="00B71DDA" w:rsidP="00B71DDA">
      <w:pPr>
        <w:pStyle w:val="H4G"/>
      </w:pPr>
      <w:r w:rsidRPr="00B045DB">
        <w:tab/>
      </w:r>
      <w:r w:rsidRPr="00B045DB">
        <w:tab/>
      </w:r>
      <w:r w:rsidR="00D24047" w:rsidRPr="00B045DB">
        <w:t>EIA/IC/INFO/20</w:t>
      </w:r>
    </w:p>
    <w:p w14:paraId="168396BC" w14:textId="1A0B59F9" w:rsidR="00D24047" w:rsidRPr="00B045DB" w:rsidRDefault="00D24047" w:rsidP="00D24047">
      <w:pPr>
        <w:pStyle w:val="SingleTxtG"/>
      </w:pPr>
      <w:r w:rsidRPr="00B045DB">
        <w:rPr>
          <w:iCs/>
        </w:rPr>
        <w:t>96.</w:t>
      </w:r>
      <w:r w:rsidRPr="00B045DB">
        <w:rPr>
          <w:iCs/>
        </w:rPr>
        <w:tab/>
      </w:r>
      <w:r w:rsidRPr="00B045DB">
        <w:t>Le Comité a examiné les informations fournies par l</w:t>
      </w:r>
      <w:r w:rsidR="003B2315" w:rsidRPr="00B045DB">
        <w:t>’</w:t>
      </w:r>
      <w:r w:rsidRPr="00B045DB">
        <w:t xml:space="preserve">ONG Réseau </w:t>
      </w:r>
      <w:proofErr w:type="spellStart"/>
      <w:r w:rsidRPr="00B045DB">
        <w:t>Bankwatch</w:t>
      </w:r>
      <w:proofErr w:type="spellEnd"/>
      <w:r w:rsidRPr="00B045DB">
        <w:t xml:space="preserve"> pour l</w:t>
      </w:r>
      <w:r w:rsidR="003B2315" w:rsidRPr="00B045DB">
        <w:t>’</w:t>
      </w:r>
      <w:r w:rsidRPr="00B045DB">
        <w:t xml:space="preserve">Europe centrale et orientale sur la prolongation de la durée de vie de 12 tranches des </w:t>
      </w:r>
      <w:r w:rsidRPr="00F12381">
        <w:t>centrales nucléaires de Rivne, d</w:t>
      </w:r>
      <w:r w:rsidR="003B2315" w:rsidRPr="00F12381">
        <w:t>’</w:t>
      </w:r>
      <w:r w:rsidRPr="00F12381">
        <w:t xml:space="preserve">Ukraine-Sud, de </w:t>
      </w:r>
      <w:proofErr w:type="spellStart"/>
      <w:r w:rsidRPr="00F12381">
        <w:t>Zaporizhzhia</w:t>
      </w:r>
      <w:proofErr w:type="spellEnd"/>
      <w:r w:rsidRPr="00F12381">
        <w:t xml:space="preserve"> et de </w:t>
      </w:r>
      <w:proofErr w:type="spellStart"/>
      <w:r w:rsidRPr="00F12381">
        <w:t>Khmelnytskyi</w:t>
      </w:r>
      <w:proofErr w:type="spellEnd"/>
      <w:r w:rsidRPr="00F12381">
        <w:t xml:space="preserve"> (Ukraine). Compte tenu des informations fournies par les Parties touchées en réponse à son enquête datée du 19</w:t>
      </w:r>
      <w:r w:rsidR="00B71DDA" w:rsidRPr="00F12381">
        <w:t> </w:t>
      </w:r>
      <w:r w:rsidRPr="00F12381">
        <w:t>mai 2023 sur l</w:t>
      </w:r>
      <w:r w:rsidR="003B2315" w:rsidRPr="00F12381">
        <w:t>’</w:t>
      </w:r>
      <w:r w:rsidRPr="00F12381">
        <w:t>état d</w:t>
      </w:r>
      <w:r w:rsidR="003B2315" w:rsidRPr="00F12381">
        <w:t>’</w:t>
      </w:r>
      <w:r w:rsidRPr="00F12381">
        <w:t>avancement de la procédure transfrontière, le Comité a conclu que la plupart des Parties touchées attendaient toujours la décision finale de l</w:t>
      </w:r>
      <w:r w:rsidR="003B2315" w:rsidRPr="00F12381">
        <w:t>’</w:t>
      </w:r>
      <w:r w:rsidRPr="00F12381">
        <w:t>Ukraine. En l</w:t>
      </w:r>
      <w:r w:rsidR="003B2315" w:rsidRPr="00F12381">
        <w:t>’</w:t>
      </w:r>
      <w:r w:rsidRPr="00F12381">
        <w:t>absence de réponse de l</w:t>
      </w:r>
      <w:r w:rsidR="003B2315" w:rsidRPr="00F12381">
        <w:t>’</w:t>
      </w:r>
      <w:r w:rsidRPr="00F12381">
        <w:t>Ukraine, le Comité a réitéré sa demande d</w:t>
      </w:r>
      <w:r w:rsidR="003B2315" w:rsidRPr="00F12381">
        <w:t>’</w:t>
      </w:r>
      <w:r w:rsidRPr="00F12381">
        <w:t>informations à l</w:t>
      </w:r>
      <w:r w:rsidR="003B2315" w:rsidRPr="00F12381">
        <w:t>’</w:t>
      </w:r>
      <w:r w:rsidRPr="00F12381">
        <w:t>Ukraine</w:t>
      </w:r>
      <w:r w:rsidRPr="00B045DB">
        <w:t xml:space="preserve"> et a convenu de poursuivre ses délibérations à sa session suivante.</w:t>
      </w:r>
    </w:p>
    <w:p w14:paraId="513A656A" w14:textId="348AD726" w:rsidR="00D24047" w:rsidRPr="00B045DB" w:rsidRDefault="00B71DDA" w:rsidP="00B71DDA">
      <w:pPr>
        <w:pStyle w:val="H1G"/>
      </w:pPr>
      <w:r w:rsidRPr="00B045DB">
        <w:tab/>
      </w:r>
      <w:r w:rsidR="00D24047" w:rsidRPr="00B045DB">
        <w:t>B.</w:t>
      </w:r>
      <w:r w:rsidR="00D24047" w:rsidRPr="00B045DB">
        <w:tab/>
        <w:t>Questions relatives au Protocole</w:t>
      </w:r>
    </w:p>
    <w:p w14:paraId="48517969" w14:textId="448E6DBB" w:rsidR="00D24047" w:rsidRPr="00B045DB" w:rsidRDefault="00B71DDA" w:rsidP="00B71DDA">
      <w:pPr>
        <w:pStyle w:val="H23G"/>
      </w:pPr>
      <w:r w:rsidRPr="00B045DB">
        <w:tab/>
      </w:r>
      <w:r w:rsidR="00D24047" w:rsidRPr="00B045DB">
        <w:t>1.</w:t>
      </w:r>
      <w:r w:rsidR="00D24047" w:rsidRPr="00B045DB">
        <w:tab/>
        <w:t>Allemagne</w:t>
      </w:r>
    </w:p>
    <w:p w14:paraId="78AB8C2E" w14:textId="646FE6EB" w:rsidR="00D24047" w:rsidRPr="00B045DB" w:rsidRDefault="00B71DDA" w:rsidP="00B71DDA">
      <w:pPr>
        <w:pStyle w:val="H4G"/>
      </w:pPr>
      <w:r w:rsidRPr="00B045DB">
        <w:tab/>
      </w:r>
      <w:r w:rsidRPr="00B045DB">
        <w:tab/>
      </w:r>
      <w:r w:rsidR="00D24047" w:rsidRPr="00B045DB">
        <w:t>SEA/IC/INFO/5</w:t>
      </w:r>
    </w:p>
    <w:p w14:paraId="0E817F37" w14:textId="65DB2B2D" w:rsidR="00D24047" w:rsidRPr="00B045DB" w:rsidRDefault="00D24047" w:rsidP="00D24047">
      <w:pPr>
        <w:pStyle w:val="SingleTxtG"/>
      </w:pPr>
      <w:r w:rsidRPr="00B045DB">
        <w:rPr>
          <w:iCs/>
        </w:rPr>
        <w:t>97.</w:t>
      </w:r>
      <w:r w:rsidRPr="00B045DB">
        <w:rPr>
          <w:iCs/>
        </w:rPr>
        <w:tab/>
        <w:t>Le 13</w:t>
      </w:r>
      <w:r w:rsidR="00B71DDA" w:rsidRPr="00B045DB">
        <w:rPr>
          <w:iCs/>
        </w:rPr>
        <w:t> </w:t>
      </w:r>
      <w:r w:rsidRPr="00B045DB">
        <w:rPr>
          <w:iCs/>
        </w:rPr>
        <w:t xml:space="preserve">avril 2022, le Comité a reçu des informations de </w:t>
      </w:r>
      <w:r w:rsidRPr="00B045DB">
        <w:t>l</w:t>
      </w:r>
      <w:r w:rsidR="003B2315" w:rsidRPr="00B045DB">
        <w:t>’</w:t>
      </w:r>
      <w:r w:rsidRPr="00B045DB">
        <w:t xml:space="preserve">ONG allemande Nationales </w:t>
      </w:r>
      <w:proofErr w:type="spellStart"/>
      <w:r w:rsidRPr="00B045DB">
        <w:t>Begleitgremium</w:t>
      </w:r>
      <w:proofErr w:type="spellEnd"/>
      <w:r w:rsidRPr="00B045DB">
        <w:t xml:space="preserve"> concernant le processus de sélection du site destiné à abriter une installation de stockage de déchets hautement radioactifs, lancé par l</w:t>
      </w:r>
      <w:r w:rsidR="003B2315" w:rsidRPr="00B045DB">
        <w:t>’</w:t>
      </w:r>
      <w:r w:rsidRPr="00B045DB">
        <w:t>Allemagne et qui devrait être achevé d</w:t>
      </w:r>
      <w:r w:rsidR="003B2315" w:rsidRPr="00B045DB">
        <w:t>’</w:t>
      </w:r>
      <w:r w:rsidRPr="00B045DB">
        <w:t>ici à 2031. Comme demandé par le Comité, l</w:t>
      </w:r>
      <w:r w:rsidR="003B2315" w:rsidRPr="00B045DB">
        <w:t>’</w:t>
      </w:r>
      <w:r w:rsidRPr="00B045DB">
        <w:t>Allemagne l</w:t>
      </w:r>
      <w:r w:rsidR="003B2315" w:rsidRPr="00B045DB">
        <w:t>’</w:t>
      </w:r>
      <w:r w:rsidRPr="00B045DB">
        <w:t>a informé des principales étapes de la planification et du processus décisionnel concernant la sélection du site, ainsi que de son intention d</w:t>
      </w:r>
      <w:r w:rsidR="003B2315" w:rsidRPr="00B045DB">
        <w:t>’</w:t>
      </w:r>
      <w:r w:rsidRPr="00B045DB">
        <w:t>appliquer le Protocole, en particulier l</w:t>
      </w:r>
      <w:r w:rsidR="003B2315" w:rsidRPr="00B045DB">
        <w:t>’</w:t>
      </w:r>
      <w:r w:rsidRPr="00B045DB">
        <w:t>article 8 sur la participation du public. À sa cinquante-quatrième session, le Comité a estimé que les informations fournies par l</w:t>
      </w:r>
      <w:r w:rsidR="003B2315" w:rsidRPr="00B045DB">
        <w:t>’</w:t>
      </w:r>
      <w:r w:rsidRPr="00B045DB">
        <w:t>Allemagne donnaient une image suffisamment claire pour conclure qu</w:t>
      </w:r>
      <w:r w:rsidR="003B2315" w:rsidRPr="00B045DB">
        <w:t>’</w:t>
      </w:r>
      <w:r w:rsidRPr="00B045DB">
        <w:t>il n</w:t>
      </w:r>
      <w:r w:rsidR="003B2315" w:rsidRPr="00B045DB">
        <w:t>’</w:t>
      </w:r>
      <w:r w:rsidRPr="00B045DB">
        <w:t>y avait pas de suspicion sérieuse de non-respect des articles 8 et 10 du Protocole et a clos l</w:t>
      </w:r>
      <w:r w:rsidR="003B2315" w:rsidRPr="00B045DB">
        <w:t>’</w:t>
      </w:r>
      <w:r w:rsidRPr="00B045DB">
        <w:t>affaire</w:t>
      </w:r>
      <w:r w:rsidRPr="00B045DB">
        <w:rPr>
          <w:rStyle w:val="Appelnotedebasdep"/>
        </w:rPr>
        <w:footnoteReference w:id="84"/>
      </w:r>
      <w:r w:rsidRPr="00B045DB">
        <w:t>.</w:t>
      </w:r>
    </w:p>
    <w:p w14:paraId="18FA0C11" w14:textId="502D142D" w:rsidR="00D24047" w:rsidRPr="00D35E3E" w:rsidRDefault="00B71DDA" w:rsidP="00B71DDA">
      <w:pPr>
        <w:pStyle w:val="H23G"/>
      </w:pPr>
      <w:r w:rsidRPr="00B045DB">
        <w:lastRenderedPageBreak/>
        <w:tab/>
      </w:r>
      <w:r w:rsidR="00D24047" w:rsidRPr="00D35E3E">
        <w:t>2.</w:t>
      </w:r>
      <w:r w:rsidR="00D24047" w:rsidRPr="00D35E3E">
        <w:tab/>
        <w:t>Pologne</w:t>
      </w:r>
    </w:p>
    <w:p w14:paraId="4BADACA9" w14:textId="00B73171" w:rsidR="00D24047" w:rsidRPr="00D35E3E" w:rsidRDefault="00B71DDA" w:rsidP="00B71DDA">
      <w:pPr>
        <w:pStyle w:val="H4G"/>
      </w:pPr>
      <w:r w:rsidRPr="00D35E3E">
        <w:tab/>
      </w:r>
      <w:r w:rsidRPr="00D35E3E">
        <w:tab/>
      </w:r>
      <w:r w:rsidR="00D24047" w:rsidRPr="00D35E3E">
        <w:t>SEA/IC/INFO/4</w:t>
      </w:r>
    </w:p>
    <w:p w14:paraId="60C5A9FB" w14:textId="157F8C84" w:rsidR="00D24047" w:rsidRPr="00B045DB" w:rsidRDefault="00D24047" w:rsidP="00D24047">
      <w:pPr>
        <w:pStyle w:val="SingleTxtG"/>
      </w:pPr>
      <w:r w:rsidRPr="00D35E3E">
        <w:rPr>
          <w:iCs/>
        </w:rPr>
        <w:t>98.</w:t>
      </w:r>
      <w:r w:rsidRPr="00D35E3E">
        <w:rPr>
          <w:iCs/>
        </w:rPr>
        <w:tab/>
      </w:r>
      <w:r w:rsidRPr="00D35E3E">
        <w:t>Le Comité a examiné les informations en date du 11</w:t>
      </w:r>
      <w:r w:rsidR="00B71DDA" w:rsidRPr="00D35E3E">
        <w:t> </w:t>
      </w:r>
      <w:r w:rsidRPr="00D35E3E">
        <w:t>février 2020 reçues d</w:t>
      </w:r>
      <w:r w:rsidR="003B2315" w:rsidRPr="00D35E3E">
        <w:t>’</w:t>
      </w:r>
      <w:r w:rsidRPr="00D35E3E">
        <w:t>un parlementaire allemand qui se déclarait préoccupé concernant l</w:t>
      </w:r>
      <w:r w:rsidR="003B2315" w:rsidRPr="00D35E3E">
        <w:t>’</w:t>
      </w:r>
      <w:r w:rsidRPr="00D35E3E">
        <w:t>application par la Pologne de l</w:t>
      </w:r>
      <w:r w:rsidR="003B2315" w:rsidRPr="00D35E3E">
        <w:t>’</w:t>
      </w:r>
      <w:r w:rsidRPr="00D35E3E">
        <w:t>article 10 du Protocole au sujet du projet de politique énergétique de la Pologne jusqu</w:t>
      </w:r>
      <w:r w:rsidR="003B2315" w:rsidRPr="00D35E3E">
        <w:t>’</w:t>
      </w:r>
      <w:r w:rsidRPr="00D35E3E">
        <w:t>en 2040. Le Comité a observé qu</w:t>
      </w:r>
      <w:r w:rsidR="003B2315" w:rsidRPr="00D35E3E">
        <w:t>’</w:t>
      </w:r>
      <w:r w:rsidRPr="00D35E3E">
        <w:t>une évaluation stratégique environnementale était en cours, conformément à l</w:t>
      </w:r>
      <w:r w:rsidR="003B2315" w:rsidRPr="00D35E3E">
        <w:t>’</w:t>
      </w:r>
      <w:r w:rsidRPr="00D35E3E">
        <w:t>article 4 (par. 2) du Protocole. La politique énergétique comprenait une section sur les activités nucléaires, fondée sur le programme d</w:t>
      </w:r>
      <w:r w:rsidR="003B2315" w:rsidRPr="00D35E3E">
        <w:t>’</w:t>
      </w:r>
      <w:r w:rsidRPr="00D35E3E">
        <w:t>énergie nucléaire de la Pologne, adopté en 2014, à l</w:t>
      </w:r>
      <w:r w:rsidR="003B2315" w:rsidRPr="00D35E3E">
        <w:t>’</w:t>
      </w:r>
      <w:r w:rsidRPr="00D35E3E">
        <w:t>issue d</w:t>
      </w:r>
      <w:r w:rsidR="003B2315" w:rsidRPr="00D35E3E">
        <w:t>’</w:t>
      </w:r>
      <w:r w:rsidRPr="00D35E3E">
        <w:t>une évaluation stratégique environnementale, y compris dans un contexte transfrontière</w:t>
      </w:r>
      <w:r w:rsidRPr="00B045DB">
        <w:t>.</w:t>
      </w:r>
    </w:p>
    <w:p w14:paraId="1A16F32E" w14:textId="4D502B31" w:rsidR="00D24047" w:rsidRPr="00B045DB" w:rsidRDefault="00D24047" w:rsidP="00D24047">
      <w:pPr>
        <w:pStyle w:val="SingleTxtG"/>
      </w:pPr>
      <w:r w:rsidRPr="00B045DB">
        <w:t>99.</w:t>
      </w:r>
      <w:r w:rsidRPr="00B045DB">
        <w:tab/>
        <w:t>Sur la base du rapport environnemental concernant la politique, la Pologne avait conclu que la mise en œuvre de la politique n</w:t>
      </w:r>
      <w:r w:rsidR="003B2315" w:rsidRPr="00B045DB">
        <w:t>’</w:t>
      </w:r>
      <w:r w:rsidRPr="00B045DB">
        <w:t>était pas susceptible d</w:t>
      </w:r>
      <w:r w:rsidR="003B2315" w:rsidRPr="00B045DB">
        <w:t>’</w:t>
      </w:r>
      <w:r w:rsidRPr="00B045DB">
        <w:t>avoir un effet transfrontière important sur l</w:t>
      </w:r>
      <w:r w:rsidR="003B2315" w:rsidRPr="00B045DB">
        <w:t>’</w:t>
      </w:r>
      <w:r w:rsidRPr="00B045DB">
        <w:t>environnement et, par conséquent, elle n</w:t>
      </w:r>
      <w:r w:rsidR="003B2315" w:rsidRPr="00B045DB">
        <w:t>’</w:t>
      </w:r>
      <w:r w:rsidRPr="00B045DB">
        <w:t>avait pas notifié les pays voisins au titre de l</w:t>
      </w:r>
      <w:r w:rsidR="003B2315" w:rsidRPr="00B045DB">
        <w:t>’</w:t>
      </w:r>
      <w:r w:rsidRPr="00B045DB">
        <w:t>article 10.</w:t>
      </w:r>
    </w:p>
    <w:p w14:paraId="7D7BDBE3" w14:textId="0B1DD364" w:rsidR="00D24047" w:rsidRPr="00B045DB" w:rsidRDefault="00D24047" w:rsidP="00D24047">
      <w:pPr>
        <w:pStyle w:val="SingleTxtG"/>
      </w:pPr>
      <w:r w:rsidRPr="00B045DB">
        <w:t>100.</w:t>
      </w:r>
      <w:r w:rsidRPr="00B045DB">
        <w:tab/>
        <w:t>Le Comité ayant invité l</w:t>
      </w:r>
      <w:r w:rsidR="003B2315" w:rsidRPr="00B045DB">
        <w:t>’</w:t>
      </w:r>
      <w:r w:rsidRPr="00B045DB">
        <w:t>Allemagne, le 28</w:t>
      </w:r>
      <w:r w:rsidR="00B71DDA" w:rsidRPr="00B045DB">
        <w:t> </w:t>
      </w:r>
      <w:r w:rsidRPr="00B045DB">
        <w:t>octobre 2020, à prendre les mesures nécessaires en vertu de l</w:t>
      </w:r>
      <w:r w:rsidR="003B2315" w:rsidRPr="00B045DB">
        <w:t>’</w:t>
      </w:r>
      <w:r w:rsidRPr="00B045DB">
        <w:t>article 10 du Protocole si elle se considérait potentiellement touchée, l</w:t>
      </w:r>
      <w:r w:rsidR="003B2315" w:rsidRPr="00B045DB">
        <w:t>’</w:t>
      </w:r>
      <w:r w:rsidRPr="00B045DB">
        <w:t>Allemagne a demandé à être notifiée par la Pologne le 17</w:t>
      </w:r>
      <w:r w:rsidR="00B71DDA" w:rsidRPr="00B045DB">
        <w:t> </w:t>
      </w:r>
      <w:r w:rsidRPr="00B045DB">
        <w:t>mars 2021. Toutefois, en l</w:t>
      </w:r>
      <w:r w:rsidR="003B2315" w:rsidRPr="00B045DB">
        <w:t>’</w:t>
      </w:r>
      <w:r w:rsidRPr="00B045DB">
        <w:t>absence de communication de l</w:t>
      </w:r>
      <w:r w:rsidR="003B2315" w:rsidRPr="00B045DB">
        <w:t>’</w:t>
      </w:r>
      <w:r w:rsidRPr="00B045DB">
        <w:t>Allemagne, la Pologne a adopté la politique le 2</w:t>
      </w:r>
      <w:r w:rsidR="00B71DDA" w:rsidRPr="00B045DB">
        <w:t> </w:t>
      </w:r>
      <w:r w:rsidRPr="00B045DB">
        <w:t>février 2021.</w:t>
      </w:r>
    </w:p>
    <w:p w14:paraId="13AF8BCD" w14:textId="2E11F282" w:rsidR="00D24047" w:rsidRPr="00B045DB" w:rsidRDefault="00D24047" w:rsidP="00D24047">
      <w:pPr>
        <w:pStyle w:val="SingleTxtG"/>
      </w:pPr>
      <w:r w:rsidRPr="00B045DB">
        <w:t>101.</w:t>
      </w:r>
      <w:r w:rsidRPr="00B045DB">
        <w:tab/>
        <w:t>Le Comité a constaté que l</w:t>
      </w:r>
      <w:r w:rsidR="003B2315" w:rsidRPr="00B045DB">
        <w:t>’</w:t>
      </w:r>
      <w:r w:rsidRPr="00B045DB">
        <w:t>Allemagne avait eu amplement l</w:t>
      </w:r>
      <w:r w:rsidR="003B2315" w:rsidRPr="00B045DB">
        <w:t>’</w:t>
      </w:r>
      <w:r w:rsidRPr="00B045DB">
        <w:t>occasion de demander une notification. Il a conclu qu</w:t>
      </w:r>
      <w:r w:rsidR="003B2315" w:rsidRPr="00B045DB">
        <w:t>’</w:t>
      </w:r>
      <w:r w:rsidRPr="00B045DB">
        <w:t>il n</w:t>
      </w:r>
      <w:r w:rsidR="003B2315" w:rsidRPr="00B045DB">
        <w:t>’</w:t>
      </w:r>
      <w:r w:rsidRPr="00B045DB">
        <w:t>y avait pas lieu de poursuivre l</w:t>
      </w:r>
      <w:r w:rsidR="003B2315" w:rsidRPr="00B045DB">
        <w:t>’</w:t>
      </w:r>
      <w:r w:rsidRPr="00B045DB">
        <w:t>examen de la question et l</w:t>
      </w:r>
      <w:r w:rsidR="003B2315" w:rsidRPr="00B045DB">
        <w:t>’</w:t>
      </w:r>
      <w:r w:rsidRPr="00B045DB">
        <w:t>a clos en recommandant notamment à l</w:t>
      </w:r>
      <w:r w:rsidR="003B2315" w:rsidRPr="00B045DB">
        <w:t>’</w:t>
      </w:r>
      <w:r w:rsidRPr="00B045DB">
        <w:t>Allemagne et à la Pologne d</w:t>
      </w:r>
      <w:r w:rsidR="003B2315" w:rsidRPr="00B045DB">
        <w:t>’</w:t>
      </w:r>
      <w:r w:rsidRPr="00B045DB">
        <w:t xml:space="preserve">utiliser les </w:t>
      </w:r>
      <w:proofErr w:type="spellStart"/>
      <w:r w:rsidRPr="00B045DB">
        <w:t>plateformes</w:t>
      </w:r>
      <w:proofErr w:type="spellEnd"/>
      <w:r w:rsidRPr="00B045DB">
        <w:t xml:space="preserve"> de coopération existantes pour l</w:t>
      </w:r>
      <w:r w:rsidR="003B2315" w:rsidRPr="00B045DB">
        <w:t>’</w:t>
      </w:r>
      <w:r w:rsidRPr="00B045DB">
        <w:t>échange d</w:t>
      </w:r>
      <w:r w:rsidR="003B2315" w:rsidRPr="00B045DB">
        <w:t>’</w:t>
      </w:r>
      <w:r w:rsidRPr="00B045DB">
        <w:t>informations sur les questions susceptibles de relever du champ d</w:t>
      </w:r>
      <w:r w:rsidR="003B2315" w:rsidRPr="00B045DB">
        <w:t>’</w:t>
      </w:r>
      <w:r w:rsidRPr="00B045DB">
        <w:t>application de la Convention et du Protocole</w:t>
      </w:r>
      <w:r w:rsidRPr="00B045DB">
        <w:rPr>
          <w:rStyle w:val="Appelnotedebasdep"/>
        </w:rPr>
        <w:footnoteReference w:id="85"/>
      </w:r>
      <w:r w:rsidRPr="00B045DB">
        <w:t>.</w:t>
      </w:r>
    </w:p>
    <w:p w14:paraId="50930685" w14:textId="768BD709" w:rsidR="00D24047" w:rsidRPr="00B045DB" w:rsidRDefault="00B71DDA" w:rsidP="00B71DDA">
      <w:pPr>
        <w:pStyle w:val="HChG"/>
      </w:pPr>
      <w:r w:rsidRPr="00B045DB">
        <w:tab/>
      </w:r>
      <w:r w:rsidR="00D24047" w:rsidRPr="00B045DB">
        <w:t>VI.</w:t>
      </w:r>
      <w:r w:rsidR="00D24047" w:rsidRPr="00B045DB">
        <w:tab/>
        <w:t>Examen des résultats de l</w:t>
      </w:r>
      <w:r w:rsidR="003B2315" w:rsidRPr="00B045DB">
        <w:t>’</w:t>
      </w:r>
      <w:r w:rsidR="00D24047" w:rsidRPr="00B045DB">
        <w:t>examen de l</w:t>
      </w:r>
      <w:r w:rsidR="003B2315" w:rsidRPr="00B045DB">
        <w:t>’</w:t>
      </w:r>
      <w:r w:rsidR="00D24047" w:rsidRPr="00B045DB">
        <w:t>application</w:t>
      </w:r>
    </w:p>
    <w:p w14:paraId="336E0E5C" w14:textId="20C10622" w:rsidR="00D24047" w:rsidRPr="00B045DB" w:rsidRDefault="00D24047" w:rsidP="00D24047">
      <w:pPr>
        <w:pStyle w:val="SingleTxtG"/>
      </w:pPr>
      <w:r w:rsidRPr="00B045DB">
        <w:rPr>
          <w:bCs/>
        </w:rPr>
        <w:t>102.</w:t>
      </w:r>
      <w:r w:rsidRPr="00B045DB">
        <w:rPr>
          <w:bCs/>
        </w:rPr>
        <w:tab/>
      </w:r>
      <w:r w:rsidRPr="00B045DB">
        <w:t>Comme demandé dans les décisions VIII/5 (par.</w:t>
      </w:r>
      <w:r w:rsidR="00B71DDA" w:rsidRPr="00B045DB">
        <w:t> </w:t>
      </w:r>
      <w:r w:rsidRPr="00B045DB">
        <w:t>4) de la Réunion des Parties à la Convention et IV/5 (par.</w:t>
      </w:r>
      <w:r w:rsidR="00B71DDA" w:rsidRPr="00B045DB">
        <w:t> </w:t>
      </w:r>
      <w:r w:rsidRPr="00B045DB">
        <w:t>4) de la Réunion des Parties au Protocole, le Comité a pris en compte dans ses travaux les informations sur les questions générales et particulières de respect des dispositions recensées au cours du sixième examen de l</w:t>
      </w:r>
      <w:r w:rsidR="003B2315" w:rsidRPr="00B045DB">
        <w:t>’</w:t>
      </w:r>
      <w:r w:rsidRPr="00B045DB">
        <w:t>application de la Convention</w:t>
      </w:r>
      <w:r w:rsidRPr="00B045DB">
        <w:rPr>
          <w:rStyle w:val="Appelnotedebasdep"/>
        </w:rPr>
        <w:footnoteReference w:id="86"/>
      </w:r>
      <w:r w:rsidRPr="00B045DB">
        <w:t xml:space="preserve"> et du troisième examen de l</w:t>
      </w:r>
      <w:r w:rsidR="003B2315" w:rsidRPr="00B045DB">
        <w:t>’</w:t>
      </w:r>
      <w:r w:rsidRPr="00B045DB">
        <w:t>application du Protocole</w:t>
      </w:r>
      <w:r w:rsidRPr="00B045DB">
        <w:rPr>
          <w:rStyle w:val="Appelnotedebasdep"/>
        </w:rPr>
        <w:footnoteReference w:id="87"/>
      </w:r>
      <w:r w:rsidRPr="00B045DB">
        <w:t>.</w:t>
      </w:r>
    </w:p>
    <w:p w14:paraId="2029A46F" w14:textId="133B48D9" w:rsidR="00D24047" w:rsidRPr="00B045DB" w:rsidRDefault="00B71DDA" w:rsidP="00B71DDA">
      <w:pPr>
        <w:pStyle w:val="H1G"/>
      </w:pPr>
      <w:r w:rsidRPr="00B045DB">
        <w:tab/>
      </w:r>
      <w:r w:rsidR="00D24047" w:rsidRPr="00B045DB">
        <w:t>A.</w:t>
      </w:r>
      <w:r w:rsidR="00D24047" w:rsidRPr="00B045DB">
        <w:tab/>
        <w:t>Questions générales relatives au respect des dispositions</w:t>
      </w:r>
    </w:p>
    <w:p w14:paraId="7895F4F6" w14:textId="63571DB2" w:rsidR="00D24047" w:rsidRPr="00B045DB" w:rsidRDefault="00D24047" w:rsidP="00D24047">
      <w:pPr>
        <w:pStyle w:val="SingleTxtG"/>
      </w:pPr>
      <w:r w:rsidRPr="00B045DB">
        <w:rPr>
          <w:bCs/>
        </w:rPr>
        <w:t>103.</w:t>
      </w:r>
      <w:r w:rsidRPr="00B045DB">
        <w:rPr>
          <w:bCs/>
        </w:rPr>
        <w:tab/>
      </w:r>
      <w:r w:rsidRPr="00B045DB">
        <w:t>Le Comité a relevé quelques faiblesses ou lacunes d</w:t>
      </w:r>
      <w:r w:rsidR="003B2315" w:rsidRPr="00B045DB">
        <w:t>’</w:t>
      </w:r>
      <w:r w:rsidRPr="00B045DB">
        <w:t>ordre général dans l</w:t>
      </w:r>
      <w:r w:rsidR="003B2315" w:rsidRPr="00B045DB">
        <w:t>’</w:t>
      </w:r>
      <w:r w:rsidRPr="00B045DB">
        <w:t>application des dispositions de la Convention et du Protocole, mises en évidence dans l</w:t>
      </w:r>
      <w:r w:rsidR="003B2315" w:rsidRPr="00B045DB">
        <w:t>’</w:t>
      </w:r>
      <w:r w:rsidRPr="00B045DB">
        <w:t>examen de l</w:t>
      </w:r>
      <w:r w:rsidR="003B2315" w:rsidRPr="00B045DB">
        <w:t>’</w:t>
      </w:r>
      <w:r w:rsidRPr="00B045DB">
        <w:t>application. Il a observé que certaines de ces questions avaient déjà retenu l</w:t>
      </w:r>
      <w:r w:rsidR="003B2315" w:rsidRPr="00B045DB">
        <w:t>’</w:t>
      </w:r>
      <w:r w:rsidRPr="00B045DB">
        <w:t>attention lors d</w:t>
      </w:r>
      <w:r w:rsidR="003B2315" w:rsidRPr="00B045DB">
        <w:t>’</w:t>
      </w:r>
      <w:r w:rsidRPr="00B045DB">
        <w:t>examens antérieurs.</w:t>
      </w:r>
    </w:p>
    <w:p w14:paraId="2BE37BE0" w14:textId="0D32CC15" w:rsidR="00D24047" w:rsidRPr="00B045DB" w:rsidRDefault="00B71DDA" w:rsidP="00B71DDA">
      <w:pPr>
        <w:pStyle w:val="H1G"/>
      </w:pPr>
      <w:r w:rsidRPr="00B045DB">
        <w:tab/>
      </w:r>
      <w:r w:rsidR="00D24047" w:rsidRPr="00B045DB">
        <w:t>B.</w:t>
      </w:r>
      <w:r w:rsidR="00D24047" w:rsidRPr="00B045DB">
        <w:tab/>
        <w:t>Questions particulières relatives au respect des dispositions</w:t>
      </w:r>
    </w:p>
    <w:p w14:paraId="5114199D" w14:textId="5A69EBC9" w:rsidR="00D24047" w:rsidRPr="00B045DB" w:rsidRDefault="00D24047" w:rsidP="00D24047">
      <w:pPr>
        <w:pStyle w:val="SingleTxtG"/>
      </w:pPr>
      <w:r w:rsidRPr="00B045DB">
        <w:rPr>
          <w:bCs/>
        </w:rPr>
        <w:t>104.</w:t>
      </w:r>
      <w:r w:rsidRPr="00B045DB">
        <w:rPr>
          <w:bCs/>
        </w:rPr>
        <w:tab/>
      </w:r>
      <w:r w:rsidRPr="00B045DB">
        <w:t>Le Comité a examiné des questions particulières relatives au respect des dispositions découlant de l</w:t>
      </w:r>
      <w:r w:rsidR="003B2315" w:rsidRPr="00B045DB">
        <w:t>’</w:t>
      </w:r>
      <w:r w:rsidRPr="00B045DB">
        <w:t>examen de l</w:t>
      </w:r>
      <w:r w:rsidR="003B2315" w:rsidRPr="00B045DB">
        <w:t>’</w:t>
      </w:r>
      <w:r w:rsidRPr="00B045DB">
        <w:t xml:space="preserve">application de la Convention concernant </w:t>
      </w:r>
      <w:r w:rsidR="0008299C">
        <w:t>13</w:t>
      </w:r>
      <w:r w:rsidRPr="00B045DB">
        <w:t xml:space="preserve"> Parties, et des questions particulières relatives au respect des dispositions du Protocole concernant </w:t>
      </w:r>
      <w:r w:rsidR="0008299C">
        <w:t>2</w:t>
      </w:r>
      <w:r w:rsidRPr="00B045DB">
        <w:t xml:space="preserve"> Parties, et a poursuivi l</w:t>
      </w:r>
      <w:r w:rsidR="003B2315" w:rsidRPr="00B045DB">
        <w:t>’</w:t>
      </w:r>
      <w:r w:rsidRPr="00B045DB">
        <w:t>examen de questions particulières de respect des dispositions du Protocole concernant l</w:t>
      </w:r>
      <w:r w:rsidR="003B2315" w:rsidRPr="00B045DB">
        <w:t>’</w:t>
      </w:r>
      <w:r w:rsidRPr="00B045DB">
        <w:t>Union européenne et la Serbie qui avaient été abordées lors d</w:t>
      </w:r>
      <w:r w:rsidR="003B2315" w:rsidRPr="00B045DB">
        <w:t>’</w:t>
      </w:r>
      <w:r w:rsidRPr="00B045DB">
        <w:t>examens antérieurs de l</w:t>
      </w:r>
      <w:r w:rsidR="003B2315" w:rsidRPr="00B045DB">
        <w:t>’</w:t>
      </w:r>
      <w:r w:rsidRPr="00B045DB">
        <w:t>application (voir tableau 3 ci-dessous).</w:t>
      </w:r>
    </w:p>
    <w:p w14:paraId="0B2782B1" w14:textId="72DA948D" w:rsidR="00D24047" w:rsidRPr="00B045DB" w:rsidRDefault="00D24047" w:rsidP="00D24047">
      <w:pPr>
        <w:pStyle w:val="SingleTxtG"/>
      </w:pPr>
      <w:r w:rsidRPr="00B045DB">
        <w:lastRenderedPageBreak/>
        <w:t>105.</w:t>
      </w:r>
      <w:r w:rsidRPr="00B045DB">
        <w:tab/>
        <w:t>Le Comité a été satisfait des réponses fournies par l</w:t>
      </w:r>
      <w:r w:rsidR="003B2315" w:rsidRPr="00B045DB">
        <w:t>’</w:t>
      </w:r>
      <w:r w:rsidRPr="00B045DB">
        <w:t>Arménie, l</w:t>
      </w:r>
      <w:r w:rsidR="003B2315" w:rsidRPr="00B045DB">
        <w:t>’</w:t>
      </w:r>
      <w:r w:rsidRPr="00B045DB">
        <w:t>Azerbaïdjan, la Belgique, la Bosnie-Herzégovine, la Croatie, le Danemark, l</w:t>
      </w:r>
      <w:r w:rsidR="003B2315" w:rsidRPr="00B045DB">
        <w:t>’</w:t>
      </w:r>
      <w:r w:rsidRPr="00B045DB">
        <w:t xml:space="preserve">Espagne, la Finlande, le Kazakhstan, la </w:t>
      </w:r>
      <w:r w:rsidRPr="001D6378">
        <w:t>Lettonie, la République de Mold</w:t>
      </w:r>
      <w:r w:rsidR="001D6378">
        <w:t>ova</w:t>
      </w:r>
      <w:r w:rsidRPr="001D6378">
        <w:t>,</w:t>
      </w:r>
      <w:r w:rsidRPr="00B045DB">
        <w:t xml:space="preserve"> le Royaume-Uni de Grande-Bretagne et d</w:t>
      </w:r>
      <w:r w:rsidR="003B2315" w:rsidRPr="00B045DB">
        <w:t>’</w:t>
      </w:r>
      <w:r w:rsidRPr="00B045DB">
        <w:t>Irlande du Nord et la Suisse, et a clos les dossiers correspondants. Il a regretté toutefois que le Kirghiz</w:t>
      </w:r>
      <w:r w:rsidR="0008299C">
        <w:t>i</w:t>
      </w:r>
      <w:r w:rsidRPr="00B045DB">
        <w:t>stan, la Macédoine du Nord et la Serbie n</w:t>
      </w:r>
      <w:r w:rsidR="003B2315" w:rsidRPr="00B045DB">
        <w:t>’</w:t>
      </w:r>
      <w:r w:rsidRPr="00B045DB">
        <w:t>aient pas répondu aux demandes qu</w:t>
      </w:r>
      <w:r w:rsidR="003B2315" w:rsidRPr="00B045DB">
        <w:t>’</w:t>
      </w:r>
      <w:r w:rsidRPr="00B045DB">
        <w:t>il avait réitérées depuis mai 2022 et qu</w:t>
      </w:r>
      <w:r w:rsidR="003B2315" w:rsidRPr="00B045DB">
        <w:t>’</w:t>
      </w:r>
      <w:r w:rsidRPr="00B045DB">
        <w:t>il lui faille poursuivre l</w:t>
      </w:r>
      <w:r w:rsidR="003B2315" w:rsidRPr="00B045DB">
        <w:t>’</w:t>
      </w:r>
      <w:r w:rsidRPr="00B045DB">
        <w:t>examen de ces questions à la prochaine période intersessions.</w:t>
      </w:r>
    </w:p>
    <w:p w14:paraId="05CD6DF0" w14:textId="77777777" w:rsidR="00D24047" w:rsidRPr="00B045DB" w:rsidRDefault="00D24047" w:rsidP="00B71DDA">
      <w:pPr>
        <w:pStyle w:val="Titre1"/>
      </w:pPr>
      <w:r w:rsidRPr="00B045DB">
        <w:t>Tableau 3</w:t>
      </w:r>
    </w:p>
    <w:p w14:paraId="34FF350E" w14:textId="77777777" w:rsidR="00D24047" w:rsidRPr="00B045DB" w:rsidRDefault="00D24047" w:rsidP="00B71DDA">
      <w:pPr>
        <w:pStyle w:val="Titre1"/>
        <w:spacing w:after="120"/>
        <w:rPr>
          <w:b/>
        </w:rPr>
      </w:pPr>
      <w:r w:rsidRPr="00B045DB">
        <w:rPr>
          <w:b/>
        </w:rPr>
        <w:t>Questions particulières relatives au respect des dispositions</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624"/>
        <w:gridCol w:w="2015"/>
        <w:gridCol w:w="3059"/>
      </w:tblGrid>
      <w:tr w:rsidR="00D24047" w:rsidRPr="00B045DB" w14:paraId="65057AA1" w14:textId="77777777" w:rsidTr="00C742D9">
        <w:trPr>
          <w:tblHeader/>
        </w:trPr>
        <w:tc>
          <w:tcPr>
            <w:tcW w:w="1806" w:type="dxa"/>
            <w:tcBorders>
              <w:top w:val="single" w:sz="4" w:space="0" w:color="auto"/>
              <w:bottom w:val="single" w:sz="12" w:space="0" w:color="auto"/>
            </w:tcBorders>
            <w:shd w:val="clear" w:color="auto" w:fill="auto"/>
            <w:vAlign w:val="bottom"/>
          </w:tcPr>
          <w:p w14:paraId="3DA31BA6" w14:textId="77777777" w:rsidR="00D24047" w:rsidRPr="00B045DB" w:rsidRDefault="00D24047" w:rsidP="00DB0C25">
            <w:pPr>
              <w:spacing w:before="80" w:after="80" w:line="200" w:lineRule="exact"/>
              <w:ind w:right="113"/>
              <w:rPr>
                <w:bCs/>
                <w:i/>
                <w:sz w:val="16"/>
              </w:rPr>
            </w:pPr>
            <w:r w:rsidRPr="00B045DB">
              <w:rPr>
                <w:i/>
                <w:sz w:val="16"/>
              </w:rPr>
              <w:t>Partie concernée</w:t>
            </w:r>
          </w:p>
        </w:tc>
        <w:tc>
          <w:tcPr>
            <w:tcW w:w="1624" w:type="dxa"/>
            <w:tcBorders>
              <w:top w:val="single" w:sz="4" w:space="0" w:color="auto"/>
              <w:bottom w:val="single" w:sz="12" w:space="0" w:color="auto"/>
            </w:tcBorders>
            <w:shd w:val="clear" w:color="auto" w:fill="auto"/>
            <w:vAlign w:val="bottom"/>
          </w:tcPr>
          <w:p w14:paraId="356886AC" w14:textId="77777777" w:rsidR="00D24047" w:rsidRPr="00B045DB" w:rsidRDefault="00D24047" w:rsidP="00DB0C25">
            <w:pPr>
              <w:spacing w:before="80" w:after="80" w:line="200" w:lineRule="exact"/>
              <w:ind w:right="113"/>
              <w:rPr>
                <w:bCs/>
                <w:i/>
                <w:sz w:val="16"/>
              </w:rPr>
            </w:pPr>
            <w:r w:rsidRPr="00B045DB">
              <w:rPr>
                <w:bCs/>
                <w:i/>
                <w:sz w:val="16"/>
              </w:rPr>
              <w:t>Référence du Comité</w:t>
            </w:r>
          </w:p>
        </w:tc>
        <w:tc>
          <w:tcPr>
            <w:tcW w:w="2015" w:type="dxa"/>
            <w:tcBorders>
              <w:top w:val="single" w:sz="4" w:space="0" w:color="auto"/>
              <w:bottom w:val="single" w:sz="12" w:space="0" w:color="auto"/>
            </w:tcBorders>
            <w:shd w:val="clear" w:color="auto" w:fill="auto"/>
            <w:vAlign w:val="bottom"/>
          </w:tcPr>
          <w:p w14:paraId="06034663" w14:textId="77777777" w:rsidR="00D24047" w:rsidRPr="00B045DB" w:rsidRDefault="00D24047" w:rsidP="00DB0C25">
            <w:pPr>
              <w:spacing w:before="80" w:after="80" w:line="200" w:lineRule="exact"/>
              <w:ind w:right="113"/>
              <w:rPr>
                <w:bCs/>
                <w:i/>
                <w:sz w:val="16"/>
              </w:rPr>
            </w:pPr>
            <w:r w:rsidRPr="00B045DB">
              <w:rPr>
                <w:bCs/>
                <w:i/>
                <w:sz w:val="16"/>
              </w:rPr>
              <w:t>Situation</w:t>
            </w:r>
          </w:p>
        </w:tc>
        <w:tc>
          <w:tcPr>
            <w:tcW w:w="3059" w:type="dxa"/>
            <w:tcBorders>
              <w:top w:val="single" w:sz="4" w:space="0" w:color="auto"/>
              <w:bottom w:val="single" w:sz="12" w:space="0" w:color="auto"/>
            </w:tcBorders>
            <w:shd w:val="clear" w:color="auto" w:fill="auto"/>
            <w:vAlign w:val="bottom"/>
          </w:tcPr>
          <w:p w14:paraId="46AFE588" w14:textId="77777777" w:rsidR="00D24047" w:rsidRPr="00B045DB" w:rsidRDefault="00D24047" w:rsidP="00514E0A">
            <w:pPr>
              <w:spacing w:before="80" w:after="80" w:line="200" w:lineRule="exact"/>
              <w:rPr>
                <w:bCs/>
                <w:i/>
                <w:sz w:val="16"/>
              </w:rPr>
            </w:pPr>
            <w:r w:rsidRPr="00B045DB">
              <w:rPr>
                <w:bCs/>
                <w:i/>
                <w:sz w:val="16"/>
              </w:rPr>
              <w:t>Question</w:t>
            </w:r>
          </w:p>
        </w:tc>
      </w:tr>
      <w:tr w:rsidR="00DB0C25" w:rsidRPr="00B045DB" w14:paraId="09AEFE78" w14:textId="77777777" w:rsidTr="00C742D9">
        <w:trPr>
          <w:trHeight w:hRule="exact" w:val="113"/>
          <w:tblHeader/>
        </w:trPr>
        <w:tc>
          <w:tcPr>
            <w:tcW w:w="1806" w:type="dxa"/>
            <w:tcBorders>
              <w:top w:val="single" w:sz="12" w:space="0" w:color="auto"/>
            </w:tcBorders>
            <w:shd w:val="clear" w:color="auto" w:fill="auto"/>
          </w:tcPr>
          <w:p w14:paraId="13C9A532" w14:textId="77777777" w:rsidR="00DB0C25" w:rsidRPr="00B045DB" w:rsidRDefault="00DB0C25" w:rsidP="00DB0C25">
            <w:pPr>
              <w:spacing w:before="40" w:after="120"/>
              <w:ind w:right="113"/>
            </w:pPr>
          </w:p>
        </w:tc>
        <w:tc>
          <w:tcPr>
            <w:tcW w:w="1624" w:type="dxa"/>
            <w:tcBorders>
              <w:top w:val="single" w:sz="12" w:space="0" w:color="auto"/>
            </w:tcBorders>
            <w:shd w:val="clear" w:color="auto" w:fill="auto"/>
          </w:tcPr>
          <w:p w14:paraId="39D33081" w14:textId="77777777" w:rsidR="00DB0C25" w:rsidRPr="00B045DB" w:rsidRDefault="00DB0C25" w:rsidP="00DB0C25">
            <w:pPr>
              <w:spacing w:before="40" w:after="120"/>
              <w:ind w:right="113"/>
              <w:rPr>
                <w:bCs/>
              </w:rPr>
            </w:pPr>
          </w:p>
        </w:tc>
        <w:tc>
          <w:tcPr>
            <w:tcW w:w="2015" w:type="dxa"/>
            <w:tcBorders>
              <w:top w:val="single" w:sz="12" w:space="0" w:color="auto"/>
            </w:tcBorders>
            <w:shd w:val="clear" w:color="auto" w:fill="auto"/>
          </w:tcPr>
          <w:p w14:paraId="75F88752" w14:textId="77777777" w:rsidR="00DB0C25" w:rsidRPr="00B045DB" w:rsidRDefault="00DB0C25" w:rsidP="00DB0C25">
            <w:pPr>
              <w:spacing w:before="40" w:after="120"/>
              <w:ind w:right="113"/>
              <w:rPr>
                <w:bCs/>
              </w:rPr>
            </w:pPr>
          </w:p>
        </w:tc>
        <w:tc>
          <w:tcPr>
            <w:tcW w:w="3059" w:type="dxa"/>
            <w:tcBorders>
              <w:top w:val="single" w:sz="12" w:space="0" w:color="auto"/>
            </w:tcBorders>
            <w:shd w:val="clear" w:color="auto" w:fill="auto"/>
          </w:tcPr>
          <w:p w14:paraId="5A6C5969" w14:textId="77777777" w:rsidR="00DB0C25" w:rsidRPr="00B045DB" w:rsidRDefault="00DB0C25" w:rsidP="00514E0A">
            <w:pPr>
              <w:spacing w:before="40" w:after="120"/>
              <w:rPr>
                <w:bCs/>
              </w:rPr>
            </w:pPr>
          </w:p>
        </w:tc>
      </w:tr>
      <w:tr w:rsidR="00D24047" w:rsidRPr="00B045DB" w14:paraId="520B30CF" w14:textId="77777777" w:rsidTr="00514E0A">
        <w:tc>
          <w:tcPr>
            <w:tcW w:w="8504" w:type="dxa"/>
            <w:gridSpan w:val="4"/>
            <w:shd w:val="clear" w:color="auto" w:fill="auto"/>
          </w:tcPr>
          <w:p w14:paraId="3198E80E" w14:textId="2D08CA87" w:rsidR="00D24047" w:rsidRPr="00B045DB" w:rsidRDefault="00D24047" w:rsidP="00514E0A">
            <w:pPr>
              <w:spacing w:before="40" w:after="120"/>
            </w:pPr>
            <w:bookmarkStart w:id="1" w:name="_Toc147827478"/>
            <w:bookmarkStart w:id="2" w:name="_Toc398716829"/>
            <w:r w:rsidRPr="00B045DB">
              <w:t>Questions relatives à la Convention</w:t>
            </w:r>
            <w:bookmarkEnd w:id="1"/>
            <w:bookmarkEnd w:id="2"/>
          </w:p>
        </w:tc>
      </w:tr>
      <w:tr w:rsidR="00D24047" w:rsidRPr="00B045DB" w14:paraId="1D3325EB" w14:textId="77777777" w:rsidTr="00C742D9">
        <w:tc>
          <w:tcPr>
            <w:tcW w:w="1806" w:type="dxa"/>
            <w:shd w:val="clear" w:color="auto" w:fill="auto"/>
          </w:tcPr>
          <w:p w14:paraId="125C593B" w14:textId="77777777" w:rsidR="00D24047" w:rsidRPr="00B045DB" w:rsidRDefault="00D24047" w:rsidP="00DB0C25">
            <w:pPr>
              <w:spacing w:before="40" w:after="120"/>
              <w:ind w:right="113"/>
            </w:pPr>
            <w:r w:rsidRPr="00B045DB">
              <w:t>Azerbaïdjan</w:t>
            </w:r>
          </w:p>
        </w:tc>
        <w:tc>
          <w:tcPr>
            <w:tcW w:w="1624" w:type="dxa"/>
            <w:shd w:val="clear" w:color="auto" w:fill="auto"/>
          </w:tcPr>
          <w:p w14:paraId="7BD7F2B7" w14:textId="77777777" w:rsidR="00D24047" w:rsidRPr="00B045DB" w:rsidRDefault="00D24047" w:rsidP="00DB0C25">
            <w:pPr>
              <w:spacing w:before="40" w:after="120"/>
              <w:ind w:right="113"/>
            </w:pPr>
            <w:r w:rsidRPr="00B045DB">
              <w:t>EIA/IC/SCI/6/1</w:t>
            </w:r>
          </w:p>
        </w:tc>
        <w:tc>
          <w:tcPr>
            <w:tcW w:w="2015" w:type="dxa"/>
            <w:shd w:val="clear" w:color="auto" w:fill="auto"/>
          </w:tcPr>
          <w:p w14:paraId="26873EDC" w14:textId="47839939" w:rsidR="00D24047" w:rsidRPr="00B045DB" w:rsidRDefault="00D24047" w:rsidP="00DB0C25">
            <w:pPr>
              <w:spacing w:before="40" w:after="120"/>
              <w:ind w:right="113"/>
            </w:pPr>
            <w:r w:rsidRPr="00B045DB">
              <w:t>Clôturé</w:t>
            </w:r>
          </w:p>
        </w:tc>
        <w:tc>
          <w:tcPr>
            <w:tcW w:w="3059" w:type="dxa"/>
            <w:vMerge w:val="restart"/>
            <w:shd w:val="clear" w:color="auto" w:fill="auto"/>
          </w:tcPr>
          <w:p w14:paraId="2D833273" w14:textId="6FE956CA" w:rsidR="00D24047" w:rsidRPr="00B045DB" w:rsidRDefault="00D24047" w:rsidP="00514E0A">
            <w:pPr>
              <w:spacing w:before="40" w:after="120"/>
            </w:pPr>
            <w:r w:rsidRPr="00B045DB">
              <w:t>Application de l</w:t>
            </w:r>
            <w:r w:rsidR="003B2315" w:rsidRPr="00B045DB">
              <w:t>’</w:t>
            </w:r>
            <w:r w:rsidRPr="00B045DB">
              <w:t>art</w:t>
            </w:r>
            <w:r w:rsidR="00B71DDA" w:rsidRPr="00B045DB">
              <w:t>icle</w:t>
            </w:r>
            <w:r w:rsidRPr="00B045DB">
              <w:t xml:space="preserve"> 7</w:t>
            </w:r>
          </w:p>
        </w:tc>
      </w:tr>
      <w:tr w:rsidR="00D24047" w:rsidRPr="00B045DB" w14:paraId="62E63D5E" w14:textId="77777777" w:rsidTr="00C742D9">
        <w:tc>
          <w:tcPr>
            <w:tcW w:w="1806" w:type="dxa"/>
            <w:shd w:val="clear" w:color="auto" w:fill="auto"/>
          </w:tcPr>
          <w:p w14:paraId="4E426E6E" w14:textId="77777777" w:rsidR="00D24047" w:rsidRPr="00B045DB" w:rsidRDefault="00D24047" w:rsidP="00DB0C25">
            <w:pPr>
              <w:spacing w:before="40" w:after="120"/>
              <w:ind w:right="113"/>
            </w:pPr>
            <w:r w:rsidRPr="00B045DB">
              <w:t>Belgique</w:t>
            </w:r>
          </w:p>
        </w:tc>
        <w:tc>
          <w:tcPr>
            <w:tcW w:w="1624" w:type="dxa"/>
            <w:shd w:val="clear" w:color="auto" w:fill="auto"/>
          </w:tcPr>
          <w:p w14:paraId="6593456E" w14:textId="77777777" w:rsidR="00D24047" w:rsidRPr="00B045DB" w:rsidRDefault="00D24047" w:rsidP="00DB0C25">
            <w:pPr>
              <w:spacing w:before="40" w:after="120"/>
              <w:ind w:right="113"/>
            </w:pPr>
            <w:r w:rsidRPr="00B045DB">
              <w:t>EIA/IC/SCI/6/2</w:t>
            </w:r>
          </w:p>
        </w:tc>
        <w:tc>
          <w:tcPr>
            <w:tcW w:w="2015" w:type="dxa"/>
            <w:shd w:val="clear" w:color="auto" w:fill="auto"/>
          </w:tcPr>
          <w:p w14:paraId="5DDB7423" w14:textId="1E99E7DE" w:rsidR="00D24047" w:rsidRPr="00B045DB" w:rsidRDefault="00D24047" w:rsidP="00DB0C25">
            <w:pPr>
              <w:spacing w:before="40" w:after="120"/>
              <w:ind w:right="113"/>
            </w:pPr>
            <w:r w:rsidRPr="00B045DB">
              <w:t>Clôturé</w:t>
            </w:r>
          </w:p>
        </w:tc>
        <w:tc>
          <w:tcPr>
            <w:tcW w:w="3059" w:type="dxa"/>
            <w:vMerge/>
            <w:shd w:val="clear" w:color="auto" w:fill="auto"/>
          </w:tcPr>
          <w:p w14:paraId="47034120" w14:textId="77777777" w:rsidR="00D24047" w:rsidRPr="00B045DB" w:rsidRDefault="00D24047" w:rsidP="00514E0A">
            <w:pPr>
              <w:spacing w:before="40" w:after="120"/>
            </w:pPr>
          </w:p>
        </w:tc>
      </w:tr>
      <w:tr w:rsidR="00D24047" w:rsidRPr="00B045DB" w14:paraId="2E0F1B89" w14:textId="77777777" w:rsidTr="00C742D9">
        <w:tc>
          <w:tcPr>
            <w:tcW w:w="1806" w:type="dxa"/>
            <w:shd w:val="clear" w:color="auto" w:fill="auto"/>
          </w:tcPr>
          <w:p w14:paraId="35CD29B3" w14:textId="22948103" w:rsidR="00D24047" w:rsidRPr="00B045DB" w:rsidRDefault="00D24047" w:rsidP="00DB0C25">
            <w:pPr>
              <w:spacing w:before="40" w:after="120"/>
              <w:ind w:right="113"/>
            </w:pPr>
            <w:r w:rsidRPr="00B045DB">
              <w:t>Bosnie-Herzégovine</w:t>
            </w:r>
          </w:p>
        </w:tc>
        <w:tc>
          <w:tcPr>
            <w:tcW w:w="1624" w:type="dxa"/>
            <w:shd w:val="clear" w:color="auto" w:fill="auto"/>
          </w:tcPr>
          <w:p w14:paraId="1AC576BF" w14:textId="77777777" w:rsidR="00D24047" w:rsidRPr="00B045DB" w:rsidRDefault="00D24047" w:rsidP="00DB0C25">
            <w:pPr>
              <w:spacing w:before="40" w:after="120"/>
              <w:ind w:right="113"/>
            </w:pPr>
            <w:r w:rsidRPr="00B045DB">
              <w:t>EIA/IC/SCI/6/3</w:t>
            </w:r>
          </w:p>
        </w:tc>
        <w:tc>
          <w:tcPr>
            <w:tcW w:w="2015" w:type="dxa"/>
            <w:shd w:val="clear" w:color="auto" w:fill="auto"/>
          </w:tcPr>
          <w:p w14:paraId="24693223" w14:textId="1160E00E" w:rsidR="00D24047" w:rsidRPr="00B045DB" w:rsidRDefault="00D24047" w:rsidP="00DB0C25">
            <w:pPr>
              <w:spacing w:before="40" w:after="120"/>
              <w:ind w:right="113"/>
            </w:pPr>
            <w:r w:rsidRPr="00B045DB">
              <w:t>Clôturé</w:t>
            </w:r>
          </w:p>
        </w:tc>
        <w:tc>
          <w:tcPr>
            <w:tcW w:w="3059" w:type="dxa"/>
            <w:vMerge/>
            <w:shd w:val="clear" w:color="auto" w:fill="auto"/>
          </w:tcPr>
          <w:p w14:paraId="72B53DC1" w14:textId="77777777" w:rsidR="00D24047" w:rsidRPr="00B045DB" w:rsidRDefault="00D24047" w:rsidP="00514E0A">
            <w:pPr>
              <w:spacing w:before="40" w:after="120"/>
            </w:pPr>
          </w:p>
        </w:tc>
      </w:tr>
      <w:tr w:rsidR="00D24047" w:rsidRPr="00B045DB" w14:paraId="29718CF8" w14:textId="77777777" w:rsidTr="00C742D9">
        <w:tc>
          <w:tcPr>
            <w:tcW w:w="1806" w:type="dxa"/>
            <w:shd w:val="clear" w:color="auto" w:fill="auto"/>
          </w:tcPr>
          <w:p w14:paraId="14A02B84" w14:textId="77777777" w:rsidR="00D24047" w:rsidRPr="00B045DB" w:rsidRDefault="00D24047" w:rsidP="00DB0C25">
            <w:pPr>
              <w:spacing w:before="40" w:after="120"/>
              <w:ind w:right="113"/>
            </w:pPr>
            <w:r w:rsidRPr="00B045DB">
              <w:t>Croatie</w:t>
            </w:r>
          </w:p>
        </w:tc>
        <w:tc>
          <w:tcPr>
            <w:tcW w:w="1624" w:type="dxa"/>
            <w:shd w:val="clear" w:color="auto" w:fill="auto"/>
          </w:tcPr>
          <w:p w14:paraId="5FB22B23" w14:textId="77777777" w:rsidR="00D24047" w:rsidRPr="00B045DB" w:rsidRDefault="00D24047" w:rsidP="00DB0C25">
            <w:pPr>
              <w:spacing w:before="40" w:after="120"/>
              <w:ind w:right="113"/>
            </w:pPr>
            <w:r w:rsidRPr="00B045DB">
              <w:t>EIA/IC/SCI/6/4</w:t>
            </w:r>
          </w:p>
        </w:tc>
        <w:tc>
          <w:tcPr>
            <w:tcW w:w="2015" w:type="dxa"/>
            <w:shd w:val="clear" w:color="auto" w:fill="auto"/>
          </w:tcPr>
          <w:p w14:paraId="512DC2CB" w14:textId="77777777" w:rsidR="00D24047" w:rsidRPr="00B045DB" w:rsidRDefault="00D24047" w:rsidP="00DB0C25">
            <w:pPr>
              <w:spacing w:before="40" w:after="120"/>
              <w:ind w:right="113"/>
            </w:pPr>
            <w:r w:rsidRPr="00B045DB">
              <w:t>Clôturé</w:t>
            </w:r>
          </w:p>
        </w:tc>
        <w:tc>
          <w:tcPr>
            <w:tcW w:w="3059" w:type="dxa"/>
            <w:vMerge/>
            <w:shd w:val="clear" w:color="auto" w:fill="auto"/>
          </w:tcPr>
          <w:p w14:paraId="6396C0DB" w14:textId="77777777" w:rsidR="00D24047" w:rsidRPr="00B045DB" w:rsidRDefault="00D24047" w:rsidP="00514E0A">
            <w:pPr>
              <w:spacing w:before="40" w:after="120"/>
            </w:pPr>
          </w:p>
        </w:tc>
      </w:tr>
      <w:tr w:rsidR="00D24047" w:rsidRPr="00B045DB" w14:paraId="1E846086" w14:textId="77777777" w:rsidTr="00C742D9">
        <w:tc>
          <w:tcPr>
            <w:tcW w:w="1806" w:type="dxa"/>
            <w:shd w:val="clear" w:color="auto" w:fill="auto"/>
          </w:tcPr>
          <w:p w14:paraId="0439BFCB" w14:textId="77777777" w:rsidR="00D24047" w:rsidRPr="00B045DB" w:rsidRDefault="00D24047" w:rsidP="00DB0C25">
            <w:pPr>
              <w:spacing w:before="40" w:after="120"/>
              <w:ind w:right="113"/>
            </w:pPr>
            <w:r w:rsidRPr="00B045DB">
              <w:t>Finlande</w:t>
            </w:r>
          </w:p>
        </w:tc>
        <w:tc>
          <w:tcPr>
            <w:tcW w:w="1624" w:type="dxa"/>
            <w:shd w:val="clear" w:color="auto" w:fill="auto"/>
          </w:tcPr>
          <w:p w14:paraId="367F7CFA" w14:textId="77777777" w:rsidR="00D24047" w:rsidRPr="00B045DB" w:rsidRDefault="00D24047" w:rsidP="00DB0C25">
            <w:pPr>
              <w:spacing w:before="40" w:after="120"/>
              <w:ind w:right="113"/>
            </w:pPr>
            <w:r w:rsidRPr="00B045DB">
              <w:t>EIA/IC/SCI/6/6</w:t>
            </w:r>
          </w:p>
        </w:tc>
        <w:tc>
          <w:tcPr>
            <w:tcW w:w="2015" w:type="dxa"/>
            <w:shd w:val="clear" w:color="auto" w:fill="auto"/>
          </w:tcPr>
          <w:p w14:paraId="53EA5F6E" w14:textId="300D1DC5" w:rsidR="00D24047" w:rsidRPr="00B045DB" w:rsidRDefault="00D24047" w:rsidP="00DB0C25">
            <w:pPr>
              <w:spacing w:before="40" w:after="120"/>
              <w:ind w:right="113"/>
            </w:pPr>
            <w:r w:rsidRPr="00B045DB">
              <w:t>Clôturé</w:t>
            </w:r>
          </w:p>
        </w:tc>
        <w:tc>
          <w:tcPr>
            <w:tcW w:w="3059" w:type="dxa"/>
            <w:vMerge/>
            <w:shd w:val="clear" w:color="auto" w:fill="auto"/>
          </w:tcPr>
          <w:p w14:paraId="615BEC48" w14:textId="77777777" w:rsidR="00D24047" w:rsidRPr="00B045DB" w:rsidRDefault="00D24047" w:rsidP="00514E0A">
            <w:pPr>
              <w:spacing w:before="40" w:after="120"/>
            </w:pPr>
          </w:p>
        </w:tc>
      </w:tr>
      <w:tr w:rsidR="00D24047" w:rsidRPr="00B045DB" w14:paraId="4D85EC6C" w14:textId="77777777" w:rsidTr="00C742D9">
        <w:tc>
          <w:tcPr>
            <w:tcW w:w="1806" w:type="dxa"/>
            <w:shd w:val="clear" w:color="auto" w:fill="auto"/>
          </w:tcPr>
          <w:p w14:paraId="5777AA67" w14:textId="77777777" w:rsidR="00D24047" w:rsidRPr="00B045DB" w:rsidRDefault="00D24047" w:rsidP="00DB0C25">
            <w:pPr>
              <w:spacing w:before="40" w:after="120"/>
              <w:ind w:right="113"/>
            </w:pPr>
            <w:r w:rsidRPr="00B045DB">
              <w:t>Kazakhstan</w:t>
            </w:r>
          </w:p>
        </w:tc>
        <w:tc>
          <w:tcPr>
            <w:tcW w:w="1624" w:type="dxa"/>
            <w:shd w:val="clear" w:color="auto" w:fill="auto"/>
          </w:tcPr>
          <w:p w14:paraId="24D11453" w14:textId="77777777" w:rsidR="00D24047" w:rsidRPr="00B045DB" w:rsidRDefault="00D24047" w:rsidP="00DB0C25">
            <w:pPr>
              <w:spacing w:before="40" w:after="120"/>
              <w:ind w:right="113"/>
            </w:pPr>
            <w:r w:rsidRPr="00B045DB">
              <w:t>EIA/IC/SCI/6/7</w:t>
            </w:r>
          </w:p>
        </w:tc>
        <w:tc>
          <w:tcPr>
            <w:tcW w:w="2015" w:type="dxa"/>
            <w:shd w:val="clear" w:color="auto" w:fill="auto"/>
          </w:tcPr>
          <w:p w14:paraId="04058501" w14:textId="4E66D9EE" w:rsidR="00D24047" w:rsidRPr="00B045DB" w:rsidRDefault="00D24047" w:rsidP="00DB0C25">
            <w:pPr>
              <w:spacing w:before="40" w:after="120"/>
              <w:ind w:right="113"/>
            </w:pPr>
            <w:r w:rsidRPr="00B045DB">
              <w:t>Clôturé</w:t>
            </w:r>
          </w:p>
        </w:tc>
        <w:tc>
          <w:tcPr>
            <w:tcW w:w="3059" w:type="dxa"/>
            <w:vMerge/>
            <w:shd w:val="clear" w:color="auto" w:fill="auto"/>
          </w:tcPr>
          <w:p w14:paraId="62CC2A76" w14:textId="77777777" w:rsidR="00D24047" w:rsidRPr="00B045DB" w:rsidRDefault="00D24047" w:rsidP="00514E0A">
            <w:pPr>
              <w:spacing w:before="40" w:after="120"/>
            </w:pPr>
          </w:p>
        </w:tc>
      </w:tr>
      <w:tr w:rsidR="00D24047" w:rsidRPr="00B045DB" w14:paraId="62DD2678" w14:textId="77777777" w:rsidTr="00C742D9">
        <w:tc>
          <w:tcPr>
            <w:tcW w:w="1806" w:type="dxa"/>
            <w:shd w:val="clear" w:color="auto" w:fill="auto"/>
          </w:tcPr>
          <w:p w14:paraId="25CBD93B" w14:textId="77777777" w:rsidR="00D24047" w:rsidRPr="00B045DB" w:rsidRDefault="00D24047" w:rsidP="00DB0C25">
            <w:pPr>
              <w:spacing w:before="40" w:after="120"/>
              <w:ind w:right="113"/>
            </w:pPr>
            <w:r w:rsidRPr="00B045DB">
              <w:t>Lettonie</w:t>
            </w:r>
          </w:p>
        </w:tc>
        <w:tc>
          <w:tcPr>
            <w:tcW w:w="1624" w:type="dxa"/>
            <w:shd w:val="clear" w:color="auto" w:fill="auto"/>
          </w:tcPr>
          <w:p w14:paraId="185978CA" w14:textId="77777777" w:rsidR="00D24047" w:rsidRPr="00B045DB" w:rsidRDefault="00D24047" w:rsidP="00DB0C25">
            <w:pPr>
              <w:spacing w:before="40" w:after="120"/>
              <w:ind w:right="113"/>
            </w:pPr>
            <w:r w:rsidRPr="00B045DB">
              <w:t>EIA/IC/SCI/6/9</w:t>
            </w:r>
          </w:p>
        </w:tc>
        <w:tc>
          <w:tcPr>
            <w:tcW w:w="2015" w:type="dxa"/>
            <w:shd w:val="clear" w:color="auto" w:fill="auto"/>
          </w:tcPr>
          <w:p w14:paraId="3B7B9461" w14:textId="023BE257" w:rsidR="00D24047" w:rsidRPr="00B045DB" w:rsidRDefault="00D24047" w:rsidP="00DB0C25">
            <w:pPr>
              <w:spacing w:before="40" w:after="120"/>
              <w:ind w:right="113"/>
            </w:pPr>
            <w:r w:rsidRPr="00B045DB">
              <w:t>Clôturé</w:t>
            </w:r>
          </w:p>
        </w:tc>
        <w:tc>
          <w:tcPr>
            <w:tcW w:w="3059" w:type="dxa"/>
            <w:vMerge/>
            <w:shd w:val="clear" w:color="auto" w:fill="auto"/>
          </w:tcPr>
          <w:p w14:paraId="0EF83385" w14:textId="77777777" w:rsidR="00D24047" w:rsidRPr="00B045DB" w:rsidRDefault="00D24047" w:rsidP="00514E0A">
            <w:pPr>
              <w:spacing w:before="40" w:after="120"/>
            </w:pPr>
          </w:p>
        </w:tc>
      </w:tr>
      <w:tr w:rsidR="00D24047" w:rsidRPr="00B045DB" w14:paraId="4EA7B2D7" w14:textId="77777777" w:rsidTr="00C742D9">
        <w:tc>
          <w:tcPr>
            <w:tcW w:w="1806" w:type="dxa"/>
            <w:shd w:val="clear" w:color="auto" w:fill="auto"/>
          </w:tcPr>
          <w:p w14:paraId="5919A96D" w14:textId="77777777" w:rsidR="00D24047" w:rsidRPr="00B045DB" w:rsidRDefault="00D24047" w:rsidP="00DB0C25">
            <w:pPr>
              <w:spacing w:before="40" w:after="120"/>
              <w:ind w:right="113"/>
            </w:pPr>
            <w:r w:rsidRPr="00B045DB">
              <w:t>Suisse</w:t>
            </w:r>
          </w:p>
        </w:tc>
        <w:tc>
          <w:tcPr>
            <w:tcW w:w="1624" w:type="dxa"/>
            <w:shd w:val="clear" w:color="auto" w:fill="auto"/>
          </w:tcPr>
          <w:p w14:paraId="4885A0A6" w14:textId="77777777" w:rsidR="00D24047" w:rsidRPr="00B045DB" w:rsidRDefault="00D24047" w:rsidP="00DB0C25">
            <w:pPr>
              <w:spacing w:before="40" w:after="120"/>
              <w:ind w:right="113"/>
            </w:pPr>
            <w:r w:rsidRPr="00B045DB">
              <w:t>EIA/IC/SCI/6/12</w:t>
            </w:r>
          </w:p>
        </w:tc>
        <w:tc>
          <w:tcPr>
            <w:tcW w:w="2015" w:type="dxa"/>
            <w:shd w:val="clear" w:color="auto" w:fill="auto"/>
          </w:tcPr>
          <w:p w14:paraId="4970E947" w14:textId="5AC34D63" w:rsidR="00D24047" w:rsidRPr="00B045DB" w:rsidRDefault="00D24047" w:rsidP="00DB0C25">
            <w:pPr>
              <w:spacing w:before="40" w:after="120"/>
              <w:ind w:right="113"/>
            </w:pPr>
            <w:r w:rsidRPr="00B045DB">
              <w:t>Clôturé</w:t>
            </w:r>
          </w:p>
        </w:tc>
        <w:tc>
          <w:tcPr>
            <w:tcW w:w="3059" w:type="dxa"/>
            <w:vMerge/>
            <w:shd w:val="clear" w:color="auto" w:fill="auto"/>
          </w:tcPr>
          <w:p w14:paraId="0BB234FE" w14:textId="77777777" w:rsidR="00D24047" w:rsidRPr="00B045DB" w:rsidRDefault="00D24047" w:rsidP="00514E0A">
            <w:pPr>
              <w:spacing w:before="40" w:after="120"/>
            </w:pPr>
          </w:p>
        </w:tc>
      </w:tr>
      <w:tr w:rsidR="00D24047" w:rsidRPr="00B045DB" w14:paraId="6D61EFE8" w14:textId="77777777" w:rsidTr="00C742D9">
        <w:tc>
          <w:tcPr>
            <w:tcW w:w="1806" w:type="dxa"/>
            <w:shd w:val="clear" w:color="auto" w:fill="auto"/>
          </w:tcPr>
          <w:p w14:paraId="1284AF49" w14:textId="77777777" w:rsidR="00D24047" w:rsidRPr="00B045DB" w:rsidRDefault="00D24047" w:rsidP="00DB0C25">
            <w:pPr>
              <w:spacing w:before="40" w:after="120"/>
              <w:ind w:right="113"/>
            </w:pPr>
            <w:r w:rsidRPr="00B045DB">
              <w:t>Royaume-Uni</w:t>
            </w:r>
          </w:p>
        </w:tc>
        <w:tc>
          <w:tcPr>
            <w:tcW w:w="1624" w:type="dxa"/>
            <w:shd w:val="clear" w:color="auto" w:fill="auto"/>
          </w:tcPr>
          <w:p w14:paraId="07453A72" w14:textId="77777777" w:rsidR="00D24047" w:rsidRPr="00B045DB" w:rsidRDefault="00D24047" w:rsidP="00DB0C25">
            <w:pPr>
              <w:spacing w:before="40" w:after="120"/>
              <w:ind w:right="113"/>
            </w:pPr>
            <w:r w:rsidRPr="00B045DB">
              <w:t>EIA/IC/SCI/6/13</w:t>
            </w:r>
          </w:p>
        </w:tc>
        <w:tc>
          <w:tcPr>
            <w:tcW w:w="2015" w:type="dxa"/>
            <w:shd w:val="clear" w:color="auto" w:fill="auto"/>
          </w:tcPr>
          <w:p w14:paraId="05DFE05D" w14:textId="77777777" w:rsidR="00D24047" w:rsidRPr="00B045DB" w:rsidRDefault="00D24047" w:rsidP="00DB0C25">
            <w:pPr>
              <w:spacing w:before="40" w:after="120"/>
              <w:ind w:right="113"/>
            </w:pPr>
            <w:r w:rsidRPr="00B045DB">
              <w:t>Clôturé</w:t>
            </w:r>
          </w:p>
        </w:tc>
        <w:tc>
          <w:tcPr>
            <w:tcW w:w="3059" w:type="dxa"/>
            <w:vMerge/>
            <w:shd w:val="clear" w:color="auto" w:fill="auto"/>
          </w:tcPr>
          <w:p w14:paraId="78AF050E" w14:textId="77777777" w:rsidR="00D24047" w:rsidRPr="00B045DB" w:rsidRDefault="00D24047" w:rsidP="00514E0A">
            <w:pPr>
              <w:spacing w:before="40" w:after="120"/>
            </w:pPr>
          </w:p>
        </w:tc>
      </w:tr>
      <w:tr w:rsidR="00D24047" w:rsidRPr="00B045DB" w14:paraId="57DFCC6F" w14:textId="77777777" w:rsidTr="00C742D9">
        <w:tc>
          <w:tcPr>
            <w:tcW w:w="1806" w:type="dxa"/>
            <w:shd w:val="clear" w:color="auto" w:fill="auto"/>
          </w:tcPr>
          <w:p w14:paraId="613D8101" w14:textId="77777777" w:rsidR="00D24047" w:rsidRPr="00B045DB" w:rsidRDefault="00D24047" w:rsidP="00DB0C25">
            <w:pPr>
              <w:spacing w:before="40" w:after="120"/>
              <w:ind w:right="113"/>
            </w:pPr>
          </w:p>
        </w:tc>
        <w:tc>
          <w:tcPr>
            <w:tcW w:w="1624" w:type="dxa"/>
            <w:shd w:val="clear" w:color="auto" w:fill="auto"/>
          </w:tcPr>
          <w:p w14:paraId="0F8AE898" w14:textId="77777777" w:rsidR="00D24047" w:rsidRPr="00B045DB" w:rsidRDefault="00D24047" w:rsidP="00DB0C25">
            <w:pPr>
              <w:spacing w:before="40" w:after="120"/>
              <w:ind w:right="113"/>
            </w:pPr>
          </w:p>
        </w:tc>
        <w:tc>
          <w:tcPr>
            <w:tcW w:w="2015" w:type="dxa"/>
            <w:shd w:val="clear" w:color="auto" w:fill="auto"/>
          </w:tcPr>
          <w:p w14:paraId="5F09D1E7" w14:textId="77777777" w:rsidR="00D24047" w:rsidRPr="00B045DB" w:rsidRDefault="00D24047" w:rsidP="00DB0C25">
            <w:pPr>
              <w:spacing w:before="40" w:after="120"/>
              <w:ind w:right="113"/>
            </w:pPr>
          </w:p>
        </w:tc>
        <w:tc>
          <w:tcPr>
            <w:tcW w:w="3059" w:type="dxa"/>
            <w:shd w:val="clear" w:color="auto" w:fill="auto"/>
          </w:tcPr>
          <w:p w14:paraId="16C67E16" w14:textId="77777777" w:rsidR="00D24047" w:rsidRPr="00B045DB" w:rsidRDefault="00D24047" w:rsidP="00514E0A">
            <w:pPr>
              <w:spacing w:before="40" w:after="120"/>
            </w:pPr>
          </w:p>
        </w:tc>
      </w:tr>
      <w:tr w:rsidR="00D24047" w:rsidRPr="00B045DB" w14:paraId="09403367" w14:textId="77777777" w:rsidTr="00C742D9">
        <w:tc>
          <w:tcPr>
            <w:tcW w:w="1806" w:type="dxa"/>
            <w:shd w:val="clear" w:color="auto" w:fill="auto"/>
          </w:tcPr>
          <w:p w14:paraId="3FB2B23D" w14:textId="77777777" w:rsidR="00D24047" w:rsidRPr="00B045DB" w:rsidRDefault="00D24047" w:rsidP="00DB0C25">
            <w:pPr>
              <w:spacing w:before="40" w:after="120"/>
              <w:ind w:right="113"/>
            </w:pPr>
            <w:r w:rsidRPr="00B045DB">
              <w:t>Kazakhstan</w:t>
            </w:r>
          </w:p>
        </w:tc>
        <w:tc>
          <w:tcPr>
            <w:tcW w:w="1624" w:type="dxa"/>
            <w:shd w:val="clear" w:color="auto" w:fill="auto"/>
          </w:tcPr>
          <w:p w14:paraId="456CA7ED" w14:textId="77777777" w:rsidR="00D24047" w:rsidRPr="00B045DB" w:rsidRDefault="00D24047" w:rsidP="00DB0C25">
            <w:pPr>
              <w:spacing w:before="40" w:after="120"/>
              <w:ind w:right="113"/>
            </w:pPr>
            <w:r w:rsidRPr="00B045DB">
              <w:t>EIA/IC/SCI/6/7</w:t>
            </w:r>
          </w:p>
        </w:tc>
        <w:tc>
          <w:tcPr>
            <w:tcW w:w="2015" w:type="dxa"/>
            <w:shd w:val="clear" w:color="auto" w:fill="auto"/>
          </w:tcPr>
          <w:p w14:paraId="7472F9CC" w14:textId="77777777" w:rsidR="00D24047" w:rsidRPr="00B045DB" w:rsidRDefault="00D24047" w:rsidP="00DB0C25">
            <w:pPr>
              <w:spacing w:before="40" w:after="120"/>
              <w:ind w:right="113"/>
            </w:pPr>
            <w:r w:rsidRPr="00B045DB">
              <w:t>Clôturé</w:t>
            </w:r>
          </w:p>
        </w:tc>
        <w:tc>
          <w:tcPr>
            <w:tcW w:w="3059" w:type="dxa"/>
            <w:vMerge w:val="restart"/>
            <w:shd w:val="clear" w:color="auto" w:fill="auto"/>
          </w:tcPr>
          <w:p w14:paraId="79E60AFB" w14:textId="21B004EE" w:rsidR="00D24047" w:rsidRPr="00C742D9" w:rsidRDefault="00D24047" w:rsidP="00514E0A">
            <w:pPr>
              <w:spacing w:before="40" w:after="120"/>
              <w:rPr>
                <w:spacing w:val="-2"/>
              </w:rPr>
            </w:pPr>
            <w:r w:rsidRPr="00C742D9">
              <w:rPr>
                <w:spacing w:val="-2"/>
              </w:rPr>
              <w:t>Définition de «</w:t>
            </w:r>
            <w:r w:rsidR="00C742D9" w:rsidRPr="00C742D9">
              <w:rPr>
                <w:spacing w:val="-2"/>
              </w:rPr>
              <w:t> </w:t>
            </w:r>
            <w:r w:rsidRPr="00C742D9">
              <w:rPr>
                <w:spacing w:val="-2"/>
              </w:rPr>
              <w:t>modification majeure</w:t>
            </w:r>
            <w:r w:rsidR="00C742D9">
              <w:rPr>
                <w:spacing w:val="-2"/>
              </w:rPr>
              <w:t> </w:t>
            </w:r>
            <w:r w:rsidRPr="00C742D9">
              <w:rPr>
                <w:spacing w:val="-2"/>
              </w:rPr>
              <w:t>»</w:t>
            </w:r>
          </w:p>
        </w:tc>
      </w:tr>
      <w:tr w:rsidR="00D24047" w:rsidRPr="00B045DB" w14:paraId="77F131EC" w14:textId="77777777" w:rsidTr="00C742D9">
        <w:tc>
          <w:tcPr>
            <w:tcW w:w="1806" w:type="dxa"/>
            <w:shd w:val="clear" w:color="auto" w:fill="auto"/>
          </w:tcPr>
          <w:p w14:paraId="7F009F66" w14:textId="77777777" w:rsidR="00D24047" w:rsidRPr="00B045DB" w:rsidRDefault="00D24047" w:rsidP="00DB0C25">
            <w:pPr>
              <w:spacing w:before="40" w:after="120"/>
              <w:ind w:right="113"/>
            </w:pPr>
            <w:r w:rsidRPr="00B045DB">
              <w:t>Kirghizistan</w:t>
            </w:r>
          </w:p>
        </w:tc>
        <w:tc>
          <w:tcPr>
            <w:tcW w:w="1624" w:type="dxa"/>
            <w:shd w:val="clear" w:color="auto" w:fill="auto"/>
          </w:tcPr>
          <w:p w14:paraId="55F019F8" w14:textId="77777777" w:rsidR="00D24047" w:rsidRPr="00B045DB" w:rsidRDefault="00D24047" w:rsidP="00DB0C25">
            <w:pPr>
              <w:spacing w:before="40" w:after="120"/>
              <w:ind w:right="113"/>
            </w:pPr>
            <w:r w:rsidRPr="00B045DB">
              <w:t>EIA/IC/SCI/6/8</w:t>
            </w:r>
          </w:p>
        </w:tc>
        <w:tc>
          <w:tcPr>
            <w:tcW w:w="2015" w:type="dxa"/>
            <w:shd w:val="clear" w:color="auto" w:fill="auto"/>
          </w:tcPr>
          <w:p w14:paraId="77211A21" w14:textId="77777777" w:rsidR="00D24047" w:rsidRPr="00B045DB" w:rsidRDefault="00D24047" w:rsidP="00DB0C25">
            <w:pPr>
              <w:spacing w:before="40" w:after="120"/>
              <w:ind w:right="113"/>
            </w:pPr>
            <w:r w:rsidRPr="00B045DB">
              <w:t>En cours</w:t>
            </w:r>
          </w:p>
        </w:tc>
        <w:tc>
          <w:tcPr>
            <w:tcW w:w="3059" w:type="dxa"/>
            <w:vMerge/>
            <w:shd w:val="clear" w:color="auto" w:fill="auto"/>
          </w:tcPr>
          <w:p w14:paraId="4BF4586D" w14:textId="77777777" w:rsidR="00D24047" w:rsidRPr="00B045DB" w:rsidRDefault="00D24047" w:rsidP="00514E0A">
            <w:pPr>
              <w:spacing w:before="40" w:after="120"/>
            </w:pPr>
          </w:p>
        </w:tc>
      </w:tr>
      <w:tr w:rsidR="00D24047" w:rsidRPr="00B045DB" w14:paraId="4B8238C3" w14:textId="77777777" w:rsidTr="00C742D9">
        <w:tc>
          <w:tcPr>
            <w:tcW w:w="1806" w:type="dxa"/>
            <w:shd w:val="clear" w:color="auto" w:fill="auto"/>
          </w:tcPr>
          <w:p w14:paraId="7B153340" w14:textId="77777777" w:rsidR="00D24047" w:rsidRPr="00B045DB" w:rsidRDefault="00D24047" w:rsidP="00DB0C25">
            <w:pPr>
              <w:spacing w:before="40" w:after="120"/>
              <w:ind w:right="113"/>
            </w:pPr>
            <w:proofErr w:type="spellStart"/>
            <w:r w:rsidRPr="00B045DB">
              <w:t>Rép</w:t>
            </w:r>
            <w:proofErr w:type="spellEnd"/>
            <w:r w:rsidRPr="00B045DB">
              <w:t>. de Moldova</w:t>
            </w:r>
          </w:p>
        </w:tc>
        <w:tc>
          <w:tcPr>
            <w:tcW w:w="1624" w:type="dxa"/>
            <w:shd w:val="clear" w:color="auto" w:fill="auto"/>
          </w:tcPr>
          <w:p w14:paraId="775C1CA7" w14:textId="77777777" w:rsidR="00D24047" w:rsidRPr="00B045DB" w:rsidRDefault="00D24047" w:rsidP="00DB0C25">
            <w:pPr>
              <w:spacing w:before="40" w:after="120"/>
              <w:ind w:right="113"/>
            </w:pPr>
            <w:r w:rsidRPr="00B045DB">
              <w:t>EIA/IC/SCI/6/10</w:t>
            </w:r>
          </w:p>
        </w:tc>
        <w:tc>
          <w:tcPr>
            <w:tcW w:w="2015" w:type="dxa"/>
            <w:shd w:val="clear" w:color="auto" w:fill="auto"/>
          </w:tcPr>
          <w:p w14:paraId="23C41CFE" w14:textId="77777777" w:rsidR="00D24047" w:rsidRPr="00B045DB" w:rsidRDefault="00D24047" w:rsidP="00DB0C25">
            <w:pPr>
              <w:spacing w:before="40" w:after="120"/>
              <w:ind w:right="113"/>
            </w:pPr>
            <w:r w:rsidRPr="00B045DB">
              <w:t>Clôturé</w:t>
            </w:r>
          </w:p>
        </w:tc>
        <w:tc>
          <w:tcPr>
            <w:tcW w:w="3059" w:type="dxa"/>
            <w:vMerge/>
            <w:shd w:val="clear" w:color="auto" w:fill="auto"/>
          </w:tcPr>
          <w:p w14:paraId="35990C86" w14:textId="77777777" w:rsidR="00D24047" w:rsidRPr="00B045DB" w:rsidRDefault="00D24047" w:rsidP="00514E0A">
            <w:pPr>
              <w:spacing w:before="40" w:after="120"/>
            </w:pPr>
          </w:p>
        </w:tc>
      </w:tr>
      <w:tr w:rsidR="00D24047" w:rsidRPr="00B045DB" w14:paraId="58718D2D" w14:textId="77777777" w:rsidTr="00C742D9">
        <w:tc>
          <w:tcPr>
            <w:tcW w:w="1806" w:type="dxa"/>
            <w:shd w:val="clear" w:color="auto" w:fill="auto"/>
          </w:tcPr>
          <w:p w14:paraId="5DC860A3" w14:textId="77777777" w:rsidR="00D24047" w:rsidRPr="00B045DB" w:rsidRDefault="00D24047" w:rsidP="00DB0C25">
            <w:pPr>
              <w:spacing w:before="40" w:after="120"/>
              <w:ind w:right="113"/>
            </w:pPr>
          </w:p>
        </w:tc>
        <w:tc>
          <w:tcPr>
            <w:tcW w:w="1624" w:type="dxa"/>
            <w:shd w:val="clear" w:color="auto" w:fill="auto"/>
          </w:tcPr>
          <w:p w14:paraId="6B303836" w14:textId="77777777" w:rsidR="00D24047" w:rsidRPr="00B045DB" w:rsidRDefault="00D24047" w:rsidP="00DB0C25">
            <w:pPr>
              <w:spacing w:before="40" w:after="120"/>
              <w:ind w:right="113"/>
            </w:pPr>
          </w:p>
        </w:tc>
        <w:tc>
          <w:tcPr>
            <w:tcW w:w="2015" w:type="dxa"/>
            <w:shd w:val="clear" w:color="auto" w:fill="auto"/>
          </w:tcPr>
          <w:p w14:paraId="33E95825" w14:textId="77777777" w:rsidR="00D24047" w:rsidRPr="00B045DB" w:rsidRDefault="00D24047" w:rsidP="00DB0C25">
            <w:pPr>
              <w:spacing w:before="40" w:after="120"/>
              <w:ind w:right="113"/>
            </w:pPr>
          </w:p>
        </w:tc>
        <w:tc>
          <w:tcPr>
            <w:tcW w:w="3059" w:type="dxa"/>
            <w:shd w:val="clear" w:color="auto" w:fill="auto"/>
          </w:tcPr>
          <w:p w14:paraId="19E745E8" w14:textId="77777777" w:rsidR="00D24047" w:rsidRPr="00B045DB" w:rsidRDefault="00D24047" w:rsidP="00514E0A">
            <w:pPr>
              <w:spacing w:before="40" w:after="120"/>
            </w:pPr>
          </w:p>
        </w:tc>
      </w:tr>
      <w:tr w:rsidR="00C742D9" w:rsidRPr="00B045DB" w14:paraId="10FF0BE2" w14:textId="77777777" w:rsidTr="00C742D9">
        <w:tc>
          <w:tcPr>
            <w:tcW w:w="1806" w:type="dxa"/>
            <w:shd w:val="clear" w:color="auto" w:fill="auto"/>
          </w:tcPr>
          <w:p w14:paraId="177525E0" w14:textId="1442AD0E" w:rsidR="00C742D9" w:rsidRPr="00B045DB" w:rsidRDefault="00C742D9" w:rsidP="00C742D9">
            <w:pPr>
              <w:spacing w:before="40" w:after="120"/>
              <w:ind w:right="113"/>
            </w:pPr>
            <w:r w:rsidRPr="00B045DB">
              <w:t>Kazakhstan</w:t>
            </w:r>
          </w:p>
        </w:tc>
        <w:tc>
          <w:tcPr>
            <w:tcW w:w="1624" w:type="dxa"/>
            <w:shd w:val="clear" w:color="auto" w:fill="auto"/>
          </w:tcPr>
          <w:p w14:paraId="043AB10F" w14:textId="5CF5B585" w:rsidR="00C742D9" w:rsidRPr="00B045DB" w:rsidRDefault="00C742D9" w:rsidP="00C742D9">
            <w:pPr>
              <w:spacing w:before="40" w:after="120"/>
              <w:ind w:right="113"/>
            </w:pPr>
            <w:r w:rsidRPr="00B045DB">
              <w:t>EIA/IC/SCI/6/7</w:t>
            </w:r>
          </w:p>
        </w:tc>
        <w:tc>
          <w:tcPr>
            <w:tcW w:w="2015" w:type="dxa"/>
            <w:shd w:val="clear" w:color="auto" w:fill="auto"/>
          </w:tcPr>
          <w:p w14:paraId="5AA74625" w14:textId="59419B70" w:rsidR="00C742D9" w:rsidRPr="00B045DB" w:rsidRDefault="00C742D9" w:rsidP="00C742D9">
            <w:pPr>
              <w:spacing w:before="40" w:after="120"/>
              <w:ind w:right="113"/>
            </w:pPr>
            <w:r w:rsidRPr="00B045DB">
              <w:t>Clôturé</w:t>
            </w:r>
          </w:p>
        </w:tc>
        <w:tc>
          <w:tcPr>
            <w:tcW w:w="3059" w:type="dxa"/>
            <w:shd w:val="clear" w:color="auto" w:fill="auto"/>
          </w:tcPr>
          <w:p w14:paraId="5E3ACE09" w14:textId="58509ADB" w:rsidR="00C742D9" w:rsidRPr="00B045DB" w:rsidRDefault="00C742D9" w:rsidP="00C742D9">
            <w:pPr>
              <w:spacing w:before="40" w:after="120"/>
            </w:pPr>
            <w:r w:rsidRPr="00B045DB">
              <w:t xml:space="preserve">Notification conformément </w:t>
            </w:r>
            <w:r>
              <w:br/>
            </w:r>
            <w:r w:rsidRPr="00B045DB">
              <w:t>à l’art</w:t>
            </w:r>
            <w:r>
              <w:t>icle</w:t>
            </w:r>
            <w:r w:rsidRPr="00B045DB">
              <w:t xml:space="preserve"> 3 </w:t>
            </w:r>
            <w:r>
              <w:t xml:space="preserve">(par. </w:t>
            </w:r>
            <w:r w:rsidRPr="00B045DB">
              <w:t>1)</w:t>
            </w:r>
          </w:p>
        </w:tc>
      </w:tr>
      <w:tr w:rsidR="00D24047" w:rsidRPr="00B045DB" w14:paraId="520A0BD8" w14:textId="77777777" w:rsidTr="00C742D9">
        <w:tc>
          <w:tcPr>
            <w:tcW w:w="1806" w:type="dxa"/>
            <w:shd w:val="clear" w:color="auto" w:fill="auto"/>
          </w:tcPr>
          <w:p w14:paraId="10994C4F" w14:textId="77777777" w:rsidR="00D24047" w:rsidRPr="00B045DB" w:rsidRDefault="00D24047" w:rsidP="00DB0C25">
            <w:pPr>
              <w:spacing w:before="40" w:after="120"/>
              <w:ind w:right="113"/>
            </w:pPr>
            <w:r w:rsidRPr="00B045DB">
              <w:t>Royaume-Uni</w:t>
            </w:r>
          </w:p>
        </w:tc>
        <w:tc>
          <w:tcPr>
            <w:tcW w:w="1624" w:type="dxa"/>
            <w:shd w:val="clear" w:color="auto" w:fill="auto"/>
          </w:tcPr>
          <w:p w14:paraId="64111DC8" w14:textId="77777777" w:rsidR="00D24047" w:rsidRPr="00B045DB" w:rsidRDefault="00D24047" w:rsidP="00DB0C25">
            <w:pPr>
              <w:spacing w:before="40" w:after="120"/>
              <w:ind w:right="113"/>
            </w:pPr>
            <w:r w:rsidRPr="00B045DB">
              <w:t>EIA/IC/SCI/6/13</w:t>
            </w:r>
          </w:p>
        </w:tc>
        <w:tc>
          <w:tcPr>
            <w:tcW w:w="2015" w:type="dxa"/>
            <w:shd w:val="clear" w:color="auto" w:fill="auto"/>
          </w:tcPr>
          <w:p w14:paraId="7FB06C80" w14:textId="1E469BBB" w:rsidR="00D24047" w:rsidRPr="00B045DB" w:rsidRDefault="00D24047" w:rsidP="00DB0C25">
            <w:pPr>
              <w:spacing w:before="40" w:after="120"/>
              <w:ind w:right="113"/>
            </w:pPr>
            <w:r w:rsidRPr="00B045DB">
              <w:t>Clôturé</w:t>
            </w:r>
          </w:p>
        </w:tc>
        <w:tc>
          <w:tcPr>
            <w:tcW w:w="3059" w:type="dxa"/>
            <w:shd w:val="clear" w:color="auto" w:fill="auto"/>
          </w:tcPr>
          <w:p w14:paraId="2E3F6B74" w14:textId="77777777" w:rsidR="00D24047" w:rsidRPr="00B045DB" w:rsidRDefault="00D24047" w:rsidP="00514E0A">
            <w:pPr>
              <w:spacing w:before="40" w:after="120"/>
            </w:pPr>
          </w:p>
        </w:tc>
      </w:tr>
      <w:tr w:rsidR="00D24047" w:rsidRPr="00B045DB" w14:paraId="2D707847" w14:textId="77777777" w:rsidTr="00C742D9">
        <w:tc>
          <w:tcPr>
            <w:tcW w:w="1806" w:type="dxa"/>
            <w:shd w:val="clear" w:color="auto" w:fill="auto"/>
          </w:tcPr>
          <w:p w14:paraId="66753AFA" w14:textId="77777777" w:rsidR="00D24047" w:rsidRPr="00B045DB" w:rsidRDefault="00D24047" w:rsidP="00DB0C25">
            <w:pPr>
              <w:spacing w:before="40" w:after="120"/>
              <w:ind w:right="113"/>
            </w:pPr>
            <w:r w:rsidRPr="00B045DB">
              <w:t>Espagne</w:t>
            </w:r>
          </w:p>
        </w:tc>
        <w:tc>
          <w:tcPr>
            <w:tcW w:w="1624" w:type="dxa"/>
            <w:shd w:val="clear" w:color="auto" w:fill="auto"/>
          </w:tcPr>
          <w:p w14:paraId="3A647D09" w14:textId="77777777" w:rsidR="00D24047" w:rsidRPr="00B045DB" w:rsidRDefault="00D24047" w:rsidP="00DB0C25">
            <w:pPr>
              <w:spacing w:before="40" w:after="120"/>
              <w:ind w:right="113"/>
            </w:pPr>
            <w:r w:rsidRPr="00B045DB">
              <w:t>EIA/IC/SCI/6/11</w:t>
            </w:r>
          </w:p>
        </w:tc>
        <w:tc>
          <w:tcPr>
            <w:tcW w:w="2015" w:type="dxa"/>
            <w:shd w:val="clear" w:color="auto" w:fill="auto"/>
          </w:tcPr>
          <w:p w14:paraId="3C1D918B" w14:textId="77777777" w:rsidR="00D24047" w:rsidRPr="00B045DB" w:rsidRDefault="00D24047" w:rsidP="00DB0C25">
            <w:pPr>
              <w:spacing w:before="40" w:after="120"/>
              <w:ind w:right="113"/>
            </w:pPr>
            <w:r w:rsidRPr="00B045DB">
              <w:t>Clôturé</w:t>
            </w:r>
          </w:p>
        </w:tc>
        <w:tc>
          <w:tcPr>
            <w:tcW w:w="3059" w:type="dxa"/>
            <w:shd w:val="clear" w:color="auto" w:fill="auto"/>
          </w:tcPr>
          <w:p w14:paraId="55656214" w14:textId="02691436" w:rsidR="00D24047" w:rsidRPr="00B045DB" w:rsidRDefault="00D24047" w:rsidP="00514E0A">
            <w:pPr>
              <w:spacing w:before="40" w:after="120"/>
            </w:pPr>
            <w:r w:rsidRPr="00B045DB">
              <w:t>Définition du terme «</w:t>
            </w:r>
            <w:r w:rsidR="00C742D9">
              <w:t xml:space="preserve"> </w:t>
            </w:r>
            <w:r w:rsidRPr="00B045DB">
              <w:t>impact</w:t>
            </w:r>
            <w:r w:rsidR="00C742D9">
              <w:t xml:space="preserve"> </w:t>
            </w:r>
            <w:r w:rsidRPr="00B045DB">
              <w:t>»</w:t>
            </w:r>
          </w:p>
        </w:tc>
      </w:tr>
      <w:tr w:rsidR="00D24047" w:rsidRPr="00B045DB" w14:paraId="1DE8618C" w14:textId="77777777" w:rsidTr="00C742D9">
        <w:tc>
          <w:tcPr>
            <w:tcW w:w="1806" w:type="dxa"/>
            <w:shd w:val="clear" w:color="auto" w:fill="auto"/>
          </w:tcPr>
          <w:p w14:paraId="4EC2FB8E" w14:textId="77777777" w:rsidR="00D24047" w:rsidRPr="00B045DB" w:rsidRDefault="00D24047" w:rsidP="00DB0C25">
            <w:pPr>
              <w:spacing w:before="40" w:after="120"/>
              <w:ind w:right="113"/>
            </w:pPr>
            <w:r w:rsidRPr="00B045DB">
              <w:t>Danemark</w:t>
            </w:r>
          </w:p>
        </w:tc>
        <w:tc>
          <w:tcPr>
            <w:tcW w:w="1624" w:type="dxa"/>
            <w:shd w:val="clear" w:color="auto" w:fill="auto"/>
          </w:tcPr>
          <w:p w14:paraId="29396688" w14:textId="77777777" w:rsidR="00D24047" w:rsidRPr="00B045DB" w:rsidRDefault="00D24047" w:rsidP="00DB0C25">
            <w:pPr>
              <w:spacing w:before="40" w:after="120"/>
              <w:ind w:right="113"/>
            </w:pPr>
            <w:r w:rsidRPr="00B045DB">
              <w:t>EIA/IC/SCI/6/5</w:t>
            </w:r>
          </w:p>
        </w:tc>
        <w:tc>
          <w:tcPr>
            <w:tcW w:w="2015" w:type="dxa"/>
            <w:shd w:val="clear" w:color="auto" w:fill="auto"/>
          </w:tcPr>
          <w:p w14:paraId="1A1F311F" w14:textId="51FE27B8" w:rsidR="00D24047" w:rsidRPr="00B045DB" w:rsidRDefault="00D24047" w:rsidP="00DB0C25">
            <w:pPr>
              <w:spacing w:before="40" w:after="120"/>
              <w:ind w:right="113"/>
            </w:pPr>
            <w:r w:rsidRPr="00B045DB">
              <w:t>Clôturé</w:t>
            </w:r>
          </w:p>
        </w:tc>
        <w:tc>
          <w:tcPr>
            <w:tcW w:w="3059" w:type="dxa"/>
            <w:shd w:val="clear" w:color="auto" w:fill="auto"/>
          </w:tcPr>
          <w:p w14:paraId="39AC3134" w14:textId="7FB5A7D9" w:rsidR="00D24047" w:rsidRPr="00B045DB" w:rsidRDefault="00D24047" w:rsidP="00514E0A">
            <w:pPr>
              <w:spacing w:before="40" w:after="120"/>
            </w:pPr>
            <w:r w:rsidRPr="00B045DB">
              <w:t xml:space="preserve">Prolongation du délai de </w:t>
            </w:r>
            <w:r w:rsidR="00514E0A" w:rsidRPr="00B045DB">
              <w:t>quatorze</w:t>
            </w:r>
            <w:r w:rsidRPr="00B045DB">
              <w:t xml:space="preserve"> jours pour répondre à la notification</w:t>
            </w:r>
          </w:p>
        </w:tc>
      </w:tr>
      <w:tr w:rsidR="00D24047" w:rsidRPr="00B045DB" w14:paraId="612A8939" w14:textId="77777777" w:rsidTr="00C742D9">
        <w:tc>
          <w:tcPr>
            <w:tcW w:w="1806" w:type="dxa"/>
            <w:shd w:val="clear" w:color="auto" w:fill="auto"/>
          </w:tcPr>
          <w:p w14:paraId="76F30089" w14:textId="77777777" w:rsidR="00D24047" w:rsidRPr="00B045DB" w:rsidRDefault="00D24047" w:rsidP="00DB0C25">
            <w:pPr>
              <w:spacing w:before="40" w:after="120"/>
              <w:ind w:right="113"/>
            </w:pPr>
            <w:r w:rsidRPr="00B045DB">
              <w:t>Suisse</w:t>
            </w:r>
          </w:p>
        </w:tc>
        <w:tc>
          <w:tcPr>
            <w:tcW w:w="1624" w:type="dxa"/>
            <w:shd w:val="clear" w:color="auto" w:fill="auto"/>
          </w:tcPr>
          <w:p w14:paraId="63688F50" w14:textId="77777777" w:rsidR="00D24047" w:rsidRPr="00B045DB" w:rsidRDefault="00D24047" w:rsidP="00DB0C25">
            <w:pPr>
              <w:spacing w:before="40" w:after="120"/>
              <w:ind w:right="113"/>
            </w:pPr>
            <w:r w:rsidRPr="00B045DB">
              <w:t>EIA/IC/SCI/6/12</w:t>
            </w:r>
          </w:p>
        </w:tc>
        <w:tc>
          <w:tcPr>
            <w:tcW w:w="2015" w:type="dxa"/>
            <w:shd w:val="clear" w:color="auto" w:fill="auto"/>
          </w:tcPr>
          <w:p w14:paraId="3D4EE088" w14:textId="2EA02D7F" w:rsidR="00D24047" w:rsidRPr="00B045DB" w:rsidRDefault="00D24047" w:rsidP="00DB0C25">
            <w:pPr>
              <w:spacing w:before="40" w:after="120"/>
              <w:ind w:right="113"/>
            </w:pPr>
            <w:r w:rsidRPr="00B045DB">
              <w:t>Clôturé</w:t>
            </w:r>
          </w:p>
        </w:tc>
        <w:tc>
          <w:tcPr>
            <w:tcW w:w="3059" w:type="dxa"/>
            <w:shd w:val="clear" w:color="auto" w:fill="auto"/>
          </w:tcPr>
          <w:p w14:paraId="16088D89" w14:textId="083769A8" w:rsidR="00D24047" w:rsidRPr="00B045DB" w:rsidRDefault="00D24047" w:rsidP="00514E0A">
            <w:pPr>
              <w:spacing w:before="40" w:after="120"/>
            </w:pPr>
            <w:r w:rsidRPr="00B045DB">
              <w:t>Rôle des autorités gouvernementales s</w:t>
            </w:r>
            <w:r w:rsidR="003B2315" w:rsidRPr="00B045DB">
              <w:t>’</w:t>
            </w:r>
            <w:r w:rsidRPr="00B045DB">
              <w:t>agissant de garantir le contenu du</w:t>
            </w:r>
            <w:r w:rsidR="00C742D9">
              <w:t> </w:t>
            </w:r>
            <w:r w:rsidRPr="00B045DB">
              <w:t>dossier d</w:t>
            </w:r>
            <w:r w:rsidR="003B2315" w:rsidRPr="00B045DB">
              <w:t>’</w:t>
            </w:r>
            <w:r w:rsidRPr="00B045DB">
              <w:t>évaluation de l</w:t>
            </w:r>
            <w:r w:rsidR="003B2315" w:rsidRPr="00B045DB">
              <w:t>’</w:t>
            </w:r>
            <w:r w:rsidRPr="00B045DB">
              <w:t>impact sur l</w:t>
            </w:r>
            <w:r w:rsidR="003B2315" w:rsidRPr="00B045DB">
              <w:t>’</w:t>
            </w:r>
            <w:r w:rsidRPr="00B045DB">
              <w:t>environnement conformément à</w:t>
            </w:r>
            <w:r w:rsidR="00C742D9">
              <w:t> </w:t>
            </w:r>
            <w:r w:rsidRPr="00B045DB">
              <w:t>l</w:t>
            </w:r>
            <w:r w:rsidR="003B2315" w:rsidRPr="00B045DB">
              <w:t>’</w:t>
            </w:r>
            <w:r w:rsidRPr="00B045DB">
              <w:t>article 4 (par. 1)</w:t>
            </w:r>
          </w:p>
        </w:tc>
      </w:tr>
      <w:tr w:rsidR="00D24047" w:rsidRPr="00B045DB" w14:paraId="0B0126BA" w14:textId="77777777" w:rsidTr="00514E0A">
        <w:tc>
          <w:tcPr>
            <w:tcW w:w="8504" w:type="dxa"/>
            <w:gridSpan w:val="4"/>
            <w:shd w:val="clear" w:color="auto" w:fill="auto"/>
          </w:tcPr>
          <w:p w14:paraId="37DF4259" w14:textId="77777777" w:rsidR="00D24047" w:rsidRPr="00B045DB" w:rsidRDefault="00D24047" w:rsidP="00514E0A">
            <w:pPr>
              <w:spacing w:before="40" w:after="120"/>
            </w:pPr>
            <w:bookmarkStart w:id="3" w:name="_Toc147827479"/>
            <w:bookmarkStart w:id="4" w:name="_Toc1504514237"/>
            <w:r w:rsidRPr="00B045DB">
              <w:t>Questions relatives au Protocole</w:t>
            </w:r>
            <w:bookmarkEnd w:id="3"/>
            <w:bookmarkEnd w:id="4"/>
          </w:p>
        </w:tc>
      </w:tr>
      <w:tr w:rsidR="00D24047" w:rsidRPr="00B045DB" w14:paraId="3BF04A0B" w14:textId="77777777" w:rsidTr="00C742D9">
        <w:tc>
          <w:tcPr>
            <w:tcW w:w="1806" w:type="dxa"/>
            <w:shd w:val="clear" w:color="auto" w:fill="auto"/>
          </w:tcPr>
          <w:p w14:paraId="4637719B" w14:textId="77777777" w:rsidR="00D24047" w:rsidRPr="00B045DB" w:rsidRDefault="00D24047" w:rsidP="00DB0C25">
            <w:pPr>
              <w:spacing w:before="40" w:after="120"/>
              <w:ind w:right="113"/>
            </w:pPr>
            <w:r w:rsidRPr="00B045DB">
              <w:t>Serbie</w:t>
            </w:r>
          </w:p>
        </w:tc>
        <w:tc>
          <w:tcPr>
            <w:tcW w:w="1624" w:type="dxa"/>
            <w:shd w:val="clear" w:color="auto" w:fill="auto"/>
          </w:tcPr>
          <w:p w14:paraId="580E1E73" w14:textId="77777777" w:rsidR="00D24047" w:rsidRPr="00B045DB" w:rsidRDefault="00D24047" w:rsidP="00DB0C25">
            <w:pPr>
              <w:spacing w:before="40" w:after="120"/>
              <w:ind w:right="113"/>
            </w:pPr>
            <w:r w:rsidRPr="00B045DB">
              <w:t>SEA/IC/SCI/2/2</w:t>
            </w:r>
          </w:p>
        </w:tc>
        <w:tc>
          <w:tcPr>
            <w:tcW w:w="2015" w:type="dxa"/>
            <w:shd w:val="clear" w:color="auto" w:fill="auto"/>
          </w:tcPr>
          <w:p w14:paraId="30B30522" w14:textId="77777777" w:rsidR="00D24047" w:rsidRPr="00B045DB" w:rsidRDefault="00D24047" w:rsidP="00DB0C25">
            <w:pPr>
              <w:spacing w:before="40" w:after="120"/>
              <w:ind w:right="113"/>
            </w:pPr>
            <w:r w:rsidRPr="00B045DB">
              <w:t>En cours</w:t>
            </w:r>
          </w:p>
        </w:tc>
        <w:tc>
          <w:tcPr>
            <w:tcW w:w="3059" w:type="dxa"/>
            <w:shd w:val="clear" w:color="auto" w:fill="auto"/>
          </w:tcPr>
          <w:p w14:paraId="5ED8BDA5" w14:textId="0B3A838C" w:rsidR="00D24047" w:rsidRPr="00B045DB" w:rsidRDefault="00D24047" w:rsidP="00514E0A">
            <w:pPr>
              <w:spacing w:before="40" w:after="120"/>
            </w:pPr>
            <w:r w:rsidRPr="00B045DB">
              <w:t xml:space="preserve">Absence de système de contrôle </w:t>
            </w:r>
            <w:r w:rsidR="00C742D9">
              <w:br/>
            </w:r>
            <w:r w:rsidRPr="00B045DB">
              <w:t>de la qualité des rapports sur l</w:t>
            </w:r>
            <w:r w:rsidR="003B2315" w:rsidRPr="00B045DB">
              <w:t>’</w:t>
            </w:r>
            <w:r w:rsidRPr="00B045DB">
              <w:t>environnement (art. 7, par. 3), remontant au deuxième examen de</w:t>
            </w:r>
            <w:r w:rsidR="00C742D9">
              <w:t> </w:t>
            </w:r>
            <w:r w:rsidRPr="00B045DB">
              <w:t>l</w:t>
            </w:r>
            <w:r w:rsidR="003B2315" w:rsidRPr="00B045DB">
              <w:t>’</w:t>
            </w:r>
            <w:r w:rsidRPr="00B045DB">
              <w:t>application</w:t>
            </w:r>
          </w:p>
        </w:tc>
      </w:tr>
      <w:tr w:rsidR="00D24047" w:rsidRPr="00B045DB" w14:paraId="393D715A" w14:textId="77777777" w:rsidTr="00C742D9">
        <w:tc>
          <w:tcPr>
            <w:tcW w:w="1806" w:type="dxa"/>
            <w:shd w:val="clear" w:color="auto" w:fill="auto"/>
          </w:tcPr>
          <w:p w14:paraId="0C555F71" w14:textId="77777777" w:rsidR="00D24047" w:rsidRPr="00B045DB" w:rsidRDefault="00D24047" w:rsidP="00514E0A">
            <w:pPr>
              <w:keepNext/>
              <w:spacing w:before="40" w:after="120"/>
              <w:ind w:right="113"/>
            </w:pPr>
            <w:r w:rsidRPr="00B045DB">
              <w:lastRenderedPageBreak/>
              <w:t>Arménie</w:t>
            </w:r>
          </w:p>
        </w:tc>
        <w:tc>
          <w:tcPr>
            <w:tcW w:w="1624" w:type="dxa"/>
            <w:shd w:val="clear" w:color="auto" w:fill="auto"/>
          </w:tcPr>
          <w:p w14:paraId="423B248D" w14:textId="77777777" w:rsidR="00D24047" w:rsidRPr="00B045DB" w:rsidRDefault="00D24047" w:rsidP="00514E0A">
            <w:pPr>
              <w:keepNext/>
              <w:spacing w:before="40" w:after="120"/>
              <w:ind w:right="113"/>
            </w:pPr>
            <w:r w:rsidRPr="00B045DB">
              <w:t>SEA/IC/SCI/3/1</w:t>
            </w:r>
          </w:p>
        </w:tc>
        <w:tc>
          <w:tcPr>
            <w:tcW w:w="2015" w:type="dxa"/>
            <w:shd w:val="clear" w:color="auto" w:fill="auto"/>
          </w:tcPr>
          <w:p w14:paraId="0A1F4E4B" w14:textId="76F533ED" w:rsidR="00D24047" w:rsidRPr="00B045DB" w:rsidRDefault="00D24047" w:rsidP="00514E0A">
            <w:pPr>
              <w:keepNext/>
              <w:spacing w:before="40" w:after="120"/>
              <w:ind w:right="113"/>
            </w:pPr>
            <w:r w:rsidRPr="00B045DB">
              <w:t>Clôturé</w:t>
            </w:r>
          </w:p>
        </w:tc>
        <w:tc>
          <w:tcPr>
            <w:tcW w:w="3059" w:type="dxa"/>
            <w:vMerge w:val="restart"/>
            <w:shd w:val="clear" w:color="auto" w:fill="auto"/>
          </w:tcPr>
          <w:p w14:paraId="44EC531E" w14:textId="056B1837" w:rsidR="00D24047" w:rsidRPr="00B045DB" w:rsidRDefault="00D24047" w:rsidP="00514E0A">
            <w:pPr>
              <w:keepNext/>
              <w:spacing w:before="60" w:after="120"/>
            </w:pPr>
            <w:r w:rsidRPr="00B045DB">
              <w:t>Définitions de «</w:t>
            </w:r>
            <w:r w:rsidR="00514E0A" w:rsidRPr="00B045DB">
              <w:t xml:space="preserve"> </w:t>
            </w:r>
            <w:r w:rsidRPr="00B045DB">
              <w:t>modifications mineures</w:t>
            </w:r>
            <w:r w:rsidR="00514E0A" w:rsidRPr="00B045DB">
              <w:t xml:space="preserve"> </w:t>
            </w:r>
            <w:r w:rsidRPr="00B045DB">
              <w:t>» et «</w:t>
            </w:r>
            <w:r w:rsidR="00514E0A" w:rsidRPr="00B045DB">
              <w:t xml:space="preserve"> </w:t>
            </w:r>
            <w:r w:rsidRPr="00B045DB">
              <w:t>autres plans et programmes</w:t>
            </w:r>
            <w:r w:rsidR="00514E0A" w:rsidRPr="00B045DB">
              <w:t xml:space="preserve"> </w:t>
            </w:r>
            <w:r w:rsidRPr="00B045DB">
              <w:t>»</w:t>
            </w:r>
          </w:p>
        </w:tc>
      </w:tr>
      <w:tr w:rsidR="00D24047" w:rsidRPr="00B045DB" w14:paraId="07DDD4F2" w14:textId="77777777" w:rsidTr="00C742D9">
        <w:tc>
          <w:tcPr>
            <w:tcW w:w="1806" w:type="dxa"/>
            <w:shd w:val="clear" w:color="auto" w:fill="auto"/>
          </w:tcPr>
          <w:p w14:paraId="0532602B" w14:textId="36261A58" w:rsidR="00D24047" w:rsidRPr="00B045DB" w:rsidRDefault="00D24047" w:rsidP="00DB0C25">
            <w:pPr>
              <w:spacing w:before="40" w:after="120"/>
              <w:ind w:right="113"/>
            </w:pPr>
            <w:r w:rsidRPr="00B045DB">
              <w:t>Bosnie-Herzégovine</w:t>
            </w:r>
          </w:p>
        </w:tc>
        <w:tc>
          <w:tcPr>
            <w:tcW w:w="1624" w:type="dxa"/>
            <w:shd w:val="clear" w:color="auto" w:fill="auto"/>
          </w:tcPr>
          <w:p w14:paraId="789FF642" w14:textId="77777777" w:rsidR="00D24047" w:rsidRPr="00B045DB" w:rsidRDefault="00D24047" w:rsidP="00DB0C25">
            <w:pPr>
              <w:spacing w:before="40" w:after="120"/>
              <w:ind w:right="113"/>
            </w:pPr>
            <w:r w:rsidRPr="00B045DB">
              <w:t>SEA/IC/SCI/3/2</w:t>
            </w:r>
          </w:p>
        </w:tc>
        <w:tc>
          <w:tcPr>
            <w:tcW w:w="2015" w:type="dxa"/>
            <w:shd w:val="clear" w:color="auto" w:fill="auto"/>
          </w:tcPr>
          <w:p w14:paraId="2BB73B5D" w14:textId="6ECD7C08" w:rsidR="00D24047" w:rsidRPr="00B045DB" w:rsidRDefault="00D24047" w:rsidP="00DB0C25">
            <w:pPr>
              <w:spacing w:before="40" w:after="120"/>
              <w:ind w:right="113"/>
            </w:pPr>
            <w:r w:rsidRPr="00B045DB">
              <w:t>Clôturé</w:t>
            </w:r>
          </w:p>
        </w:tc>
        <w:tc>
          <w:tcPr>
            <w:tcW w:w="3059" w:type="dxa"/>
            <w:vMerge/>
            <w:shd w:val="clear" w:color="auto" w:fill="auto"/>
          </w:tcPr>
          <w:p w14:paraId="2F6D1C27" w14:textId="77777777" w:rsidR="00D24047" w:rsidRPr="00B045DB" w:rsidRDefault="00D24047" w:rsidP="00514E0A">
            <w:pPr>
              <w:spacing w:before="40" w:after="120"/>
            </w:pPr>
          </w:p>
        </w:tc>
      </w:tr>
      <w:tr w:rsidR="00D24047" w:rsidRPr="00B045DB" w14:paraId="43D2552D" w14:textId="77777777" w:rsidTr="00C742D9">
        <w:tc>
          <w:tcPr>
            <w:tcW w:w="1806" w:type="dxa"/>
            <w:shd w:val="clear" w:color="auto" w:fill="auto"/>
          </w:tcPr>
          <w:p w14:paraId="643EF40C" w14:textId="77777777" w:rsidR="00D24047" w:rsidRPr="00B045DB" w:rsidRDefault="00D24047" w:rsidP="00DB0C25">
            <w:pPr>
              <w:spacing w:before="40" w:after="120"/>
              <w:ind w:right="113"/>
            </w:pPr>
          </w:p>
        </w:tc>
        <w:tc>
          <w:tcPr>
            <w:tcW w:w="1624" w:type="dxa"/>
            <w:shd w:val="clear" w:color="auto" w:fill="auto"/>
          </w:tcPr>
          <w:p w14:paraId="5E2549AC" w14:textId="77777777" w:rsidR="00D24047" w:rsidRPr="00B045DB" w:rsidRDefault="00D24047" w:rsidP="00DB0C25">
            <w:pPr>
              <w:spacing w:before="40" w:after="120"/>
              <w:ind w:right="113"/>
            </w:pPr>
          </w:p>
        </w:tc>
        <w:tc>
          <w:tcPr>
            <w:tcW w:w="2015" w:type="dxa"/>
            <w:shd w:val="clear" w:color="auto" w:fill="auto"/>
          </w:tcPr>
          <w:p w14:paraId="5788391A" w14:textId="77777777" w:rsidR="00D24047" w:rsidRPr="00B045DB" w:rsidRDefault="00D24047" w:rsidP="00DB0C25">
            <w:pPr>
              <w:spacing w:before="40" w:after="120"/>
              <w:ind w:right="113"/>
            </w:pPr>
          </w:p>
        </w:tc>
        <w:tc>
          <w:tcPr>
            <w:tcW w:w="3059" w:type="dxa"/>
            <w:shd w:val="clear" w:color="auto" w:fill="auto"/>
          </w:tcPr>
          <w:p w14:paraId="200390AF" w14:textId="77777777" w:rsidR="00D24047" w:rsidRPr="00B045DB" w:rsidRDefault="00D24047" w:rsidP="00514E0A">
            <w:pPr>
              <w:spacing w:before="40" w:after="120"/>
            </w:pPr>
          </w:p>
        </w:tc>
      </w:tr>
      <w:tr w:rsidR="00D24047" w:rsidRPr="00B045DB" w14:paraId="04225033" w14:textId="77777777" w:rsidTr="00C742D9">
        <w:tc>
          <w:tcPr>
            <w:tcW w:w="1806" w:type="dxa"/>
            <w:shd w:val="clear" w:color="auto" w:fill="auto"/>
          </w:tcPr>
          <w:p w14:paraId="771A83C0" w14:textId="6897CCB1" w:rsidR="00D24047" w:rsidRPr="00B045DB" w:rsidRDefault="00D24047" w:rsidP="00DB0C25">
            <w:pPr>
              <w:spacing w:before="40" w:after="120"/>
              <w:ind w:right="113"/>
            </w:pPr>
            <w:r w:rsidRPr="00B045DB">
              <w:t>Macédoine du Nord</w:t>
            </w:r>
          </w:p>
        </w:tc>
        <w:tc>
          <w:tcPr>
            <w:tcW w:w="1624" w:type="dxa"/>
            <w:shd w:val="clear" w:color="auto" w:fill="auto"/>
          </w:tcPr>
          <w:p w14:paraId="4F3D45E0" w14:textId="77777777" w:rsidR="00D24047" w:rsidRPr="00B045DB" w:rsidRDefault="00D24047" w:rsidP="00DB0C25">
            <w:pPr>
              <w:spacing w:before="40" w:after="120"/>
              <w:ind w:right="113"/>
            </w:pPr>
            <w:r w:rsidRPr="00B045DB">
              <w:t>SEA/IC/SCI/3/3</w:t>
            </w:r>
          </w:p>
        </w:tc>
        <w:tc>
          <w:tcPr>
            <w:tcW w:w="2015" w:type="dxa"/>
            <w:shd w:val="clear" w:color="auto" w:fill="auto"/>
          </w:tcPr>
          <w:p w14:paraId="7CAE7637" w14:textId="77777777" w:rsidR="00D24047" w:rsidRPr="00B045DB" w:rsidRDefault="00D24047" w:rsidP="00DB0C25">
            <w:pPr>
              <w:spacing w:before="40" w:after="120"/>
              <w:ind w:right="113"/>
            </w:pPr>
            <w:r w:rsidRPr="00B045DB">
              <w:t>En cours</w:t>
            </w:r>
          </w:p>
        </w:tc>
        <w:tc>
          <w:tcPr>
            <w:tcW w:w="3059" w:type="dxa"/>
            <w:shd w:val="clear" w:color="auto" w:fill="auto"/>
          </w:tcPr>
          <w:p w14:paraId="569097F4" w14:textId="5372FDA8" w:rsidR="00D24047" w:rsidRPr="00B045DB" w:rsidRDefault="00D24047" w:rsidP="00514E0A">
            <w:pPr>
              <w:spacing w:before="40" w:after="120"/>
            </w:pPr>
            <w:r w:rsidRPr="00B045DB">
              <w:t>Application de l</w:t>
            </w:r>
            <w:r w:rsidR="003B2315" w:rsidRPr="00B045DB">
              <w:t>’</w:t>
            </w:r>
            <w:r w:rsidRPr="00B045DB">
              <w:t>art</w:t>
            </w:r>
            <w:r w:rsidR="00514E0A" w:rsidRPr="00B045DB">
              <w:t>icle</w:t>
            </w:r>
            <w:r w:rsidRPr="00B045DB">
              <w:t xml:space="preserve"> 11 (par.</w:t>
            </w:r>
            <w:r w:rsidR="00514E0A" w:rsidRPr="00B045DB">
              <w:t> </w:t>
            </w:r>
            <w:r w:rsidRPr="00B045DB">
              <w:t>1 c)</w:t>
            </w:r>
            <w:r w:rsidR="00C742D9">
              <w:t>)</w:t>
            </w:r>
          </w:p>
        </w:tc>
      </w:tr>
      <w:tr w:rsidR="00D24047" w:rsidRPr="00B045DB" w14:paraId="41D5FB7F" w14:textId="77777777" w:rsidTr="00C742D9">
        <w:tc>
          <w:tcPr>
            <w:tcW w:w="1806" w:type="dxa"/>
            <w:tcBorders>
              <w:bottom w:val="single" w:sz="12" w:space="0" w:color="auto"/>
            </w:tcBorders>
            <w:shd w:val="clear" w:color="auto" w:fill="auto"/>
          </w:tcPr>
          <w:p w14:paraId="336B5EDD" w14:textId="77777777" w:rsidR="00D24047" w:rsidRPr="00B045DB" w:rsidRDefault="00D24047" w:rsidP="00DB0C25">
            <w:pPr>
              <w:spacing w:before="40" w:after="120"/>
              <w:ind w:right="113"/>
            </w:pPr>
            <w:r w:rsidRPr="00B045DB">
              <w:t>Union européenne</w:t>
            </w:r>
          </w:p>
        </w:tc>
        <w:tc>
          <w:tcPr>
            <w:tcW w:w="1624" w:type="dxa"/>
            <w:tcBorders>
              <w:bottom w:val="single" w:sz="12" w:space="0" w:color="auto"/>
            </w:tcBorders>
            <w:shd w:val="clear" w:color="auto" w:fill="auto"/>
          </w:tcPr>
          <w:p w14:paraId="39230FD0" w14:textId="77777777" w:rsidR="00D24047" w:rsidRPr="00B045DB" w:rsidRDefault="00D24047" w:rsidP="00DB0C25">
            <w:pPr>
              <w:spacing w:before="40" w:after="120"/>
              <w:ind w:right="113"/>
            </w:pPr>
            <w:r w:rsidRPr="00B045DB">
              <w:t>SEA/IC/SCI/1/4</w:t>
            </w:r>
          </w:p>
        </w:tc>
        <w:tc>
          <w:tcPr>
            <w:tcW w:w="2015" w:type="dxa"/>
            <w:tcBorders>
              <w:bottom w:val="single" w:sz="12" w:space="0" w:color="auto"/>
            </w:tcBorders>
            <w:shd w:val="clear" w:color="auto" w:fill="auto"/>
          </w:tcPr>
          <w:p w14:paraId="11227C00" w14:textId="39DFA2BD" w:rsidR="00D24047" w:rsidRPr="00B045DB" w:rsidRDefault="00D24047" w:rsidP="00DB0C25">
            <w:pPr>
              <w:spacing w:before="40" w:after="120"/>
              <w:ind w:right="113"/>
            </w:pPr>
            <w:r w:rsidRPr="00B045DB">
              <w:t>En attente jusqu</w:t>
            </w:r>
            <w:r w:rsidR="003B2315" w:rsidRPr="00B045DB">
              <w:t>’</w:t>
            </w:r>
            <w:r w:rsidRPr="00B045DB">
              <w:t>à ce que les modèles de rapport aient été dûment pris en compte par les Réunions des parties</w:t>
            </w:r>
          </w:p>
        </w:tc>
        <w:tc>
          <w:tcPr>
            <w:tcW w:w="3059" w:type="dxa"/>
            <w:tcBorders>
              <w:bottom w:val="single" w:sz="12" w:space="0" w:color="auto"/>
            </w:tcBorders>
            <w:shd w:val="clear" w:color="auto" w:fill="auto"/>
          </w:tcPr>
          <w:p w14:paraId="72FBD2E1" w14:textId="77777777" w:rsidR="00D24047" w:rsidRPr="00B045DB" w:rsidRDefault="00D24047" w:rsidP="00514E0A">
            <w:pPr>
              <w:spacing w:before="40" w:after="120"/>
            </w:pPr>
          </w:p>
        </w:tc>
      </w:tr>
    </w:tbl>
    <w:p w14:paraId="491E176B" w14:textId="5FC2B5E4" w:rsidR="00D24047" w:rsidRPr="00B045DB" w:rsidRDefault="00514E0A" w:rsidP="00514E0A">
      <w:pPr>
        <w:pStyle w:val="HChG"/>
      </w:pPr>
      <w:r w:rsidRPr="00B045DB">
        <w:tab/>
      </w:r>
      <w:r w:rsidR="00D24047" w:rsidRPr="00B045DB">
        <w:t>VII.</w:t>
      </w:r>
      <w:r w:rsidR="00D24047" w:rsidRPr="00B045DB">
        <w:tab/>
        <w:t>Questionnaires révisés et examens de l</w:t>
      </w:r>
      <w:r w:rsidR="003B2315" w:rsidRPr="00B045DB">
        <w:t>’</w:t>
      </w:r>
      <w:r w:rsidR="00D24047" w:rsidRPr="00B045DB">
        <w:t>application</w:t>
      </w:r>
    </w:p>
    <w:p w14:paraId="22754D5F" w14:textId="41CADCFB" w:rsidR="00D24047" w:rsidRPr="00B045DB" w:rsidRDefault="00514E0A" w:rsidP="00514E0A">
      <w:pPr>
        <w:pStyle w:val="H1G"/>
      </w:pPr>
      <w:r w:rsidRPr="00B045DB">
        <w:tab/>
      </w:r>
      <w:r w:rsidR="00D24047" w:rsidRPr="00B045DB">
        <w:t>A.</w:t>
      </w:r>
      <w:r w:rsidR="00D24047" w:rsidRPr="00B045DB">
        <w:tab/>
        <w:t>Modification des questionnaires</w:t>
      </w:r>
    </w:p>
    <w:p w14:paraId="092605C3" w14:textId="2CABB08A" w:rsidR="00D24047" w:rsidRPr="00B045DB" w:rsidRDefault="00D24047" w:rsidP="00D24047">
      <w:pPr>
        <w:pStyle w:val="SingleTxtG"/>
      </w:pPr>
      <w:r w:rsidRPr="00B045DB">
        <w:t>106.</w:t>
      </w:r>
      <w:r w:rsidRPr="00B045DB">
        <w:tab/>
        <w:t>Le Comité a décidé de modifier les questionnaires pour le septième examen de l</w:t>
      </w:r>
      <w:r w:rsidR="003B2315" w:rsidRPr="00B045DB">
        <w:t>’</w:t>
      </w:r>
      <w:r w:rsidRPr="00B045DB">
        <w:t>application de la Convention et le quatrième examen de l</w:t>
      </w:r>
      <w:r w:rsidR="003B2315" w:rsidRPr="00B045DB">
        <w:t>’</w:t>
      </w:r>
      <w:r w:rsidRPr="00B045DB">
        <w:t>application du Protocole, en tenant compte des suggestions visant à améliorer les questionnaires</w:t>
      </w:r>
      <w:r w:rsidRPr="00B045DB">
        <w:rPr>
          <w:rStyle w:val="Appelnotedebasdep"/>
        </w:rPr>
        <w:footnoteReference w:id="88"/>
      </w:r>
      <w:r w:rsidRPr="00B045DB">
        <w:t>. En ce qui concerne le plan de travail pour 2021-2023</w:t>
      </w:r>
      <w:r w:rsidRPr="00B045DB">
        <w:rPr>
          <w:rStyle w:val="Appelnotedebasdep"/>
        </w:rPr>
        <w:footnoteReference w:id="89"/>
      </w:r>
      <w:r w:rsidRPr="00B045DB">
        <w:t xml:space="preserve"> (décision VIII/2-IV/2, annexe I, point II.B) et la stratégie à long terme (ECE/MP.EIA/2020/3-ECE/MP.EIA/SEA/2020/3, point II.A.9), le Comité a suggéré des moyens de renforcer l</w:t>
      </w:r>
      <w:r w:rsidR="003B2315" w:rsidRPr="00B045DB">
        <w:t>’</w:t>
      </w:r>
      <w:r w:rsidRPr="00B045DB">
        <w:t>utilité des questionnaires et des rapports des Parties pour en faire des sources d</w:t>
      </w:r>
      <w:r w:rsidR="003B2315" w:rsidRPr="00B045DB">
        <w:t>’</w:t>
      </w:r>
      <w:r w:rsidRPr="00B045DB">
        <w:t>informations permettant de mieux suivre les progrès accomplis et les défis qui restent à relever, de recueillir et de diffuser les bonnes pratiques et d</w:t>
      </w:r>
      <w:r w:rsidR="003B2315" w:rsidRPr="00B045DB">
        <w:t>’</w:t>
      </w:r>
      <w:r w:rsidRPr="00B045DB">
        <w:t>informer le Comité des cas potentiels de non-respect des dispositions. En décembre 2021, le Groupe de travail a approuvé les questionnaires révisés</w:t>
      </w:r>
      <w:r w:rsidRPr="00B045DB">
        <w:rPr>
          <w:rStyle w:val="Appelnotedebasdep"/>
        </w:rPr>
        <w:footnoteReference w:id="90"/>
      </w:r>
      <w:r w:rsidRPr="00B045DB">
        <w:t>.</w:t>
      </w:r>
    </w:p>
    <w:p w14:paraId="12B7D1ED" w14:textId="124A52CF" w:rsidR="00D24047" w:rsidRPr="00B045DB" w:rsidRDefault="00D24047" w:rsidP="00D24047">
      <w:pPr>
        <w:pStyle w:val="SingleTxtG"/>
      </w:pPr>
      <w:r w:rsidRPr="00B045DB">
        <w:t>107.</w:t>
      </w:r>
      <w:r w:rsidRPr="00B045DB">
        <w:tab/>
        <w:t>Le secrétariat a envoyé les deux questionnaires aux Parties en janvier 2022, afin qu</w:t>
      </w:r>
      <w:r w:rsidR="003B2315" w:rsidRPr="00B045DB">
        <w:t>’</w:t>
      </w:r>
      <w:r w:rsidRPr="00B045DB">
        <w:t>elles y répondent au plus tard le 30</w:t>
      </w:r>
      <w:r w:rsidR="00514E0A" w:rsidRPr="00B045DB">
        <w:t> </w:t>
      </w:r>
      <w:r w:rsidRPr="00B045DB">
        <w:t>avril 2022</w:t>
      </w:r>
      <w:r w:rsidRPr="00B045DB">
        <w:rPr>
          <w:rStyle w:val="Appelnotedebasdep"/>
        </w:rPr>
        <w:footnoteReference w:id="91"/>
      </w:r>
      <w:r w:rsidRPr="00B045DB">
        <w:t>. Le Comité a pris note des conclusions du projet de septième examen de l</w:t>
      </w:r>
      <w:r w:rsidR="003B2315" w:rsidRPr="00B045DB">
        <w:t>’</w:t>
      </w:r>
      <w:r w:rsidRPr="00B045DB">
        <w:t>application de la Convention (ECE/MP.EIA/WG.2/2022/3) et du projet de quatrième examen de l</w:t>
      </w:r>
      <w:r w:rsidR="003B2315" w:rsidRPr="00B045DB">
        <w:t>’</w:t>
      </w:r>
      <w:r w:rsidRPr="00B045DB">
        <w:t>application du Protocole (ECE/MP.EIA/</w:t>
      </w:r>
      <w:r w:rsidR="00514E0A" w:rsidRPr="00B045DB">
        <w:t xml:space="preserve"> </w:t>
      </w:r>
      <w:r w:rsidRPr="00B045DB">
        <w:t>WG.2/2022/4), établis par le secrétariat avec l</w:t>
      </w:r>
      <w:r w:rsidR="003B2315" w:rsidRPr="00B045DB">
        <w:t>’</w:t>
      </w:r>
      <w:r w:rsidRPr="00B045DB">
        <w:t>aide de consultants, ainsi que des suggestions visant à améliorer les questionnaires pour le prochain cycle de présentation des rapports.</w:t>
      </w:r>
    </w:p>
    <w:p w14:paraId="30FD1A89" w14:textId="60C6F24F" w:rsidR="00D24047" w:rsidRPr="00B045DB" w:rsidRDefault="00514E0A" w:rsidP="00514E0A">
      <w:pPr>
        <w:pStyle w:val="H1G"/>
      </w:pPr>
      <w:r w:rsidRPr="00B045DB">
        <w:tab/>
      </w:r>
      <w:r w:rsidR="00D24047" w:rsidRPr="00B045DB">
        <w:t>B.</w:t>
      </w:r>
      <w:r w:rsidR="00D24047" w:rsidRPr="00B045DB">
        <w:tab/>
        <w:t>Modèles de rapports pour l</w:t>
      </w:r>
      <w:r w:rsidR="003B2315" w:rsidRPr="00B045DB">
        <w:t>’</w:t>
      </w:r>
      <w:r w:rsidR="00D24047" w:rsidRPr="00B045DB">
        <w:t>Union européenne</w:t>
      </w:r>
    </w:p>
    <w:p w14:paraId="78EFBE67" w14:textId="31E60B38" w:rsidR="00D24047" w:rsidRPr="00B045DB" w:rsidRDefault="00D24047" w:rsidP="00D24047">
      <w:pPr>
        <w:pStyle w:val="SingleTxtG"/>
      </w:pPr>
      <w:r w:rsidRPr="00B045DB">
        <w:t>108.</w:t>
      </w:r>
      <w:r w:rsidRPr="00B045DB">
        <w:tab/>
        <w:t>Conformément aux décisions VIII/5 et IV/5 des Réunions des Parties à la Convention et au Protocole, respectivement, le Comité a préparé, en consultation avec la Commission européenne, des modèles pour les rapports de l</w:t>
      </w:r>
      <w:r w:rsidR="003B2315" w:rsidRPr="00B045DB">
        <w:t>’</w:t>
      </w:r>
      <w:r w:rsidRPr="00B045DB">
        <w:t>Union européenne sur l</w:t>
      </w:r>
      <w:r w:rsidR="003B2315" w:rsidRPr="00B045DB">
        <w:t>’</w:t>
      </w:r>
      <w:r w:rsidRPr="00B045DB">
        <w:t>application de la Convention et du Protocole</w:t>
      </w:r>
      <w:r w:rsidRPr="00B045DB">
        <w:rPr>
          <w:rStyle w:val="Appelnotedebasdep"/>
        </w:rPr>
        <w:footnoteReference w:id="92"/>
      </w:r>
      <w:r w:rsidRPr="00B045DB">
        <w:t xml:space="preserve"> pour la période considérée 2022-2024 et au-delà, en vue de faciliter la présentation des rapports de l</w:t>
      </w:r>
      <w:r w:rsidR="003B2315" w:rsidRPr="00B045DB">
        <w:t>’</w:t>
      </w:r>
      <w:r w:rsidRPr="00B045DB">
        <w:t>Union européenne au titre de l</w:t>
      </w:r>
      <w:r w:rsidR="003B2315" w:rsidRPr="00B045DB">
        <w:t>’</w:t>
      </w:r>
      <w:r w:rsidRPr="00B045DB">
        <w:t>article 14</w:t>
      </w:r>
      <w:r w:rsidR="00514E0A" w:rsidRPr="00B045DB">
        <w:t> </w:t>
      </w:r>
      <w:r w:rsidRPr="00B045DB">
        <w:rPr>
          <w:i/>
          <w:iCs/>
        </w:rPr>
        <w:t>bis</w:t>
      </w:r>
      <w:r w:rsidRPr="00B045DB">
        <w:t xml:space="preserve"> de la Convention et des articles 13 (par.</w:t>
      </w:r>
      <w:r w:rsidR="00514E0A" w:rsidRPr="00B045DB">
        <w:t> </w:t>
      </w:r>
      <w:r w:rsidRPr="00B045DB">
        <w:t>4) et 14 (par.</w:t>
      </w:r>
      <w:r w:rsidR="00514E0A" w:rsidRPr="00B045DB">
        <w:t> </w:t>
      </w:r>
      <w:r w:rsidRPr="00B045DB">
        <w:t>7) du Protocole. Depuis 2003, l</w:t>
      </w:r>
      <w:r w:rsidR="003B2315" w:rsidRPr="00B045DB">
        <w:t>’</w:t>
      </w:r>
      <w:r w:rsidRPr="00B045DB">
        <w:t>Union européenne ne remplit pas les questionnaires adressés aux Parties pour qu</w:t>
      </w:r>
      <w:r w:rsidR="003B2315" w:rsidRPr="00B045DB">
        <w:t>’</w:t>
      </w:r>
      <w:r w:rsidRPr="00B045DB">
        <w:t>elles s</w:t>
      </w:r>
      <w:r w:rsidR="003B2315" w:rsidRPr="00B045DB">
        <w:t>’</w:t>
      </w:r>
      <w:r w:rsidRPr="00B045DB">
        <w:t>acquittent de leurs obligations en matière de rapports, se contentant de communiquer des notes informelles contenant les renseignements qu</w:t>
      </w:r>
      <w:r w:rsidR="003B2315" w:rsidRPr="00B045DB">
        <w:t>’</w:t>
      </w:r>
      <w:r w:rsidRPr="00B045DB">
        <w:t>elle choisit de fournir.</w:t>
      </w:r>
    </w:p>
    <w:p w14:paraId="20685DF2" w14:textId="75EBB278" w:rsidR="00D24047" w:rsidRPr="00B045DB" w:rsidRDefault="00D24047" w:rsidP="00D24047">
      <w:pPr>
        <w:pStyle w:val="SingleTxtG"/>
      </w:pPr>
      <w:r w:rsidRPr="00B045DB">
        <w:lastRenderedPageBreak/>
        <w:t>109.</w:t>
      </w:r>
      <w:r w:rsidRPr="00B045DB">
        <w:tab/>
        <w:t>Afin d</w:t>
      </w:r>
      <w:r w:rsidR="003B2315" w:rsidRPr="00B045DB">
        <w:t>’</w:t>
      </w:r>
      <w:r w:rsidRPr="00B045DB">
        <w:t>améliorer la comparabilité et l</w:t>
      </w:r>
      <w:r w:rsidR="003B2315" w:rsidRPr="00B045DB">
        <w:t>’</w:t>
      </w:r>
      <w:r w:rsidRPr="00B045DB">
        <w:t>utilité des informations sur la manière dont les Parties appliquent les traités, le Comité a fait en sorte que les modèles de rapports pour l</w:t>
      </w:r>
      <w:r w:rsidR="003B2315" w:rsidRPr="00B045DB">
        <w:t>’</w:t>
      </w:r>
      <w:r w:rsidRPr="00B045DB">
        <w:t>Union européenne soient aussi proches que possible des questionnaires destinés aux États parties. Le Comité a observé que l</w:t>
      </w:r>
      <w:r w:rsidR="003B2315" w:rsidRPr="00B045DB">
        <w:t>’</w:t>
      </w:r>
      <w:r w:rsidRPr="00B045DB">
        <w:t>établissement de modèles distincts pour l</w:t>
      </w:r>
      <w:r w:rsidR="003B2315" w:rsidRPr="00B045DB">
        <w:t>’</w:t>
      </w:r>
      <w:r w:rsidRPr="00B045DB">
        <w:t>Union européenne constituait une exception. Comme le montrait l</w:t>
      </w:r>
      <w:r w:rsidR="003B2315" w:rsidRPr="00B045DB">
        <w:t>’</w:t>
      </w:r>
      <w:r w:rsidRPr="00B045DB">
        <w:t>expérience acquise dans le cadre d</w:t>
      </w:r>
      <w:r w:rsidR="003B2315" w:rsidRPr="00B045DB">
        <w:t>’</w:t>
      </w:r>
      <w:r w:rsidRPr="00B045DB">
        <w:t>autres traités, la situation particulière de l</w:t>
      </w:r>
      <w:r w:rsidR="003B2315" w:rsidRPr="00B045DB">
        <w:t>’</w:t>
      </w:r>
      <w:r w:rsidRPr="00B045DB">
        <w:t>Union européenne en tant qu</w:t>
      </w:r>
      <w:r w:rsidR="003B2315" w:rsidRPr="00B045DB">
        <w:t>’</w:t>
      </w:r>
      <w:r w:rsidRPr="00B045DB">
        <w:t>organisation régionale d</w:t>
      </w:r>
      <w:r w:rsidR="003B2315" w:rsidRPr="00B045DB">
        <w:t>’</w:t>
      </w:r>
      <w:r w:rsidRPr="00B045DB">
        <w:t>intégration économique pouvait le plus souvent être expliquée dans les réponses, sans qu</w:t>
      </w:r>
      <w:r w:rsidR="003B2315" w:rsidRPr="00B045DB">
        <w:t>’</w:t>
      </w:r>
      <w:r w:rsidRPr="00B045DB">
        <w:t>il soit nécessaire de modifier les questions. Si les modèles de rapports différaient des questionnaires destinés aux États parties, c</w:t>
      </w:r>
      <w:r w:rsidR="003B2315" w:rsidRPr="00B045DB">
        <w:t>’</w:t>
      </w:r>
      <w:r w:rsidRPr="00B045DB">
        <w:t>était uniquement dans le but d</w:t>
      </w:r>
      <w:r w:rsidR="003B2315" w:rsidRPr="00B045DB">
        <w:t>’</w:t>
      </w:r>
      <w:r w:rsidRPr="00B045DB">
        <w:t>aider l</w:t>
      </w:r>
      <w:r w:rsidR="003B2315" w:rsidRPr="00B045DB">
        <w:t>’</w:t>
      </w:r>
      <w:r w:rsidRPr="00B045DB">
        <w:t>Union européenne à s</w:t>
      </w:r>
      <w:r w:rsidR="003B2315" w:rsidRPr="00B045DB">
        <w:t>’</w:t>
      </w:r>
      <w:r w:rsidRPr="00B045DB">
        <w:t>acquitter des obligations qui lui incombent en matière d</w:t>
      </w:r>
      <w:r w:rsidR="003B2315" w:rsidRPr="00B045DB">
        <w:t>’</w:t>
      </w:r>
      <w:r w:rsidRPr="00B045DB">
        <w:t>établissement de rapports.</w:t>
      </w:r>
    </w:p>
    <w:p w14:paraId="5EE8CF60" w14:textId="55702ED4" w:rsidR="00D24047" w:rsidRPr="00B045DB" w:rsidRDefault="005D7E22" w:rsidP="005D7E22">
      <w:pPr>
        <w:pStyle w:val="HChG"/>
      </w:pPr>
      <w:r w:rsidRPr="00B045DB">
        <w:tab/>
      </w:r>
      <w:r w:rsidR="00D24047" w:rsidRPr="00B045DB">
        <w:t>VIII.</w:t>
      </w:r>
      <w:r w:rsidR="00D24047" w:rsidRPr="00B045DB">
        <w:tab/>
        <w:t>Structure, fonctions et règlement intérieur</w:t>
      </w:r>
    </w:p>
    <w:p w14:paraId="24687423" w14:textId="5722ABFC" w:rsidR="00D24047" w:rsidRPr="00B045DB" w:rsidRDefault="00D24047" w:rsidP="00D24047">
      <w:pPr>
        <w:pStyle w:val="SingleTxtG"/>
      </w:pPr>
      <w:r w:rsidRPr="00B045DB">
        <w:rPr>
          <w:bCs/>
        </w:rPr>
        <w:t>110.</w:t>
      </w:r>
      <w:r w:rsidRPr="00B045DB">
        <w:rPr>
          <w:bCs/>
        </w:rPr>
        <w:tab/>
      </w:r>
      <w:r w:rsidRPr="00B045DB">
        <w:t>Conformément aux décisions VIII/4 et IV/4 des Réunions des Parties à la Convention et au Protocole, respectivement, et au plan de travail pour 2021-2023, le Comité a élaboré des propositions visant à modifier sa structure, ses fonctions et son règlement intérieur</w:t>
      </w:r>
      <w:r w:rsidRPr="00B045DB">
        <w:rPr>
          <w:rStyle w:val="Appelnotedebasdep"/>
        </w:rPr>
        <w:footnoteReference w:id="93"/>
      </w:r>
      <w:r w:rsidRPr="00B045DB">
        <w:t>. Il a revu son mode de fonctionnement et recensé plusieurs questions nécessitant des éclaircissements ou des ajustements afin qu</w:t>
      </w:r>
      <w:r w:rsidR="003B2315" w:rsidRPr="00B045DB">
        <w:t>’</w:t>
      </w:r>
      <w:r w:rsidRPr="00B045DB">
        <w:t>il puisse continuer à s</w:t>
      </w:r>
      <w:r w:rsidR="003B2315" w:rsidRPr="00B045DB">
        <w:t>’</w:t>
      </w:r>
      <w:r w:rsidRPr="00B045DB">
        <w:t>acquitter efficacement de son mandat et améliorer encore ses méthodes de travail, compte tenu de l</w:t>
      </w:r>
      <w:r w:rsidR="003B2315" w:rsidRPr="00B045DB">
        <w:t>’</w:t>
      </w:r>
      <w:r w:rsidRPr="00B045DB">
        <w:t>ampleur de sa charge de travail actuelle. Il a soumis ses propositions de modifications au Groupe de travail à sa douzième session pour information et observations éventuelles.</w:t>
      </w:r>
    </w:p>
    <w:p w14:paraId="563C2985" w14:textId="7C53CE51" w:rsidR="00D24047" w:rsidRPr="00B045DB" w:rsidRDefault="00D24047" w:rsidP="00D24047">
      <w:pPr>
        <w:pStyle w:val="SingleTxtG"/>
      </w:pPr>
      <w:r w:rsidRPr="00B045DB">
        <w:t>111.</w:t>
      </w:r>
      <w:r w:rsidR="005D7E22" w:rsidRPr="00B045DB">
        <w:tab/>
      </w:r>
      <w:r w:rsidRPr="00B045DB">
        <w:t>Le Comité a recensé huit sujets cl</w:t>
      </w:r>
      <w:r w:rsidR="000957F9">
        <w:t>ef</w:t>
      </w:r>
      <w:r w:rsidRPr="00B045DB">
        <w:t>s qui appelaient des clarifications ou des ajustements. Il a souligné qu</w:t>
      </w:r>
      <w:r w:rsidR="003B2315" w:rsidRPr="00B045DB">
        <w:t>’</w:t>
      </w:r>
      <w:r w:rsidRPr="00B045DB">
        <w:t>il importait que les Parties comprennent les obligations qui leur incombent lorsqu</w:t>
      </w:r>
      <w:r w:rsidR="003B2315" w:rsidRPr="00B045DB">
        <w:t>’</w:t>
      </w:r>
      <w:r w:rsidRPr="00B045DB">
        <w:t>elles désignent des représentants chargés de siéger au Comité, et qu</w:t>
      </w:r>
      <w:r w:rsidR="003B2315" w:rsidRPr="00B045DB">
        <w:t>’</w:t>
      </w:r>
      <w:r w:rsidRPr="00B045DB">
        <w:t>elles veillent notamment à ce que les membres qu</w:t>
      </w:r>
      <w:r w:rsidR="003B2315" w:rsidRPr="00B045DB">
        <w:t>’</w:t>
      </w:r>
      <w:r w:rsidRPr="00B045DB">
        <w:t>elles ont désignés disposent du temps et des ressources nécessaires pour s</w:t>
      </w:r>
      <w:r w:rsidR="003B2315" w:rsidRPr="00B045DB">
        <w:t>’</w:t>
      </w:r>
      <w:r w:rsidRPr="00B045DB">
        <w:t>acquitter de leurs fonctions en tant que membres du Comité. Il a été suggéré d</w:t>
      </w:r>
      <w:r w:rsidR="003B2315" w:rsidRPr="00B045DB">
        <w:t>’</w:t>
      </w:r>
      <w:r w:rsidRPr="00B045DB">
        <w:t>ajouter une nouvelle note de bas de page pour que ces obligations soient mieux comprises.</w:t>
      </w:r>
    </w:p>
    <w:p w14:paraId="5D11C61B" w14:textId="2013D110" w:rsidR="00D24047" w:rsidRPr="00B045DB" w:rsidRDefault="00D24047" w:rsidP="00D24047">
      <w:pPr>
        <w:pStyle w:val="SingleTxtG"/>
      </w:pPr>
      <w:r w:rsidRPr="00B045DB">
        <w:t>112.</w:t>
      </w:r>
      <w:r w:rsidRPr="00B045DB">
        <w:tab/>
        <w:t>Le Comité a relevé une contradiction entre la règle générale relative à la prise de décision dans l</w:t>
      </w:r>
      <w:r w:rsidR="003B2315" w:rsidRPr="00B045DB">
        <w:t>’</w:t>
      </w:r>
      <w:r w:rsidRPr="00B045DB">
        <w:t>article 18 du règlement intérieur et dans le paragraphe 9 du document définissant la structure et les fonctions, et a suggéré d</w:t>
      </w:r>
      <w:r w:rsidR="003B2315" w:rsidRPr="00B045DB">
        <w:t>’</w:t>
      </w:r>
      <w:r w:rsidRPr="00B045DB">
        <w:t>harmoniser les règles de prise de décision.</w:t>
      </w:r>
    </w:p>
    <w:p w14:paraId="0DE9DE24" w14:textId="5D7DE5AF" w:rsidR="00D24047" w:rsidRPr="00B045DB" w:rsidRDefault="00D24047" w:rsidP="00D24047">
      <w:pPr>
        <w:pStyle w:val="SingleTxtG"/>
      </w:pPr>
      <w:r w:rsidRPr="00B045DB">
        <w:t>113.</w:t>
      </w:r>
      <w:r w:rsidRPr="00B045DB">
        <w:tab/>
        <w:t>Les dispositions actuelles concernant le droit des Parties ou du public à participer aux sessions du Comité ne couvrent pas toutes les situations où cette participation serait nécessaire. Le Comité a suggéré d</w:t>
      </w:r>
      <w:r w:rsidR="003B2315" w:rsidRPr="00B045DB">
        <w:t>’</w:t>
      </w:r>
      <w:r w:rsidRPr="00B045DB">
        <w:t>utiliser les mêmes règles de participation des Parties ou du public pour toutes ses délibérations, comme par exemple celles qui portent sur la collecte d</w:t>
      </w:r>
      <w:r w:rsidR="003B2315" w:rsidRPr="00B045DB">
        <w:t>’</w:t>
      </w:r>
      <w:r w:rsidRPr="00B045DB">
        <w:t>informations ou sur ses initiatives. De même, le Comité a suggéré que soit prise en compte sa pratique consistant à organiser des «</w:t>
      </w:r>
      <w:r w:rsidR="000957F9">
        <w:t xml:space="preserve"> </w:t>
      </w:r>
      <w:r w:rsidRPr="00B045DB">
        <w:t>auditions</w:t>
      </w:r>
      <w:r w:rsidR="000957F9">
        <w:t xml:space="preserve"> </w:t>
      </w:r>
      <w:r w:rsidRPr="00B045DB">
        <w:t>», non seulement pour les communications, mais aussi pour toutes ses procédures.</w:t>
      </w:r>
    </w:p>
    <w:p w14:paraId="5FFBC6DF" w14:textId="67058AAB" w:rsidR="00D24047" w:rsidRPr="00B045DB" w:rsidRDefault="00D24047" w:rsidP="00D24047">
      <w:pPr>
        <w:pStyle w:val="SingleTxtG"/>
      </w:pPr>
      <w:r w:rsidRPr="00B045DB">
        <w:t>114.</w:t>
      </w:r>
      <w:r w:rsidRPr="00B045DB">
        <w:tab/>
        <w:t>En ce qui concerne les règles relatives aux conflits d</w:t>
      </w:r>
      <w:r w:rsidR="003B2315" w:rsidRPr="00B045DB">
        <w:t>’</w:t>
      </w:r>
      <w:r w:rsidRPr="00B045DB">
        <w:t>intérêts et au quorum du Comité, l</w:t>
      </w:r>
      <w:r w:rsidR="003B2315" w:rsidRPr="00B045DB">
        <w:t>’</w:t>
      </w:r>
      <w:r w:rsidRPr="00B045DB">
        <w:t>expérience du Comité a montré qu</w:t>
      </w:r>
      <w:r w:rsidR="003B2315" w:rsidRPr="00B045DB">
        <w:t>’</w:t>
      </w:r>
      <w:r w:rsidRPr="00B045DB">
        <w:t>elles n</w:t>
      </w:r>
      <w:r w:rsidR="003B2315" w:rsidRPr="00B045DB">
        <w:t>’</w:t>
      </w:r>
      <w:r w:rsidRPr="00B045DB">
        <w:t>étaient plus adaptées, vu l</w:t>
      </w:r>
      <w:r w:rsidR="003B2315" w:rsidRPr="00B045DB">
        <w:t>’</w:t>
      </w:r>
      <w:r w:rsidRPr="00B045DB">
        <w:t>augmentation considérable du nombre des affaires, à l</w:t>
      </w:r>
      <w:r w:rsidR="003B2315" w:rsidRPr="00B045DB">
        <w:t>’</w:t>
      </w:r>
      <w:r w:rsidRPr="00B045DB">
        <w:t>examen des questions de respect des dispositions en matière nucléaire, notamment la prolongation de la durée de vie des centrales nucléaires, qui concernaient souvent une multitude de Parties. De ce fait, la majorité des membres du Comité se trouveraient en situation de conflit d</w:t>
      </w:r>
      <w:r w:rsidR="003B2315" w:rsidRPr="00B045DB">
        <w:t>’</w:t>
      </w:r>
      <w:r w:rsidRPr="00B045DB">
        <w:t>intérêts direct ou indirect, ce qui empêcherait le Comité d</w:t>
      </w:r>
      <w:r w:rsidR="003B2315" w:rsidRPr="00B045DB">
        <w:t>’</w:t>
      </w:r>
      <w:r w:rsidRPr="00B045DB">
        <w:t>atteindre le quorum de cinq membres. Renvoyer la question à la Réunion des Parties n</w:t>
      </w:r>
      <w:r w:rsidR="003B2315" w:rsidRPr="00B045DB">
        <w:t>’</w:t>
      </w:r>
      <w:r w:rsidRPr="00B045DB">
        <w:t>était pas faisable car ses sessions n</w:t>
      </w:r>
      <w:r w:rsidR="003B2315" w:rsidRPr="00B045DB">
        <w:t>’</w:t>
      </w:r>
      <w:r w:rsidRPr="00B045DB">
        <w:t>étaient convoquées que tous les trois ans.</w:t>
      </w:r>
    </w:p>
    <w:p w14:paraId="590930E7" w14:textId="6063CDFC" w:rsidR="00D24047" w:rsidRPr="00B045DB" w:rsidRDefault="00D24047" w:rsidP="00D24047">
      <w:pPr>
        <w:pStyle w:val="SingleTxtG"/>
      </w:pPr>
      <w:r w:rsidRPr="00B045DB">
        <w:t>115.</w:t>
      </w:r>
      <w:r w:rsidRPr="00B045DB">
        <w:tab/>
        <w:t>En conséquence, le Comité a décidé à sa cinquante et unième session de s</w:t>
      </w:r>
      <w:r w:rsidR="003B2315" w:rsidRPr="00B045DB">
        <w:t>’</w:t>
      </w:r>
      <w:r w:rsidRPr="00B045DB">
        <w:t>abstenir exceptionnellement et provisoirement d</w:t>
      </w:r>
      <w:r w:rsidR="003B2315" w:rsidRPr="00B045DB">
        <w:t>’</w:t>
      </w:r>
      <w:r w:rsidRPr="00B045DB">
        <w:t>appliquer l</w:t>
      </w:r>
      <w:r w:rsidR="003B2315" w:rsidRPr="00B045DB">
        <w:t>’</w:t>
      </w:r>
      <w:r w:rsidRPr="00B045DB">
        <w:t>article 5 de son règlement intérieur</w:t>
      </w:r>
      <w:r w:rsidRPr="00B045DB">
        <w:rPr>
          <w:rStyle w:val="Appelnotedebasdep"/>
        </w:rPr>
        <w:footnoteReference w:id="94"/>
      </w:r>
      <w:r w:rsidRPr="00B045DB">
        <w:t>. Il a suggéré une série de propositions pour résoudre ce problème. Premièrement, fusionner le paragraphe 10 du texte définissant sa structure et ses fonctions avec l</w:t>
      </w:r>
      <w:r w:rsidR="003B2315" w:rsidRPr="00B045DB">
        <w:t>’</w:t>
      </w:r>
      <w:r w:rsidRPr="00B045DB">
        <w:t xml:space="preserve">article 5 du règlement </w:t>
      </w:r>
      <w:r w:rsidRPr="00B045DB">
        <w:lastRenderedPageBreak/>
        <w:t>intérieur, en conservant la disposition principale uniquement dans le paragraphe 10 de ce texte avec le libellé de l</w:t>
      </w:r>
      <w:r w:rsidR="003B2315" w:rsidRPr="00B045DB">
        <w:t>’</w:t>
      </w:r>
      <w:r w:rsidRPr="00B045DB">
        <w:t>ancien article 5 du règlement intérieur.</w:t>
      </w:r>
    </w:p>
    <w:p w14:paraId="50A5EA3B" w14:textId="59E878E0" w:rsidR="00D24047" w:rsidRPr="00B045DB" w:rsidRDefault="00D24047" w:rsidP="00D24047">
      <w:pPr>
        <w:pStyle w:val="SingleTxtG"/>
      </w:pPr>
      <w:r w:rsidRPr="00B045DB">
        <w:t>116.</w:t>
      </w:r>
      <w:r w:rsidRPr="00B045DB">
        <w:tab/>
        <w:t>Le Comité a souligné que le nouveau paragraphe 10 du texte définissant sa structure et ses fonctions devrait être interprété de manière à exclure la participation de membres nommés par la Partie d</w:t>
      </w:r>
      <w:r w:rsidR="003B2315" w:rsidRPr="00B045DB">
        <w:t>’</w:t>
      </w:r>
      <w:r w:rsidRPr="00B045DB">
        <w:t>origine et par une Partie qui avait été activement engagée dans la phase de collecte d</w:t>
      </w:r>
      <w:r w:rsidR="003B2315" w:rsidRPr="00B045DB">
        <w:t>’</w:t>
      </w:r>
      <w:r w:rsidRPr="00B045DB">
        <w:t>informations. D</w:t>
      </w:r>
      <w:r w:rsidR="003B2315" w:rsidRPr="00B045DB">
        <w:t>’</w:t>
      </w:r>
      <w:r w:rsidRPr="00B045DB">
        <w:t>autre part, il ne semblait pas raisonnable de traiter toutes les Parties potentiellement touchées de la même manière que la Partie d</w:t>
      </w:r>
      <w:r w:rsidR="003B2315" w:rsidRPr="00B045DB">
        <w:t>’</w:t>
      </w:r>
      <w:r w:rsidRPr="00B045DB">
        <w:t>origine ou que la Partie qui avait présenté une communication. Les Parties potentiellement touchées représentaient souvent un large éventail d</w:t>
      </w:r>
      <w:r w:rsidR="003B2315" w:rsidRPr="00B045DB">
        <w:t>’</w:t>
      </w:r>
      <w:r w:rsidRPr="00B045DB">
        <w:t>intérêts, qu</w:t>
      </w:r>
      <w:r w:rsidR="003B2315" w:rsidRPr="00B045DB">
        <w:t>’</w:t>
      </w:r>
      <w:r w:rsidRPr="00B045DB">
        <w:t>il s</w:t>
      </w:r>
      <w:r w:rsidR="003B2315" w:rsidRPr="00B045DB">
        <w:t>’</w:t>
      </w:r>
      <w:r w:rsidRPr="00B045DB">
        <w:t>agisse de celles qui ne souhaitent pas participer à une procédure transfrontière concernant une activité proposée, de celles qui veulent être consultées par la Partie d</w:t>
      </w:r>
      <w:r w:rsidR="003B2315" w:rsidRPr="00B045DB">
        <w:t>’</w:t>
      </w:r>
      <w:r w:rsidRPr="00B045DB">
        <w:t>origine ou encore de celles qui s</w:t>
      </w:r>
      <w:r w:rsidR="003B2315" w:rsidRPr="00B045DB">
        <w:t>’</w:t>
      </w:r>
      <w:r w:rsidRPr="00B045DB">
        <w:t>opposent au projet mais n</w:t>
      </w:r>
      <w:r w:rsidR="003B2315" w:rsidRPr="00B045DB">
        <w:t>’</w:t>
      </w:r>
      <w:r w:rsidRPr="00B045DB">
        <w:t>ont pas saisi le Comité. Dans une telle situation, le membre du Comité peut s</w:t>
      </w:r>
      <w:r w:rsidR="003B2315" w:rsidRPr="00B045DB">
        <w:t>’</w:t>
      </w:r>
      <w:r w:rsidRPr="00B045DB">
        <w:t>abstenir de participer, en fonction de son implication antérieure dans des procédures concernant le projet en question.</w:t>
      </w:r>
    </w:p>
    <w:p w14:paraId="0817AAE2" w14:textId="21A9C75C" w:rsidR="00D24047" w:rsidRPr="00B045DB" w:rsidRDefault="00D24047" w:rsidP="00D24047">
      <w:pPr>
        <w:pStyle w:val="SingleTxtG"/>
      </w:pPr>
      <w:r w:rsidRPr="00B045DB">
        <w:t>117.</w:t>
      </w:r>
      <w:r w:rsidRPr="00B045DB">
        <w:tab/>
        <w:t>En outre, une nouvelle disposition serait proposée, selon laquelle les Parties devraient avoir la possibilité d</w:t>
      </w:r>
      <w:r w:rsidR="003B2315" w:rsidRPr="00B045DB">
        <w:t>’</w:t>
      </w:r>
      <w:r w:rsidRPr="00B045DB">
        <w:t>exprimer leurs objections concernant la participation de membres du Comité à un stade précoce.</w:t>
      </w:r>
    </w:p>
    <w:p w14:paraId="0F036497" w14:textId="2FDF5D57" w:rsidR="00D24047" w:rsidRPr="00B045DB" w:rsidRDefault="00D24047" w:rsidP="00D24047">
      <w:pPr>
        <w:pStyle w:val="SingleTxtG"/>
      </w:pPr>
      <w:r w:rsidRPr="00B045DB">
        <w:t>118.</w:t>
      </w:r>
      <w:r w:rsidRPr="00B045DB">
        <w:tab/>
        <w:t>Un autre moyen d</w:t>
      </w:r>
      <w:r w:rsidR="003B2315" w:rsidRPr="00B045DB">
        <w:t>’</w:t>
      </w:r>
      <w:r w:rsidRPr="00B045DB">
        <w:t>améliorer la stabilité et la capacité d</w:t>
      </w:r>
      <w:r w:rsidR="003B2315" w:rsidRPr="00B045DB">
        <w:t>’</w:t>
      </w:r>
      <w:r w:rsidRPr="00B045DB">
        <w:t>action du Comité est de renforcer le rôle des membres du Comité élus uniquement pour les questions relatives au Protocole. Le Comité a proposé d</w:t>
      </w:r>
      <w:r w:rsidR="003B2315" w:rsidRPr="00B045DB">
        <w:t>’</w:t>
      </w:r>
      <w:r w:rsidRPr="00B045DB">
        <w:t>autoriser les membres qui représentent les Parties à la Convention et au Protocole, mais qui ont été élus uniquement pour les questions relatives au Protocole, à participer aux délibérations et à la prise de décision, à condition qu</w:t>
      </w:r>
      <w:r w:rsidR="003B2315" w:rsidRPr="00B045DB">
        <w:t>’</w:t>
      </w:r>
      <w:r w:rsidRPr="00B045DB">
        <w:t>il n</w:t>
      </w:r>
      <w:r w:rsidR="003B2315" w:rsidRPr="00B045DB">
        <w:t>’</w:t>
      </w:r>
      <w:r w:rsidRPr="00B045DB">
        <w:t>y ait pas d</w:t>
      </w:r>
      <w:r w:rsidR="003B2315" w:rsidRPr="00B045DB">
        <w:t>’</w:t>
      </w:r>
      <w:r w:rsidRPr="00B045DB">
        <w:t>objection de la part d</w:t>
      </w:r>
      <w:r w:rsidR="003B2315" w:rsidRPr="00B045DB">
        <w:t>’</w:t>
      </w:r>
      <w:r w:rsidRPr="00B045DB">
        <w:t>un membre élu pour les questions relatives à la Convention et vice</w:t>
      </w:r>
      <w:r w:rsidR="005D7E22" w:rsidRPr="00B045DB">
        <w:noBreakHyphen/>
      </w:r>
      <w:r w:rsidRPr="00B045DB">
        <w:t>versa.</w:t>
      </w:r>
    </w:p>
    <w:p w14:paraId="1036A915" w14:textId="01087850" w:rsidR="00D24047" w:rsidRPr="00B045DB" w:rsidRDefault="00D24047" w:rsidP="00D24047">
      <w:pPr>
        <w:pStyle w:val="SingleTxtG"/>
      </w:pPr>
      <w:r w:rsidRPr="00B045DB">
        <w:t>119.</w:t>
      </w:r>
      <w:r w:rsidRPr="00B045DB">
        <w:tab/>
        <w:t>Enfin, le Comité a proposé d</w:t>
      </w:r>
      <w:r w:rsidR="003B2315" w:rsidRPr="00B045DB">
        <w:t>’</w:t>
      </w:r>
      <w:r w:rsidRPr="00B045DB">
        <w:t>abaisser le quorum pour la prise de décision à quatre membres afin d</w:t>
      </w:r>
      <w:r w:rsidR="003B2315" w:rsidRPr="00B045DB">
        <w:t>’</w:t>
      </w:r>
      <w:r w:rsidRPr="00B045DB">
        <w:t>éviter que la question à l</w:t>
      </w:r>
      <w:r w:rsidR="003B2315" w:rsidRPr="00B045DB">
        <w:t>’</w:t>
      </w:r>
      <w:r w:rsidRPr="00B045DB">
        <w:t>examen ne soit renvoyée aux Réunions des Parties. Étant donné que les Réunions des Parties n</w:t>
      </w:r>
      <w:r w:rsidR="003B2315" w:rsidRPr="00B045DB">
        <w:t>’</w:t>
      </w:r>
      <w:r w:rsidRPr="00B045DB">
        <w:t>ont pas les moyens de procéder efficacement à l</w:t>
      </w:r>
      <w:r w:rsidR="003B2315" w:rsidRPr="00B045DB">
        <w:t>’</w:t>
      </w:r>
      <w:r w:rsidRPr="00B045DB">
        <w:t>examen des procédures de conformité et que leurs sessions ne sont convoquées que tous les trois ans, la disposition en vigueur n</w:t>
      </w:r>
      <w:r w:rsidR="003B2315" w:rsidRPr="00B045DB">
        <w:t>’</w:t>
      </w:r>
      <w:r w:rsidRPr="00B045DB">
        <w:t>offre pas une solution adéquate.</w:t>
      </w:r>
    </w:p>
    <w:p w14:paraId="1C015543" w14:textId="77777777" w:rsidR="00D24047" w:rsidRPr="00B045DB" w:rsidRDefault="00D24047" w:rsidP="00D24047">
      <w:pPr>
        <w:pStyle w:val="SingleTxtG"/>
      </w:pPr>
      <w:r w:rsidRPr="00B045DB">
        <w:t>120.</w:t>
      </w:r>
      <w:r w:rsidRPr="00B045DB">
        <w:tab/>
        <w:t>Le Comité a relevé que son règlement intérieur ne couvrait pas les sessions ad hoc et ne prévoyait pas la publication de documents informels, y compris les rapports des sessions ad hoc. Il a suggéré de permettre la publication de ces documents dans certaines circonstances. Il a également estimé que la correspondance des Parties au Comité concernant les questions de conformité devrait être mise à la disposition de toutes les Parties concernées, chaque fois que nécessaire.</w:t>
      </w:r>
    </w:p>
    <w:p w14:paraId="7A309B84" w14:textId="629AE990" w:rsidR="00D24047" w:rsidRPr="00B045DB" w:rsidRDefault="00D24047" w:rsidP="00D24047">
      <w:pPr>
        <w:pStyle w:val="SingleTxtG"/>
      </w:pPr>
      <w:r w:rsidRPr="00B045DB">
        <w:t>121.</w:t>
      </w:r>
      <w:r w:rsidRPr="00B045DB">
        <w:tab/>
        <w:t>Étant donné le nombre et la complexité croissants des questions dont il est saisi, le Comité a examiné les possibilités d</w:t>
      </w:r>
      <w:r w:rsidR="003B2315" w:rsidRPr="00B045DB">
        <w:t>’</w:t>
      </w:r>
      <w:r w:rsidRPr="00B045DB">
        <w:t>améliorer l</w:t>
      </w:r>
      <w:r w:rsidR="003B2315" w:rsidRPr="00B045DB">
        <w:t>’</w:t>
      </w:r>
      <w:r w:rsidRPr="00B045DB">
        <w:t>efficacité de ses travaux en organisant des réunions périodiques en ligne et, d</w:t>
      </w:r>
      <w:r w:rsidR="003B2315" w:rsidRPr="00B045DB">
        <w:t>’</w:t>
      </w:r>
      <w:r w:rsidRPr="00B045DB">
        <w:t>une manière générale, en recourant davantage aux moyens de communication électroniques. Cette proposition reflète la pratique qui est la sienne, en particulier depuis l</w:t>
      </w:r>
      <w:r w:rsidR="003B2315" w:rsidRPr="00B045DB">
        <w:t>’</w:t>
      </w:r>
      <w:r w:rsidRPr="00B045DB">
        <w:t>apparition de la pandémie.</w:t>
      </w:r>
    </w:p>
    <w:p w14:paraId="35CB0F4A" w14:textId="38C734B4" w:rsidR="00D24047" w:rsidRPr="00B045DB" w:rsidRDefault="00D24047" w:rsidP="00D24047">
      <w:pPr>
        <w:pStyle w:val="SingleTxtG"/>
      </w:pPr>
      <w:r w:rsidRPr="00B045DB">
        <w:t>122.</w:t>
      </w:r>
      <w:r w:rsidRPr="00B045DB">
        <w:tab/>
        <w:t>Le règlement intérieur manque de clarté quant à la procédure à suivre lorsque de nouvelles informations pertinentes sur une question de respect des dispositions deviennent disponibles avant que les Réunions des Parties n</w:t>
      </w:r>
      <w:r w:rsidR="003B2315" w:rsidRPr="00B045DB">
        <w:t>’</w:t>
      </w:r>
      <w:r w:rsidRPr="00B045DB">
        <w:t>approuvent le projet de décision. Le Comité a proposé une modification pour clarifier la procédure.</w:t>
      </w:r>
    </w:p>
    <w:p w14:paraId="26E142D8" w14:textId="4234BE1E" w:rsidR="00D24047" w:rsidRPr="00B045DB" w:rsidRDefault="00D24047" w:rsidP="00D24047">
      <w:pPr>
        <w:pStyle w:val="SingleTxtG"/>
      </w:pPr>
      <w:r w:rsidRPr="00B045DB">
        <w:t>123.</w:t>
      </w:r>
      <w:r w:rsidRPr="00B045DB">
        <w:tab/>
        <w:t>Le Comité a souligné que le respect des délais par les Parties concernées était crucial lorsqu</w:t>
      </w:r>
      <w:r w:rsidR="003B2315" w:rsidRPr="00B045DB">
        <w:t>’</w:t>
      </w:r>
      <w:r w:rsidRPr="00B045DB">
        <w:t>il s</w:t>
      </w:r>
      <w:r w:rsidR="003B2315" w:rsidRPr="00B045DB">
        <w:t>’</w:t>
      </w:r>
      <w:r w:rsidRPr="00B045DB">
        <w:t>agissait de fournir des informations, de répondre aux demandes du Comité et de présenter des rapports d</w:t>
      </w:r>
      <w:r w:rsidR="003B2315" w:rsidRPr="00B045DB">
        <w:t>’</w:t>
      </w:r>
      <w:r w:rsidRPr="00B045DB">
        <w:t>avancement. La soumission tardive d</w:t>
      </w:r>
      <w:r w:rsidR="003B2315" w:rsidRPr="00B045DB">
        <w:t>’</w:t>
      </w:r>
      <w:r w:rsidRPr="00B045DB">
        <w:t>informations ou la soumission d</w:t>
      </w:r>
      <w:r w:rsidR="003B2315" w:rsidRPr="00B045DB">
        <w:t>’</w:t>
      </w:r>
      <w:r w:rsidRPr="00B045DB">
        <w:t>informations de qualité insuffisante par les Parties concernées a considérablement entravé les travaux du Comité. Il a proposé d</w:t>
      </w:r>
      <w:r w:rsidR="003B2315" w:rsidRPr="00B045DB">
        <w:t>’</w:t>
      </w:r>
      <w:r w:rsidRPr="00B045DB">
        <w:t>indiquer explicitement que, si une Partie ne fournit pas d</w:t>
      </w:r>
      <w:r w:rsidR="003B2315" w:rsidRPr="00B045DB">
        <w:t>’</w:t>
      </w:r>
      <w:r w:rsidRPr="00B045DB">
        <w:t>informations, le Comité est libre de ne pas tenir compte des informations tardives.</w:t>
      </w:r>
    </w:p>
    <w:p w14:paraId="76846E2C" w14:textId="51837409" w:rsidR="00DB0C25" w:rsidRPr="00B045DB" w:rsidRDefault="00DB0C25" w:rsidP="00DB0C25">
      <w:pPr>
        <w:pStyle w:val="SingleTxtG"/>
        <w:spacing w:before="240" w:after="0"/>
        <w:jc w:val="center"/>
        <w:rPr>
          <w:u w:val="single"/>
        </w:rPr>
      </w:pPr>
      <w:r w:rsidRPr="00B045DB">
        <w:rPr>
          <w:u w:val="single"/>
        </w:rPr>
        <w:tab/>
      </w:r>
      <w:r w:rsidRPr="00B045DB">
        <w:rPr>
          <w:u w:val="single"/>
        </w:rPr>
        <w:tab/>
      </w:r>
      <w:r w:rsidRPr="00B045DB">
        <w:rPr>
          <w:u w:val="single"/>
        </w:rPr>
        <w:tab/>
      </w:r>
    </w:p>
    <w:sectPr w:rsidR="00DB0C25" w:rsidRPr="00B045DB" w:rsidSect="00D2404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5F454" w14:textId="77777777" w:rsidR="00671E80" w:rsidRDefault="00671E80" w:rsidP="00F95C08">
      <w:pPr>
        <w:spacing w:line="240" w:lineRule="auto"/>
      </w:pPr>
    </w:p>
  </w:endnote>
  <w:endnote w:type="continuationSeparator" w:id="0">
    <w:p w14:paraId="2F46A802" w14:textId="77777777" w:rsidR="00671E80" w:rsidRPr="00AC3823" w:rsidRDefault="00671E80" w:rsidP="00AC3823">
      <w:pPr>
        <w:pStyle w:val="Pieddepage"/>
      </w:pPr>
    </w:p>
  </w:endnote>
  <w:endnote w:type="continuationNotice" w:id="1">
    <w:p w14:paraId="02238CF5" w14:textId="77777777" w:rsidR="00671E80" w:rsidRDefault="00671E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F84A" w14:textId="0F7B7E10" w:rsidR="00D24047" w:rsidRPr="00D24047" w:rsidRDefault="00D24047" w:rsidP="00D24047">
    <w:pPr>
      <w:pStyle w:val="Pieddepage"/>
      <w:tabs>
        <w:tab w:val="right" w:pos="9638"/>
      </w:tabs>
    </w:pPr>
    <w:r w:rsidRPr="00D24047">
      <w:rPr>
        <w:b/>
        <w:sz w:val="18"/>
      </w:rPr>
      <w:fldChar w:fldCharType="begin"/>
    </w:r>
    <w:r w:rsidRPr="00D24047">
      <w:rPr>
        <w:b/>
        <w:sz w:val="18"/>
      </w:rPr>
      <w:instrText xml:space="preserve"> PAGE  \* MERGEFORMAT </w:instrText>
    </w:r>
    <w:r w:rsidRPr="00D24047">
      <w:rPr>
        <w:b/>
        <w:sz w:val="18"/>
      </w:rPr>
      <w:fldChar w:fldCharType="separate"/>
    </w:r>
    <w:r w:rsidRPr="00D24047">
      <w:rPr>
        <w:b/>
        <w:noProof/>
        <w:sz w:val="18"/>
      </w:rPr>
      <w:t>2</w:t>
    </w:r>
    <w:r w:rsidRPr="00D24047">
      <w:rPr>
        <w:b/>
        <w:sz w:val="18"/>
      </w:rPr>
      <w:fldChar w:fldCharType="end"/>
    </w:r>
    <w:r>
      <w:rPr>
        <w:b/>
        <w:sz w:val="18"/>
      </w:rPr>
      <w:tab/>
    </w:r>
    <w:r>
      <w:t>GE.23-20991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DB92" w14:textId="08FEBD98" w:rsidR="00D24047" w:rsidRPr="00D24047" w:rsidRDefault="00D24047" w:rsidP="00D24047">
    <w:pPr>
      <w:pStyle w:val="Pieddepage"/>
      <w:tabs>
        <w:tab w:val="right" w:pos="9638"/>
      </w:tabs>
      <w:rPr>
        <w:b/>
        <w:sz w:val="18"/>
      </w:rPr>
    </w:pPr>
    <w:r>
      <w:t>GE.23-20991</w:t>
    </w:r>
    <w:r>
      <w:tab/>
    </w:r>
    <w:r w:rsidRPr="00D24047">
      <w:rPr>
        <w:b/>
        <w:sz w:val="18"/>
      </w:rPr>
      <w:fldChar w:fldCharType="begin"/>
    </w:r>
    <w:r w:rsidRPr="00D24047">
      <w:rPr>
        <w:b/>
        <w:sz w:val="18"/>
      </w:rPr>
      <w:instrText xml:space="preserve"> PAGE  \* MERGEFORMAT </w:instrText>
    </w:r>
    <w:r w:rsidRPr="00D24047">
      <w:rPr>
        <w:b/>
        <w:sz w:val="18"/>
      </w:rPr>
      <w:fldChar w:fldCharType="separate"/>
    </w:r>
    <w:r w:rsidRPr="00D24047">
      <w:rPr>
        <w:b/>
        <w:noProof/>
        <w:sz w:val="18"/>
      </w:rPr>
      <w:t>3</w:t>
    </w:r>
    <w:r w:rsidRPr="00D240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BBCF" w14:textId="3146753D" w:rsidR="000D3EE9" w:rsidRPr="00D24047" w:rsidRDefault="00D24047" w:rsidP="00D24047">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1535D440" wp14:editId="2ECDF29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23-20991  (F)</w:t>
    </w:r>
    <w:r>
      <w:rPr>
        <w:noProof/>
        <w:sz w:val="20"/>
      </w:rPr>
      <w:drawing>
        <wp:anchor distT="0" distB="0" distL="114300" distR="114300" simplePos="0" relativeHeight="251660288" behindDoc="0" locked="0" layoutInCell="1" allowOverlap="1" wp14:anchorId="54F2F305" wp14:editId="4332241E">
          <wp:simplePos x="0" y="0"/>
          <wp:positionH relativeFrom="margin">
            <wp:posOffset>5489575</wp:posOffset>
          </wp:positionH>
          <wp:positionV relativeFrom="margin">
            <wp:posOffset>8891905</wp:posOffset>
          </wp:positionV>
          <wp:extent cx="561975" cy="561975"/>
          <wp:effectExtent l="0" t="0" r="9525" b="9525"/>
          <wp:wrapNone/>
          <wp:docPr id="172162597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101123    131123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B07D" w14:textId="77777777" w:rsidR="00671E80" w:rsidRPr="00AC3823" w:rsidRDefault="00671E80" w:rsidP="00AC3823">
      <w:pPr>
        <w:pStyle w:val="Pieddepage"/>
        <w:tabs>
          <w:tab w:val="right" w:pos="2155"/>
        </w:tabs>
        <w:spacing w:after="80" w:line="240" w:lineRule="atLeast"/>
        <w:ind w:left="680"/>
        <w:rPr>
          <w:u w:val="single"/>
        </w:rPr>
      </w:pPr>
      <w:r>
        <w:rPr>
          <w:u w:val="single"/>
        </w:rPr>
        <w:tab/>
      </w:r>
    </w:p>
  </w:footnote>
  <w:footnote w:type="continuationSeparator" w:id="0">
    <w:p w14:paraId="38E4BE10" w14:textId="77777777" w:rsidR="00671E80" w:rsidRPr="00AC3823" w:rsidRDefault="00671E80" w:rsidP="00AC3823">
      <w:pPr>
        <w:pStyle w:val="Pieddepage"/>
        <w:tabs>
          <w:tab w:val="right" w:pos="2155"/>
        </w:tabs>
        <w:spacing w:after="80" w:line="240" w:lineRule="atLeast"/>
        <w:ind w:left="680"/>
        <w:rPr>
          <w:u w:val="single"/>
        </w:rPr>
      </w:pPr>
      <w:r>
        <w:rPr>
          <w:u w:val="single"/>
        </w:rPr>
        <w:tab/>
      </w:r>
    </w:p>
  </w:footnote>
  <w:footnote w:type="continuationNotice" w:id="1">
    <w:p w14:paraId="7D9BCF5C" w14:textId="77777777" w:rsidR="00671E80" w:rsidRPr="00AC3823" w:rsidRDefault="00671E80">
      <w:pPr>
        <w:spacing w:line="240" w:lineRule="auto"/>
        <w:rPr>
          <w:sz w:val="2"/>
          <w:szCs w:val="2"/>
        </w:rPr>
      </w:pPr>
    </w:p>
  </w:footnote>
  <w:footnote w:id="2">
    <w:p w14:paraId="5DFB8D1F" w14:textId="11E47B63" w:rsidR="00D24047" w:rsidRPr="00B045DB" w:rsidRDefault="00D24047" w:rsidP="00DB0C25">
      <w:pPr>
        <w:pStyle w:val="Notedebasdepage"/>
      </w:pPr>
      <w:r w:rsidRPr="00B045DB">
        <w:rPr>
          <w:rStyle w:val="Appelnotedebasdep"/>
        </w:rPr>
        <w:tab/>
      </w:r>
      <w:r w:rsidRPr="00B045DB">
        <w:rPr>
          <w:rStyle w:val="Appelnotedebasdep"/>
          <w:sz w:val="20"/>
          <w:vertAlign w:val="baseline"/>
        </w:rPr>
        <w:t>*</w:t>
      </w:r>
      <w:r w:rsidRPr="00B045DB">
        <w:rPr>
          <w:rStyle w:val="Appelnotedebasdep"/>
          <w:sz w:val="20"/>
          <w:vertAlign w:val="baseline"/>
        </w:rPr>
        <w:tab/>
      </w:r>
      <w:r w:rsidRPr="00B045DB">
        <w:t>Le présent document a été soumis tardivement faute de ressources suffisantes.</w:t>
      </w:r>
    </w:p>
  </w:footnote>
  <w:footnote w:id="3">
    <w:p w14:paraId="0573DDE0" w14:textId="56DA475F" w:rsidR="00D24047" w:rsidRPr="00027956" w:rsidRDefault="00306C84" w:rsidP="00DB0C25">
      <w:pPr>
        <w:pStyle w:val="Notedebasdepage"/>
        <w:rPr>
          <w:lang w:val="en-US"/>
        </w:rPr>
      </w:pPr>
      <w:r w:rsidRPr="00B045DB">
        <w:tab/>
      </w:r>
      <w:r w:rsidR="00D24047" w:rsidRPr="00B045DB">
        <w:rPr>
          <w:rStyle w:val="Appelnotedebasdep"/>
        </w:rPr>
        <w:footnoteRef/>
      </w:r>
      <w:r w:rsidRPr="00027956">
        <w:rPr>
          <w:lang w:val="en-US"/>
        </w:rPr>
        <w:tab/>
      </w:r>
      <w:r w:rsidR="00D24047" w:rsidRPr="00027956">
        <w:rPr>
          <w:lang w:val="en-US"/>
        </w:rPr>
        <w:t xml:space="preserve">ECE/MP.EIA/4, </w:t>
      </w:r>
      <w:proofErr w:type="spellStart"/>
      <w:r w:rsidR="00D24047" w:rsidRPr="00027956">
        <w:rPr>
          <w:lang w:val="en-US"/>
        </w:rPr>
        <w:t>annexe</w:t>
      </w:r>
      <w:proofErr w:type="spellEnd"/>
      <w:r w:rsidR="00D24047" w:rsidRPr="00027956">
        <w:rPr>
          <w:lang w:val="en-US"/>
        </w:rPr>
        <w:t xml:space="preserve"> IV.</w:t>
      </w:r>
    </w:p>
  </w:footnote>
  <w:footnote w:id="4">
    <w:p w14:paraId="0FE2029A" w14:textId="4ADF5D01" w:rsidR="00D24047" w:rsidRPr="00027956" w:rsidRDefault="00306C84" w:rsidP="00DB0C25">
      <w:pPr>
        <w:pStyle w:val="Notedebasdepage"/>
        <w:rPr>
          <w:lang w:val="en-US"/>
        </w:rPr>
      </w:pPr>
      <w:r w:rsidRPr="00027956">
        <w:rPr>
          <w:lang w:val="en-US"/>
        </w:rPr>
        <w:tab/>
      </w:r>
      <w:r w:rsidR="00D24047" w:rsidRPr="00B045DB">
        <w:rPr>
          <w:rStyle w:val="Appelnotedebasdep"/>
        </w:rPr>
        <w:footnoteRef/>
      </w:r>
      <w:r w:rsidRPr="00027956">
        <w:rPr>
          <w:lang w:val="en-US"/>
        </w:rPr>
        <w:tab/>
      </w:r>
      <w:r w:rsidR="00D24047" w:rsidRPr="00027956">
        <w:rPr>
          <w:lang w:val="en-US"/>
        </w:rPr>
        <w:t>ECE/MP.EIA/SEA/2.</w:t>
      </w:r>
    </w:p>
  </w:footnote>
  <w:footnote w:id="5">
    <w:p w14:paraId="1879FF13" w14:textId="174D29CE" w:rsidR="00D24047" w:rsidRPr="00027956" w:rsidRDefault="00306C84" w:rsidP="00DB0C25">
      <w:pPr>
        <w:pStyle w:val="Notedebasdepage"/>
        <w:rPr>
          <w:lang w:val="en-US"/>
        </w:rPr>
      </w:pPr>
      <w:r w:rsidRPr="00027956">
        <w:rPr>
          <w:lang w:val="en-US"/>
        </w:rPr>
        <w:tab/>
      </w:r>
      <w:r w:rsidR="00D24047" w:rsidRPr="00B045DB">
        <w:rPr>
          <w:rStyle w:val="Appelnotedebasdep"/>
        </w:rPr>
        <w:footnoteRef/>
      </w:r>
      <w:r w:rsidRPr="00027956">
        <w:rPr>
          <w:lang w:val="en-US"/>
        </w:rPr>
        <w:tab/>
      </w:r>
      <w:r w:rsidR="00D24047" w:rsidRPr="00027956">
        <w:rPr>
          <w:lang w:val="en-US"/>
        </w:rPr>
        <w:t>ECE/MP.EIA/30/Add.1</w:t>
      </w:r>
      <w:r w:rsidRPr="00027956">
        <w:rPr>
          <w:lang w:val="en-US"/>
        </w:rPr>
        <w:noBreakHyphen/>
      </w:r>
      <w:r w:rsidR="00D24047" w:rsidRPr="00027956">
        <w:rPr>
          <w:lang w:val="en-US"/>
        </w:rPr>
        <w:t xml:space="preserve">ECE/MP.EIA/SEA/13/Add.1, </w:t>
      </w:r>
      <w:proofErr w:type="spellStart"/>
      <w:r w:rsidR="00D24047" w:rsidRPr="00027956">
        <w:rPr>
          <w:lang w:val="en-US"/>
        </w:rPr>
        <w:t>décision</w:t>
      </w:r>
      <w:proofErr w:type="spellEnd"/>
      <w:r w:rsidR="00D24047" w:rsidRPr="00027956">
        <w:rPr>
          <w:lang w:val="en-US"/>
        </w:rPr>
        <w:t xml:space="preserve"> VIII/2</w:t>
      </w:r>
      <w:r w:rsidRPr="00027956">
        <w:rPr>
          <w:lang w:val="en-US"/>
        </w:rPr>
        <w:noBreakHyphen/>
      </w:r>
      <w:r w:rsidR="00D24047" w:rsidRPr="00027956">
        <w:rPr>
          <w:lang w:val="en-US"/>
        </w:rPr>
        <w:t xml:space="preserve">IV/2, </w:t>
      </w:r>
      <w:proofErr w:type="spellStart"/>
      <w:r w:rsidR="00D24047" w:rsidRPr="00027956">
        <w:rPr>
          <w:lang w:val="en-US"/>
        </w:rPr>
        <w:t>annexe</w:t>
      </w:r>
      <w:proofErr w:type="spellEnd"/>
      <w:r w:rsidR="00D24047" w:rsidRPr="00027956">
        <w:rPr>
          <w:lang w:val="en-US"/>
        </w:rPr>
        <w:t xml:space="preserve"> I, </w:t>
      </w:r>
      <w:proofErr w:type="spellStart"/>
      <w:r w:rsidR="00D24047" w:rsidRPr="00027956">
        <w:rPr>
          <w:lang w:val="en-US"/>
        </w:rPr>
        <w:t>catégories</w:t>
      </w:r>
      <w:proofErr w:type="spellEnd"/>
      <w:r w:rsidR="00D24047" w:rsidRPr="00027956">
        <w:rPr>
          <w:lang w:val="en-US"/>
        </w:rPr>
        <w:t xml:space="preserve"> </w:t>
      </w:r>
      <w:proofErr w:type="spellStart"/>
      <w:r w:rsidR="00D24047" w:rsidRPr="00027956">
        <w:rPr>
          <w:lang w:val="en-US"/>
        </w:rPr>
        <w:t>d</w:t>
      </w:r>
      <w:r w:rsidR="003B2315" w:rsidRPr="00027956">
        <w:rPr>
          <w:lang w:val="en-US"/>
        </w:rPr>
        <w:t>’</w:t>
      </w:r>
      <w:r w:rsidR="00D24047" w:rsidRPr="00027956">
        <w:rPr>
          <w:lang w:val="en-US"/>
        </w:rPr>
        <w:t>activité</w:t>
      </w:r>
      <w:proofErr w:type="spellEnd"/>
      <w:r w:rsidR="00D24047" w:rsidRPr="00027956">
        <w:rPr>
          <w:lang w:val="en-US"/>
        </w:rPr>
        <w:t xml:space="preserve"> II.A et II.B.</w:t>
      </w:r>
    </w:p>
  </w:footnote>
  <w:footnote w:id="6">
    <w:p w14:paraId="485630C1" w14:textId="4526C04C" w:rsidR="00D24047" w:rsidRPr="00027956" w:rsidRDefault="00306C84" w:rsidP="00DB0C25">
      <w:pPr>
        <w:pStyle w:val="Notedebasdepage"/>
        <w:rPr>
          <w:lang w:val="es-ES"/>
        </w:rPr>
      </w:pPr>
      <w:r w:rsidRPr="00027956">
        <w:rPr>
          <w:lang w:val="en-US"/>
        </w:rPr>
        <w:tab/>
      </w:r>
      <w:r w:rsidR="00D24047" w:rsidRPr="00B045DB">
        <w:rPr>
          <w:rStyle w:val="Appelnotedebasdep"/>
        </w:rPr>
        <w:footnoteRef/>
      </w:r>
      <w:r w:rsidRPr="00027956">
        <w:rPr>
          <w:lang w:val="es-ES"/>
        </w:rPr>
        <w:tab/>
      </w:r>
      <w:r w:rsidR="00D24047" w:rsidRPr="00027956">
        <w:rPr>
          <w:lang w:val="es-ES"/>
        </w:rPr>
        <w:t>ECE/MP.EIA/30/Add.2</w:t>
      </w:r>
      <w:r w:rsidRPr="00027956">
        <w:rPr>
          <w:lang w:val="es-ES"/>
        </w:rPr>
        <w:noBreakHyphen/>
      </w:r>
      <w:r w:rsidR="00D24047" w:rsidRPr="00027956">
        <w:rPr>
          <w:lang w:val="es-ES"/>
        </w:rPr>
        <w:t>ECE/MP.EIA/SEA/13/Add.2 et ECE/MP.EIA/30/Add.3</w:t>
      </w:r>
      <w:r w:rsidR="00376229" w:rsidRPr="00027956">
        <w:rPr>
          <w:lang w:val="es-ES"/>
        </w:rPr>
        <w:noBreakHyphen/>
      </w:r>
      <w:r w:rsidR="00D24047" w:rsidRPr="00027956">
        <w:rPr>
          <w:lang w:val="es-ES"/>
        </w:rPr>
        <w:t>ECE/MP.EIA/SEA/13/Add.3.</w:t>
      </w:r>
    </w:p>
  </w:footnote>
  <w:footnote w:id="7">
    <w:p w14:paraId="2D994371" w14:textId="5C94B618" w:rsidR="00D24047" w:rsidRPr="00C332B4" w:rsidRDefault="00306C84" w:rsidP="00DB0C25">
      <w:pPr>
        <w:pStyle w:val="Notedebasdepage"/>
      </w:pPr>
      <w:r w:rsidRPr="00027956">
        <w:rPr>
          <w:lang w:val="es-ES"/>
        </w:rPr>
        <w:tab/>
      </w:r>
      <w:r w:rsidR="00D24047" w:rsidRPr="00B045DB">
        <w:rPr>
          <w:rStyle w:val="Appelnotedebasdep"/>
        </w:rPr>
        <w:footnoteRef/>
      </w:r>
      <w:r w:rsidRPr="00B045DB">
        <w:tab/>
      </w:r>
      <w:r w:rsidR="00D24047" w:rsidRPr="00B045DB">
        <w:t>Disponible à l</w:t>
      </w:r>
      <w:r w:rsidR="003B2315" w:rsidRPr="00B045DB">
        <w:t>’</w:t>
      </w:r>
      <w:r w:rsidR="00D24047" w:rsidRPr="00B045DB">
        <w:t xml:space="preserve">adresse </w:t>
      </w:r>
      <w:hyperlink r:id="rId1" w:history="1">
        <w:r w:rsidR="00410C8F" w:rsidRPr="003A04A7">
          <w:rPr>
            <w:rStyle w:val="Lienhypertexte"/>
          </w:rPr>
          <w:t>https://unece.org/sites/default/files/2021-02/Implementation%20Committee% 20structure%20functions%20procedures%20rules.e%202020.pdf</w:t>
        </w:r>
      </w:hyperlink>
      <w:r w:rsidR="00C332B4">
        <w:rPr>
          <w:rStyle w:val="Lienhypertexte"/>
        </w:rPr>
        <w:t xml:space="preserve"> </w:t>
      </w:r>
      <w:r w:rsidR="00D24047" w:rsidRPr="00C332B4">
        <w:rPr>
          <w:rStyle w:val="Lienhypertexte"/>
          <w:color w:val="auto"/>
        </w:rPr>
        <w:t>; concernant l</w:t>
      </w:r>
      <w:r w:rsidR="003B2315" w:rsidRPr="00C332B4">
        <w:rPr>
          <w:rStyle w:val="Lienhypertexte"/>
          <w:color w:val="auto"/>
        </w:rPr>
        <w:t>’</w:t>
      </w:r>
      <w:r w:rsidR="00D24047" w:rsidRPr="00C332B4">
        <w:rPr>
          <w:rStyle w:val="Lienhypertexte"/>
          <w:color w:val="auto"/>
        </w:rPr>
        <w:t>application de l</w:t>
      </w:r>
      <w:r w:rsidR="003B2315" w:rsidRPr="00C332B4">
        <w:rPr>
          <w:rStyle w:val="Lienhypertexte"/>
          <w:color w:val="auto"/>
        </w:rPr>
        <w:t>’</w:t>
      </w:r>
      <w:r w:rsidR="00D24047" w:rsidRPr="00C332B4">
        <w:rPr>
          <w:rStyle w:val="Lienhypertexte"/>
          <w:color w:val="auto"/>
        </w:rPr>
        <w:t>article 5 du règlement intérieur, voir les paragraphes 115 et 116 du présent document.</w:t>
      </w:r>
    </w:p>
  </w:footnote>
  <w:footnote w:id="8">
    <w:p w14:paraId="4E8381C5" w14:textId="0130228B" w:rsidR="00D24047" w:rsidRPr="00027956" w:rsidRDefault="00306C84" w:rsidP="00DB0C25">
      <w:pPr>
        <w:pStyle w:val="Notedebasdepage"/>
        <w:rPr>
          <w:lang w:val="es-ES"/>
        </w:rPr>
      </w:pPr>
      <w:r w:rsidRPr="00B045DB">
        <w:tab/>
      </w:r>
      <w:r w:rsidR="00D24047" w:rsidRPr="00B045DB">
        <w:rPr>
          <w:rStyle w:val="Appelnotedebasdep"/>
        </w:rPr>
        <w:footnoteRef/>
      </w:r>
      <w:r w:rsidRPr="00027956">
        <w:rPr>
          <w:lang w:val="es-ES"/>
        </w:rPr>
        <w:tab/>
      </w:r>
      <w:r w:rsidR="00D24047" w:rsidRPr="00027956">
        <w:rPr>
          <w:lang w:val="es-ES"/>
        </w:rPr>
        <w:t>ECE/MP.EIA/23</w:t>
      </w:r>
      <w:r w:rsidRPr="00027956">
        <w:rPr>
          <w:lang w:val="es-ES"/>
        </w:rPr>
        <w:noBreakHyphen/>
      </w:r>
      <w:r w:rsidR="00D24047" w:rsidRPr="00027956">
        <w:rPr>
          <w:lang w:val="es-ES"/>
        </w:rPr>
        <w:t>ECE/MP.EIA/SEA/7, par. 72.</w:t>
      </w:r>
    </w:p>
  </w:footnote>
  <w:footnote w:id="9">
    <w:p w14:paraId="40B8D531" w14:textId="7B0A733D" w:rsidR="00D24047" w:rsidRPr="00027956" w:rsidRDefault="00306C84"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lang w:val="es-ES"/>
        </w:rPr>
        <w:t>ECE/MP.EIA/30</w:t>
      </w:r>
      <w:r w:rsidRPr="00027956">
        <w:rPr>
          <w:lang w:val="es-ES"/>
        </w:rPr>
        <w:noBreakHyphen/>
      </w:r>
      <w:r w:rsidR="00D24047" w:rsidRPr="00027956">
        <w:rPr>
          <w:lang w:val="es-ES"/>
        </w:rPr>
        <w:t>ECE/MP.EIA/SEA/13, par. 47 c).</w:t>
      </w:r>
    </w:p>
  </w:footnote>
  <w:footnote w:id="10">
    <w:p w14:paraId="2146F915" w14:textId="4CA53A4E" w:rsidR="00D24047" w:rsidRPr="00027956" w:rsidRDefault="00306C84"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lang w:val="es-ES"/>
        </w:rPr>
        <w:t>ECE/MP.EIA/23</w:t>
      </w:r>
      <w:r w:rsidRPr="00027956">
        <w:rPr>
          <w:lang w:val="es-ES"/>
        </w:rPr>
        <w:noBreakHyphen/>
      </w:r>
      <w:r w:rsidR="00D24047" w:rsidRPr="00027956">
        <w:rPr>
          <w:lang w:val="es-ES"/>
        </w:rPr>
        <w:t>ECE/MP.EIA/SEA/7, par. 73.</w:t>
      </w:r>
    </w:p>
  </w:footnote>
  <w:footnote w:id="11">
    <w:p w14:paraId="3ACE53F3" w14:textId="72A49A0D" w:rsidR="00D24047" w:rsidRPr="00B045DB" w:rsidRDefault="00306C84" w:rsidP="00DB0C25">
      <w:pPr>
        <w:pStyle w:val="Notedebasdepage"/>
      </w:pPr>
      <w:r w:rsidRPr="00027956">
        <w:rPr>
          <w:lang w:val="es-ES"/>
        </w:rPr>
        <w:tab/>
      </w:r>
      <w:r w:rsidR="00D24047" w:rsidRPr="00B045DB">
        <w:rPr>
          <w:rStyle w:val="Appelnotedebasdep"/>
        </w:rPr>
        <w:footnoteRef/>
      </w:r>
      <w:r w:rsidRPr="00B045DB">
        <w:tab/>
      </w:r>
      <w:r w:rsidR="00D24047" w:rsidRPr="00B045DB">
        <w:t>Le Portugal et la Slovaquie n</w:t>
      </w:r>
      <w:r w:rsidR="003B2315" w:rsidRPr="00B045DB">
        <w:t>’</w:t>
      </w:r>
      <w:r w:rsidR="00D24047" w:rsidRPr="00B045DB">
        <w:t>ont pas nommé de nouveau membre suppléant après le départ du membre initialement nommé.</w:t>
      </w:r>
    </w:p>
  </w:footnote>
  <w:footnote w:id="12">
    <w:p w14:paraId="3813128C" w14:textId="436DBF03" w:rsidR="00D24047" w:rsidRPr="00B045DB" w:rsidRDefault="00306C84" w:rsidP="00DB0C25">
      <w:pPr>
        <w:pStyle w:val="Notedebasdepage"/>
      </w:pPr>
      <w:r w:rsidRPr="00B045DB">
        <w:tab/>
      </w:r>
      <w:r w:rsidR="00D24047" w:rsidRPr="00B045DB">
        <w:rPr>
          <w:rStyle w:val="Appelnotedebasdep"/>
        </w:rPr>
        <w:footnoteRef/>
      </w:r>
      <w:r w:rsidRPr="00B045DB">
        <w:tab/>
      </w:r>
      <w:r w:rsidR="00D24047" w:rsidRPr="00B045DB">
        <w:t>ECE/MP.EIA/IC/2021/2, par. 3.</w:t>
      </w:r>
    </w:p>
  </w:footnote>
  <w:footnote w:id="13">
    <w:p w14:paraId="02108E87" w14:textId="12A4F606" w:rsidR="00D24047" w:rsidRPr="00B045DB" w:rsidRDefault="00306C84" w:rsidP="00DB0C25">
      <w:pPr>
        <w:pStyle w:val="Notedebasdepage"/>
      </w:pPr>
      <w:r w:rsidRPr="00B045DB">
        <w:tab/>
      </w:r>
      <w:r w:rsidR="00D24047" w:rsidRPr="00B045DB">
        <w:rPr>
          <w:rStyle w:val="Appelnotedebasdep"/>
        </w:rPr>
        <w:footnoteRef/>
      </w:r>
      <w:r w:rsidRPr="00B045DB">
        <w:tab/>
      </w:r>
      <w:r w:rsidR="00D24047" w:rsidRPr="00B045DB">
        <w:t>Les rapports sur les sessions du Comité sont disponibles à l</w:t>
      </w:r>
      <w:r w:rsidR="003B2315" w:rsidRPr="00B045DB">
        <w:t>’</w:t>
      </w:r>
      <w:r w:rsidR="00D24047" w:rsidRPr="00B045DB">
        <w:t xml:space="preserve">adresse </w:t>
      </w:r>
      <w:hyperlink r:id="rId2" w:history="1">
        <w:r w:rsidR="00D24047" w:rsidRPr="00B045DB">
          <w:rPr>
            <w:rStyle w:val="Lienhypertexte"/>
          </w:rPr>
          <w:t>https://unece.org/sessions-3</w:t>
        </w:r>
      </w:hyperlink>
      <w:r w:rsidR="00D24047" w:rsidRPr="00B045DB">
        <w:t>.</w:t>
      </w:r>
    </w:p>
  </w:footnote>
  <w:footnote w:id="14">
    <w:p w14:paraId="21C824EF" w14:textId="496193AB" w:rsidR="00D24047" w:rsidRPr="00B045DB" w:rsidRDefault="00306C84" w:rsidP="00DB0C25">
      <w:pPr>
        <w:pStyle w:val="Notedebasdepage"/>
      </w:pPr>
      <w:r w:rsidRPr="00B045DB">
        <w:tab/>
      </w:r>
      <w:r w:rsidR="00D24047" w:rsidRPr="00B045DB">
        <w:rPr>
          <w:rStyle w:val="Appelnotedebasdep"/>
        </w:rPr>
        <w:footnoteRef/>
      </w:r>
      <w:r w:rsidRPr="00B045DB">
        <w:tab/>
      </w:r>
      <w:r w:rsidR="00D24047" w:rsidRPr="00B045DB">
        <w:t xml:space="preserve">Voir </w:t>
      </w:r>
      <w:hyperlink r:id="rId3" w:history="1">
        <w:r w:rsidR="00D24047" w:rsidRPr="00B045DB">
          <w:rPr>
            <w:rStyle w:val="Lienhypertexte"/>
          </w:rPr>
          <w:t>www.unece.org/env/eia/implementation/implementation_committee.html</w:t>
        </w:r>
      </w:hyperlink>
      <w:r w:rsidR="00D24047" w:rsidRPr="00B045DB">
        <w:rPr>
          <w:rStyle w:val="Lienhypertexte"/>
        </w:rPr>
        <w:t>.</w:t>
      </w:r>
    </w:p>
  </w:footnote>
  <w:footnote w:id="15">
    <w:p w14:paraId="163DB1A1" w14:textId="00598528" w:rsidR="00D24047" w:rsidRPr="00B045DB" w:rsidRDefault="00306C84" w:rsidP="00DB0C25">
      <w:pPr>
        <w:pStyle w:val="Notedebasdepage"/>
      </w:pPr>
      <w:r w:rsidRPr="00B045DB">
        <w:tab/>
      </w:r>
      <w:r w:rsidR="00D24047" w:rsidRPr="00B045DB">
        <w:rPr>
          <w:rStyle w:val="Appelnotedebasdep"/>
        </w:rPr>
        <w:footnoteRef/>
      </w:r>
      <w:r w:rsidRPr="00B045DB">
        <w:tab/>
      </w:r>
      <w:r w:rsidR="00D24047" w:rsidRPr="00B045DB">
        <w:t>À paraître prochainement.</w:t>
      </w:r>
    </w:p>
  </w:footnote>
  <w:footnote w:id="16">
    <w:p w14:paraId="010CC961" w14:textId="7D29BC58" w:rsidR="00D24047" w:rsidRPr="00B045DB" w:rsidRDefault="00306C84" w:rsidP="00DB0C25">
      <w:pPr>
        <w:pStyle w:val="Notedebasdepage"/>
      </w:pPr>
      <w:r w:rsidRPr="00B045DB">
        <w:tab/>
      </w:r>
      <w:r w:rsidR="00D24047" w:rsidRPr="00B045DB">
        <w:rPr>
          <w:rStyle w:val="Appelnotedebasdep"/>
        </w:rPr>
        <w:footnoteRef/>
      </w:r>
      <w:r w:rsidRPr="00B045DB">
        <w:tab/>
      </w:r>
      <w:r w:rsidR="00D24047" w:rsidRPr="00B045DB">
        <w:t xml:space="preserve">Voir </w:t>
      </w:r>
      <w:hyperlink r:id="rId4" w:history="1">
        <w:r w:rsidR="00D24047" w:rsidRPr="00B045DB">
          <w:rPr>
            <w:rStyle w:val="Lienhypertexte"/>
          </w:rPr>
          <w:t>https://unece.org/environment-policy/environmental-assessment/decisions-taken-meetings-parties</w:t>
        </w:r>
      </w:hyperlink>
      <w:r w:rsidR="00D24047" w:rsidRPr="00B045DB">
        <w:t>.</w:t>
      </w:r>
    </w:p>
  </w:footnote>
  <w:footnote w:id="17">
    <w:p w14:paraId="3960FB49" w14:textId="78C01A24" w:rsidR="00D24047" w:rsidRPr="00027956" w:rsidRDefault="00306C84" w:rsidP="00DB0C25">
      <w:pPr>
        <w:pStyle w:val="Notedebasdepage"/>
        <w:rPr>
          <w:lang w:val="es-ES"/>
        </w:rPr>
      </w:pPr>
      <w:r w:rsidRPr="00B045DB">
        <w:tab/>
      </w:r>
      <w:r w:rsidR="00D24047" w:rsidRPr="00B045DB">
        <w:rPr>
          <w:rStyle w:val="Appelnotedebasdep"/>
        </w:rPr>
        <w:footnoteRef/>
      </w:r>
      <w:r w:rsidRPr="00027956">
        <w:rPr>
          <w:lang w:val="es-ES"/>
        </w:rPr>
        <w:tab/>
      </w:r>
      <w:r w:rsidR="00D24047" w:rsidRPr="00027956">
        <w:rPr>
          <w:lang w:val="es-ES"/>
        </w:rPr>
        <w:t>ECE/MP.EIA/IC/2022/2, par. 59 a).</w:t>
      </w:r>
    </w:p>
  </w:footnote>
  <w:footnote w:id="18">
    <w:p w14:paraId="62B3F82F" w14:textId="5F92C688" w:rsidR="00D24047" w:rsidRPr="00027956" w:rsidRDefault="00306C84"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lang w:val="es-ES"/>
        </w:rPr>
        <w:t>ECE/MP.EIA/IC/2023/4, par. 58.</w:t>
      </w:r>
    </w:p>
  </w:footnote>
  <w:footnote w:id="19">
    <w:p w14:paraId="2D450801" w14:textId="7E7F67DA" w:rsidR="00D24047" w:rsidRPr="00027956" w:rsidRDefault="00306C84"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rFonts w:eastAsia="Calibri"/>
          <w:lang w:val="es-ES"/>
        </w:rPr>
        <w:t>ECE/MP.EIA/2023/4</w:t>
      </w:r>
      <w:r w:rsidRPr="00027956">
        <w:rPr>
          <w:lang w:val="es-ES"/>
        </w:rPr>
        <w:noBreakHyphen/>
      </w:r>
      <w:r w:rsidR="00D24047" w:rsidRPr="00027956">
        <w:rPr>
          <w:rFonts w:eastAsia="Calibri"/>
          <w:lang w:val="es-ES"/>
        </w:rPr>
        <w:t>ECE/MP.EIA/SEA/2023/4.</w:t>
      </w:r>
    </w:p>
  </w:footnote>
  <w:footnote w:id="20">
    <w:p w14:paraId="55031A6B" w14:textId="40DE95D5" w:rsidR="00D24047" w:rsidRPr="00B045DB" w:rsidRDefault="00306C84" w:rsidP="00DB0C25">
      <w:pPr>
        <w:pStyle w:val="Notedebasdepage"/>
      </w:pPr>
      <w:r w:rsidRPr="00027956">
        <w:rPr>
          <w:lang w:val="es-ES"/>
        </w:rPr>
        <w:tab/>
      </w:r>
      <w:r w:rsidR="00D24047" w:rsidRPr="00B045DB">
        <w:rPr>
          <w:rStyle w:val="Appelnotedebasdep"/>
        </w:rPr>
        <w:footnoteRef/>
      </w:r>
      <w:r w:rsidRPr="00B045DB">
        <w:tab/>
      </w:r>
      <w:r w:rsidR="00D24047" w:rsidRPr="00B045DB">
        <w:t>ECE/MP.EIA/2023/7.</w:t>
      </w:r>
    </w:p>
  </w:footnote>
  <w:footnote w:id="21">
    <w:p w14:paraId="2EA5725A" w14:textId="6AD5DADD" w:rsidR="00D24047" w:rsidRPr="00B045DB" w:rsidRDefault="00306C84" w:rsidP="00DB0C25">
      <w:pPr>
        <w:pStyle w:val="Notedebasdepage"/>
      </w:pPr>
      <w:r w:rsidRPr="00B045DB">
        <w:tab/>
      </w:r>
      <w:r w:rsidR="00D24047" w:rsidRPr="00B045DB">
        <w:rPr>
          <w:rStyle w:val="Appelnotedebasdep"/>
        </w:rPr>
        <w:footnoteRef/>
      </w:r>
      <w:r w:rsidRPr="00B045DB">
        <w:tab/>
      </w:r>
      <w:r w:rsidR="00D24047" w:rsidRPr="00B045DB">
        <w:t>Ces rapports sont disponibles à l</w:t>
      </w:r>
      <w:r w:rsidR="003B2315" w:rsidRPr="00B045DB">
        <w:t>’</w:t>
      </w:r>
      <w:r w:rsidR="00D24047" w:rsidRPr="00B045DB">
        <w:t xml:space="preserve">adresse </w:t>
      </w:r>
      <w:hyperlink r:id="rId5" w:history="1">
        <w:r w:rsidR="00D24047" w:rsidRPr="00B045DB">
          <w:rPr>
            <w:rStyle w:val="Lienhypertexte"/>
          </w:rPr>
          <w:t>https://unece.org/environment-policy/environmental-assessment/eiaics4-belarus</w:t>
        </w:r>
      </w:hyperlink>
      <w:r w:rsidR="00D24047" w:rsidRPr="00B045DB">
        <w:t>.</w:t>
      </w:r>
    </w:p>
  </w:footnote>
  <w:footnote w:id="22">
    <w:p w14:paraId="2AA1D1D4" w14:textId="3487D6FF" w:rsidR="00D24047" w:rsidRPr="00027956" w:rsidRDefault="00306C84" w:rsidP="00DB0C25">
      <w:pPr>
        <w:pStyle w:val="Notedebasdepage"/>
        <w:rPr>
          <w:lang w:val="es-ES"/>
        </w:rPr>
      </w:pPr>
      <w:r w:rsidRPr="00B045DB">
        <w:tab/>
      </w:r>
      <w:r w:rsidR="00D24047" w:rsidRPr="00B045DB">
        <w:rPr>
          <w:rStyle w:val="Appelnotedebasdep"/>
        </w:rPr>
        <w:footnoteRef/>
      </w:r>
      <w:r w:rsidR="00D24047" w:rsidRPr="00027956">
        <w:rPr>
          <w:lang w:val="es-ES"/>
        </w:rPr>
        <w:t xml:space="preserve"> </w:t>
      </w:r>
      <w:r w:rsidRPr="00027956">
        <w:rPr>
          <w:lang w:val="es-ES"/>
        </w:rPr>
        <w:tab/>
      </w:r>
      <w:r w:rsidR="00D24047" w:rsidRPr="00027956">
        <w:rPr>
          <w:lang w:val="es-ES"/>
        </w:rPr>
        <w:t>ECE/MP.EIA/2023/7.</w:t>
      </w:r>
    </w:p>
  </w:footnote>
  <w:footnote w:id="23">
    <w:p w14:paraId="782E6DDE" w14:textId="64436EC3" w:rsidR="00D24047" w:rsidRPr="00027956" w:rsidRDefault="00306C84"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lang w:val="es-ES"/>
        </w:rPr>
        <w:t>ECE/MP.EIA/IC/2022/2, par. 3.</w:t>
      </w:r>
    </w:p>
  </w:footnote>
  <w:footnote w:id="24">
    <w:p w14:paraId="4D06DCB4" w14:textId="372288FF" w:rsidR="00D24047" w:rsidRPr="00027956" w:rsidRDefault="00306C84"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szCs w:val="18"/>
          <w:lang w:val="es-ES"/>
        </w:rPr>
        <w:t>EIA/IC/S/1, EIA/IC/CI/4, EIA/IC/CI/7, EIA/IC/INFO/10, EIA/IC/INFO/13 et EIA/IC/INFO/20.</w:t>
      </w:r>
    </w:p>
  </w:footnote>
  <w:footnote w:id="25">
    <w:p w14:paraId="111E2711" w14:textId="1B75447E" w:rsidR="00D24047" w:rsidRPr="00B045DB" w:rsidRDefault="00306C84" w:rsidP="00306C84">
      <w:pPr>
        <w:pStyle w:val="Notedebasdepage"/>
        <w:ind w:hanging="567"/>
      </w:pPr>
      <w:r w:rsidRPr="00027956">
        <w:rPr>
          <w:lang w:val="es-ES"/>
        </w:rPr>
        <w:tab/>
      </w:r>
      <w:r w:rsidR="00D24047" w:rsidRPr="00B045DB">
        <w:rPr>
          <w:rStyle w:val="Appelnotedebasdep"/>
        </w:rPr>
        <w:footnoteRef/>
      </w:r>
      <w:r w:rsidRPr="00B045DB">
        <w:tab/>
      </w:r>
      <w:r w:rsidR="00D24047" w:rsidRPr="00B045DB">
        <w:rPr>
          <w:rFonts w:eastAsia="SimSun"/>
        </w:rPr>
        <w:t>ECE/MP.EIA/10, décision IV/2, par. 14.</w:t>
      </w:r>
    </w:p>
  </w:footnote>
  <w:footnote w:id="26">
    <w:p w14:paraId="7E5947A8" w14:textId="4F13FD32" w:rsidR="00D24047" w:rsidRPr="00027956" w:rsidRDefault="00306C84" w:rsidP="00DB0C25">
      <w:pPr>
        <w:pStyle w:val="Notedebasdepage"/>
        <w:rPr>
          <w:lang w:val="es-ES"/>
        </w:rPr>
      </w:pPr>
      <w:r w:rsidRPr="00B045DB">
        <w:tab/>
      </w:r>
      <w:r w:rsidR="00D24047" w:rsidRPr="00B045DB">
        <w:rPr>
          <w:rStyle w:val="Appelnotedebasdep"/>
        </w:rPr>
        <w:footnoteRef/>
      </w:r>
      <w:r w:rsidRPr="00027956">
        <w:rPr>
          <w:lang w:val="es-ES"/>
        </w:rPr>
        <w:tab/>
      </w:r>
      <w:r w:rsidR="00D24047" w:rsidRPr="00027956">
        <w:rPr>
          <w:lang w:val="es-ES"/>
        </w:rPr>
        <w:t>ECE/MP.EIA/2023/7.</w:t>
      </w:r>
    </w:p>
  </w:footnote>
  <w:footnote w:id="27">
    <w:p w14:paraId="421EFA42" w14:textId="2B6EE82A" w:rsidR="00D24047" w:rsidRPr="00027956" w:rsidRDefault="00306C84"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lang w:val="es-ES"/>
        </w:rPr>
        <w:t>Ibid.</w:t>
      </w:r>
    </w:p>
  </w:footnote>
  <w:footnote w:id="28">
    <w:p w14:paraId="1FA0AAC6" w14:textId="0A7C9A74" w:rsidR="00D24047" w:rsidRPr="00027956" w:rsidRDefault="00306C84"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lang w:val="es-ES"/>
        </w:rPr>
        <w:t>ECE/MP.EIA/IC/2021/4, par. 19 à 22.</w:t>
      </w:r>
    </w:p>
  </w:footnote>
  <w:footnote w:id="29">
    <w:p w14:paraId="71C43E06" w14:textId="064266FA" w:rsidR="00D24047" w:rsidRPr="00027956" w:rsidRDefault="00306C84"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rFonts w:eastAsia="Times New Roman"/>
          <w:lang w:val="es-ES"/>
        </w:rPr>
        <w:t>ECE/MP.EIA/IC/2022/8.</w:t>
      </w:r>
    </w:p>
  </w:footnote>
  <w:footnote w:id="30">
    <w:p w14:paraId="108C730E" w14:textId="146CA4BB" w:rsidR="00D24047" w:rsidRPr="00027956" w:rsidRDefault="00306C84"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rStyle w:val="content"/>
          <w:rFonts w:eastAsia="Times New Roman"/>
          <w:lang w:val="es-ES"/>
        </w:rPr>
        <w:t>ECE/MP.EIA/2023/7.</w:t>
      </w:r>
    </w:p>
  </w:footnote>
  <w:footnote w:id="31">
    <w:p w14:paraId="1DB2D017" w14:textId="753774A1" w:rsidR="00D24047" w:rsidRPr="00027956" w:rsidRDefault="00FD2633"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lang w:val="es-ES"/>
        </w:rPr>
        <w:t>ECE/MP.EIA/IC/2023/9, par. 33.</w:t>
      </w:r>
    </w:p>
  </w:footnote>
  <w:footnote w:id="32">
    <w:p w14:paraId="6FE5CBB5" w14:textId="0770C553" w:rsidR="00D24047" w:rsidRPr="00027956" w:rsidRDefault="00FD2633"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lang w:val="es-ES"/>
        </w:rPr>
        <w:t>Ibid., par. 13.</w:t>
      </w:r>
    </w:p>
  </w:footnote>
  <w:footnote w:id="33">
    <w:p w14:paraId="63AA5A55" w14:textId="4572790C" w:rsidR="00D24047" w:rsidRPr="00027956" w:rsidRDefault="00FD2633"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lang w:val="es-ES"/>
        </w:rPr>
        <w:t>ECE/MP.EIA/2023/4</w:t>
      </w:r>
      <w:r w:rsidR="00F13A57" w:rsidRPr="00027956">
        <w:rPr>
          <w:lang w:val="es-ES"/>
        </w:rPr>
        <w:noBreakHyphen/>
      </w:r>
      <w:r w:rsidR="00D24047" w:rsidRPr="00027956">
        <w:rPr>
          <w:lang w:val="es-ES"/>
        </w:rPr>
        <w:t>ECE/MP.EIA/SEA/2023/4.</w:t>
      </w:r>
    </w:p>
  </w:footnote>
  <w:footnote w:id="34">
    <w:p w14:paraId="7028F01E" w14:textId="67B2FB7E" w:rsidR="00D24047" w:rsidRPr="00027956" w:rsidRDefault="00FD2633" w:rsidP="00DB0C25">
      <w:pPr>
        <w:pStyle w:val="Notedebasdepage"/>
        <w:rPr>
          <w:lang w:val="en-US"/>
        </w:rPr>
      </w:pPr>
      <w:r w:rsidRPr="00027956">
        <w:rPr>
          <w:lang w:val="es-ES"/>
        </w:rPr>
        <w:tab/>
      </w:r>
      <w:r w:rsidR="00D24047" w:rsidRPr="00B045DB">
        <w:rPr>
          <w:rStyle w:val="Appelnotedebasdep"/>
        </w:rPr>
        <w:footnoteRef/>
      </w:r>
      <w:r w:rsidRPr="00027956">
        <w:rPr>
          <w:lang w:val="en-US"/>
        </w:rPr>
        <w:tab/>
      </w:r>
      <w:r w:rsidR="00D24047" w:rsidRPr="00027956">
        <w:rPr>
          <w:lang w:val="en-US"/>
        </w:rPr>
        <w:t>ECE/MP.EIA/IC/2023/5.</w:t>
      </w:r>
    </w:p>
  </w:footnote>
  <w:footnote w:id="35">
    <w:p w14:paraId="6194B5E2" w14:textId="2477F9B6" w:rsidR="00D24047" w:rsidRPr="00027956" w:rsidRDefault="001E39A4" w:rsidP="00DB0C25">
      <w:pPr>
        <w:pStyle w:val="Notedebasdepage"/>
        <w:rPr>
          <w:lang w:val="en-US"/>
        </w:rPr>
      </w:pPr>
      <w:r w:rsidRPr="00027956">
        <w:rPr>
          <w:lang w:val="en-US"/>
        </w:rPr>
        <w:tab/>
      </w:r>
      <w:r w:rsidR="00D24047" w:rsidRPr="00B045DB">
        <w:rPr>
          <w:rStyle w:val="Appelnotedebasdep"/>
        </w:rPr>
        <w:footnoteRef/>
      </w:r>
      <w:r w:rsidRPr="00027956">
        <w:rPr>
          <w:lang w:val="en-US"/>
        </w:rPr>
        <w:tab/>
      </w:r>
      <w:r w:rsidR="00D24047" w:rsidRPr="00027956">
        <w:rPr>
          <w:lang w:val="en-US"/>
        </w:rPr>
        <w:t xml:space="preserve">ECE/MP.EIA/IC/2023/8, </w:t>
      </w:r>
      <w:proofErr w:type="spellStart"/>
      <w:r w:rsidR="00D24047" w:rsidRPr="00027956">
        <w:rPr>
          <w:lang w:val="en-US"/>
        </w:rPr>
        <w:t>annexe</w:t>
      </w:r>
      <w:proofErr w:type="spellEnd"/>
      <w:r w:rsidR="00D24047" w:rsidRPr="00027956">
        <w:rPr>
          <w:lang w:val="en-US"/>
        </w:rPr>
        <w:t xml:space="preserve"> II.</w:t>
      </w:r>
    </w:p>
  </w:footnote>
  <w:footnote w:id="36">
    <w:p w14:paraId="21129651" w14:textId="2E05DB43" w:rsidR="00D24047" w:rsidRPr="00027956" w:rsidRDefault="001E39A4" w:rsidP="00DB0C25">
      <w:pPr>
        <w:pStyle w:val="Notedebasdepage"/>
        <w:rPr>
          <w:lang w:val="es-ES"/>
        </w:rPr>
      </w:pPr>
      <w:r w:rsidRPr="00027956">
        <w:rPr>
          <w:lang w:val="en-US"/>
        </w:rPr>
        <w:tab/>
      </w:r>
      <w:r w:rsidR="00D24047" w:rsidRPr="00B045DB">
        <w:rPr>
          <w:rStyle w:val="Appelnotedebasdep"/>
        </w:rPr>
        <w:footnoteRef/>
      </w:r>
      <w:r w:rsidRPr="00027956">
        <w:rPr>
          <w:lang w:val="es-ES"/>
        </w:rPr>
        <w:tab/>
      </w:r>
      <w:r w:rsidR="00D24047" w:rsidRPr="00027956">
        <w:rPr>
          <w:lang w:val="es-ES"/>
        </w:rPr>
        <w:t>ECE/MP.EIA/2023/4-ECE/MP.EIA/SEA/2023/4.</w:t>
      </w:r>
    </w:p>
  </w:footnote>
  <w:footnote w:id="37">
    <w:p w14:paraId="3D40943D" w14:textId="3CEC800F" w:rsidR="00D24047" w:rsidRPr="00B045DB" w:rsidRDefault="001E39A4" w:rsidP="00DB0C25">
      <w:pPr>
        <w:pStyle w:val="Notedebasdepage"/>
      </w:pPr>
      <w:r w:rsidRPr="00027956">
        <w:rPr>
          <w:lang w:val="es-ES"/>
        </w:rPr>
        <w:tab/>
      </w:r>
      <w:r w:rsidR="00D24047" w:rsidRPr="00B045DB">
        <w:rPr>
          <w:rStyle w:val="Appelnotedebasdep"/>
        </w:rPr>
        <w:footnoteRef/>
      </w:r>
      <w:r w:rsidRPr="00B045DB">
        <w:tab/>
      </w:r>
      <w:r w:rsidR="00D24047" w:rsidRPr="00B045DB">
        <w:t>Disponible à l</w:t>
      </w:r>
      <w:r w:rsidR="003B2315" w:rsidRPr="00B045DB">
        <w:t>’</w:t>
      </w:r>
      <w:r w:rsidR="00D24047" w:rsidRPr="00B045DB">
        <w:t xml:space="preserve">adresse </w:t>
      </w:r>
      <w:hyperlink r:id="rId6" w:history="1">
        <w:r w:rsidRPr="00B045DB">
          <w:rPr>
            <w:rStyle w:val="Lienhypertexte"/>
          </w:rPr>
          <w:t>https://unece.org/sites/default/files/2021-02/Implementation%20Committee% 20structure%20functions%20procedures%20rules.e%202020.pdf</w:t>
        </w:r>
      </w:hyperlink>
      <w:r w:rsidR="00DB0C25" w:rsidRPr="00B045DB">
        <w:t>.</w:t>
      </w:r>
    </w:p>
  </w:footnote>
  <w:footnote w:id="38">
    <w:p w14:paraId="63FBCB19" w14:textId="4AE80191" w:rsidR="00D24047" w:rsidRPr="00B045DB" w:rsidRDefault="001E39A4" w:rsidP="00DB0C25">
      <w:pPr>
        <w:pStyle w:val="Notedebasdepage"/>
      </w:pPr>
      <w:r w:rsidRPr="00B045DB">
        <w:tab/>
      </w:r>
      <w:r w:rsidR="00D24047" w:rsidRPr="00B045DB">
        <w:rPr>
          <w:rStyle w:val="Appelnotedebasdep"/>
        </w:rPr>
        <w:footnoteRef/>
      </w:r>
      <w:r w:rsidRPr="00B045DB">
        <w:tab/>
      </w:r>
      <w:r w:rsidR="00D24047" w:rsidRPr="00B045DB">
        <w:t>ECE/MP.EIA/IC/2017/4, par. 60.</w:t>
      </w:r>
    </w:p>
  </w:footnote>
  <w:footnote w:id="39">
    <w:p w14:paraId="41E2C433" w14:textId="4EB0D4E7" w:rsidR="00D24047" w:rsidRPr="00B045DB" w:rsidRDefault="001E39A4" w:rsidP="00DB0C25">
      <w:pPr>
        <w:pStyle w:val="Notedebasdepage"/>
      </w:pPr>
      <w:r w:rsidRPr="00B045DB">
        <w:tab/>
      </w:r>
      <w:r w:rsidR="00D24047" w:rsidRPr="00B045DB">
        <w:rPr>
          <w:rStyle w:val="Appelnotedebasdep"/>
        </w:rPr>
        <w:footnoteRef/>
      </w:r>
      <w:r w:rsidRPr="00B045DB">
        <w:tab/>
      </w:r>
      <w:r w:rsidR="00D24047" w:rsidRPr="00B045DB">
        <w:t>ECE/MP.EIA/IC/2018/6, par. 9.</w:t>
      </w:r>
    </w:p>
  </w:footnote>
  <w:footnote w:id="40">
    <w:p w14:paraId="5D095CF1" w14:textId="440BB5CA" w:rsidR="00D24047" w:rsidRPr="00B045DB" w:rsidRDefault="001E39A4" w:rsidP="00DB0C25">
      <w:pPr>
        <w:pStyle w:val="Notedebasdepage"/>
      </w:pPr>
      <w:r w:rsidRPr="00B045DB">
        <w:tab/>
      </w:r>
      <w:r w:rsidR="00D24047" w:rsidRPr="00B045DB">
        <w:rPr>
          <w:rStyle w:val="Appelnotedebasdep"/>
        </w:rPr>
        <w:footnoteRef/>
      </w:r>
      <w:r w:rsidRPr="00B045DB">
        <w:tab/>
      </w:r>
      <w:r w:rsidR="00D24047" w:rsidRPr="00B045DB">
        <w:t>ECE/MP.EIA/IC/2022/7, par. 41 et 42.</w:t>
      </w:r>
    </w:p>
  </w:footnote>
  <w:footnote w:id="41">
    <w:p w14:paraId="5B2235FF" w14:textId="4002D32E" w:rsidR="00D24047" w:rsidRPr="0023166B" w:rsidRDefault="001E39A4" w:rsidP="00DB0C25">
      <w:pPr>
        <w:pStyle w:val="Notedebasdepage"/>
        <w:rPr>
          <w:lang w:val="en-US"/>
        </w:rPr>
      </w:pPr>
      <w:r w:rsidRPr="00B045DB">
        <w:tab/>
      </w:r>
      <w:r w:rsidR="00D24047" w:rsidRPr="00B045DB">
        <w:rPr>
          <w:rStyle w:val="Appelnotedebasdep"/>
        </w:rPr>
        <w:footnoteRef/>
      </w:r>
      <w:r w:rsidR="0023166B" w:rsidRPr="0023166B">
        <w:rPr>
          <w:lang w:val="en-US"/>
        </w:rPr>
        <w:tab/>
      </w:r>
      <w:r w:rsidR="00D24047" w:rsidRPr="0023166B">
        <w:rPr>
          <w:lang w:val="en-US"/>
        </w:rPr>
        <w:t xml:space="preserve">ECE/MP.EIA/IC/2023/8, </w:t>
      </w:r>
      <w:proofErr w:type="spellStart"/>
      <w:r w:rsidR="00D24047" w:rsidRPr="0023166B">
        <w:rPr>
          <w:lang w:val="en-US"/>
        </w:rPr>
        <w:t>annexe</w:t>
      </w:r>
      <w:proofErr w:type="spellEnd"/>
      <w:r w:rsidR="00D24047" w:rsidRPr="0023166B">
        <w:rPr>
          <w:lang w:val="en-US"/>
        </w:rPr>
        <w:t xml:space="preserve"> I.</w:t>
      </w:r>
    </w:p>
  </w:footnote>
  <w:footnote w:id="42">
    <w:p w14:paraId="6E10A412" w14:textId="14FC8BBC" w:rsidR="00D24047" w:rsidRPr="00B045DB" w:rsidRDefault="001E39A4" w:rsidP="00DB0C25">
      <w:pPr>
        <w:pStyle w:val="Notedebasdepage"/>
      </w:pPr>
      <w:r w:rsidRPr="0023166B">
        <w:rPr>
          <w:lang w:val="en-US"/>
        </w:rPr>
        <w:tab/>
      </w:r>
      <w:r w:rsidR="00D24047" w:rsidRPr="00B045DB">
        <w:rPr>
          <w:rStyle w:val="Appelnotedebasdep"/>
        </w:rPr>
        <w:footnoteRef/>
      </w:r>
      <w:r w:rsidR="00D24047" w:rsidRPr="00B045DB">
        <w:t xml:space="preserve"> </w:t>
      </w:r>
      <w:r w:rsidRPr="00B045DB">
        <w:tab/>
      </w:r>
      <w:r w:rsidR="00D24047" w:rsidRPr="00B045DB">
        <w:t>ECE/MP.EIA/2023/7.</w:t>
      </w:r>
    </w:p>
  </w:footnote>
  <w:footnote w:id="43">
    <w:p w14:paraId="5456B9CE" w14:textId="378975A0" w:rsidR="00D24047" w:rsidRPr="00B045DB" w:rsidRDefault="001E39A4" w:rsidP="00DB0C25">
      <w:pPr>
        <w:pStyle w:val="Notedebasdepage"/>
      </w:pPr>
      <w:r w:rsidRPr="00B045DB">
        <w:tab/>
      </w:r>
      <w:r w:rsidR="00D24047" w:rsidRPr="00B045DB">
        <w:rPr>
          <w:rStyle w:val="Appelnotedebasdep"/>
        </w:rPr>
        <w:footnoteRef/>
      </w:r>
      <w:r w:rsidR="00D24047" w:rsidRPr="00B045DB">
        <w:t xml:space="preserve"> </w:t>
      </w:r>
      <w:r w:rsidRPr="00B045DB">
        <w:tab/>
      </w:r>
      <w:r w:rsidR="00D24047" w:rsidRPr="00B045DB">
        <w:t>Publication des Nations Unies, ECE/MP.EIA/31.</w:t>
      </w:r>
    </w:p>
  </w:footnote>
  <w:footnote w:id="44">
    <w:p w14:paraId="3D2FF595" w14:textId="51464CFC" w:rsidR="00D24047" w:rsidRPr="00027956" w:rsidRDefault="001E39A4" w:rsidP="00DB0C25">
      <w:pPr>
        <w:pStyle w:val="Notedebasdepage"/>
        <w:rPr>
          <w:lang w:val="es-ES"/>
        </w:rPr>
      </w:pPr>
      <w:r w:rsidRPr="00B045DB">
        <w:tab/>
      </w:r>
      <w:r w:rsidR="00D24047" w:rsidRPr="00B045DB">
        <w:rPr>
          <w:rStyle w:val="Appelnotedebasdep"/>
        </w:rPr>
        <w:footnoteRef/>
      </w:r>
      <w:r w:rsidR="00D24047" w:rsidRPr="00027956">
        <w:rPr>
          <w:lang w:val="es-ES"/>
        </w:rPr>
        <w:t xml:space="preserve"> </w:t>
      </w:r>
      <w:r w:rsidR="00D24047" w:rsidRPr="00027956">
        <w:rPr>
          <w:lang w:val="es-ES"/>
        </w:rPr>
        <w:tab/>
        <w:t>ECE/MP.EIA/30/Add.2</w:t>
      </w:r>
      <w:r w:rsidRPr="00027956">
        <w:rPr>
          <w:lang w:val="es-ES"/>
        </w:rPr>
        <w:noBreakHyphen/>
      </w:r>
      <w:r w:rsidR="00D24047" w:rsidRPr="00027956">
        <w:rPr>
          <w:lang w:val="es-ES"/>
        </w:rPr>
        <w:t xml:space="preserve">ECE/MP.EIA/SEA/13/Add.2, </w:t>
      </w:r>
      <w:proofErr w:type="spellStart"/>
      <w:r w:rsidR="00D24047" w:rsidRPr="00027956">
        <w:rPr>
          <w:lang w:val="es-ES"/>
        </w:rPr>
        <w:t>décision</w:t>
      </w:r>
      <w:proofErr w:type="spellEnd"/>
      <w:r w:rsidR="00D24047" w:rsidRPr="00027956">
        <w:rPr>
          <w:lang w:val="es-ES"/>
        </w:rPr>
        <w:t xml:space="preserve"> VIII/6, par. 5.</w:t>
      </w:r>
    </w:p>
  </w:footnote>
  <w:footnote w:id="45">
    <w:p w14:paraId="73ED1710" w14:textId="0BD30529" w:rsidR="00D24047" w:rsidRPr="00B045DB" w:rsidRDefault="001E39A4" w:rsidP="00DB0C25">
      <w:pPr>
        <w:pStyle w:val="Notedebasdepage"/>
      </w:pPr>
      <w:r w:rsidRPr="00027956">
        <w:rPr>
          <w:lang w:val="es-ES"/>
        </w:rPr>
        <w:tab/>
      </w:r>
      <w:r w:rsidR="00D24047" w:rsidRPr="00B045DB">
        <w:rPr>
          <w:rStyle w:val="Appelnotedebasdep"/>
        </w:rPr>
        <w:footnoteRef/>
      </w:r>
      <w:r w:rsidRPr="00B045DB">
        <w:tab/>
      </w:r>
      <w:r w:rsidR="00D24047" w:rsidRPr="00B045DB">
        <w:t xml:space="preserve">Voir la </w:t>
      </w:r>
      <w:r w:rsidRPr="00B045DB">
        <w:rPr>
          <w:rFonts w:eastAsia="Times New Roman"/>
        </w:rPr>
        <w:t>l</w:t>
      </w:r>
      <w:r w:rsidR="00D24047" w:rsidRPr="00B045DB">
        <w:rPr>
          <w:rFonts w:eastAsia="Times New Roman"/>
        </w:rPr>
        <w:t>ettre des Länder allemands de Rhénanie-du-Nord-Westphalie et de Rhénanie-Palatinat, datée du 8 mars 2016, reçue par le Comité le 14</w:t>
      </w:r>
      <w:r w:rsidRPr="00B045DB">
        <w:rPr>
          <w:rFonts w:eastAsia="Times New Roman"/>
        </w:rPr>
        <w:t> </w:t>
      </w:r>
      <w:r w:rsidR="00D24047" w:rsidRPr="00B045DB">
        <w:rPr>
          <w:rFonts w:eastAsia="Times New Roman"/>
        </w:rPr>
        <w:t>mars 2016.</w:t>
      </w:r>
    </w:p>
  </w:footnote>
  <w:footnote w:id="46">
    <w:p w14:paraId="699ABB05" w14:textId="3E9A26D8" w:rsidR="00D24047" w:rsidRPr="00B045DB" w:rsidRDefault="001E39A4" w:rsidP="00DB0C25">
      <w:pPr>
        <w:pStyle w:val="Notedebasdepage"/>
      </w:pPr>
      <w:r w:rsidRPr="00B045DB">
        <w:tab/>
      </w:r>
      <w:r w:rsidR="00D24047" w:rsidRPr="00B045DB">
        <w:rPr>
          <w:rStyle w:val="Appelnotedebasdep"/>
        </w:rPr>
        <w:footnoteRef/>
      </w:r>
      <w:r w:rsidRPr="00B045DB">
        <w:tab/>
      </w:r>
      <w:r w:rsidR="00D24047" w:rsidRPr="00B045DB">
        <w:rPr>
          <w:rFonts w:eastAsia="Times New Roman"/>
          <w:i/>
        </w:rPr>
        <w:t xml:space="preserve">Inter-Environnement Wallonie ASBL et Bond </w:t>
      </w:r>
      <w:proofErr w:type="spellStart"/>
      <w:r w:rsidR="00D24047" w:rsidRPr="00B045DB">
        <w:rPr>
          <w:rFonts w:eastAsia="Times New Roman"/>
          <w:i/>
        </w:rPr>
        <w:t>Beter</w:t>
      </w:r>
      <w:proofErr w:type="spellEnd"/>
      <w:r w:rsidR="00D24047" w:rsidRPr="00B045DB">
        <w:rPr>
          <w:rFonts w:eastAsia="Times New Roman"/>
          <w:i/>
        </w:rPr>
        <w:t xml:space="preserve"> </w:t>
      </w:r>
      <w:proofErr w:type="spellStart"/>
      <w:r w:rsidR="00D24047" w:rsidRPr="00B045DB">
        <w:rPr>
          <w:rFonts w:eastAsia="Times New Roman"/>
          <w:i/>
        </w:rPr>
        <w:t>Leefmilieu</w:t>
      </w:r>
      <w:proofErr w:type="spellEnd"/>
      <w:r w:rsidR="00D24047" w:rsidRPr="00B045DB">
        <w:rPr>
          <w:rFonts w:eastAsia="Times New Roman"/>
          <w:i/>
        </w:rPr>
        <w:t xml:space="preserve"> </w:t>
      </w:r>
      <w:proofErr w:type="spellStart"/>
      <w:r w:rsidR="00D24047" w:rsidRPr="00B045DB">
        <w:rPr>
          <w:rFonts w:eastAsia="Times New Roman"/>
          <w:i/>
        </w:rPr>
        <w:t>Vlaanderen</w:t>
      </w:r>
      <w:proofErr w:type="spellEnd"/>
      <w:r w:rsidR="00D24047" w:rsidRPr="00B045DB">
        <w:rPr>
          <w:rFonts w:eastAsia="Times New Roman"/>
          <w:i/>
        </w:rPr>
        <w:t xml:space="preserve"> ASBL c. Conseil des ministres</w:t>
      </w:r>
      <w:r w:rsidR="00D24047" w:rsidRPr="00B045DB">
        <w:rPr>
          <w:rFonts w:eastAsia="Times New Roman"/>
        </w:rPr>
        <w:t xml:space="preserve">, affaire </w:t>
      </w:r>
      <w:r w:rsidRPr="00B045DB">
        <w:rPr>
          <w:rFonts w:eastAsia="MS Mincho"/>
          <w:szCs w:val="22"/>
        </w:rPr>
        <w:t>n</w:t>
      </w:r>
      <w:r w:rsidRPr="00B045DB">
        <w:rPr>
          <w:rFonts w:eastAsia="MS Mincho"/>
          <w:szCs w:val="22"/>
          <w:vertAlign w:val="superscript"/>
        </w:rPr>
        <w:t>o</w:t>
      </w:r>
      <w:r w:rsidRPr="00B045DB">
        <w:rPr>
          <w:rFonts w:eastAsia="Times New Roman"/>
        </w:rPr>
        <w:t> </w:t>
      </w:r>
      <w:r w:rsidR="00D24047" w:rsidRPr="00B045DB">
        <w:rPr>
          <w:rFonts w:eastAsia="Times New Roman"/>
        </w:rPr>
        <w:t>C-411/17.</w:t>
      </w:r>
    </w:p>
  </w:footnote>
  <w:footnote w:id="47">
    <w:p w14:paraId="20D3D5A2" w14:textId="455CA993" w:rsidR="00D24047" w:rsidRPr="00B045DB" w:rsidRDefault="001E39A4" w:rsidP="00DB0C25">
      <w:pPr>
        <w:pStyle w:val="Notedebasdepage"/>
      </w:pPr>
      <w:r w:rsidRPr="00B045DB">
        <w:tab/>
      </w:r>
      <w:r w:rsidR="00D24047" w:rsidRPr="00B045DB">
        <w:rPr>
          <w:rStyle w:val="Appelnotedebasdep"/>
        </w:rPr>
        <w:footnoteRef/>
      </w:r>
      <w:r w:rsidRPr="00B045DB">
        <w:tab/>
      </w:r>
      <w:r w:rsidR="00D24047" w:rsidRPr="00B045DB">
        <w:t>ECE/MP.EIA/IC/2022/2, par. 41.</w:t>
      </w:r>
    </w:p>
  </w:footnote>
  <w:footnote w:id="48">
    <w:p w14:paraId="0EE34164" w14:textId="352B0778" w:rsidR="00D24047" w:rsidRPr="00B045DB" w:rsidRDefault="001E39A4" w:rsidP="00DB0C25">
      <w:pPr>
        <w:pStyle w:val="Notedebasdepage"/>
      </w:pPr>
      <w:r w:rsidRPr="00B045DB">
        <w:tab/>
      </w:r>
      <w:r w:rsidR="00D24047" w:rsidRPr="00B045DB">
        <w:rPr>
          <w:rStyle w:val="Appelnotedebasdep"/>
        </w:rPr>
        <w:footnoteRef/>
      </w:r>
      <w:r w:rsidRPr="00B045DB">
        <w:tab/>
      </w:r>
      <w:r w:rsidR="00D24047" w:rsidRPr="00B045DB">
        <w:t>ECE/MP.EIA/IC/2022/7, par. 34.</w:t>
      </w:r>
    </w:p>
  </w:footnote>
  <w:footnote w:id="49">
    <w:p w14:paraId="085FB856" w14:textId="3979BE93" w:rsidR="00D24047" w:rsidRPr="00B045DB" w:rsidRDefault="001E39A4" w:rsidP="00DB0C25">
      <w:pPr>
        <w:pStyle w:val="Notedebasdepage"/>
      </w:pPr>
      <w:r w:rsidRPr="00B045DB">
        <w:tab/>
      </w:r>
      <w:r w:rsidR="00D24047" w:rsidRPr="00B045DB">
        <w:rPr>
          <w:rStyle w:val="Appelnotedebasdep"/>
        </w:rPr>
        <w:footnoteRef/>
      </w:r>
      <w:r w:rsidRPr="00B045DB">
        <w:tab/>
      </w:r>
      <w:r w:rsidR="00D24047" w:rsidRPr="00B045DB">
        <w:t>ECE/MP.EIA/IC/2023/10, par. 59.</w:t>
      </w:r>
    </w:p>
  </w:footnote>
  <w:footnote w:id="50">
    <w:p w14:paraId="5B2F778F" w14:textId="5C7B7486" w:rsidR="00D24047" w:rsidRPr="00B045DB" w:rsidRDefault="001E39A4" w:rsidP="00DB0C25">
      <w:pPr>
        <w:pStyle w:val="Notedebasdepage"/>
      </w:pPr>
      <w:r w:rsidRPr="00B045DB">
        <w:tab/>
      </w:r>
      <w:r w:rsidR="00D24047" w:rsidRPr="00B045DB">
        <w:rPr>
          <w:rStyle w:val="Appelnotedebasdep"/>
        </w:rPr>
        <w:footnoteRef/>
      </w:r>
      <w:r w:rsidRPr="00B045DB">
        <w:tab/>
      </w:r>
      <w:r w:rsidR="00D24047" w:rsidRPr="00B045DB">
        <w:t>Ibid., par. 41 et 60.</w:t>
      </w:r>
    </w:p>
  </w:footnote>
  <w:footnote w:id="51">
    <w:p w14:paraId="470A8B41" w14:textId="1775D3B8" w:rsidR="00D24047" w:rsidRPr="00B045DB" w:rsidRDefault="001E39A4" w:rsidP="00DB0C25">
      <w:pPr>
        <w:pStyle w:val="Notedebasdepage"/>
      </w:pPr>
      <w:r w:rsidRPr="00B045DB">
        <w:tab/>
      </w:r>
      <w:r w:rsidR="00D24047" w:rsidRPr="00B045DB">
        <w:rPr>
          <w:rStyle w:val="Appelnotedebasdep"/>
        </w:rPr>
        <w:footnoteRef/>
      </w:r>
      <w:r w:rsidRPr="00B045DB">
        <w:tab/>
      </w:r>
      <w:r w:rsidR="00D24047" w:rsidRPr="00B045DB">
        <w:t>Ibid., par. 61.</w:t>
      </w:r>
    </w:p>
  </w:footnote>
  <w:footnote w:id="52">
    <w:p w14:paraId="7A8D2270" w14:textId="05CD4254" w:rsidR="00D24047" w:rsidRPr="00027956" w:rsidRDefault="001E39A4" w:rsidP="00DB0C25">
      <w:pPr>
        <w:pStyle w:val="Notedebasdepage"/>
        <w:rPr>
          <w:lang w:val="es-ES"/>
        </w:rPr>
      </w:pPr>
      <w:r w:rsidRPr="00B045DB">
        <w:tab/>
      </w:r>
      <w:r w:rsidR="00D24047" w:rsidRPr="00B045DB">
        <w:rPr>
          <w:rStyle w:val="Appelnotedebasdep"/>
        </w:rPr>
        <w:footnoteRef/>
      </w:r>
      <w:r w:rsidRPr="00027956">
        <w:rPr>
          <w:lang w:val="es-ES"/>
        </w:rPr>
        <w:tab/>
      </w:r>
      <w:r w:rsidR="00D24047" w:rsidRPr="00027956">
        <w:rPr>
          <w:lang w:val="es-ES"/>
        </w:rPr>
        <w:t>ECE/MP.EIA/2023/7.</w:t>
      </w:r>
    </w:p>
  </w:footnote>
  <w:footnote w:id="53">
    <w:p w14:paraId="28BD009C" w14:textId="474A629D" w:rsidR="00D24047" w:rsidRPr="00027956" w:rsidRDefault="001E39A4"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lang w:val="es-ES"/>
        </w:rPr>
        <w:t>ECE/MP.EIA/IC/2023/6, par. 74.</w:t>
      </w:r>
    </w:p>
  </w:footnote>
  <w:footnote w:id="54">
    <w:p w14:paraId="75CD2C0C" w14:textId="6627292C" w:rsidR="00D24047" w:rsidRPr="00027956" w:rsidRDefault="001E39A4"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lang w:val="es-ES"/>
        </w:rPr>
        <w:t>ECE/MP.EIA/2023/7.</w:t>
      </w:r>
    </w:p>
  </w:footnote>
  <w:footnote w:id="55">
    <w:p w14:paraId="6BD15FE7" w14:textId="3E4A488A" w:rsidR="00D24047" w:rsidRPr="00027956" w:rsidRDefault="001E39A4" w:rsidP="00DB0C25">
      <w:pPr>
        <w:pStyle w:val="Notedebasdepage"/>
        <w:rPr>
          <w:lang w:val="es-ES"/>
        </w:rPr>
      </w:pPr>
      <w:r w:rsidRPr="00027956">
        <w:rPr>
          <w:lang w:val="es-ES"/>
        </w:rPr>
        <w:tab/>
      </w:r>
      <w:r w:rsidR="00D24047" w:rsidRPr="00B045DB">
        <w:rPr>
          <w:rStyle w:val="Appelnotedebasdep"/>
        </w:rPr>
        <w:footnoteRef/>
      </w:r>
      <w:r w:rsidR="00D24047" w:rsidRPr="00027956">
        <w:rPr>
          <w:lang w:val="es-ES"/>
        </w:rPr>
        <w:t xml:space="preserve"> </w:t>
      </w:r>
      <w:r w:rsidRPr="00027956">
        <w:rPr>
          <w:lang w:val="es-ES"/>
        </w:rPr>
        <w:tab/>
      </w:r>
      <w:r w:rsidR="00D24047" w:rsidRPr="00027956">
        <w:rPr>
          <w:lang w:val="es-ES"/>
        </w:rPr>
        <w:t>ECE/MP.EIA/IC/2022/4, par. 25.</w:t>
      </w:r>
    </w:p>
  </w:footnote>
  <w:footnote w:id="56">
    <w:p w14:paraId="284FD453" w14:textId="23B02FA0" w:rsidR="00D24047" w:rsidRPr="00027956" w:rsidRDefault="001E39A4"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lang w:val="es-ES"/>
        </w:rPr>
        <w:t>ECE/MP.EIA/IC/2022/7, par. 38.</w:t>
      </w:r>
    </w:p>
  </w:footnote>
  <w:footnote w:id="57">
    <w:p w14:paraId="72732898" w14:textId="545FD541" w:rsidR="00D24047" w:rsidRPr="00027956" w:rsidRDefault="006946C4"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lang w:val="es-ES"/>
        </w:rPr>
        <w:t>ECE/MP.EIA/IC/2023/11, par. 39.</w:t>
      </w:r>
    </w:p>
  </w:footnote>
  <w:footnote w:id="58">
    <w:p w14:paraId="46E94BE6" w14:textId="53C674BF" w:rsidR="00D24047" w:rsidRPr="00027956" w:rsidRDefault="006946C4"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lang w:val="es-ES"/>
        </w:rPr>
        <w:t>Ibid., par. 49.</w:t>
      </w:r>
    </w:p>
  </w:footnote>
  <w:footnote w:id="59">
    <w:p w14:paraId="7F1199FB" w14:textId="2A8525EC" w:rsidR="00D24047" w:rsidRPr="00B045DB" w:rsidRDefault="006946C4" w:rsidP="00DB0C25">
      <w:pPr>
        <w:pStyle w:val="Notedebasdepage"/>
      </w:pPr>
      <w:r w:rsidRPr="00027956">
        <w:rPr>
          <w:lang w:val="es-ES"/>
        </w:rPr>
        <w:tab/>
      </w:r>
      <w:r w:rsidR="00D24047" w:rsidRPr="00B045DB">
        <w:rPr>
          <w:rStyle w:val="Appelnotedebasdep"/>
        </w:rPr>
        <w:footnoteRef/>
      </w:r>
      <w:r w:rsidRPr="00B045DB">
        <w:tab/>
      </w:r>
      <w:r w:rsidR="00D24047" w:rsidRPr="00B045DB">
        <w:t>Ibid., par. 50 à 59.</w:t>
      </w:r>
    </w:p>
  </w:footnote>
  <w:footnote w:id="60">
    <w:p w14:paraId="69C96F54" w14:textId="42FFFD33" w:rsidR="00D24047" w:rsidRPr="00B045DB" w:rsidRDefault="006946C4" w:rsidP="00DB0C25">
      <w:pPr>
        <w:pStyle w:val="Notedebasdepage"/>
      </w:pPr>
      <w:r w:rsidRPr="00B045DB">
        <w:tab/>
      </w:r>
      <w:r w:rsidR="00D24047" w:rsidRPr="00B045DB">
        <w:rPr>
          <w:rStyle w:val="Appelnotedebasdep"/>
        </w:rPr>
        <w:footnoteRef/>
      </w:r>
      <w:r w:rsidRPr="00B045DB">
        <w:tab/>
      </w:r>
      <w:r w:rsidR="00D24047" w:rsidRPr="00B045DB">
        <w:t>ECE/MP.EIA/2023/7.</w:t>
      </w:r>
    </w:p>
  </w:footnote>
  <w:footnote w:id="61">
    <w:p w14:paraId="6FC0CF44" w14:textId="547BC442" w:rsidR="00D24047" w:rsidRPr="00B045DB" w:rsidRDefault="006946C4" w:rsidP="00DB0C25">
      <w:pPr>
        <w:pStyle w:val="Notedebasdepage"/>
      </w:pPr>
      <w:r w:rsidRPr="00B045DB">
        <w:tab/>
      </w:r>
      <w:r w:rsidR="00D24047" w:rsidRPr="00B045DB">
        <w:rPr>
          <w:rStyle w:val="Appelnotedebasdep"/>
        </w:rPr>
        <w:footnoteRef/>
      </w:r>
      <w:r w:rsidRPr="00B045DB">
        <w:tab/>
      </w:r>
      <w:r w:rsidR="00D24047" w:rsidRPr="00581917">
        <w:rPr>
          <w:rFonts w:eastAsia="Times New Roman"/>
          <w:spacing w:val="-2"/>
        </w:rPr>
        <w:t>Pour de plus amples informations sur les tranches, voir le tableau 4 du document ECE/MP.EIA/2020/4-</w:t>
      </w:r>
      <w:r w:rsidR="00581917">
        <w:rPr>
          <w:rFonts w:eastAsia="Times New Roman"/>
        </w:rPr>
        <w:t xml:space="preserve"> </w:t>
      </w:r>
      <w:r w:rsidR="00D24047" w:rsidRPr="00B045DB">
        <w:rPr>
          <w:rFonts w:eastAsia="Times New Roman"/>
        </w:rPr>
        <w:t>ECE/MP.EIA/SEA/2020/4.</w:t>
      </w:r>
    </w:p>
  </w:footnote>
  <w:footnote w:id="62">
    <w:p w14:paraId="6A08E303" w14:textId="24A44283" w:rsidR="00D24047" w:rsidRPr="00B045DB" w:rsidRDefault="006946C4" w:rsidP="00DB0C25">
      <w:pPr>
        <w:pStyle w:val="Notedebasdepage"/>
      </w:pPr>
      <w:r w:rsidRPr="00B045DB">
        <w:tab/>
      </w:r>
      <w:r w:rsidR="00D24047" w:rsidRPr="00B045DB">
        <w:rPr>
          <w:rStyle w:val="Appelnotedebasdep"/>
        </w:rPr>
        <w:footnoteRef/>
      </w:r>
      <w:r w:rsidRPr="00B045DB">
        <w:tab/>
      </w:r>
      <w:r w:rsidR="00D24047" w:rsidRPr="00B045DB">
        <w:t>ECE/MP.EIA/IC/2022/2, par. 45 et 46.</w:t>
      </w:r>
    </w:p>
  </w:footnote>
  <w:footnote w:id="63">
    <w:p w14:paraId="1859968E" w14:textId="071DBECE" w:rsidR="00D24047" w:rsidRPr="00B045DB" w:rsidRDefault="006946C4" w:rsidP="00DB0C25">
      <w:pPr>
        <w:pStyle w:val="Notedebasdepage"/>
      </w:pPr>
      <w:r w:rsidRPr="00B045DB">
        <w:tab/>
      </w:r>
      <w:r w:rsidR="00D24047" w:rsidRPr="00B045DB">
        <w:rPr>
          <w:rStyle w:val="Appelnotedebasdep"/>
        </w:rPr>
        <w:footnoteRef/>
      </w:r>
      <w:r w:rsidRPr="00B045DB">
        <w:tab/>
      </w:r>
      <w:r w:rsidR="00D24047" w:rsidRPr="00B045DB">
        <w:t>ECE/MP.EIA/IC/2023/8, par. 49 à 69.</w:t>
      </w:r>
    </w:p>
  </w:footnote>
  <w:footnote w:id="64">
    <w:p w14:paraId="3FF182A7" w14:textId="5F00415D" w:rsidR="00D24047" w:rsidRPr="00B045DB" w:rsidRDefault="006946C4" w:rsidP="00DB0C25">
      <w:pPr>
        <w:pStyle w:val="Notedebasdepage"/>
      </w:pPr>
      <w:r w:rsidRPr="00B045DB">
        <w:tab/>
      </w:r>
      <w:r w:rsidR="00D24047" w:rsidRPr="00B045DB">
        <w:rPr>
          <w:rStyle w:val="Appelnotedebasdep"/>
        </w:rPr>
        <w:footnoteRef/>
      </w:r>
      <w:r w:rsidRPr="00B045DB">
        <w:tab/>
      </w:r>
      <w:r w:rsidR="00D24047" w:rsidRPr="00B045DB">
        <w:t>Ibid., par. 27 à 29.</w:t>
      </w:r>
    </w:p>
  </w:footnote>
  <w:footnote w:id="65">
    <w:p w14:paraId="16F25C72" w14:textId="77EB8078" w:rsidR="00D24047" w:rsidRPr="00B045DB" w:rsidRDefault="006946C4" w:rsidP="00DB0C25">
      <w:pPr>
        <w:pStyle w:val="Notedebasdepage"/>
      </w:pPr>
      <w:r w:rsidRPr="00B045DB">
        <w:tab/>
      </w:r>
      <w:r w:rsidR="00D24047" w:rsidRPr="00B045DB">
        <w:rPr>
          <w:rStyle w:val="Appelnotedebasdep"/>
        </w:rPr>
        <w:footnoteRef/>
      </w:r>
      <w:r w:rsidRPr="00B045DB">
        <w:tab/>
      </w:r>
      <w:r w:rsidR="00D24047" w:rsidRPr="00B045DB">
        <w:t>ECE/MP.EIA/IC/2014/5, par.</w:t>
      </w:r>
      <w:r w:rsidR="008F158B">
        <w:t xml:space="preserve"> </w:t>
      </w:r>
      <w:r w:rsidR="00D24047" w:rsidRPr="00B045DB">
        <w:t>6</w:t>
      </w:r>
      <w:r w:rsidR="008F158B">
        <w:t>.</w:t>
      </w:r>
    </w:p>
  </w:footnote>
  <w:footnote w:id="66">
    <w:p w14:paraId="769943FD" w14:textId="2F256558" w:rsidR="00D24047" w:rsidRPr="00027956" w:rsidRDefault="006946C4" w:rsidP="00DB0C25">
      <w:pPr>
        <w:pStyle w:val="Notedebasdepage"/>
        <w:rPr>
          <w:lang w:val="es-ES"/>
        </w:rPr>
      </w:pPr>
      <w:r w:rsidRPr="00B045DB">
        <w:tab/>
      </w:r>
      <w:r w:rsidR="00D24047" w:rsidRPr="00B045DB">
        <w:rPr>
          <w:rStyle w:val="Appelnotedebasdep"/>
        </w:rPr>
        <w:footnoteRef/>
      </w:r>
      <w:r w:rsidRPr="00027956">
        <w:rPr>
          <w:lang w:val="es-ES"/>
        </w:rPr>
        <w:tab/>
      </w:r>
      <w:r w:rsidR="00D24047" w:rsidRPr="00027956">
        <w:rPr>
          <w:lang w:val="es-ES"/>
        </w:rPr>
        <w:t>ECE/MP.EIA/IC/2019/6, par. 97.</w:t>
      </w:r>
    </w:p>
  </w:footnote>
  <w:footnote w:id="67">
    <w:p w14:paraId="4C77CE86" w14:textId="75B4C4FD" w:rsidR="00D24047" w:rsidRPr="00027956" w:rsidRDefault="001346C5"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lang w:val="es-ES"/>
        </w:rPr>
        <w:t>ECE/MP.EIA/IC/2022/5.</w:t>
      </w:r>
    </w:p>
  </w:footnote>
  <w:footnote w:id="68">
    <w:p w14:paraId="2B3ACBB7" w14:textId="4B1D5CF9" w:rsidR="00D24047" w:rsidRPr="00027956" w:rsidRDefault="001346C5"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lang w:val="es-ES"/>
        </w:rPr>
        <w:t>ECE/MP.EIA/SEA/2023/7.</w:t>
      </w:r>
    </w:p>
  </w:footnote>
  <w:footnote w:id="69">
    <w:p w14:paraId="3CB1BFCE" w14:textId="42147058" w:rsidR="00D24047" w:rsidRPr="00027956" w:rsidRDefault="00B71DDA"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lang w:val="es-ES"/>
        </w:rPr>
        <w:t>ECE/MP.EIA/IC/2021/4, par. 37.</w:t>
      </w:r>
    </w:p>
  </w:footnote>
  <w:footnote w:id="70">
    <w:p w14:paraId="57D105B4" w14:textId="5C5671E6" w:rsidR="00D24047" w:rsidRPr="00B045DB" w:rsidRDefault="00B71DDA" w:rsidP="00DB0C25">
      <w:pPr>
        <w:pStyle w:val="Notedebasdepage"/>
      </w:pPr>
      <w:r w:rsidRPr="00027956">
        <w:rPr>
          <w:lang w:val="es-ES"/>
        </w:rPr>
        <w:tab/>
      </w:r>
      <w:r w:rsidR="00D24047" w:rsidRPr="00B045DB">
        <w:rPr>
          <w:rStyle w:val="Appelnotedebasdep"/>
        </w:rPr>
        <w:footnoteRef/>
      </w:r>
      <w:r w:rsidRPr="00B045DB">
        <w:tab/>
      </w:r>
      <w:r w:rsidR="00D24047" w:rsidRPr="00B045DB">
        <w:t>ECE/MP.EIA/IC/2021/4, par. 38.</w:t>
      </w:r>
    </w:p>
  </w:footnote>
  <w:footnote w:id="71">
    <w:p w14:paraId="611D580F" w14:textId="0E3412CC" w:rsidR="00D24047" w:rsidRPr="00B045DB" w:rsidRDefault="00B71DDA" w:rsidP="00DB0C25">
      <w:pPr>
        <w:pStyle w:val="Notedebasdepage"/>
      </w:pPr>
      <w:r w:rsidRPr="00B045DB">
        <w:tab/>
      </w:r>
      <w:r w:rsidR="00D24047" w:rsidRPr="00B045DB">
        <w:rPr>
          <w:rStyle w:val="Appelnotedebasdep"/>
        </w:rPr>
        <w:footnoteRef/>
      </w:r>
      <w:r w:rsidRPr="00B045DB">
        <w:tab/>
      </w:r>
      <w:r w:rsidR="00D24047" w:rsidRPr="00B045DB">
        <w:t>Ibid., par. 40 à 42.</w:t>
      </w:r>
    </w:p>
  </w:footnote>
  <w:footnote w:id="72">
    <w:p w14:paraId="43E3C0A9" w14:textId="58D6E9C4" w:rsidR="00D24047" w:rsidRPr="00B045DB" w:rsidRDefault="00B71DDA" w:rsidP="00DB0C25">
      <w:pPr>
        <w:pStyle w:val="Notedebasdepage"/>
      </w:pPr>
      <w:r w:rsidRPr="00B045DB">
        <w:tab/>
      </w:r>
      <w:r w:rsidR="00D24047" w:rsidRPr="00B045DB">
        <w:rPr>
          <w:rStyle w:val="Appelnotedebasdep"/>
        </w:rPr>
        <w:footnoteRef/>
      </w:r>
      <w:r w:rsidRPr="00B045DB">
        <w:tab/>
      </w:r>
      <w:r w:rsidR="00D24047" w:rsidRPr="00B045DB">
        <w:t>ECE/MP.EIA/IC/2021/6, par. 50 et 51.</w:t>
      </w:r>
    </w:p>
  </w:footnote>
  <w:footnote w:id="73">
    <w:p w14:paraId="558184FA" w14:textId="00D38FB4" w:rsidR="00D24047" w:rsidRPr="00B045DB" w:rsidRDefault="00B71DDA" w:rsidP="00DB0C25">
      <w:pPr>
        <w:pStyle w:val="Notedebasdepage"/>
      </w:pPr>
      <w:r w:rsidRPr="00B045DB">
        <w:tab/>
      </w:r>
      <w:r w:rsidR="00D24047" w:rsidRPr="00B045DB">
        <w:rPr>
          <w:rStyle w:val="Appelnotedebasdep"/>
        </w:rPr>
        <w:footnoteRef/>
      </w:r>
      <w:r w:rsidRPr="00B045DB">
        <w:tab/>
      </w:r>
      <w:r w:rsidR="00D24047" w:rsidRPr="00B045DB">
        <w:t>ECE/MP.EIA/IC/2023/8, par. 76.</w:t>
      </w:r>
    </w:p>
  </w:footnote>
  <w:footnote w:id="74">
    <w:p w14:paraId="31F3333F" w14:textId="2C468E6C" w:rsidR="00D24047" w:rsidRPr="00B045DB" w:rsidRDefault="00B71DDA" w:rsidP="00DB0C25">
      <w:pPr>
        <w:pStyle w:val="Notedebasdepage"/>
      </w:pPr>
      <w:r w:rsidRPr="00B045DB">
        <w:tab/>
      </w:r>
      <w:r w:rsidR="00D24047" w:rsidRPr="00B045DB">
        <w:rPr>
          <w:rStyle w:val="Appelnotedebasdep"/>
        </w:rPr>
        <w:footnoteRef/>
      </w:r>
      <w:r w:rsidRPr="00B045DB">
        <w:tab/>
      </w:r>
      <w:r w:rsidR="00D24047" w:rsidRPr="00B045DB">
        <w:t>ECE/MP.EIA/IC/2021/2, par. 54 et 55.</w:t>
      </w:r>
    </w:p>
  </w:footnote>
  <w:footnote w:id="75">
    <w:p w14:paraId="13BAB407" w14:textId="0D4D8EAF" w:rsidR="00D24047" w:rsidRPr="00B045DB" w:rsidRDefault="00B71DDA" w:rsidP="00DB0C25">
      <w:pPr>
        <w:pStyle w:val="Notedebasdepage"/>
      </w:pPr>
      <w:r w:rsidRPr="00B045DB">
        <w:tab/>
      </w:r>
      <w:r w:rsidR="00D24047" w:rsidRPr="00B045DB">
        <w:rPr>
          <w:rStyle w:val="Appelnotedebasdep"/>
        </w:rPr>
        <w:footnoteRef/>
      </w:r>
      <w:r w:rsidRPr="00B045DB">
        <w:tab/>
      </w:r>
      <w:r w:rsidR="00D24047" w:rsidRPr="00B045DB">
        <w:t>ECE/MP.EIA/IC/2023/8, par. 70 à 72.</w:t>
      </w:r>
    </w:p>
  </w:footnote>
  <w:footnote w:id="76">
    <w:p w14:paraId="7C993746" w14:textId="67E9FB10" w:rsidR="00D24047" w:rsidRPr="00B045DB" w:rsidRDefault="00B71DDA" w:rsidP="00DB0C25">
      <w:pPr>
        <w:pStyle w:val="Notedebasdepage"/>
      </w:pPr>
      <w:r w:rsidRPr="00B045DB">
        <w:tab/>
      </w:r>
      <w:r w:rsidR="00D24047" w:rsidRPr="00B045DB">
        <w:rPr>
          <w:rStyle w:val="Appelnotedebasdep"/>
        </w:rPr>
        <w:footnoteRef/>
      </w:r>
      <w:r w:rsidRPr="00B045DB">
        <w:tab/>
      </w:r>
      <w:r w:rsidR="00D24047" w:rsidRPr="00B045DB">
        <w:t>Situations 1 et 2, respectivement, par. 25 et 27.</w:t>
      </w:r>
    </w:p>
  </w:footnote>
  <w:footnote w:id="77">
    <w:p w14:paraId="6714D3C6" w14:textId="4DD2458C" w:rsidR="00D24047" w:rsidRPr="00B045DB" w:rsidRDefault="00B71DDA" w:rsidP="00DB0C25">
      <w:pPr>
        <w:pStyle w:val="Notedebasdepage"/>
      </w:pPr>
      <w:r w:rsidRPr="00B045DB">
        <w:tab/>
      </w:r>
      <w:r w:rsidR="00D24047" w:rsidRPr="00B045DB">
        <w:rPr>
          <w:rStyle w:val="Appelnotedebasdep"/>
        </w:rPr>
        <w:footnoteRef/>
      </w:r>
      <w:r w:rsidRPr="00B045DB">
        <w:tab/>
      </w:r>
      <w:r w:rsidR="00D24047" w:rsidRPr="00B045DB">
        <w:t>ECE/MP.EIA/IC/2023/8, par. 40 à 48.</w:t>
      </w:r>
    </w:p>
  </w:footnote>
  <w:footnote w:id="78">
    <w:p w14:paraId="07B75982" w14:textId="18B61C8B" w:rsidR="00D24047" w:rsidRPr="00B045DB" w:rsidRDefault="00B71DDA" w:rsidP="00DB0C25">
      <w:pPr>
        <w:pStyle w:val="Notedebasdepage"/>
      </w:pPr>
      <w:r w:rsidRPr="00B045DB">
        <w:tab/>
      </w:r>
      <w:r w:rsidR="00D24047" w:rsidRPr="00B045DB">
        <w:rPr>
          <w:rStyle w:val="Appelnotedebasdep"/>
        </w:rPr>
        <w:footnoteRef/>
      </w:r>
      <w:r w:rsidRPr="00B045DB">
        <w:tab/>
      </w:r>
      <w:r w:rsidR="00D24047" w:rsidRPr="00B045DB">
        <w:t>ECE/MP.EIA/IC/2023/8, par. 73 à 75.</w:t>
      </w:r>
    </w:p>
  </w:footnote>
  <w:footnote w:id="79">
    <w:p w14:paraId="0D1A5BCD" w14:textId="1D71C090" w:rsidR="00D24047" w:rsidRPr="00B045DB" w:rsidRDefault="00B71DDA" w:rsidP="00DB0C25">
      <w:pPr>
        <w:pStyle w:val="Notedebasdepage"/>
      </w:pPr>
      <w:r w:rsidRPr="00B045DB">
        <w:tab/>
      </w:r>
      <w:r w:rsidR="00D24047" w:rsidRPr="00B045DB">
        <w:rPr>
          <w:rStyle w:val="Appelnotedebasdep"/>
        </w:rPr>
        <w:footnoteRef/>
      </w:r>
      <w:r w:rsidRPr="00B045DB">
        <w:tab/>
      </w:r>
      <w:r w:rsidR="00D24047" w:rsidRPr="00B045DB">
        <w:t>ECE/MP.EIA/IC/2022/7, par. 47 à 51.</w:t>
      </w:r>
    </w:p>
  </w:footnote>
  <w:footnote w:id="80">
    <w:p w14:paraId="11D315C5" w14:textId="16460EE5" w:rsidR="00D24047" w:rsidRPr="00B045DB" w:rsidRDefault="00B71DDA" w:rsidP="00DB0C25">
      <w:pPr>
        <w:pStyle w:val="Notedebasdepage"/>
      </w:pPr>
      <w:r w:rsidRPr="00B045DB">
        <w:tab/>
      </w:r>
      <w:r w:rsidR="00D24047" w:rsidRPr="00B045DB">
        <w:rPr>
          <w:rStyle w:val="Appelnotedebasdep"/>
        </w:rPr>
        <w:footnoteRef/>
      </w:r>
      <w:r w:rsidRPr="00B045DB">
        <w:tab/>
      </w:r>
      <w:r w:rsidR="00D24047" w:rsidRPr="00B045DB">
        <w:t>ECE/MP.EIA/IC/2021/4, par. 45 à 49.</w:t>
      </w:r>
    </w:p>
  </w:footnote>
  <w:footnote w:id="81">
    <w:p w14:paraId="3D851044" w14:textId="513BFB55" w:rsidR="00D24047" w:rsidRPr="00B045DB" w:rsidRDefault="00B71DDA" w:rsidP="00DB0C25">
      <w:pPr>
        <w:pStyle w:val="Notedebasdepage"/>
      </w:pPr>
      <w:r w:rsidRPr="00B045DB">
        <w:tab/>
      </w:r>
      <w:r w:rsidR="00D24047" w:rsidRPr="00B045DB">
        <w:rPr>
          <w:rStyle w:val="Appelnotedebasdep"/>
        </w:rPr>
        <w:footnoteRef/>
      </w:r>
      <w:r w:rsidRPr="00B045DB">
        <w:tab/>
      </w:r>
      <w:r w:rsidR="00D24047" w:rsidRPr="00B045DB">
        <w:t>ECE/MP.EIA/IC/2023/4, par. 82 à 85.</w:t>
      </w:r>
    </w:p>
  </w:footnote>
  <w:footnote w:id="82">
    <w:p w14:paraId="34CDC616" w14:textId="0525D010" w:rsidR="00D24047" w:rsidRPr="00B045DB" w:rsidRDefault="00B71DDA" w:rsidP="00DB0C25">
      <w:pPr>
        <w:pStyle w:val="Notedebasdepage"/>
      </w:pPr>
      <w:r w:rsidRPr="00B045DB">
        <w:tab/>
      </w:r>
      <w:r w:rsidR="00D24047" w:rsidRPr="00B045DB">
        <w:rPr>
          <w:rStyle w:val="Appelnotedebasdep"/>
        </w:rPr>
        <w:footnoteRef/>
      </w:r>
      <w:r w:rsidRPr="00B045DB">
        <w:tab/>
      </w:r>
      <w:r w:rsidR="00D24047" w:rsidRPr="00B045DB">
        <w:t>ECE/MP.EIA/IC/2021/6, par. 53 à 55.</w:t>
      </w:r>
    </w:p>
  </w:footnote>
  <w:footnote w:id="83">
    <w:p w14:paraId="716BD6DB" w14:textId="16ABA3AC" w:rsidR="00D24047" w:rsidRPr="00B045DB" w:rsidRDefault="00B71DDA" w:rsidP="00DB0C25">
      <w:pPr>
        <w:pStyle w:val="Notedebasdepage"/>
      </w:pPr>
      <w:r w:rsidRPr="00B045DB">
        <w:tab/>
      </w:r>
      <w:r w:rsidR="00D24047" w:rsidRPr="00B045DB">
        <w:rPr>
          <w:rStyle w:val="Appelnotedebasdep"/>
        </w:rPr>
        <w:footnoteRef/>
      </w:r>
      <w:r w:rsidRPr="00B045DB">
        <w:tab/>
      </w:r>
      <w:r w:rsidR="00D24047" w:rsidRPr="00B045DB">
        <w:t>ECE/MP.EIA/IC/2023/4, par. 91.</w:t>
      </w:r>
    </w:p>
  </w:footnote>
  <w:footnote w:id="84">
    <w:p w14:paraId="1CABFB85" w14:textId="51B2B741" w:rsidR="00D24047" w:rsidRPr="00B045DB" w:rsidRDefault="00B71DDA" w:rsidP="00DB0C25">
      <w:pPr>
        <w:pStyle w:val="Notedebasdepage"/>
      </w:pPr>
      <w:r w:rsidRPr="00B045DB">
        <w:tab/>
      </w:r>
      <w:r w:rsidR="00D24047" w:rsidRPr="00B045DB">
        <w:rPr>
          <w:rStyle w:val="Appelnotedebasdep"/>
        </w:rPr>
        <w:footnoteRef/>
      </w:r>
      <w:r w:rsidRPr="00B045DB">
        <w:tab/>
      </w:r>
      <w:r w:rsidR="00D24047" w:rsidRPr="00B045DB">
        <w:t>ECE/MP.EIA/IC/2022/7, par. 52 à 54.</w:t>
      </w:r>
    </w:p>
  </w:footnote>
  <w:footnote w:id="85">
    <w:p w14:paraId="10DACF8C" w14:textId="1B50B3EA" w:rsidR="00D24047" w:rsidRPr="00B045DB" w:rsidRDefault="00B71DDA" w:rsidP="00DB0C25">
      <w:pPr>
        <w:pStyle w:val="Notedebasdepage"/>
      </w:pPr>
      <w:r w:rsidRPr="00B045DB">
        <w:tab/>
      </w:r>
      <w:r w:rsidR="00D24047" w:rsidRPr="00B045DB">
        <w:rPr>
          <w:rStyle w:val="Appelnotedebasdep"/>
        </w:rPr>
        <w:footnoteRef/>
      </w:r>
      <w:r w:rsidRPr="00B045DB">
        <w:tab/>
      </w:r>
      <w:r w:rsidR="00D24047" w:rsidRPr="00B045DB">
        <w:rPr>
          <w:szCs w:val="18"/>
        </w:rPr>
        <w:t>ECE/MP.EIA/IC/2022/4, par. 36 à 44.</w:t>
      </w:r>
    </w:p>
  </w:footnote>
  <w:footnote w:id="86">
    <w:p w14:paraId="2EC94668" w14:textId="11942D6D" w:rsidR="00D24047" w:rsidRPr="00B045DB" w:rsidRDefault="00B71DDA" w:rsidP="00DB0C25">
      <w:pPr>
        <w:pStyle w:val="Notedebasdepage"/>
      </w:pPr>
      <w:r w:rsidRPr="00B045DB">
        <w:tab/>
      </w:r>
      <w:r w:rsidR="00D24047" w:rsidRPr="00B045DB">
        <w:rPr>
          <w:rStyle w:val="Appelnotedebasdep"/>
        </w:rPr>
        <w:footnoteRef/>
      </w:r>
      <w:r w:rsidRPr="00B045DB">
        <w:tab/>
      </w:r>
      <w:r w:rsidR="00D24047" w:rsidRPr="00B045DB">
        <w:t xml:space="preserve">Publication des Nations Unies </w:t>
      </w:r>
      <w:r w:rsidR="00D24047" w:rsidRPr="00B045DB">
        <w:rPr>
          <w:rFonts w:eastAsia="Calibri"/>
        </w:rPr>
        <w:t>ECE/MP.EIA/32.</w:t>
      </w:r>
    </w:p>
  </w:footnote>
  <w:footnote w:id="87">
    <w:p w14:paraId="385EB454" w14:textId="1E49E51C" w:rsidR="00D24047" w:rsidRPr="00B045DB" w:rsidRDefault="00B71DDA" w:rsidP="00DB0C25">
      <w:pPr>
        <w:pStyle w:val="Notedebasdepage"/>
      </w:pPr>
      <w:r w:rsidRPr="00B045DB">
        <w:tab/>
      </w:r>
      <w:r w:rsidR="00D24047" w:rsidRPr="00B045DB">
        <w:rPr>
          <w:rStyle w:val="Appelnotedebasdep"/>
        </w:rPr>
        <w:footnoteRef/>
      </w:r>
      <w:r w:rsidRPr="00B045DB">
        <w:tab/>
      </w:r>
      <w:r w:rsidR="00D24047" w:rsidRPr="00B045DB">
        <w:t xml:space="preserve">Publication des Nations Unies </w:t>
      </w:r>
      <w:r w:rsidR="00D24047" w:rsidRPr="00B045DB">
        <w:rPr>
          <w:rFonts w:eastAsia="Calibri"/>
        </w:rPr>
        <w:t>ECE/MP.EIA/SEA/14.</w:t>
      </w:r>
    </w:p>
  </w:footnote>
  <w:footnote w:id="88">
    <w:p w14:paraId="3023DC2B" w14:textId="21BFB8FE" w:rsidR="00D24047" w:rsidRPr="00B045DB" w:rsidRDefault="00514E0A" w:rsidP="00DB0C25">
      <w:pPr>
        <w:pStyle w:val="Notedebasdepage"/>
      </w:pPr>
      <w:r w:rsidRPr="00B045DB">
        <w:tab/>
      </w:r>
      <w:r w:rsidR="00D24047" w:rsidRPr="00B045DB">
        <w:rPr>
          <w:rStyle w:val="Appelnotedebasdep"/>
        </w:rPr>
        <w:footnoteRef/>
      </w:r>
      <w:r w:rsidRPr="00B045DB">
        <w:tab/>
      </w:r>
      <w:r w:rsidR="00D24047" w:rsidRPr="00B045DB">
        <w:t>Décisions VIII/5, par. 5, et IV/5, par. 5.</w:t>
      </w:r>
    </w:p>
  </w:footnote>
  <w:footnote w:id="89">
    <w:p w14:paraId="3483A1D2" w14:textId="061C7DDB" w:rsidR="00D24047" w:rsidRPr="00C26F91" w:rsidRDefault="00514E0A" w:rsidP="00DB0C25">
      <w:pPr>
        <w:pStyle w:val="Notedebasdepage"/>
        <w:rPr>
          <w:lang w:val="en-US"/>
        </w:rPr>
      </w:pPr>
      <w:r w:rsidRPr="00B045DB">
        <w:tab/>
      </w:r>
      <w:r w:rsidR="00D24047" w:rsidRPr="00B045DB">
        <w:rPr>
          <w:rStyle w:val="Appelnotedebasdep"/>
        </w:rPr>
        <w:footnoteRef/>
      </w:r>
      <w:r w:rsidR="00C26F91" w:rsidRPr="00C26F91">
        <w:rPr>
          <w:lang w:val="en-US"/>
        </w:rPr>
        <w:tab/>
      </w:r>
      <w:r w:rsidR="00D24047" w:rsidRPr="00C26F91">
        <w:rPr>
          <w:lang w:val="en-US"/>
        </w:rPr>
        <w:t xml:space="preserve">Disponible à </w:t>
      </w:r>
      <w:proofErr w:type="spellStart"/>
      <w:r w:rsidR="00D24047" w:rsidRPr="00C26F91">
        <w:rPr>
          <w:lang w:val="en-US"/>
        </w:rPr>
        <w:t>l</w:t>
      </w:r>
      <w:r w:rsidR="003B2315" w:rsidRPr="00C26F91">
        <w:rPr>
          <w:lang w:val="en-US"/>
        </w:rPr>
        <w:t>’</w:t>
      </w:r>
      <w:r w:rsidR="00D24047" w:rsidRPr="00C26F91">
        <w:rPr>
          <w:lang w:val="en-US"/>
        </w:rPr>
        <w:t>adresse</w:t>
      </w:r>
      <w:proofErr w:type="spellEnd"/>
      <w:r w:rsidR="00D24047" w:rsidRPr="00C26F91">
        <w:rPr>
          <w:lang w:val="en-US"/>
        </w:rPr>
        <w:t xml:space="preserve"> </w:t>
      </w:r>
      <w:hyperlink r:id="rId7" w:history="1">
        <w:r w:rsidRPr="00C26F91">
          <w:rPr>
            <w:rStyle w:val="Lienhypertexte"/>
            <w:lang w:val="en-US"/>
          </w:rPr>
          <w:t>https://unece.org/sites/default/files/2021-02/Decision_VIII-2_IV-2_ Adoption_of_the_workplan.pdf</w:t>
        </w:r>
      </w:hyperlink>
      <w:r w:rsidR="00D24047" w:rsidRPr="00C26F91">
        <w:rPr>
          <w:lang w:val="en-US"/>
        </w:rPr>
        <w:t>.</w:t>
      </w:r>
    </w:p>
  </w:footnote>
  <w:footnote w:id="90">
    <w:p w14:paraId="1551C4E4" w14:textId="349FD213" w:rsidR="00D24047" w:rsidRPr="00B045DB" w:rsidRDefault="00514E0A" w:rsidP="00DB0C25">
      <w:pPr>
        <w:pStyle w:val="Notedebasdepage"/>
      </w:pPr>
      <w:r w:rsidRPr="00C26F91">
        <w:rPr>
          <w:lang w:val="en-US"/>
        </w:rPr>
        <w:tab/>
      </w:r>
      <w:r w:rsidR="00D24047" w:rsidRPr="00B045DB">
        <w:rPr>
          <w:rStyle w:val="Appelnotedebasdep"/>
        </w:rPr>
        <w:footnoteRef/>
      </w:r>
      <w:r w:rsidRPr="00B045DB">
        <w:tab/>
      </w:r>
      <w:r w:rsidR="00D24047" w:rsidRPr="00B045DB">
        <w:t>ECE/MP.EIA/WG.2/2021/2, par. 13.</w:t>
      </w:r>
    </w:p>
  </w:footnote>
  <w:footnote w:id="91">
    <w:p w14:paraId="7CFB0ACF" w14:textId="729ED00B" w:rsidR="00D24047" w:rsidRPr="00B045DB" w:rsidRDefault="00514E0A" w:rsidP="00DB0C25">
      <w:pPr>
        <w:pStyle w:val="Notedebasdepage"/>
      </w:pPr>
      <w:r w:rsidRPr="00B045DB">
        <w:tab/>
      </w:r>
      <w:r w:rsidR="00D24047" w:rsidRPr="00B045DB">
        <w:rPr>
          <w:rStyle w:val="Appelnotedebasdep"/>
        </w:rPr>
        <w:footnoteRef/>
      </w:r>
      <w:r w:rsidRPr="00B045DB">
        <w:tab/>
      </w:r>
      <w:r w:rsidR="00D24047" w:rsidRPr="00B045DB">
        <w:t>Ibid., par.</w:t>
      </w:r>
      <w:r w:rsidRPr="00B045DB">
        <w:t xml:space="preserve"> </w:t>
      </w:r>
      <w:r w:rsidR="00D24047" w:rsidRPr="00B045DB">
        <w:t>15.</w:t>
      </w:r>
    </w:p>
  </w:footnote>
  <w:footnote w:id="92">
    <w:p w14:paraId="45DA98F1" w14:textId="06E7FB56" w:rsidR="00D24047" w:rsidRPr="00027956" w:rsidRDefault="00514E0A" w:rsidP="00DB0C25">
      <w:pPr>
        <w:pStyle w:val="Notedebasdepage"/>
        <w:rPr>
          <w:lang w:val="es-ES"/>
        </w:rPr>
      </w:pPr>
      <w:r w:rsidRPr="00B045DB">
        <w:tab/>
      </w:r>
      <w:r w:rsidR="00D24047" w:rsidRPr="00B045DB">
        <w:rPr>
          <w:rStyle w:val="Appelnotedebasdep"/>
        </w:rPr>
        <w:footnoteRef/>
      </w:r>
      <w:r w:rsidRPr="00027956">
        <w:rPr>
          <w:lang w:val="es-ES"/>
        </w:rPr>
        <w:tab/>
      </w:r>
      <w:r w:rsidR="00D24047" w:rsidRPr="00027956">
        <w:rPr>
          <w:lang w:val="es-ES"/>
        </w:rPr>
        <w:t>ECE/MP.EIA/2023/10</w:t>
      </w:r>
      <w:r w:rsidRPr="00027956">
        <w:rPr>
          <w:lang w:val="es-ES"/>
        </w:rPr>
        <w:noBreakHyphen/>
      </w:r>
      <w:r w:rsidR="00D24047" w:rsidRPr="00027956">
        <w:rPr>
          <w:lang w:val="es-ES"/>
        </w:rPr>
        <w:t>ECE/MP.EIA/SEA/2023/6.</w:t>
      </w:r>
    </w:p>
  </w:footnote>
  <w:footnote w:id="93">
    <w:p w14:paraId="61E1F296" w14:textId="795B1011" w:rsidR="00D24047" w:rsidRPr="00027956" w:rsidRDefault="005D7E22" w:rsidP="00DB0C25">
      <w:pPr>
        <w:pStyle w:val="Notedebasdepage"/>
        <w:rPr>
          <w:lang w:val="es-ES"/>
        </w:rPr>
      </w:pPr>
      <w:r w:rsidRPr="00027956">
        <w:rPr>
          <w:lang w:val="es-ES"/>
        </w:rPr>
        <w:tab/>
      </w:r>
      <w:r w:rsidR="00D24047" w:rsidRPr="00B045DB">
        <w:rPr>
          <w:rStyle w:val="Appelnotedebasdep"/>
        </w:rPr>
        <w:footnoteRef/>
      </w:r>
      <w:r w:rsidRPr="00027956">
        <w:rPr>
          <w:lang w:val="es-ES"/>
        </w:rPr>
        <w:tab/>
      </w:r>
      <w:r w:rsidR="00D24047" w:rsidRPr="00027956">
        <w:rPr>
          <w:rFonts w:eastAsia="Calibri"/>
          <w:szCs w:val="18"/>
          <w:lang w:val="es-ES"/>
        </w:rPr>
        <w:t>ECE/MP.EIA/2023/5</w:t>
      </w:r>
      <w:r w:rsidR="000957F9" w:rsidRPr="00027956">
        <w:rPr>
          <w:rFonts w:eastAsia="Calibri"/>
          <w:szCs w:val="18"/>
          <w:lang w:val="es-ES"/>
        </w:rPr>
        <w:noBreakHyphen/>
      </w:r>
      <w:r w:rsidR="00D24047" w:rsidRPr="00027956">
        <w:rPr>
          <w:rFonts w:eastAsia="Calibri"/>
          <w:szCs w:val="18"/>
          <w:lang w:val="es-ES"/>
        </w:rPr>
        <w:t>ECE/MP.EIA/SEA/2023/5.</w:t>
      </w:r>
    </w:p>
  </w:footnote>
  <w:footnote w:id="94">
    <w:p w14:paraId="70ED6CB7" w14:textId="69E95999" w:rsidR="00D24047" w:rsidRPr="00B045DB" w:rsidRDefault="005D7E22" w:rsidP="00DB0C25">
      <w:pPr>
        <w:pStyle w:val="Notedebasdepage"/>
      </w:pPr>
      <w:r w:rsidRPr="00027956">
        <w:rPr>
          <w:lang w:val="es-ES"/>
        </w:rPr>
        <w:tab/>
      </w:r>
      <w:r w:rsidR="00D24047" w:rsidRPr="00B045DB">
        <w:rPr>
          <w:rStyle w:val="Appelnotedebasdep"/>
        </w:rPr>
        <w:footnoteRef/>
      </w:r>
      <w:r w:rsidRPr="00B045DB">
        <w:tab/>
      </w:r>
      <w:r w:rsidR="00D24047" w:rsidRPr="00B045DB">
        <w:t>ECE/MP.EIA/IC/2021/6, par. 56 à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0B5D" w14:textId="61C4142E" w:rsidR="00D24047" w:rsidRPr="00D24047" w:rsidRDefault="00D24047">
    <w:pPr>
      <w:pStyle w:val="En-tte"/>
      <w:rPr>
        <w:lang w:val="es-ES"/>
      </w:rPr>
    </w:pPr>
    <w:r>
      <w:fldChar w:fldCharType="begin"/>
    </w:r>
    <w:r w:rsidRPr="00D24047">
      <w:rPr>
        <w:lang w:val="es-ES"/>
      </w:rPr>
      <w:instrText xml:space="preserve"> TITLE  \* MERGEFORMAT </w:instrText>
    </w:r>
    <w:r>
      <w:fldChar w:fldCharType="separate"/>
    </w:r>
    <w:r w:rsidR="00410C8F">
      <w:rPr>
        <w:lang w:val="es-ES"/>
      </w:rPr>
      <w:t>ECE/MP.EIA/2023/13</w:t>
    </w:r>
    <w:r>
      <w:fldChar w:fldCharType="end"/>
    </w:r>
    <w:r w:rsidRPr="00D24047">
      <w:rPr>
        <w:lang w:val="es-ES"/>
      </w:rPr>
      <w:br/>
    </w:r>
    <w:r>
      <w:fldChar w:fldCharType="begin"/>
    </w:r>
    <w:r w:rsidRPr="00D24047">
      <w:rPr>
        <w:lang w:val="es-ES"/>
      </w:rPr>
      <w:instrText xml:space="preserve"> KEYWORDS  \* MERGEFORMAT </w:instrText>
    </w:r>
    <w:r>
      <w:fldChar w:fldCharType="separate"/>
    </w:r>
    <w:r w:rsidR="00410C8F">
      <w:rPr>
        <w:lang w:val="es-ES"/>
      </w:rPr>
      <w:t>ECE/MP.EIA/SEA/2023/13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29A7" w14:textId="3D6418E8" w:rsidR="00D24047" w:rsidRPr="00D24047" w:rsidRDefault="00D24047" w:rsidP="00D24047">
    <w:pPr>
      <w:pStyle w:val="En-tte"/>
      <w:jc w:val="right"/>
      <w:rPr>
        <w:lang w:val="es-ES"/>
      </w:rPr>
    </w:pPr>
    <w:r>
      <w:fldChar w:fldCharType="begin"/>
    </w:r>
    <w:r w:rsidRPr="00D24047">
      <w:rPr>
        <w:lang w:val="es-ES"/>
      </w:rPr>
      <w:instrText xml:space="preserve"> TITLE  \* MERGEFORMAT </w:instrText>
    </w:r>
    <w:r>
      <w:fldChar w:fldCharType="separate"/>
    </w:r>
    <w:r w:rsidR="00410C8F">
      <w:rPr>
        <w:lang w:val="es-ES"/>
      </w:rPr>
      <w:t>ECE/MP.EIA/2023/13</w:t>
    </w:r>
    <w:r>
      <w:fldChar w:fldCharType="end"/>
    </w:r>
    <w:r w:rsidRPr="00D24047">
      <w:rPr>
        <w:lang w:val="es-ES"/>
      </w:rPr>
      <w:br/>
    </w:r>
    <w:r>
      <w:fldChar w:fldCharType="begin"/>
    </w:r>
    <w:r w:rsidRPr="00D24047">
      <w:rPr>
        <w:lang w:val="es-ES"/>
      </w:rPr>
      <w:instrText xml:space="preserve"> KEYWORDS  \* MERGEFORMAT </w:instrText>
    </w:r>
    <w:r>
      <w:fldChar w:fldCharType="separate"/>
    </w:r>
    <w:r w:rsidR="00410C8F">
      <w:rPr>
        <w:lang w:val="es-ES"/>
      </w:rPr>
      <w:t>ECE/MP.EIA/SEA/2023/13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17883"/>
    <w:multiLevelType w:val="hybridMultilevel"/>
    <w:tmpl w:val="B5BED58C"/>
    <w:lvl w:ilvl="0" w:tplc="E4B6D3C4">
      <w:start w:val="96"/>
      <w:numFmt w:val="bullet"/>
      <w:lvlText w:val=""/>
      <w:lvlJc w:val="left"/>
      <w:pPr>
        <w:ind w:left="1380" w:hanging="10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71621369">
    <w:abstractNumId w:val="13"/>
  </w:num>
  <w:num w:numId="2" w16cid:durableId="1698386048">
    <w:abstractNumId w:val="12"/>
  </w:num>
  <w:num w:numId="3" w16cid:durableId="1200166563">
    <w:abstractNumId w:val="11"/>
  </w:num>
  <w:num w:numId="4" w16cid:durableId="13465067">
    <w:abstractNumId w:val="8"/>
  </w:num>
  <w:num w:numId="5" w16cid:durableId="987318245">
    <w:abstractNumId w:val="3"/>
  </w:num>
  <w:num w:numId="6" w16cid:durableId="209078783">
    <w:abstractNumId w:val="2"/>
  </w:num>
  <w:num w:numId="7" w16cid:durableId="1983928777">
    <w:abstractNumId w:val="1"/>
  </w:num>
  <w:num w:numId="8" w16cid:durableId="1072240515">
    <w:abstractNumId w:val="0"/>
  </w:num>
  <w:num w:numId="9" w16cid:durableId="2107996145">
    <w:abstractNumId w:val="9"/>
  </w:num>
  <w:num w:numId="10" w16cid:durableId="1007757953">
    <w:abstractNumId w:val="7"/>
  </w:num>
  <w:num w:numId="11" w16cid:durableId="2123760353">
    <w:abstractNumId w:val="6"/>
  </w:num>
  <w:num w:numId="12" w16cid:durableId="1665694621">
    <w:abstractNumId w:val="5"/>
  </w:num>
  <w:num w:numId="13" w16cid:durableId="1320038980">
    <w:abstractNumId w:val="4"/>
  </w:num>
  <w:num w:numId="14" w16cid:durableId="1877934422">
    <w:abstractNumId w:val="13"/>
  </w:num>
  <w:num w:numId="15" w16cid:durableId="1252474554">
    <w:abstractNumId w:val="12"/>
  </w:num>
  <w:num w:numId="16" w16cid:durableId="820392528">
    <w:abstractNumId w:val="11"/>
  </w:num>
  <w:num w:numId="17" w16cid:durableId="12677328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80"/>
    <w:rsid w:val="00017F94"/>
    <w:rsid w:val="00023842"/>
    <w:rsid w:val="00027956"/>
    <w:rsid w:val="000334F9"/>
    <w:rsid w:val="0007242C"/>
    <w:rsid w:val="0007796D"/>
    <w:rsid w:val="00080BED"/>
    <w:rsid w:val="0008299C"/>
    <w:rsid w:val="0008429C"/>
    <w:rsid w:val="000938E9"/>
    <w:rsid w:val="000957F9"/>
    <w:rsid w:val="000B7790"/>
    <w:rsid w:val="000D3EE9"/>
    <w:rsid w:val="000F59D0"/>
    <w:rsid w:val="00111F2F"/>
    <w:rsid w:val="001346C5"/>
    <w:rsid w:val="001433FD"/>
    <w:rsid w:val="0014365E"/>
    <w:rsid w:val="001541D3"/>
    <w:rsid w:val="001667B8"/>
    <w:rsid w:val="00176178"/>
    <w:rsid w:val="001D6378"/>
    <w:rsid w:val="001E39A4"/>
    <w:rsid w:val="001F28CD"/>
    <w:rsid w:val="001F525A"/>
    <w:rsid w:val="002067E9"/>
    <w:rsid w:val="00223272"/>
    <w:rsid w:val="0023166B"/>
    <w:rsid w:val="0024779E"/>
    <w:rsid w:val="002832AC"/>
    <w:rsid w:val="00286A3C"/>
    <w:rsid w:val="00295CCA"/>
    <w:rsid w:val="002C2862"/>
    <w:rsid w:val="002D7C93"/>
    <w:rsid w:val="002F09C5"/>
    <w:rsid w:val="00306C84"/>
    <w:rsid w:val="00376229"/>
    <w:rsid w:val="00390C19"/>
    <w:rsid w:val="00392828"/>
    <w:rsid w:val="003B2315"/>
    <w:rsid w:val="003F33A3"/>
    <w:rsid w:val="00410C8F"/>
    <w:rsid w:val="00411349"/>
    <w:rsid w:val="00441C3B"/>
    <w:rsid w:val="00446B0A"/>
    <w:rsid w:val="00446FE5"/>
    <w:rsid w:val="00452396"/>
    <w:rsid w:val="00462DA0"/>
    <w:rsid w:val="00494807"/>
    <w:rsid w:val="004C4EA0"/>
    <w:rsid w:val="004E468C"/>
    <w:rsid w:val="00506BE1"/>
    <w:rsid w:val="00514E0A"/>
    <w:rsid w:val="00521BDB"/>
    <w:rsid w:val="005316B0"/>
    <w:rsid w:val="005505B7"/>
    <w:rsid w:val="00573BE5"/>
    <w:rsid w:val="00581917"/>
    <w:rsid w:val="00586ED3"/>
    <w:rsid w:val="00596AA9"/>
    <w:rsid w:val="005D7E22"/>
    <w:rsid w:val="005F2353"/>
    <w:rsid w:val="00600AE0"/>
    <w:rsid w:val="00635E16"/>
    <w:rsid w:val="00663FCA"/>
    <w:rsid w:val="00671E80"/>
    <w:rsid w:val="006946C4"/>
    <w:rsid w:val="006D26A0"/>
    <w:rsid w:val="00706363"/>
    <w:rsid w:val="0071601D"/>
    <w:rsid w:val="0074674C"/>
    <w:rsid w:val="007A62E6"/>
    <w:rsid w:val="0080684C"/>
    <w:rsid w:val="00871C75"/>
    <w:rsid w:val="008776DC"/>
    <w:rsid w:val="008D3EEF"/>
    <w:rsid w:val="008F158B"/>
    <w:rsid w:val="00920E4B"/>
    <w:rsid w:val="009705C8"/>
    <w:rsid w:val="009C1CF4"/>
    <w:rsid w:val="009E1DA6"/>
    <w:rsid w:val="00A156A4"/>
    <w:rsid w:val="00A30353"/>
    <w:rsid w:val="00AA113A"/>
    <w:rsid w:val="00AA430A"/>
    <w:rsid w:val="00AC3823"/>
    <w:rsid w:val="00AE323C"/>
    <w:rsid w:val="00B00181"/>
    <w:rsid w:val="00B00B0D"/>
    <w:rsid w:val="00B045DB"/>
    <w:rsid w:val="00B12865"/>
    <w:rsid w:val="00B71408"/>
    <w:rsid w:val="00B71DDA"/>
    <w:rsid w:val="00B765F7"/>
    <w:rsid w:val="00BA0CA9"/>
    <w:rsid w:val="00BB7A3A"/>
    <w:rsid w:val="00C02897"/>
    <w:rsid w:val="00C15991"/>
    <w:rsid w:val="00C26F91"/>
    <w:rsid w:val="00C332B4"/>
    <w:rsid w:val="00C742D9"/>
    <w:rsid w:val="00C92038"/>
    <w:rsid w:val="00C93E84"/>
    <w:rsid w:val="00D24047"/>
    <w:rsid w:val="00D3439C"/>
    <w:rsid w:val="00D35E3E"/>
    <w:rsid w:val="00D41A04"/>
    <w:rsid w:val="00D44424"/>
    <w:rsid w:val="00D56407"/>
    <w:rsid w:val="00D859F2"/>
    <w:rsid w:val="00DB0C25"/>
    <w:rsid w:val="00DB1831"/>
    <w:rsid w:val="00DD3BFD"/>
    <w:rsid w:val="00DF1293"/>
    <w:rsid w:val="00DF6678"/>
    <w:rsid w:val="00E41E17"/>
    <w:rsid w:val="00EF2E22"/>
    <w:rsid w:val="00F12381"/>
    <w:rsid w:val="00F13A57"/>
    <w:rsid w:val="00F35D5A"/>
    <w:rsid w:val="00F660DF"/>
    <w:rsid w:val="00F95C08"/>
    <w:rsid w:val="00FD2633"/>
    <w:rsid w:val="00FE363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536FA"/>
  <w15:docId w15:val="{6609A4BA-5DBD-48F5-B16C-2AFF78E2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74674C"/>
    <w:pPr>
      <w:spacing w:line="240" w:lineRule="auto"/>
    </w:pPr>
    <w:rPr>
      <w:sz w:val="16"/>
    </w:rPr>
  </w:style>
  <w:style w:type="character" w:customStyle="1" w:styleId="PieddepageCar">
    <w:name w:val="Pied de page Car"/>
    <w:aliases w:val="3_G Car"/>
    <w:basedOn w:val="Policepardfaut"/>
    <w:link w:val="Pieddepage"/>
    <w:uiPriority w:val="99"/>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D24047"/>
    <w:rPr>
      <w:rFonts w:ascii="Times New Roman" w:eastAsiaTheme="minorHAnsi" w:hAnsi="Times New Roman" w:cs="Times New Roman"/>
      <w:sz w:val="20"/>
      <w:szCs w:val="20"/>
      <w:lang w:eastAsia="en-US"/>
    </w:rPr>
  </w:style>
  <w:style w:type="character" w:customStyle="1" w:styleId="cf01">
    <w:name w:val="cf01"/>
    <w:basedOn w:val="Policepardfaut"/>
    <w:rsid w:val="00D24047"/>
    <w:rPr>
      <w:rFonts w:ascii="Segoe UI" w:hAnsi="Segoe UI" w:cs="Segoe UI" w:hint="default"/>
      <w:sz w:val="18"/>
      <w:szCs w:val="18"/>
    </w:rPr>
  </w:style>
  <w:style w:type="character" w:styleId="Mentionnonrsolue">
    <w:name w:val="Unresolved Mention"/>
    <w:basedOn w:val="Policepardfaut"/>
    <w:uiPriority w:val="99"/>
    <w:semiHidden/>
    <w:unhideWhenUsed/>
    <w:rsid w:val="00D24047"/>
    <w:rPr>
      <w:color w:val="605E5C"/>
      <w:shd w:val="clear" w:color="auto" w:fill="E1DFDD"/>
    </w:rPr>
  </w:style>
  <w:style w:type="character" w:customStyle="1" w:styleId="content">
    <w:name w:val="content"/>
    <w:basedOn w:val="Policepardfaut"/>
    <w:rsid w:val="00D2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sessions-3"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Users\Losasso\AppData\Local\Microsoft\Windows\INetCache\Content.Outlook\B0MF9SYG\www.unece.org\env\eia\implementation\implementation_committee.html" TargetMode="External"/><Relationship Id="rId7" Type="http://schemas.openxmlformats.org/officeDocument/2006/relationships/hyperlink" Target="https://unece.org/sites/default/files/2021-02/Decision_VIII-2_IV-2_%20Adoption_of_the_workplan.pdf" TargetMode="External"/><Relationship Id="rId2" Type="http://schemas.openxmlformats.org/officeDocument/2006/relationships/hyperlink" Target="https://unece.org/sessions-3" TargetMode="External"/><Relationship Id="rId1" Type="http://schemas.openxmlformats.org/officeDocument/2006/relationships/hyperlink" Target="https://unece.org/sites/default/files/2021-02/Implementation%20Committee%25%2020structure%20functions%20procedures%20rules.e%202020.pdf" TargetMode="External"/><Relationship Id="rId6" Type="http://schemas.openxmlformats.org/officeDocument/2006/relationships/hyperlink" Target="https://unece.org/sites/default/files/2021-02/Implementation%20Committee%25%2020structure%20functions%20procedures%20rules.e%202020.pdf" TargetMode="External"/><Relationship Id="rId5" Type="http://schemas.openxmlformats.org/officeDocument/2006/relationships/hyperlink" Target="https://unece.org/environment-policy/environmental-assessment/eiaics4-belarus" TargetMode="External"/><Relationship Id="rId4" Type="http://schemas.openxmlformats.org/officeDocument/2006/relationships/hyperlink" Target="https://unece.org/environment-policy/environmental-assessment/decisions-taken-meetings-par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8E665-77E1-4429-AE92-6A1349430A64}"/>
</file>

<file path=customXml/itemProps2.xml><?xml version="1.0" encoding="utf-8"?>
<ds:datastoreItem xmlns:ds="http://schemas.openxmlformats.org/officeDocument/2006/customXml" ds:itemID="{77A66EC1-FA96-4CF4-B80B-7E7CD22D54A5}"/>
</file>

<file path=docProps/app.xml><?xml version="1.0" encoding="utf-8"?>
<Properties xmlns="http://schemas.openxmlformats.org/officeDocument/2006/extended-properties" xmlns:vt="http://schemas.openxmlformats.org/officeDocument/2006/docPropsVTypes">
  <Template>ECE.dotm</Template>
  <TotalTime>20</TotalTime>
  <Pages>26</Pages>
  <Words>11890</Words>
  <Characters>67774</Characters>
  <Application>Microsoft Office Word</Application>
  <DocSecurity>0</DocSecurity>
  <Lines>564</Lines>
  <Paragraphs>159</Paragraphs>
  <ScaleCrop>false</ScaleCrop>
  <HeadingPairs>
    <vt:vector size="2" baseType="variant">
      <vt:variant>
        <vt:lpstr>Titre</vt:lpstr>
      </vt:variant>
      <vt:variant>
        <vt:i4>1</vt:i4>
      </vt:variant>
    </vt:vector>
  </HeadingPairs>
  <TitlesOfParts>
    <vt:vector size="1" baseType="lpstr">
      <vt:lpstr>ECE/MP.EIA/2023/13</vt:lpstr>
    </vt:vector>
  </TitlesOfParts>
  <Company>DCM</Company>
  <LinksUpToDate>false</LinksUpToDate>
  <CharactersWithSpaces>79505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ECE/MP.EIA/2023/13</dc:title>
  <dc:creator>Corinne ROBERT</dc:creator>
  <cp:keywords>ECE/MP.EIA/SEA/2023/13</cp:keywords>
  <cp:lastModifiedBy>Corinne Robert</cp:lastModifiedBy>
  <cp:revision>4</cp:revision>
  <cp:lastPrinted>2023-11-13T13:48:00Z</cp:lastPrinted>
  <dcterms:created xsi:type="dcterms:W3CDTF">2023-11-13T13:48:00Z</dcterms:created>
  <dcterms:modified xsi:type="dcterms:W3CDTF">2023-11-13T14:11:00Z</dcterms:modified>
</cp:coreProperties>
</file>