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8CF5" w14:textId="77777777" w:rsidR="001748FC" w:rsidRDefault="001748FC"/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633F01FE" w:rsidR="00164115" w:rsidRPr="0099001C" w:rsidRDefault="00164115" w:rsidP="00AE4666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7E797B">
              <w:rPr>
                <w:b/>
                <w:sz w:val="40"/>
                <w:szCs w:val="40"/>
              </w:rPr>
              <w:t>4</w:t>
            </w:r>
            <w:r w:rsidR="00A1536C">
              <w:rPr>
                <w:b/>
                <w:sz w:val="40"/>
                <w:szCs w:val="40"/>
              </w:rPr>
              <w:t>5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38227A">
              <w:rPr>
                <w:b/>
                <w:sz w:val="40"/>
                <w:szCs w:val="40"/>
              </w:rPr>
              <w:t>20</w:t>
            </w:r>
          </w:p>
        </w:tc>
      </w:tr>
      <w:tr w:rsidR="00164115" w14:paraId="4D07D853" w14:textId="77777777" w:rsidTr="0038227A">
        <w:trPr>
          <w:cantSplit/>
          <w:trHeight w:hRule="exact" w:val="3268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5AC31EA4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137D32">
              <w:rPr>
                <w:b/>
                <w:lang w:val="en-US"/>
              </w:rPr>
              <w:tab/>
            </w:r>
            <w:r w:rsidR="006D224E">
              <w:rPr>
                <w:b/>
                <w:lang w:val="en-US"/>
              </w:rPr>
              <w:t xml:space="preserve">29 </w:t>
            </w:r>
            <w:r w:rsidR="00EC4C60">
              <w:rPr>
                <w:b/>
                <w:lang w:val="en-US"/>
              </w:rPr>
              <w:t>November</w:t>
            </w:r>
            <w:r w:rsidR="007E797B">
              <w:rPr>
                <w:b/>
                <w:lang w:val="en-US"/>
              </w:rPr>
              <w:t xml:space="preserve"> 2023</w:t>
            </w:r>
            <w:r>
              <w:rPr>
                <w:b/>
                <w:lang w:val="en-US"/>
              </w:rPr>
              <w:tab/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52E6965D" w:rsidR="00164115" w:rsidRPr="007E797B" w:rsidRDefault="00AE4666" w:rsidP="00E970FF">
            <w:pPr>
              <w:jc w:val="both"/>
            </w:pPr>
            <w:r w:rsidRPr="007E797B">
              <w:rPr>
                <w:b/>
              </w:rPr>
              <w:t>Forty-</w:t>
            </w:r>
            <w:r w:rsidR="003A3101">
              <w:rPr>
                <w:b/>
              </w:rPr>
              <w:t>fifth</w:t>
            </w:r>
            <w:r w:rsidR="004255A7" w:rsidRPr="007E797B">
              <w:rPr>
                <w:b/>
              </w:rPr>
              <w:t xml:space="preserve"> </w:t>
            </w:r>
            <w:r w:rsidR="00164115" w:rsidRPr="007E797B">
              <w:rPr>
                <w:b/>
              </w:rPr>
              <w:t>session</w:t>
            </w:r>
            <w:r w:rsidR="00164115" w:rsidRPr="007E797B">
              <w:t xml:space="preserve"> </w:t>
            </w:r>
          </w:p>
          <w:p w14:paraId="5985735A" w14:textId="41F79A68" w:rsidR="00164115" w:rsidRPr="007E797B" w:rsidRDefault="00164115" w:rsidP="00E970FF">
            <w:pPr>
              <w:jc w:val="both"/>
            </w:pPr>
            <w:r w:rsidRPr="007E797B">
              <w:t xml:space="preserve">Geneva, </w:t>
            </w:r>
            <w:r w:rsidR="003A3101">
              <w:t>6-8 December</w:t>
            </w:r>
            <w:r w:rsidR="007E797B" w:rsidRPr="007E797B">
              <w:t xml:space="preserve"> 2023</w:t>
            </w:r>
          </w:p>
          <w:p w14:paraId="32657468" w14:textId="77777777" w:rsidR="007E797B" w:rsidRDefault="007E797B" w:rsidP="00E970FF">
            <w:pPr>
              <w:spacing w:line="240" w:lineRule="exact"/>
            </w:pPr>
            <w:r>
              <w:t>Item 2 (e) of the provisional agenda</w:t>
            </w:r>
          </w:p>
          <w:p w14:paraId="2807C471" w14:textId="1B5472C8" w:rsidR="00164115" w:rsidRPr="00C47D66" w:rsidRDefault="007E797B" w:rsidP="0038227A">
            <w:pPr>
              <w:spacing w:line="240" w:lineRule="exact"/>
              <w:rPr>
                <w:b/>
                <w:bCs/>
              </w:rPr>
            </w:pPr>
            <w:r w:rsidRPr="007E797B">
              <w:rPr>
                <w:b/>
                <w:bCs/>
              </w:rPr>
              <w:t xml:space="preserve">Work on the Globally Harmonized System of Classification </w:t>
            </w:r>
            <w:r w:rsidR="0038227A">
              <w:rPr>
                <w:b/>
                <w:bCs/>
              </w:rPr>
              <w:br/>
            </w:r>
            <w:r w:rsidRPr="007E797B">
              <w:rPr>
                <w:b/>
                <w:bCs/>
              </w:rPr>
              <w:t xml:space="preserve">and Labelling of Chemicals: Potential hazard issues and </w:t>
            </w:r>
            <w:r w:rsidR="0038227A">
              <w:rPr>
                <w:b/>
                <w:bCs/>
              </w:rPr>
              <w:br/>
            </w:r>
            <w:r w:rsidRPr="007E797B">
              <w:rPr>
                <w:b/>
                <w:bCs/>
              </w:rPr>
              <w:t>their presentation in the Globally Harmonized System</w:t>
            </w:r>
          </w:p>
        </w:tc>
      </w:tr>
    </w:tbl>
    <w:p w14:paraId="22A504C2" w14:textId="0854D6C8" w:rsidR="000D1812" w:rsidRPr="003B342C" w:rsidRDefault="000D1812" w:rsidP="000D1812">
      <w:pPr>
        <w:pStyle w:val="HChG"/>
        <w:spacing w:before="240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7E797B">
        <w:t xml:space="preserve">Potential hazard issues and their presentation in the Globally Harmonized System: </w:t>
      </w:r>
      <w:r w:rsidR="003A3101">
        <w:t xml:space="preserve">status </w:t>
      </w:r>
      <w:r w:rsidR="003461C4">
        <w:t>report</w:t>
      </w:r>
    </w:p>
    <w:p w14:paraId="348404BF" w14:textId="236BD9DC" w:rsidR="000D1812" w:rsidRDefault="000D1812" w:rsidP="007313E9">
      <w:pPr>
        <w:pStyle w:val="H1G"/>
        <w:spacing w:before="240"/>
      </w:pPr>
      <w:r w:rsidRPr="003C265A">
        <w:rPr>
          <w:rFonts w:eastAsia="MS Mincho"/>
        </w:rPr>
        <w:tab/>
      </w:r>
      <w:r w:rsidRPr="003C265A">
        <w:rPr>
          <w:rFonts w:eastAsia="MS Mincho"/>
        </w:rPr>
        <w:tab/>
      </w:r>
      <w:r w:rsidRPr="003C265A">
        <w:t>Transmitted by t</w:t>
      </w:r>
      <w:r w:rsidRPr="00E337C6">
        <w:t>he European Union</w:t>
      </w:r>
      <w:r w:rsidR="007E797B">
        <w:t xml:space="preserve"> on behalf of the informal working group on potential hazard issues and their presentation in the Globally Harmonized System</w:t>
      </w:r>
      <w:r>
        <w:t xml:space="preserve"> </w:t>
      </w:r>
    </w:p>
    <w:p w14:paraId="47B6ECB3" w14:textId="08E9C99B" w:rsidR="000D1812" w:rsidRPr="00A11AC9" w:rsidRDefault="00A11AC9" w:rsidP="00A11AC9">
      <w:pPr>
        <w:pStyle w:val="SingleTxtG"/>
      </w:pPr>
      <w:r w:rsidRPr="00A11AC9">
        <w:t>1.</w:t>
      </w:r>
      <w:r w:rsidRPr="00A11AC9">
        <w:tab/>
      </w:r>
      <w:r w:rsidR="003461C4" w:rsidRPr="00A11AC9">
        <w:t>At its forty-third session in December 2022, the Sub-Committee agreed to include a new item on its programme of work for the biennium 2023- 2024: “</w:t>
      </w:r>
      <w:r w:rsidR="00FF5781" w:rsidRPr="00A11AC9">
        <w:t xml:space="preserve">Potential </w:t>
      </w:r>
      <w:r w:rsidR="003461C4" w:rsidRPr="00A11AC9">
        <w:t>hazard issues and their presentation in the GHS”. The European Union volunteered to coordinate an informal working group to address this topic (PHI-IWG) based on the workplan and terms of reference (</w:t>
      </w:r>
      <w:proofErr w:type="spellStart"/>
      <w:r w:rsidR="003461C4" w:rsidRPr="00A11AC9">
        <w:t>ToR</w:t>
      </w:r>
      <w:proofErr w:type="spellEnd"/>
      <w:r w:rsidR="003461C4" w:rsidRPr="00A11AC9">
        <w:t>) in ST/SG/AC.10/C.4/2022/18</w:t>
      </w:r>
      <w:r w:rsidR="003461C4" w:rsidRPr="00A11AC9">
        <w:rPr>
          <w:rStyle w:val="FootnoteReference"/>
          <w:sz w:val="20"/>
        </w:rPr>
        <w:footnoteReference w:id="2"/>
      </w:r>
      <w:r w:rsidR="003461C4" w:rsidRPr="00A11AC9">
        <w:t xml:space="preserve"> as amended in informal document INF.39 (forty-third session)</w:t>
      </w:r>
      <w:r w:rsidR="003461C4" w:rsidRPr="00A11AC9">
        <w:rPr>
          <w:rStyle w:val="FootnoteReference"/>
          <w:sz w:val="20"/>
          <w:vertAlign w:val="baseline"/>
        </w:rPr>
        <w:footnoteReference w:id="3"/>
      </w:r>
      <w:r w:rsidR="003461C4" w:rsidRPr="00A11AC9">
        <w:t>, as agreed by the Sub-Committee</w:t>
      </w:r>
      <w:r w:rsidR="003461C4" w:rsidRPr="00A11AC9">
        <w:rPr>
          <w:rStyle w:val="FootnoteReference"/>
          <w:sz w:val="20"/>
        </w:rPr>
        <w:footnoteReference w:id="4"/>
      </w:r>
      <w:r w:rsidR="003461C4" w:rsidRPr="00A11AC9">
        <w:t>.</w:t>
      </w:r>
    </w:p>
    <w:p w14:paraId="50A7B07C" w14:textId="3C4D9F6C" w:rsidR="00B35F7D" w:rsidRPr="00A11AC9" w:rsidRDefault="00A11AC9" w:rsidP="00A11AC9">
      <w:pPr>
        <w:pStyle w:val="SingleTxtG"/>
        <w:rPr>
          <w:rFonts w:eastAsiaTheme="minorEastAsia"/>
        </w:rPr>
      </w:pPr>
      <w:r w:rsidRPr="00A11AC9">
        <w:rPr>
          <w:rFonts w:eastAsiaTheme="minorEastAsia"/>
        </w:rPr>
        <w:t>2.</w:t>
      </w:r>
      <w:r w:rsidRPr="00A11AC9">
        <w:rPr>
          <w:rFonts w:eastAsiaTheme="minorEastAsia"/>
        </w:rPr>
        <w:tab/>
      </w:r>
      <w:r w:rsidR="003461C4" w:rsidRPr="00A11AC9">
        <w:t xml:space="preserve">At its forty-fourth session in July 2023, the Sub-Committee approved the 2023-2024 workplan for the </w:t>
      </w:r>
      <w:r w:rsidR="007313E9" w:rsidRPr="00A11AC9">
        <w:t>PHI-IWG</w:t>
      </w:r>
      <w:r w:rsidR="003461C4" w:rsidRPr="00A11AC9">
        <w:t xml:space="preserve"> as proposed in informal document INF.19 (forty-fourth session)</w:t>
      </w:r>
      <w:r w:rsidR="003461C4" w:rsidRPr="00A11AC9">
        <w:rPr>
          <w:rStyle w:val="FootnoteReference"/>
          <w:sz w:val="20"/>
        </w:rPr>
        <w:footnoteReference w:id="5"/>
      </w:r>
      <w:r w:rsidR="003461C4" w:rsidRPr="00A11AC9">
        <w:rPr>
          <w:vertAlign w:val="superscript"/>
        </w:rPr>
        <w:t>.</w:t>
      </w:r>
    </w:p>
    <w:p w14:paraId="3DFA1603" w14:textId="24F73F8C" w:rsidR="000D1812" w:rsidRPr="00A11AC9" w:rsidRDefault="00A11AC9" w:rsidP="00A11AC9">
      <w:pPr>
        <w:pStyle w:val="SingleTxtG"/>
        <w:rPr>
          <w:rFonts w:eastAsiaTheme="minorEastAsia"/>
        </w:rPr>
      </w:pPr>
      <w:r w:rsidRPr="00A11AC9">
        <w:rPr>
          <w:rFonts w:eastAsiaTheme="minorEastAsia"/>
        </w:rPr>
        <w:t>3.</w:t>
      </w:r>
      <w:r w:rsidRPr="00A11AC9">
        <w:rPr>
          <w:rFonts w:eastAsiaTheme="minorEastAsia"/>
        </w:rPr>
        <w:tab/>
      </w:r>
      <w:r w:rsidR="003461C4" w:rsidRPr="00A11AC9">
        <w:t xml:space="preserve">Since its approval, the </w:t>
      </w:r>
      <w:r w:rsidR="00405563" w:rsidRPr="00A11AC9">
        <w:t>PHI-IWG</w:t>
      </w:r>
      <w:r w:rsidR="003461C4" w:rsidRPr="00A11AC9">
        <w:t xml:space="preserve"> started implementing the different workstreams. In particular:</w:t>
      </w:r>
    </w:p>
    <w:p w14:paraId="2C2D8743" w14:textId="1B852AFD" w:rsidR="003461C4" w:rsidRPr="00A11AC9" w:rsidRDefault="00A11AC9" w:rsidP="00A11AC9">
      <w:pPr>
        <w:pStyle w:val="SingleTxtG"/>
        <w:ind w:left="1985" w:hanging="567"/>
        <w:rPr>
          <w:rFonts w:eastAsiaTheme="minorEastAsia"/>
        </w:rPr>
      </w:pPr>
      <w:r w:rsidRPr="00A11AC9">
        <w:rPr>
          <w:rFonts w:eastAsiaTheme="minorEastAsia"/>
        </w:rPr>
        <w:t>(a)</w:t>
      </w:r>
      <w:r w:rsidRPr="00A11AC9">
        <w:rPr>
          <w:rFonts w:eastAsiaTheme="minorEastAsia"/>
        </w:rPr>
        <w:tab/>
      </w:r>
      <w:r w:rsidR="003461C4" w:rsidRPr="00A11AC9">
        <w:t xml:space="preserve">On endocrine disruptors, the OECD accepted the mandate received </w:t>
      </w:r>
      <w:r w:rsidR="00290D2E" w:rsidRPr="00A11AC9">
        <w:t xml:space="preserve">from the Sub-Committee </w:t>
      </w:r>
      <w:r w:rsidR="003461C4" w:rsidRPr="00A11AC9">
        <w:t xml:space="preserve">in July 2023. Since then, </w:t>
      </w:r>
      <w:r w:rsidR="007313E9" w:rsidRPr="00A11AC9">
        <w:t>the OECD created an ad hoc expert group on “endocrine disruptors in the UN Globally Harmonised System for classification and labelling”.</w:t>
      </w:r>
      <w:r w:rsidR="003461C4" w:rsidRPr="00A11AC9">
        <w:t xml:space="preserve"> </w:t>
      </w:r>
      <w:r w:rsidR="007313E9" w:rsidRPr="00A11AC9">
        <w:t>O</w:t>
      </w:r>
      <w:r w:rsidR="003461C4" w:rsidRPr="00A11AC9">
        <w:t xml:space="preserve">ther governance aspects were agreed. </w:t>
      </w:r>
      <w:r w:rsidR="007313E9" w:rsidRPr="00A11AC9">
        <w:t>At each PHI-IWG meeting, t</w:t>
      </w:r>
      <w:r w:rsidR="003461C4" w:rsidRPr="00A11AC9">
        <w:t xml:space="preserve">he OECD </w:t>
      </w:r>
      <w:r w:rsidR="007313E9" w:rsidRPr="00A11AC9">
        <w:t>has informed experts on the advancement of</w:t>
      </w:r>
      <w:r w:rsidR="003461C4" w:rsidRPr="00A11AC9">
        <w:t xml:space="preserve"> the scientific discussions on the </w:t>
      </w:r>
      <w:r w:rsidR="007313E9" w:rsidRPr="00A11AC9">
        <w:t>mandate</w:t>
      </w:r>
      <w:r w:rsidR="00405563" w:rsidRPr="00A11AC9">
        <w:t>’s</w:t>
      </w:r>
      <w:r w:rsidR="007313E9" w:rsidRPr="00A11AC9">
        <w:t xml:space="preserve"> </w:t>
      </w:r>
      <w:r w:rsidR="003461C4" w:rsidRPr="00A11AC9">
        <w:t>tasks</w:t>
      </w:r>
      <w:r w:rsidR="007313E9" w:rsidRPr="00A11AC9">
        <w:t>,</w:t>
      </w:r>
      <w:r w:rsidR="003461C4" w:rsidRPr="00A11AC9">
        <w:t xml:space="preserve"> </w:t>
      </w:r>
      <w:r w:rsidR="003461C4" w:rsidRPr="00A11AC9">
        <w:rPr>
          <w:rFonts w:eastAsiaTheme="minorEastAsia"/>
        </w:rPr>
        <w:t>as presented in ST/SG/AC.10/C.4/2023/6</w:t>
      </w:r>
      <w:r w:rsidR="003461C4" w:rsidRPr="00A11AC9">
        <w:rPr>
          <w:rStyle w:val="FootnoteReference"/>
          <w:rFonts w:eastAsiaTheme="minorEastAsia"/>
          <w:sz w:val="20"/>
        </w:rPr>
        <w:footnoteReference w:id="6"/>
      </w:r>
      <w:r w:rsidR="003461C4" w:rsidRPr="00A11AC9">
        <w:rPr>
          <w:rFonts w:eastAsiaTheme="minorEastAsia"/>
        </w:rPr>
        <w:t>.</w:t>
      </w:r>
    </w:p>
    <w:p w14:paraId="1549CF8E" w14:textId="7128818D" w:rsidR="003E04BD" w:rsidRPr="00A11AC9" w:rsidRDefault="00A11AC9" w:rsidP="00A11AC9">
      <w:pPr>
        <w:pStyle w:val="SingleTxtG"/>
        <w:ind w:left="1985" w:hanging="567"/>
        <w:rPr>
          <w:rFonts w:eastAsiaTheme="minorEastAsia"/>
        </w:rPr>
      </w:pPr>
      <w:r w:rsidRPr="00A11AC9">
        <w:rPr>
          <w:rFonts w:eastAsiaTheme="minorEastAsia"/>
        </w:rPr>
        <w:t>(b)</w:t>
      </w:r>
      <w:r w:rsidRPr="00A11AC9">
        <w:rPr>
          <w:rFonts w:eastAsiaTheme="minorEastAsia"/>
        </w:rPr>
        <w:tab/>
      </w:r>
      <w:r w:rsidR="003461C4" w:rsidRPr="00A11AC9">
        <w:rPr>
          <w:rFonts w:eastAsiaTheme="minorEastAsia"/>
        </w:rPr>
        <w:t xml:space="preserve">On persistence and mobility, the PHI-IWG </w:t>
      </w:r>
      <w:r w:rsidR="004143F8" w:rsidRPr="00A11AC9">
        <w:rPr>
          <w:rFonts w:eastAsiaTheme="minorEastAsia"/>
        </w:rPr>
        <w:t xml:space="preserve">is </w:t>
      </w:r>
      <w:r w:rsidR="003461C4" w:rsidRPr="00A11AC9">
        <w:rPr>
          <w:rFonts w:eastAsiaTheme="minorEastAsia"/>
        </w:rPr>
        <w:t>working on</w:t>
      </w:r>
      <w:r w:rsidR="003E04BD" w:rsidRPr="00A11AC9">
        <w:rPr>
          <w:rFonts w:eastAsiaTheme="minorEastAsia"/>
        </w:rPr>
        <w:t>:</w:t>
      </w:r>
    </w:p>
    <w:p w14:paraId="6010DBFD" w14:textId="0A438101" w:rsidR="003E04BD" w:rsidRDefault="003E04BD" w:rsidP="00A11AC9">
      <w:pPr>
        <w:pStyle w:val="SingleTxtG"/>
        <w:tabs>
          <w:tab w:val="left" w:pos="1701"/>
        </w:tabs>
        <w:ind w:left="2552" w:hanging="567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(</w:t>
      </w:r>
      <w:proofErr w:type="spellStart"/>
      <w:r>
        <w:rPr>
          <w:rFonts w:eastAsiaTheme="minorEastAsia"/>
          <w:lang w:val="en-IE"/>
        </w:rPr>
        <w:t>i</w:t>
      </w:r>
      <w:proofErr w:type="spellEnd"/>
      <w:r>
        <w:rPr>
          <w:rFonts w:eastAsiaTheme="minorEastAsia"/>
          <w:lang w:val="en-IE"/>
        </w:rPr>
        <w:t xml:space="preserve">) </w:t>
      </w:r>
      <w:r w:rsidR="00A11AC9">
        <w:rPr>
          <w:rFonts w:eastAsiaTheme="minorEastAsia"/>
          <w:lang w:val="en-IE"/>
        </w:rPr>
        <w:tab/>
      </w:r>
      <w:r w:rsidR="003461C4" w:rsidRPr="001860D0">
        <w:rPr>
          <w:rFonts w:eastAsiaTheme="minorEastAsia"/>
          <w:lang w:val="en-IE"/>
        </w:rPr>
        <w:t>clarifying the scope of the work (aim, expected added value, etc.)</w:t>
      </w:r>
      <w:r w:rsidR="000E73F5">
        <w:rPr>
          <w:rFonts w:eastAsiaTheme="minorEastAsia"/>
          <w:lang w:val="en-IE"/>
        </w:rPr>
        <w:t>;</w:t>
      </w:r>
    </w:p>
    <w:p w14:paraId="2DEBCC87" w14:textId="1099F15B" w:rsidR="003E04BD" w:rsidRDefault="003E04BD" w:rsidP="00A11AC9">
      <w:pPr>
        <w:pStyle w:val="SingleTxtG"/>
        <w:tabs>
          <w:tab w:val="left" w:pos="1701"/>
        </w:tabs>
        <w:ind w:left="2552" w:hanging="567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(ii)</w:t>
      </w:r>
      <w:r w:rsidR="000E73F5"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 xml:space="preserve"> </w:t>
      </w:r>
      <w:r w:rsidR="003461C4" w:rsidRPr="001860D0">
        <w:rPr>
          <w:rFonts w:eastAsiaTheme="minorEastAsia"/>
          <w:lang w:val="en-IE"/>
        </w:rPr>
        <w:t xml:space="preserve">the definition of mobility </w:t>
      </w:r>
      <w:r w:rsidR="00140212">
        <w:rPr>
          <w:rFonts w:eastAsiaTheme="minorEastAsia"/>
          <w:lang w:val="en-IE"/>
        </w:rPr>
        <w:t xml:space="preserve">and </w:t>
      </w:r>
      <w:r w:rsidR="00D573EE">
        <w:rPr>
          <w:rFonts w:eastAsiaTheme="minorEastAsia"/>
          <w:lang w:val="en-IE"/>
        </w:rPr>
        <w:t xml:space="preserve">persistence </w:t>
      </w:r>
      <w:r w:rsidR="003461C4" w:rsidRPr="001860D0">
        <w:rPr>
          <w:rFonts w:eastAsiaTheme="minorEastAsia"/>
          <w:lang w:val="en-IE"/>
        </w:rPr>
        <w:t>in the GHS context</w:t>
      </w:r>
      <w:r w:rsidR="000E73F5">
        <w:rPr>
          <w:rFonts w:eastAsiaTheme="minorEastAsia"/>
          <w:lang w:val="en-IE"/>
        </w:rPr>
        <w:t>;</w:t>
      </w:r>
      <w:r w:rsidR="003461C4">
        <w:rPr>
          <w:rFonts w:eastAsiaTheme="minorEastAsia"/>
          <w:lang w:val="en-IE"/>
        </w:rPr>
        <w:t xml:space="preserve"> </w:t>
      </w:r>
    </w:p>
    <w:p w14:paraId="718914AB" w14:textId="79D882CB" w:rsidR="006C0FAB" w:rsidRDefault="003E04BD" w:rsidP="00A11AC9">
      <w:pPr>
        <w:pStyle w:val="SingleTxtG"/>
        <w:tabs>
          <w:tab w:val="left" w:pos="1701"/>
        </w:tabs>
        <w:ind w:left="2552" w:hanging="567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lastRenderedPageBreak/>
        <w:t xml:space="preserve">(iii) </w:t>
      </w:r>
      <w:r w:rsidR="000E73F5">
        <w:rPr>
          <w:rFonts w:eastAsiaTheme="minorEastAsia"/>
          <w:lang w:val="en-IE"/>
        </w:rPr>
        <w:tab/>
      </w:r>
      <w:r w:rsidR="003461C4">
        <w:rPr>
          <w:rFonts w:eastAsiaTheme="minorEastAsia"/>
          <w:lang w:val="en-IE"/>
        </w:rPr>
        <w:t>other</w:t>
      </w:r>
      <w:r w:rsidR="003461C4" w:rsidRPr="001860D0">
        <w:rPr>
          <w:rFonts w:eastAsiaTheme="minorEastAsia"/>
          <w:lang w:val="en-IE"/>
        </w:rPr>
        <w:t xml:space="preserve"> issues that the identification and potential classification would entail</w:t>
      </w:r>
      <w:r w:rsidR="000E73F5">
        <w:rPr>
          <w:rFonts w:eastAsiaTheme="minorEastAsia"/>
          <w:lang w:val="en-IE"/>
        </w:rPr>
        <w:t>;</w:t>
      </w:r>
      <w:r w:rsidR="003461C4" w:rsidRPr="001860D0">
        <w:rPr>
          <w:rFonts w:eastAsiaTheme="minorEastAsia"/>
          <w:lang w:val="en-IE"/>
        </w:rPr>
        <w:t xml:space="preserve"> and </w:t>
      </w:r>
    </w:p>
    <w:p w14:paraId="6F915E7D" w14:textId="021E8D73" w:rsidR="00405563" w:rsidRDefault="003E04BD" w:rsidP="00A11AC9">
      <w:pPr>
        <w:pStyle w:val="SingleTxtG"/>
        <w:tabs>
          <w:tab w:val="left" w:pos="1701"/>
        </w:tabs>
        <w:ind w:left="2552" w:hanging="567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(iv) </w:t>
      </w:r>
      <w:r w:rsidR="00A11AC9"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 xml:space="preserve">discussing and considering </w:t>
      </w:r>
      <w:r w:rsidR="003461C4" w:rsidRPr="001860D0">
        <w:rPr>
          <w:rFonts w:eastAsiaTheme="minorEastAsia"/>
          <w:lang w:val="en-IE"/>
        </w:rPr>
        <w:t xml:space="preserve">other comments submitted during </w:t>
      </w:r>
      <w:r w:rsidR="00CC3BD8">
        <w:rPr>
          <w:rFonts w:eastAsiaTheme="minorEastAsia"/>
          <w:lang w:val="en-IE"/>
        </w:rPr>
        <w:t xml:space="preserve">the PHI-IWG </w:t>
      </w:r>
      <w:r w:rsidR="003461C4" w:rsidRPr="001860D0">
        <w:rPr>
          <w:rFonts w:eastAsiaTheme="minorEastAsia"/>
          <w:lang w:val="en-IE"/>
        </w:rPr>
        <w:t>survey</w:t>
      </w:r>
      <w:r w:rsidR="00CC3BD8">
        <w:rPr>
          <w:rFonts w:eastAsiaTheme="minorEastAsia"/>
          <w:lang w:val="en-IE"/>
        </w:rPr>
        <w:t xml:space="preserve"> beginning 2023</w:t>
      </w:r>
      <w:r w:rsidR="003461C4" w:rsidRPr="001860D0">
        <w:rPr>
          <w:rFonts w:eastAsiaTheme="minorEastAsia"/>
          <w:lang w:val="en-IE"/>
        </w:rPr>
        <w:t xml:space="preserve"> taking into consideration also complementary information such as INF.24</w:t>
      </w:r>
      <w:r w:rsidR="003461C4">
        <w:rPr>
          <w:rFonts w:eastAsiaTheme="minorEastAsia"/>
          <w:lang w:val="en-IE"/>
        </w:rPr>
        <w:t xml:space="preserve"> (forty-third session)</w:t>
      </w:r>
      <w:r w:rsidR="003461C4" w:rsidRPr="00A11AC9">
        <w:rPr>
          <w:rFonts w:eastAsiaTheme="minorEastAsia"/>
          <w:vertAlign w:val="superscript"/>
        </w:rPr>
        <w:footnoteReference w:id="7"/>
      </w:r>
      <w:r w:rsidR="003461C4" w:rsidRPr="001860D0">
        <w:rPr>
          <w:rFonts w:eastAsiaTheme="minorEastAsia"/>
          <w:lang w:val="en-IE"/>
        </w:rPr>
        <w:t>.</w:t>
      </w:r>
    </w:p>
    <w:p w14:paraId="3A441A70" w14:textId="6BCE975B" w:rsidR="003461C4" w:rsidRPr="007313E9" w:rsidRDefault="00FD085D" w:rsidP="00A11AC9">
      <w:pPr>
        <w:pStyle w:val="SingleTxtG"/>
        <w:tabs>
          <w:tab w:val="left" w:pos="1701"/>
        </w:tabs>
        <w:ind w:left="1985"/>
        <w:rPr>
          <w:rFonts w:eastAsiaTheme="minorEastAsia"/>
          <w:lang w:val="en-US"/>
        </w:rPr>
      </w:pPr>
      <w:r>
        <w:rPr>
          <w:rFonts w:eastAsiaTheme="minorEastAsia"/>
          <w:lang w:val="en-IE"/>
        </w:rPr>
        <w:t>The work is co-led by experts from the European Union and Germany.</w:t>
      </w:r>
    </w:p>
    <w:p w14:paraId="77AB35FC" w14:textId="4D9754A8" w:rsidR="007313E9" w:rsidRPr="00A11AC9" w:rsidRDefault="00A11AC9" w:rsidP="00A11AC9">
      <w:pPr>
        <w:pStyle w:val="SingleTxtG"/>
        <w:ind w:left="1985" w:hanging="567"/>
        <w:rPr>
          <w:rFonts w:eastAsiaTheme="minorEastAsia"/>
        </w:rPr>
      </w:pPr>
      <w:r w:rsidRPr="00A11AC9">
        <w:rPr>
          <w:rFonts w:eastAsiaTheme="minorEastAsia"/>
        </w:rPr>
        <w:t>(c)</w:t>
      </w:r>
      <w:r w:rsidRPr="00A11AC9">
        <w:rPr>
          <w:rFonts w:eastAsiaTheme="minorEastAsia"/>
        </w:rPr>
        <w:tab/>
      </w:r>
      <w:r w:rsidR="007313E9" w:rsidRPr="00A11AC9">
        <w:rPr>
          <w:rFonts w:eastAsiaTheme="minorEastAsia"/>
        </w:rPr>
        <w:t xml:space="preserve">On the substances and mixtures hazardous to the terrestrial environment, </w:t>
      </w:r>
      <w:r w:rsidR="00EC4C60" w:rsidRPr="00A11AC9">
        <w:rPr>
          <w:rFonts w:eastAsiaTheme="minorEastAsia"/>
        </w:rPr>
        <w:t>due to the resource constraints, the PHI-IWG requires additional time to finalise an informal document presenting further details in a proposal using terrestrial toxicity data to complement data on substances and mixtures hazardous to the aquatic environment</w:t>
      </w:r>
      <w:r w:rsidR="006344CB" w:rsidRPr="00A11AC9">
        <w:rPr>
          <w:rFonts w:eastAsiaTheme="minorEastAsia"/>
        </w:rPr>
        <w:t>,</w:t>
      </w:r>
      <w:r w:rsidR="00EC4C60" w:rsidRPr="00A11AC9">
        <w:rPr>
          <w:rFonts w:eastAsiaTheme="minorEastAsia"/>
        </w:rPr>
        <w:t xml:space="preserve"> as well as any further approaches identified in future discussions.</w:t>
      </w:r>
    </w:p>
    <w:p w14:paraId="3445F8F8" w14:textId="586DB0D3" w:rsidR="007313E9" w:rsidRPr="00A11AC9" w:rsidRDefault="00A11AC9" w:rsidP="00A11AC9">
      <w:pPr>
        <w:pStyle w:val="SingleTxtG"/>
        <w:ind w:left="1985" w:hanging="567"/>
        <w:rPr>
          <w:rFonts w:eastAsiaTheme="minorEastAsia"/>
        </w:rPr>
      </w:pPr>
      <w:r w:rsidRPr="00A11AC9">
        <w:rPr>
          <w:rFonts w:eastAsiaTheme="minorEastAsia"/>
        </w:rPr>
        <w:t>(d)</w:t>
      </w:r>
      <w:r w:rsidRPr="00A11AC9">
        <w:rPr>
          <w:rFonts w:eastAsiaTheme="minorEastAsia"/>
        </w:rPr>
        <w:tab/>
      </w:r>
      <w:r w:rsidR="007313E9" w:rsidRPr="00A11AC9">
        <w:rPr>
          <w:rFonts w:eastAsiaTheme="minorEastAsia"/>
        </w:rPr>
        <w:t>Finally, the workstreams on persistenc</w:t>
      </w:r>
      <w:r w:rsidR="00290D2E" w:rsidRPr="00A11AC9">
        <w:rPr>
          <w:rFonts w:eastAsiaTheme="minorEastAsia"/>
        </w:rPr>
        <w:t>e</w:t>
      </w:r>
      <w:r w:rsidR="007313E9" w:rsidRPr="00A11AC9">
        <w:rPr>
          <w:rFonts w:eastAsiaTheme="minorEastAsia"/>
        </w:rPr>
        <w:t xml:space="preserve"> and bioaccumulation, immunotoxicity and neurotoxicity have not started, yet. As a reminder, </w:t>
      </w:r>
      <w:r w:rsidR="007313E9">
        <w:rPr>
          <w:rFonts w:eastAsiaTheme="minorEastAsia"/>
        </w:rPr>
        <w:t>t</w:t>
      </w:r>
      <w:r w:rsidR="007313E9" w:rsidRPr="00631478">
        <w:rPr>
          <w:rFonts w:eastAsiaTheme="minorEastAsia"/>
        </w:rPr>
        <w:t xml:space="preserve">he PHI-IWG </w:t>
      </w:r>
      <w:r w:rsidR="007313E9">
        <w:rPr>
          <w:rFonts w:eastAsiaTheme="minorEastAsia"/>
        </w:rPr>
        <w:t>expressed their</w:t>
      </w:r>
      <w:r w:rsidR="007313E9" w:rsidRPr="00631478">
        <w:rPr>
          <w:rFonts w:eastAsiaTheme="minorEastAsia"/>
        </w:rPr>
        <w:t xml:space="preserve"> prefer</w:t>
      </w:r>
      <w:r w:rsidR="007313E9">
        <w:rPr>
          <w:rFonts w:eastAsiaTheme="minorEastAsia"/>
        </w:rPr>
        <w:t>ence in</w:t>
      </w:r>
      <w:r w:rsidR="007313E9" w:rsidRPr="00631478">
        <w:rPr>
          <w:rFonts w:eastAsiaTheme="minorEastAsia"/>
        </w:rPr>
        <w:t xml:space="preserve"> postpon</w:t>
      </w:r>
      <w:r w:rsidR="007313E9">
        <w:rPr>
          <w:rFonts w:eastAsiaTheme="minorEastAsia"/>
        </w:rPr>
        <w:t>ing</w:t>
      </w:r>
      <w:r w:rsidR="007313E9" w:rsidRPr="00631478">
        <w:rPr>
          <w:rFonts w:eastAsiaTheme="minorEastAsia"/>
        </w:rPr>
        <w:t xml:space="preserve"> to the biennium 2025-2026 starting the work on neurotoxicity and on substances and mixtures hazardous to the terrestrial environment; unless additional resources become available at a later stage</w:t>
      </w:r>
      <w:r w:rsidR="006D224E">
        <w:rPr>
          <w:rFonts w:eastAsiaTheme="minorEastAsia"/>
        </w:rPr>
        <w:t xml:space="preserve"> before the end of the current biennium</w:t>
      </w:r>
      <w:r w:rsidR="007313E9" w:rsidRPr="00631478">
        <w:rPr>
          <w:rFonts w:eastAsiaTheme="minorEastAsia"/>
        </w:rPr>
        <w:t>.</w:t>
      </w:r>
    </w:p>
    <w:p w14:paraId="0FF0474A" w14:textId="3E620484" w:rsidR="007313E9" w:rsidRPr="003461C4" w:rsidRDefault="00A11AC9" w:rsidP="00A11AC9">
      <w:pPr>
        <w:pStyle w:val="SingleTxtG"/>
        <w:tabs>
          <w:tab w:val="left" w:pos="1701"/>
        </w:tabs>
        <w:ind w:left="1710" w:hanging="576"/>
        <w:rPr>
          <w:rFonts w:eastAsiaTheme="minorEastAsia"/>
          <w:lang w:val="en-US"/>
        </w:rPr>
      </w:pPr>
      <w:r w:rsidRPr="003461C4">
        <w:rPr>
          <w:rFonts w:eastAsiaTheme="minorEastAsia"/>
          <w:lang w:val="en-US"/>
        </w:rPr>
        <w:t>4.</w:t>
      </w:r>
      <w:r w:rsidRPr="003461C4">
        <w:rPr>
          <w:rFonts w:eastAsiaTheme="minorEastAsia"/>
          <w:lang w:val="en-US"/>
        </w:rPr>
        <w:tab/>
      </w:r>
      <w:r w:rsidR="007313E9">
        <w:rPr>
          <w:rFonts w:eastAsiaTheme="minorEastAsia"/>
          <w:lang w:val="en-US"/>
        </w:rPr>
        <w:t xml:space="preserve">The next (online) meeting of the PHI-IWG is scheduled on </w:t>
      </w:r>
      <w:r w:rsidR="007313E9" w:rsidRPr="00EC4C60">
        <w:rPr>
          <w:rFonts w:eastAsiaTheme="minorEastAsia"/>
          <w:lang w:val="en-US"/>
        </w:rPr>
        <w:t>23 January 2024.</w:t>
      </w:r>
      <w:r w:rsidR="007313E9">
        <w:rPr>
          <w:rFonts w:eastAsiaTheme="minorEastAsia"/>
          <w:lang w:val="en-US"/>
        </w:rPr>
        <w:t xml:space="preserve"> </w:t>
      </w:r>
    </w:p>
    <w:p w14:paraId="4A1A073F" w14:textId="4DCFE413" w:rsidR="000D1812" w:rsidRPr="005A4BB8" w:rsidRDefault="005A4BB8" w:rsidP="005A4B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4D054" w14:textId="77777777" w:rsidR="000D1812" w:rsidRPr="00A35F6E" w:rsidRDefault="000D1812" w:rsidP="000D1812">
      <w:pPr>
        <w:pStyle w:val="SingleTxtG"/>
        <w:ind w:left="0"/>
      </w:pPr>
    </w:p>
    <w:p w14:paraId="23394CA0" w14:textId="77777777" w:rsidR="001158D2" w:rsidRPr="00E136FE" w:rsidRDefault="001158D2" w:rsidP="001158D2">
      <w:pPr>
        <w:pStyle w:val="SingleTxtG"/>
        <w:ind w:left="2268"/>
        <w:jc w:val="left"/>
        <w:rPr>
          <w:rFonts w:eastAsiaTheme="minorHAnsi"/>
          <w:lang w:val="en-US"/>
        </w:rPr>
      </w:pPr>
    </w:p>
    <w:sectPr w:rsidR="001158D2" w:rsidRPr="00E136FE" w:rsidSect="005A4BB8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C099" w14:textId="77777777" w:rsidR="0036543F" w:rsidRDefault="0036543F" w:rsidP="00164115">
      <w:pPr>
        <w:spacing w:line="240" w:lineRule="auto"/>
      </w:pPr>
      <w:r>
        <w:separator/>
      </w:r>
    </w:p>
  </w:endnote>
  <w:endnote w:type="continuationSeparator" w:id="0">
    <w:p w14:paraId="032D5243" w14:textId="77777777" w:rsidR="0036543F" w:rsidRDefault="0036543F" w:rsidP="00164115">
      <w:pPr>
        <w:spacing w:line="240" w:lineRule="auto"/>
      </w:pPr>
      <w:r>
        <w:continuationSeparator/>
      </w:r>
    </w:p>
  </w:endnote>
  <w:endnote w:type="continuationNotice" w:id="1">
    <w:p w14:paraId="770ED267" w14:textId="77777777" w:rsidR="0036543F" w:rsidRDefault="003654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924" w14:textId="0315493F" w:rsidR="006A7757" w:rsidRPr="0099001C" w:rsidRDefault="00FB3B54" w:rsidP="00C91DF5">
    <w:pPr>
      <w:pStyle w:val="Footer"/>
      <w:tabs>
        <w:tab w:val="right" w:pos="9638"/>
      </w:tabs>
      <w:jc w:val="right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C72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203" w14:textId="77777777" w:rsidR="0036543F" w:rsidRDefault="0036543F" w:rsidP="00164115">
      <w:pPr>
        <w:spacing w:line="240" w:lineRule="auto"/>
      </w:pPr>
      <w:r>
        <w:separator/>
      </w:r>
    </w:p>
  </w:footnote>
  <w:footnote w:type="continuationSeparator" w:id="0">
    <w:p w14:paraId="7BF85F27" w14:textId="77777777" w:rsidR="0036543F" w:rsidRDefault="0036543F" w:rsidP="00164115">
      <w:pPr>
        <w:spacing w:line="240" w:lineRule="auto"/>
      </w:pPr>
      <w:r>
        <w:continuationSeparator/>
      </w:r>
    </w:p>
  </w:footnote>
  <w:footnote w:type="continuationNotice" w:id="1">
    <w:p w14:paraId="52571B30" w14:textId="77777777" w:rsidR="0036543F" w:rsidRDefault="0036543F">
      <w:pPr>
        <w:spacing w:line="240" w:lineRule="auto"/>
      </w:pPr>
    </w:p>
  </w:footnote>
  <w:footnote w:id="2">
    <w:p w14:paraId="2838C0D9" w14:textId="77777777" w:rsidR="003461C4" w:rsidRPr="00D96978" w:rsidRDefault="003461C4" w:rsidP="003461C4">
      <w:pPr>
        <w:pStyle w:val="FootnoteText"/>
        <w:rPr>
          <w:lang w:val="en-IE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D96978">
          <w:rPr>
            <w:rStyle w:val="Hyperlink"/>
          </w:rPr>
          <w:t>Proposal for new work on unaddressed hazard classes in the programme of work for the biennium 2023-2024</w:t>
        </w:r>
      </w:hyperlink>
    </w:p>
  </w:footnote>
  <w:footnote w:id="3">
    <w:p w14:paraId="244B06EC" w14:textId="77777777" w:rsidR="003461C4" w:rsidRPr="00D96978" w:rsidRDefault="003461C4" w:rsidP="003461C4">
      <w:pPr>
        <w:pStyle w:val="FootnoteText"/>
        <w:rPr>
          <w:lang w:val="en-IE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9F790D">
        <w:t>informal document INF.39 (forty-third session)</w:t>
      </w:r>
      <w:r>
        <w:t xml:space="preserve">, paragraph 4 </w:t>
      </w:r>
      <w:hyperlink r:id="rId2" w:history="1">
        <w:r w:rsidRPr="009A1988">
          <w:rPr>
            <w:rStyle w:val="Hyperlink"/>
          </w:rPr>
          <w:t>https://unece.org/transport/documents/2022/12/informal-documents/addendum-stsgac10c4202218-unaddressed-hazard-classes</w:t>
        </w:r>
      </w:hyperlink>
      <w:r>
        <w:t xml:space="preserve">  </w:t>
      </w:r>
      <w:r w:rsidRPr="00D96978">
        <w:rPr>
          <w:lang w:val="en-IE"/>
        </w:rPr>
        <w:t xml:space="preserve"> </w:t>
      </w:r>
    </w:p>
  </w:footnote>
  <w:footnote w:id="4">
    <w:p w14:paraId="6D554726" w14:textId="77777777" w:rsidR="003461C4" w:rsidRPr="00D96978" w:rsidRDefault="003461C4" w:rsidP="003461C4">
      <w:pPr>
        <w:pStyle w:val="FootnoteText"/>
        <w:rPr>
          <w:lang w:val="en-IE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Report of the Sub-Committee on its forty-third session (</w:t>
      </w:r>
      <w:hyperlink r:id="rId3" w:history="1">
        <w:r w:rsidRPr="00D96978">
          <w:rPr>
            <w:rStyle w:val="Hyperlink"/>
          </w:rPr>
          <w:t>ST/SG/AC.10/C.4/86, paragraph</w:t>
        </w:r>
        <w:r>
          <w:rPr>
            <w:rStyle w:val="Hyperlink"/>
          </w:rPr>
          <w:t>s</w:t>
        </w:r>
        <w:r w:rsidRPr="00D96978">
          <w:rPr>
            <w:rStyle w:val="Hyperlink"/>
          </w:rPr>
          <w:t xml:space="preserve"> </w:t>
        </w:r>
        <w:r>
          <w:rPr>
            <w:rStyle w:val="Hyperlink"/>
          </w:rPr>
          <w:t xml:space="preserve">51 to </w:t>
        </w:r>
        <w:r w:rsidRPr="00D96978">
          <w:rPr>
            <w:rStyle w:val="Hyperlink"/>
          </w:rPr>
          <w:t>53</w:t>
        </w:r>
      </w:hyperlink>
      <w:r>
        <w:rPr>
          <w:rStyle w:val="Hyperlink"/>
        </w:rPr>
        <w:t xml:space="preserve"> and Annex I</w:t>
      </w:r>
      <w:r>
        <w:t>)</w:t>
      </w:r>
    </w:p>
  </w:footnote>
  <w:footnote w:id="5">
    <w:p w14:paraId="4FF50536" w14:textId="2024C06B" w:rsidR="003461C4" w:rsidRPr="003461C4" w:rsidRDefault="003461C4" w:rsidP="003461C4">
      <w:pPr>
        <w:pStyle w:val="FootnoteText"/>
        <w:ind w:hanging="141"/>
        <w:rPr>
          <w:lang w:val="en-IE"/>
        </w:rPr>
      </w:pPr>
      <w:r>
        <w:rPr>
          <w:rStyle w:val="FootnoteReference"/>
        </w:rPr>
        <w:footnoteRef/>
      </w:r>
      <w:r>
        <w:t xml:space="preserve"> See informal document INF.19 (forty-fourth session), paragraphs 15 to 19 </w:t>
      </w:r>
      <w:hyperlink r:id="rId4" w:history="1">
        <w:r w:rsidR="004A1C4D" w:rsidRPr="001627FB">
          <w:rPr>
            <w:rStyle w:val="Hyperlink"/>
          </w:rPr>
          <w:t>https://unece.org/transport/documents/2023/07/informal-documents/potential-hazard-issues-and-their-presentation-0</w:t>
        </w:r>
      </w:hyperlink>
      <w:r>
        <w:t xml:space="preserve"> </w:t>
      </w:r>
    </w:p>
  </w:footnote>
  <w:footnote w:id="6">
    <w:p w14:paraId="69247119" w14:textId="77777777" w:rsidR="003461C4" w:rsidRPr="008F5D2D" w:rsidRDefault="003461C4" w:rsidP="003461C4">
      <w:pPr>
        <w:pStyle w:val="FootnoteText"/>
        <w:rPr>
          <w:lang w:val="en-IE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See working document </w:t>
      </w:r>
      <w:r w:rsidRPr="00F82A54">
        <w:t>ST/SG/AC.10/C.4/2023/6</w:t>
      </w:r>
      <w:r>
        <w:t xml:space="preserve"> </w:t>
      </w:r>
      <w:hyperlink r:id="rId5" w:history="1">
        <w:r w:rsidRPr="00F74136">
          <w:rPr>
            <w:rStyle w:val="Hyperlink"/>
          </w:rPr>
          <w:t>https://unece.org/transport/documents/2023/04/working-documents/potential-hazard-issues-and-their-presentation</w:t>
        </w:r>
      </w:hyperlink>
      <w:r>
        <w:t xml:space="preserve">  </w:t>
      </w:r>
    </w:p>
  </w:footnote>
  <w:footnote w:id="7">
    <w:p w14:paraId="6EC1900D" w14:textId="77777777" w:rsidR="003461C4" w:rsidRPr="001A2971" w:rsidRDefault="003461C4" w:rsidP="003461C4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See informal document INF.24 (forty-third session), in particular paragraphs 3 to 6 </w:t>
      </w:r>
      <w:hyperlink r:id="rId6" w:history="1">
        <w:r w:rsidRPr="00872B6F">
          <w:rPr>
            <w:rStyle w:val="Hyperlink"/>
          </w:rPr>
          <w:t>https://unece.org/transport/documents/2022/11/informal-documents/addendum-stsgac10c4202218-unaddressed-hazards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C1D" w14:textId="4A9CCA37" w:rsidR="006A7757" w:rsidRPr="0099001C" w:rsidRDefault="00FB3B54" w:rsidP="00366CA7">
    <w:pPr>
      <w:pStyle w:val="Header"/>
    </w:pPr>
    <w:r w:rsidRPr="00774B07">
      <w:t>UN/SCEGHS/</w:t>
    </w:r>
    <w:r w:rsidR="0042566E">
      <w:t>45</w:t>
    </w:r>
    <w:r w:rsidRPr="00774B07">
      <w:t>/INF.</w:t>
    </w:r>
    <w:r w:rsidR="00A11AC9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390" w14:textId="067FA417" w:rsidR="006A7757" w:rsidRPr="0099001C" w:rsidRDefault="00FB3B54" w:rsidP="00C91DF5">
    <w:pPr>
      <w:pStyle w:val="Header"/>
      <w:jc w:val="right"/>
    </w:pPr>
    <w:r>
      <w:t>UN/SCEGHS/</w:t>
    </w:r>
    <w:r w:rsidR="00677693">
      <w:t>4</w:t>
    </w:r>
    <w:r w:rsidR="00776AFF">
      <w:t>2</w:t>
    </w:r>
    <w:r>
      <w:t>/INF</w:t>
    </w:r>
    <w:r w:rsidR="00A64E59">
      <w:t>.</w:t>
    </w:r>
    <w:r w:rsidR="00776AFF">
      <w:t>1</w:t>
    </w:r>
    <w:r w:rsidR="00957A78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BFB"/>
    <w:multiLevelType w:val="hybridMultilevel"/>
    <w:tmpl w:val="8A32377A"/>
    <w:lvl w:ilvl="0" w:tplc="416E719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6371204"/>
    <w:multiLevelType w:val="hybridMultilevel"/>
    <w:tmpl w:val="F752B3EC"/>
    <w:lvl w:ilvl="0" w:tplc="07F21EE0">
      <w:start w:val="2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DD64CD"/>
    <w:multiLevelType w:val="hybridMultilevel"/>
    <w:tmpl w:val="F84E5646"/>
    <w:lvl w:ilvl="0" w:tplc="88DE21F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110FCF"/>
    <w:multiLevelType w:val="hybridMultilevel"/>
    <w:tmpl w:val="2842F1EA"/>
    <w:lvl w:ilvl="0" w:tplc="FFFFFFFF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87348CD"/>
    <w:multiLevelType w:val="hybridMultilevel"/>
    <w:tmpl w:val="DA605064"/>
    <w:lvl w:ilvl="0" w:tplc="9F7490D2">
      <w:start w:val="1"/>
      <w:numFmt w:val="lowerRoman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873658C"/>
    <w:multiLevelType w:val="hybridMultilevel"/>
    <w:tmpl w:val="F08E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C03"/>
    <w:multiLevelType w:val="hybridMultilevel"/>
    <w:tmpl w:val="62A0F9C4"/>
    <w:lvl w:ilvl="0" w:tplc="FFFFFFFF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DFD36D6"/>
    <w:multiLevelType w:val="hybridMultilevel"/>
    <w:tmpl w:val="9FA29714"/>
    <w:lvl w:ilvl="0" w:tplc="BD9479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D06FC3"/>
    <w:multiLevelType w:val="hybridMultilevel"/>
    <w:tmpl w:val="9E1E6696"/>
    <w:lvl w:ilvl="0" w:tplc="416E71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705C"/>
    <w:multiLevelType w:val="hybridMultilevel"/>
    <w:tmpl w:val="9BF218D0"/>
    <w:lvl w:ilvl="0" w:tplc="FDC89878">
      <w:start w:val="1"/>
      <w:numFmt w:val="lowerRoman"/>
      <w:lvlText w:val="(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F35588"/>
    <w:multiLevelType w:val="hybridMultilevel"/>
    <w:tmpl w:val="0F080072"/>
    <w:lvl w:ilvl="0" w:tplc="B2F25F5C">
      <w:start w:val="1"/>
      <w:numFmt w:val="lowerRoman"/>
      <w:lvlText w:val="%1.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36110">
    <w:abstractNumId w:val="0"/>
  </w:num>
  <w:num w:numId="2" w16cid:durableId="303434813">
    <w:abstractNumId w:val="11"/>
  </w:num>
  <w:num w:numId="3" w16cid:durableId="1387416826">
    <w:abstractNumId w:val="13"/>
  </w:num>
  <w:num w:numId="4" w16cid:durableId="885065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0081153">
    <w:abstractNumId w:val="10"/>
  </w:num>
  <w:num w:numId="6" w16cid:durableId="147284631">
    <w:abstractNumId w:val="12"/>
  </w:num>
  <w:num w:numId="7" w16cid:durableId="108790452">
    <w:abstractNumId w:val="14"/>
  </w:num>
  <w:num w:numId="8" w16cid:durableId="141655173">
    <w:abstractNumId w:val="5"/>
  </w:num>
  <w:num w:numId="9" w16cid:durableId="1817449852">
    <w:abstractNumId w:val="8"/>
  </w:num>
  <w:num w:numId="10" w16cid:durableId="1355381763">
    <w:abstractNumId w:val="2"/>
  </w:num>
  <w:num w:numId="11" w16cid:durableId="459953389">
    <w:abstractNumId w:val="9"/>
  </w:num>
  <w:num w:numId="12" w16cid:durableId="1518424079">
    <w:abstractNumId w:val="1"/>
  </w:num>
  <w:num w:numId="13" w16cid:durableId="888348472">
    <w:abstractNumId w:val="6"/>
  </w:num>
  <w:num w:numId="14" w16cid:durableId="495921341">
    <w:abstractNumId w:val="3"/>
  </w:num>
  <w:num w:numId="15" w16cid:durableId="863591266">
    <w:abstractNumId w:val="4"/>
  </w:num>
  <w:num w:numId="16" w16cid:durableId="1272320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NotTrackFormatting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0F65"/>
    <w:rsid w:val="000047A9"/>
    <w:rsid w:val="00010C82"/>
    <w:rsid w:val="000137B7"/>
    <w:rsid w:val="0001631B"/>
    <w:rsid w:val="0001641A"/>
    <w:rsid w:val="00017645"/>
    <w:rsid w:val="000241D7"/>
    <w:rsid w:val="00026C33"/>
    <w:rsid w:val="000273AA"/>
    <w:rsid w:val="00051298"/>
    <w:rsid w:val="00053E14"/>
    <w:rsid w:val="00060108"/>
    <w:rsid w:val="000628A8"/>
    <w:rsid w:val="00067A00"/>
    <w:rsid w:val="00074029"/>
    <w:rsid w:val="00076982"/>
    <w:rsid w:val="0009464D"/>
    <w:rsid w:val="00094A51"/>
    <w:rsid w:val="000957E6"/>
    <w:rsid w:val="000A6B5A"/>
    <w:rsid w:val="000B20E0"/>
    <w:rsid w:val="000D1812"/>
    <w:rsid w:val="000D55C4"/>
    <w:rsid w:val="000E13C8"/>
    <w:rsid w:val="000E5D24"/>
    <w:rsid w:val="000E6559"/>
    <w:rsid w:val="000E73F5"/>
    <w:rsid w:val="000F7E74"/>
    <w:rsid w:val="0010159D"/>
    <w:rsid w:val="00101C2A"/>
    <w:rsid w:val="001158D2"/>
    <w:rsid w:val="001238FC"/>
    <w:rsid w:val="00137D32"/>
    <w:rsid w:val="00140212"/>
    <w:rsid w:val="0014281E"/>
    <w:rsid w:val="001460DF"/>
    <w:rsid w:val="00164115"/>
    <w:rsid w:val="00173B5A"/>
    <w:rsid w:val="001748FC"/>
    <w:rsid w:val="00186B57"/>
    <w:rsid w:val="001A3729"/>
    <w:rsid w:val="001A4B5C"/>
    <w:rsid w:val="001B33BB"/>
    <w:rsid w:val="001E46D7"/>
    <w:rsid w:val="001F647E"/>
    <w:rsid w:val="00202311"/>
    <w:rsid w:val="00210226"/>
    <w:rsid w:val="00213675"/>
    <w:rsid w:val="00220061"/>
    <w:rsid w:val="00221F65"/>
    <w:rsid w:val="002254B1"/>
    <w:rsid w:val="002336CA"/>
    <w:rsid w:val="00240730"/>
    <w:rsid w:val="00240FCE"/>
    <w:rsid w:val="00244420"/>
    <w:rsid w:val="00246835"/>
    <w:rsid w:val="0024696D"/>
    <w:rsid w:val="00252D72"/>
    <w:rsid w:val="0026031B"/>
    <w:rsid w:val="00265A17"/>
    <w:rsid w:val="00265C0E"/>
    <w:rsid w:val="00266138"/>
    <w:rsid w:val="00273532"/>
    <w:rsid w:val="00285BE7"/>
    <w:rsid w:val="00290D2E"/>
    <w:rsid w:val="00291834"/>
    <w:rsid w:val="002C3720"/>
    <w:rsid w:val="002C572D"/>
    <w:rsid w:val="002D4E22"/>
    <w:rsid w:val="002D6556"/>
    <w:rsid w:val="002E6104"/>
    <w:rsid w:val="002F0835"/>
    <w:rsid w:val="0030227B"/>
    <w:rsid w:val="00325A9B"/>
    <w:rsid w:val="003461C4"/>
    <w:rsid w:val="00352BB1"/>
    <w:rsid w:val="003560F6"/>
    <w:rsid w:val="0036447E"/>
    <w:rsid w:val="00364A13"/>
    <w:rsid w:val="0036543F"/>
    <w:rsid w:val="00371197"/>
    <w:rsid w:val="00377C69"/>
    <w:rsid w:val="00377F4E"/>
    <w:rsid w:val="0038227A"/>
    <w:rsid w:val="0039733F"/>
    <w:rsid w:val="003A18F9"/>
    <w:rsid w:val="003A1AA4"/>
    <w:rsid w:val="003A3101"/>
    <w:rsid w:val="003A5195"/>
    <w:rsid w:val="003B0416"/>
    <w:rsid w:val="003C10AE"/>
    <w:rsid w:val="003C35A9"/>
    <w:rsid w:val="003C6589"/>
    <w:rsid w:val="003D3707"/>
    <w:rsid w:val="003E04BD"/>
    <w:rsid w:val="003E4637"/>
    <w:rsid w:val="003F764B"/>
    <w:rsid w:val="00405563"/>
    <w:rsid w:val="004143F8"/>
    <w:rsid w:val="00422995"/>
    <w:rsid w:val="00422C6C"/>
    <w:rsid w:val="004255A7"/>
    <w:rsid w:val="0042566E"/>
    <w:rsid w:val="00430796"/>
    <w:rsid w:val="00432CBB"/>
    <w:rsid w:val="00452B5D"/>
    <w:rsid w:val="00453CF7"/>
    <w:rsid w:val="00453E49"/>
    <w:rsid w:val="0047113E"/>
    <w:rsid w:val="00471DD0"/>
    <w:rsid w:val="00477802"/>
    <w:rsid w:val="004837DB"/>
    <w:rsid w:val="004838B9"/>
    <w:rsid w:val="004A1C4D"/>
    <w:rsid w:val="004C6359"/>
    <w:rsid w:val="004D115D"/>
    <w:rsid w:val="004F2B41"/>
    <w:rsid w:val="004F3674"/>
    <w:rsid w:val="004F5690"/>
    <w:rsid w:val="00516D65"/>
    <w:rsid w:val="0052135F"/>
    <w:rsid w:val="00525972"/>
    <w:rsid w:val="005340EA"/>
    <w:rsid w:val="005341D1"/>
    <w:rsid w:val="00540D80"/>
    <w:rsid w:val="00552785"/>
    <w:rsid w:val="005663BA"/>
    <w:rsid w:val="00570F20"/>
    <w:rsid w:val="00575CE1"/>
    <w:rsid w:val="0057627A"/>
    <w:rsid w:val="00577B06"/>
    <w:rsid w:val="00586D03"/>
    <w:rsid w:val="00590111"/>
    <w:rsid w:val="005A3E43"/>
    <w:rsid w:val="005A4BB8"/>
    <w:rsid w:val="005B4DBE"/>
    <w:rsid w:val="005B5F5B"/>
    <w:rsid w:val="005C0411"/>
    <w:rsid w:val="005C2405"/>
    <w:rsid w:val="005C2CE9"/>
    <w:rsid w:val="005C600E"/>
    <w:rsid w:val="005C676A"/>
    <w:rsid w:val="005C6C1F"/>
    <w:rsid w:val="005D383A"/>
    <w:rsid w:val="005E4BC8"/>
    <w:rsid w:val="005E4C08"/>
    <w:rsid w:val="005F0ADF"/>
    <w:rsid w:val="005F47BB"/>
    <w:rsid w:val="00603A95"/>
    <w:rsid w:val="0061700D"/>
    <w:rsid w:val="00631F7C"/>
    <w:rsid w:val="006344CB"/>
    <w:rsid w:val="0063550B"/>
    <w:rsid w:val="00642FA8"/>
    <w:rsid w:val="00647A07"/>
    <w:rsid w:val="00650256"/>
    <w:rsid w:val="00650E7B"/>
    <w:rsid w:val="00665898"/>
    <w:rsid w:val="00665AE0"/>
    <w:rsid w:val="0067507C"/>
    <w:rsid w:val="00677693"/>
    <w:rsid w:val="00690432"/>
    <w:rsid w:val="00690685"/>
    <w:rsid w:val="006937A2"/>
    <w:rsid w:val="00695656"/>
    <w:rsid w:val="006A1118"/>
    <w:rsid w:val="006B1C8A"/>
    <w:rsid w:val="006B7C48"/>
    <w:rsid w:val="006C0FAB"/>
    <w:rsid w:val="006C35C3"/>
    <w:rsid w:val="006D224E"/>
    <w:rsid w:val="006D4826"/>
    <w:rsid w:val="006E0ED9"/>
    <w:rsid w:val="006E6C53"/>
    <w:rsid w:val="006F1207"/>
    <w:rsid w:val="006F796F"/>
    <w:rsid w:val="00700115"/>
    <w:rsid w:val="0071001B"/>
    <w:rsid w:val="00712F9E"/>
    <w:rsid w:val="00714EB2"/>
    <w:rsid w:val="00720043"/>
    <w:rsid w:val="007313E9"/>
    <w:rsid w:val="00731BB1"/>
    <w:rsid w:val="00746E3E"/>
    <w:rsid w:val="0075369B"/>
    <w:rsid w:val="007548CC"/>
    <w:rsid w:val="00776AFF"/>
    <w:rsid w:val="00777A93"/>
    <w:rsid w:val="0078015A"/>
    <w:rsid w:val="00791FB9"/>
    <w:rsid w:val="007936F3"/>
    <w:rsid w:val="0079650F"/>
    <w:rsid w:val="007A4C5E"/>
    <w:rsid w:val="007B3E78"/>
    <w:rsid w:val="007C2E51"/>
    <w:rsid w:val="007D5F27"/>
    <w:rsid w:val="007E0AED"/>
    <w:rsid w:val="007E2252"/>
    <w:rsid w:val="007E5F66"/>
    <w:rsid w:val="007E797B"/>
    <w:rsid w:val="00804912"/>
    <w:rsid w:val="008057F1"/>
    <w:rsid w:val="008330F8"/>
    <w:rsid w:val="00836280"/>
    <w:rsid w:val="0084211B"/>
    <w:rsid w:val="0084448F"/>
    <w:rsid w:val="008523E9"/>
    <w:rsid w:val="00856590"/>
    <w:rsid w:val="008703CA"/>
    <w:rsid w:val="008904FF"/>
    <w:rsid w:val="008A28F8"/>
    <w:rsid w:val="008A2F02"/>
    <w:rsid w:val="008B2F28"/>
    <w:rsid w:val="008B5CA6"/>
    <w:rsid w:val="008C0CA5"/>
    <w:rsid w:val="008C727E"/>
    <w:rsid w:val="008C7CE3"/>
    <w:rsid w:val="008D66A4"/>
    <w:rsid w:val="009134E3"/>
    <w:rsid w:val="009216A2"/>
    <w:rsid w:val="00922DBB"/>
    <w:rsid w:val="00924FA7"/>
    <w:rsid w:val="00934FC4"/>
    <w:rsid w:val="00944B48"/>
    <w:rsid w:val="00955AA1"/>
    <w:rsid w:val="00957A78"/>
    <w:rsid w:val="00960684"/>
    <w:rsid w:val="009705A6"/>
    <w:rsid w:val="00975131"/>
    <w:rsid w:val="009808E5"/>
    <w:rsid w:val="00986D59"/>
    <w:rsid w:val="00994A56"/>
    <w:rsid w:val="00997F6C"/>
    <w:rsid w:val="009B059B"/>
    <w:rsid w:val="009B21CE"/>
    <w:rsid w:val="009C5BE9"/>
    <w:rsid w:val="009C72DB"/>
    <w:rsid w:val="009D243C"/>
    <w:rsid w:val="009D2F1E"/>
    <w:rsid w:val="009E1573"/>
    <w:rsid w:val="009F75C6"/>
    <w:rsid w:val="00A00DE2"/>
    <w:rsid w:val="00A04628"/>
    <w:rsid w:val="00A104FE"/>
    <w:rsid w:val="00A11AC9"/>
    <w:rsid w:val="00A11B2F"/>
    <w:rsid w:val="00A13D20"/>
    <w:rsid w:val="00A1536C"/>
    <w:rsid w:val="00A244FB"/>
    <w:rsid w:val="00A2562F"/>
    <w:rsid w:val="00A26F89"/>
    <w:rsid w:val="00A317FB"/>
    <w:rsid w:val="00A33995"/>
    <w:rsid w:val="00A35A5B"/>
    <w:rsid w:val="00A37290"/>
    <w:rsid w:val="00A37B0D"/>
    <w:rsid w:val="00A402D3"/>
    <w:rsid w:val="00A42268"/>
    <w:rsid w:val="00A43BB1"/>
    <w:rsid w:val="00A46358"/>
    <w:rsid w:val="00A5736B"/>
    <w:rsid w:val="00A579E8"/>
    <w:rsid w:val="00A64E59"/>
    <w:rsid w:val="00A77DC3"/>
    <w:rsid w:val="00A82A21"/>
    <w:rsid w:val="00A87156"/>
    <w:rsid w:val="00A94A0F"/>
    <w:rsid w:val="00AA39DA"/>
    <w:rsid w:val="00AA5CA6"/>
    <w:rsid w:val="00AB194D"/>
    <w:rsid w:val="00AB5800"/>
    <w:rsid w:val="00AC2B41"/>
    <w:rsid w:val="00AC4819"/>
    <w:rsid w:val="00AC70C0"/>
    <w:rsid w:val="00AE28A5"/>
    <w:rsid w:val="00AE4666"/>
    <w:rsid w:val="00AE61B2"/>
    <w:rsid w:val="00AF6467"/>
    <w:rsid w:val="00B104D9"/>
    <w:rsid w:val="00B11660"/>
    <w:rsid w:val="00B15A36"/>
    <w:rsid w:val="00B17791"/>
    <w:rsid w:val="00B2584E"/>
    <w:rsid w:val="00B270CB"/>
    <w:rsid w:val="00B35F7D"/>
    <w:rsid w:val="00B36D9A"/>
    <w:rsid w:val="00B37916"/>
    <w:rsid w:val="00B44F68"/>
    <w:rsid w:val="00B54FD9"/>
    <w:rsid w:val="00B5694B"/>
    <w:rsid w:val="00B62BC6"/>
    <w:rsid w:val="00B6302E"/>
    <w:rsid w:val="00B63EF3"/>
    <w:rsid w:val="00B64C6E"/>
    <w:rsid w:val="00B651BB"/>
    <w:rsid w:val="00B71E6F"/>
    <w:rsid w:val="00B801B0"/>
    <w:rsid w:val="00B82285"/>
    <w:rsid w:val="00B82EAD"/>
    <w:rsid w:val="00B84C89"/>
    <w:rsid w:val="00B85E6F"/>
    <w:rsid w:val="00BA3D77"/>
    <w:rsid w:val="00BB01E4"/>
    <w:rsid w:val="00BC10EC"/>
    <w:rsid w:val="00BD270C"/>
    <w:rsid w:val="00BE329F"/>
    <w:rsid w:val="00BE68D4"/>
    <w:rsid w:val="00BF261C"/>
    <w:rsid w:val="00BF6C5F"/>
    <w:rsid w:val="00BF7328"/>
    <w:rsid w:val="00C12195"/>
    <w:rsid w:val="00C17B49"/>
    <w:rsid w:val="00C2446B"/>
    <w:rsid w:val="00C37279"/>
    <w:rsid w:val="00C439C8"/>
    <w:rsid w:val="00C47D66"/>
    <w:rsid w:val="00C7135D"/>
    <w:rsid w:val="00C7259D"/>
    <w:rsid w:val="00C7459B"/>
    <w:rsid w:val="00C74E96"/>
    <w:rsid w:val="00C81840"/>
    <w:rsid w:val="00C8264B"/>
    <w:rsid w:val="00C83179"/>
    <w:rsid w:val="00C87F32"/>
    <w:rsid w:val="00C90326"/>
    <w:rsid w:val="00C91DF5"/>
    <w:rsid w:val="00C9223E"/>
    <w:rsid w:val="00C96CF5"/>
    <w:rsid w:val="00CA1BEB"/>
    <w:rsid w:val="00CA3B86"/>
    <w:rsid w:val="00CA50D4"/>
    <w:rsid w:val="00CA5CF0"/>
    <w:rsid w:val="00CC3BD8"/>
    <w:rsid w:val="00CD3626"/>
    <w:rsid w:val="00CD45E7"/>
    <w:rsid w:val="00CE7973"/>
    <w:rsid w:val="00D053AD"/>
    <w:rsid w:val="00D054C1"/>
    <w:rsid w:val="00D16F6F"/>
    <w:rsid w:val="00D27368"/>
    <w:rsid w:val="00D34AAC"/>
    <w:rsid w:val="00D44F99"/>
    <w:rsid w:val="00D5211C"/>
    <w:rsid w:val="00D526AE"/>
    <w:rsid w:val="00D573EE"/>
    <w:rsid w:val="00D64011"/>
    <w:rsid w:val="00D64DF9"/>
    <w:rsid w:val="00D6528B"/>
    <w:rsid w:val="00D662E4"/>
    <w:rsid w:val="00D70800"/>
    <w:rsid w:val="00D913A1"/>
    <w:rsid w:val="00DA5B57"/>
    <w:rsid w:val="00DB3C76"/>
    <w:rsid w:val="00DB6CCA"/>
    <w:rsid w:val="00DC27A3"/>
    <w:rsid w:val="00DD07F6"/>
    <w:rsid w:val="00DD27D4"/>
    <w:rsid w:val="00DE354B"/>
    <w:rsid w:val="00E2125C"/>
    <w:rsid w:val="00E40B2C"/>
    <w:rsid w:val="00E46FDA"/>
    <w:rsid w:val="00E475F4"/>
    <w:rsid w:val="00E56F9E"/>
    <w:rsid w:val="00E60768"/>
    <w:rsid w:val="00E73A91"/>
    <w:rsid w:val="00E75541"/>
    <w:rsid w:val="00E83DCB"/>
    <w:rsid w:val="00E852AE"/>
    <w:rsid w:val="00E86488"/>
    <w:rsid w:val="00E91F05"/>
    <w:rsid w:val="00E9531C"/>
    <w:rsid w:val="00E95802"/>
    <w:rsid w:val="00EB4471"/>
    <w:rsid w:val="00EC4C12"/>
    <w:rsid w:val="00EC4C60"/>
    <w:rsid w:val="00F1685D"/>
    <w:rsid w:val="00F31A5F"/>
    <w:rsid w:val="00F372EC"/>
    <w:rsid w:val="00F40245"/>
    <w:rsid w:val="00F54208"/>
    <w:rsid w:val="00F708E9"/>
    <w:rsid w:val="00F75FFC"/>
    <w:rsid w:val="00F814A0"/>
    <w:rsid w:val="00F96F7E"/>
    <w:rsid w:val="00FA5492"/>
    <w:rsid w:val="00FB3B54"/>
    <w:rsid w:val="00FC53B1"/>
    <w:rsid w:val="00FC6EEB"/>
    <w:rsid w:val="00FD085D"/>
    <w:rsid w:val="00FD63D6"/>
    <w:rsid w:val="00FF22E3"/>
    <w:rsid w:val="00FF36D5"/>
    <w:rsid w:val="00FF5781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paragraph" w:styleId="ListParagraph">
    <w:name w:val="List Paragraph"/>
    <w:basedOn w:val="Normal"/>
    <w:uiPriority w:val="1"/>
    <w:qFormat/>
    <w:rsid w:val="00A77DC3"/>
    <w:pPr>
      <w:widowControl w:val="0"/>
      <w:suppressAutoHyphens w:val="0"/>
      <w:autoSpaceDE w:val="0"/>
      <w:autoSpaceDN w:val="0"/>
      <w:spacing w:line="240" w:lineRule="auto"/>
      <w:ind w:left="1632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D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8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transport/documents/2022/12/reports/report-sub-committee-experts-globally-harmonized-system" TargetMode="External"/><Relationship Id="rId2" Type="http://schemas.openxmlformats.org/officeDocument/2006/relationships/hyperlink" Target="https://unece.org/transport/documents/2022/12/informal-documents/addendum-stsgac10c4202218-unaddressed-hazard-classes" TargetMode="External"/><Relationship Id="rId1" Type="http://schemas.openxmlformats.org/officeDocument/2006/relationships/hyperlink" Target="https://unece.org/transport/documents/2022/09/working-documents/proposal-new-work-unaddressed-hazard-classes" TargetMode="External"/><Relationship Id="rId6" Type="http://schemas.openxmlformats.org/officeDocument/2006/relationships/hyperlink" Target="https://unece.org/transport/documents/2022/11/informal-documents/addendum-stsgac10c4202218-unaddressed-hazards" TargetMode="External"/><Relationship Id="rId5" Type="http://schemas.openxmlformats.org/officeDocument/2006/relationships/hyperlink" Target="https://unece.org/transport/documents/2023/04/working-documents/potential-hazard-issues-and-their-presentation" TargetMode="External"/><Relationship Id="rId4" Type="http://schemas.openxmlformats.org/officeDocument/2006/relationships/hyperlink" Target="https://unece.org/transport/documents/2023/07/informal-documents/potential-hazard-issues-and-their-presenta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909B-D0A5-45AE-87DD-4430318ACD96}"/>
</file>

<file path=customXml/itemProps4.xml><?xml version="1.0" encoding="utf-8"?>
<ds:datastoreItem xmlns:ds="http://schemas.openxmlformats.org/officeDocument/2006/customXml" ds:itemID="{4571DCE7-3E33-4D88-BFCF-6623CF7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PHI-IWG status of work report</vt:lpstr>
      <vt:lpstr>PHI-IWG status of work report</vt:lpstr>
      <vt:lpstr/>
    </vt:vector>
  </TitlesOfParts>
  <Manager>EU</Manager>
  <Company>ECE-ISU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PHI-IWG status of work report</dc:title>
  <dc:subject>GHS</dc:subject>
  <dc:creator>PHI-IWG</dc:creator>
  <cp:lastModifiedBy>Rosa Garcia Couto</cp:lastModifiedBy>
  <cp:revision>6</cp:revision>
  <cp:lastPrinted>2022-06-21T09:49:00Z</cp:lastPrinted>
  <dcterms:created xsi:type="dcterms:W3CDTF">2023-11-29T14:54:00Z</dcterms:created>
  <dcterms:modified xsi:type="dcterms:W3CDTF">2023-11-29T15:41:00Z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2022-10-14T14:59:06Z</vt:lpwstr>
  </property>
  <property fmtid="{D5CDD505-2E9C-101B-9397-08002B2CF9AE}" pid="6" name="MSIP_Label_6bd9ddd1-4d20-43f6-abfa-fc3c07406f94_Method">
    <vt:lpwstr>Privileged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46a0f87b-799b-4998-968b-440367b7870b</vt:lpwstr>
  </property>
  <property fmtid="{D5CDD505-2E9C-101B-9397-08002B2CF9AE}" pid="10" name="MSIP_Label_6bd9ddd1-4d20-43f6-abfa-fc3c07406f94_ContentBits">
    <vt:lpwstr>0</vt:lpwstr>
  </property>
  <property fmtid="{D5CDD505-2E9C-101B-9397-08002B2CF9AE}" pid="12" name="gba66df640194346a5267c50f24d4797">
    <vt:lpwstr/>
  </property>
  <property fmtid="{D5CDD505-2E9C-101B-9397-08002B2CF9AE}" pid="13" name="Office_x0020_of_x0020_Origin">
    <vt:lpwstr/>
  </property>
  <property fmtid="{D5CDD505-2E9C-101B-9397-08002B2CF9AE}" pid="14" name="Office of Origin">
    <vt:lpwstr/>
  </property>
</Properties>
</file>