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D5A5C" w14:paraId="1DE4A456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56CC33" w14:textId="77777777" w:rsidR="006D5A5C" w:rsidRPr="006D5A5C" w:rsidRDefault="006D5A5C" w:rsidP="006D5A5C">
            <w:pPr>
              <w:jc w:val="right"/>
              <w:rPr>
                <w:lang w:val="en-US"/>
              </w:rPr>
            </w:pPr>
            <w:r w:rsidRPr="006D5A5C">
              <w:rPr>
                <w:sz w:val="40"/>
                <w:lang w:val="en-US"/>
              </w:rPr>
              <w:t>E</w:t>
            </w:r>
            <w:r w:rsidRPr="006D5A5C">
              <w:rPr>
                <w:lang w:val="en-US"/>
              </w:rPr>
              <w:t>/ECE/324/Rev.1/Add.82/Rev.3/Amend.11−</w:t>
            </w:r>
            <w:r w:rsidRPr="006D5A5C">
              <w:rPr>
                <w:sz w:val="40"/>
                <w:lang w:val="en-US"/>
              </w:rPr>
              <w:t>E</w:t>
            </w:r>
            <w:r w:rsidRPr="006D5A5C">
              <w:rPr>
                <w:lang w:val="en-US"/>
              </w:rPr>
              <w:t>/ECE/TRANS/505/Rev.1/Add.82/Rev.3/Amend.11</w:t>
            </w:r>
          </w:p>
        </w:tc>
      </w:tr>
      <w:tr w:rsidR="00421A10" w:rsidRPr="00DB58B5" w14:paraId="5E5D5A6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81289E" w14:textId="77777777" w:rsidR="00421A10" w:rsidRPr="006D5A5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002A23" w14:textId="6A391366" w:rsidR="00421A10" w:rsidRPr="00DB58B5" w:rsidRDefault="006D5A5C" w:rsidP="00A27C92">
            <w:pPr>
              <w:spacing w:before="480" w:line="240" w:lineRule="exact"/>
            </w:pPr>
            <w:r>
              <w:t>19 juin 2023</w:t>
            </w:r>
          </w:p>
        </w:tc>
      </w:tr>
    </w:tbl>
    <w:p w14:paraId="3E620B8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260A895" w14:textId="6A791A46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6D5A5C">
        <w:rPr>
          <w:bCs/>
          <w:lang w:val="fr-FR"/>
        </w:rPr>
        <w:t xml:space="preserve">de Règlements techniques harmonisés de l’ONU </w:t>
      </w:r>
      <w:r w:rsidR="006D5A5C" w:rsidRPr="00AF5458">
        <w:rPr>
          <w:bCs/>
          <w:spacing w:val="-4"/>
          <w:lang w:val="fr-FR"/>
        </w:rPr>
        <w:t>applicables aux véhicules à roues et aux équipements et pièces susceptibles</w:t>
      </w:r>
      <w:r w:rsidR="006D5A5C">
        <w:rPr>
          <w:bCs/>
          <w:lang w:val="fr-FR"/>
        </w:rPr>
        <w:t xml:space="preserve"> d’être montés ou utilisés sur les véhicules à roues et les conditions de reconnaissance réciproque des homologations délivrées conformément à ces Règlements</w:t>
      </w:r>
      <w:r w:rsidR="00442E31" w:rsidRPr="006D5A5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1304FF7" w14:textId="20791E5F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6D5A5C">
        <w:t> </w:t>
      </w:r>
      <w:r w:rsidR="006D5A5C">
        <w:t>3, comprenant les amendements entrés en vigueur le 14</w:t>
      </w:r>
      <w:r w:rsidR="006D5A5C">
        <w:t> </w:t>
      </w:r>
      <w:r w:rsidR="006D5A5C">
        <w:t>septembre 2017</w:t>
      </w:r>
      <w:r w:rsidRPr="006549FF">
        <w:t>)</w:t>
      </w:r>
    </w:p>
    <w:p w14:paraId="1578AFE4" w14:textId="77777777" w:rsidR="00421A10" w:rsidRPr="006549FF" w:rsidRDefault="0029791D" w:rsidP="0029791D">
      <w:pPr>
        <w:jc w:val="center"/>
      </w:pPr>
      <w:r>
        <w:t>_______________</w:t>
      </w:r>
    </w:p>
    <w:p w14:paraId="52008CA7" w14:textId="2C80EF09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</w:t>
      </w:r>
      <w:r w:rsidR="006D5A5C">
        <w:t>if 82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D5A5C">
        <w:t>83</w:t>
      </w:r>
    </w:p>
    <w:p w14:paraId="7A20BFCD" w14:textId="09E4F5D0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6D5A5C">
        <w:t> </w:t>
      </w:r>
      <w:r w:rsidR="006D5A5C">
        <w:t>3</w:t>
      </w:r>
      <w:r w:rsidR="006D5A5C" w:rsidRPr="00EB1F9D">
        <w:t xml:space="preserve"> </w:t>
      </w:r>
      <w:r w:rsidR="00AF5458">
        <w:rPr>
          <w:bCs/>
          <w:lang w:val="fr-FR"/>
        </w:rPr>
        <w:t>−</w:t>
      </w:r>
      <w:r w:rsidR="006D5A5C" w:rsidRPr="00EB1F9D">
        <w:t xml:space="preserve"> Amendement</w:t>
      </w:r>
      <w:r w:rsidR="006D5A5C">
        <w:t> </w:t>
      </w:r>
      <w:r w:rsidR="006D5A5C">
        <w:t>11</w:t>
      </w:r>
    </w:p>
    <w:p w14:paraId="556B1335" w14:textId="27A75370" w:rsidR="00421A10" w:rsidRPr="004A7E44" w:rsidRDefault="00421A10" w:rsidP="0029791D">
      <w:pPr>
        <w:pStyle w:val="SingleTxtG"/>
        <w:spacing w:after="0"/>
      </w:pPr>
      <w:r w:rsidRPr="004A7E44">
        <w:t>Comp</w:t>
      </w:r>
      <w:r w:rsidR="006D5A5C">
        <w:t>lément </w:t>
      </w:r>
      <w:r w:rsidR="006D5A5C">
        <w:rPr>
          <w:lang w:val="fr-FR"/>
        </w:rPr>
        <w:t>16 à la série</w:t>
      </w:r>
      <w:r w:rsidR="006D5A5C">
        <w:rPr>
          <w:lang w:val="fr-FR"/>
        </w:rPr>
        <w:t> </w:t>
      </w:r>
      <w:r w:rsidR="006D5A5C">
        <w:rPr>
          <w:lang w:val="fr-FR"/>
        </w:rPr>
        <w:t xml:space="preserve">05 d’amendements </w:t>
      </w:r>
      <w:r w:rsidR="006D5A5C">
        <w:rPr>
          <w:lang w:val="fr-FR"/>
        </w:rPr>
        <w:t>−</w:t>
      </w:r>
      <w:r w:rsidR="006D5A5C">
        <w:rPr>
          <w:lang w:val="fr-FR"/>
        </w:rPr>
        <w:t xml:space="preserve"> Date d’entrée en vigueur : 5</w:t>
      </w:r>
      <w:r w:rsidR="006D5A5C">
        <w:rPr>
          <w:lang w:val="fr-FR"/>
        </w:rPr>
        <w:t> </w:t>
      </w:r>
      <w:r w:rsidR="006D5A5C">
        <w:rPr>
          <w:lang w:val="fr-FR"/>
        </w:rPr>
        <w:t>juin 2023</w:t>
      </w:r>
    </w:p>
    <w:p w14:paraId="546002CD" w14:textId="2791D3BD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D5A5C">
        <w:rPr>
          <w:bCs/>
          <w:lang w:val="fr-FR"/>
        </w:rPr>
        <w:t xml:space="preserve">à l’homologation des véhicules </w:t>
      </w:r>
      <w:r w:rsidR="006D5A5C">
        <w:rPr>
          <w:bCs/>
          <w:lang w:val="fr-FR"/>
        </w:rPr>
        <w:br/>
      </w:r>
      <w:r w:rsidR="006D5A5C">
        <w:rPr>
          <w:bCs/>
          <w:lang w:val="fr-FR"/>
        </w:rPr>
        <w:t>en ce qui concerne les émissions de polluants selon les exigences du</w:t>
      </w:r>
      <w:r w:rsidR="006D5A5C">
        <w:rPr>
          <w:bCs/>
          <w:lang w:val="fr-FR"/>
        </w:rPr>
        <w:t> </w:t>
      </w:r>
      <w:r w:rsidR="006D5A5C">
        <w:rPr>
          <w:bCs/>
          <w:lang w:val="fr-FR"/>
        </w:rPr>
        <w:t>moteur en matière de carburant</w:t>
      </w:r>
    </w:p>
    <w:p w14:paraId="02585ADA" w14:textId="362AC13D" w:rsidR="006D5A5C" w:rsidRDefault="006D5A5C" w:rsidP="006D5A5C">
      <w:pPr>
        <w:pStyle w:val="SingleTxtG"/>
      </w:pPr>
      <w:r>
        <w:rPr>
          <w:lang w:val="fr-FR"/>
        </w:rPr>
        <w:t>Le présent document est communiqué uniquement à titre d’information. Le texte authentique, juridiquement contraignant, est celui du document ECE/TRANS/WP.29/2022/134.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479F8" wp14:editId="2B77EB3A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76AF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AFCF8D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06A55C5" wp14:editId="5A692C0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2D461" w14:textId="29ABC531" w:rsidR="00442E31" w:rsidRDefault="00AF5458" w:rsidP="00C652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 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479F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565376AF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AFCF8D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06A55C5" wp14:editId="5A692C0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2D461" w14:textId="29ABC531" w:rsidR="00442E31" w:rsidRDefault="00AF5458" w:rsidP="00C6525D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NATIONS 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A211A6" w14:textId="77777777" w:rsidR="006D5A5C" w:rsidRDefault="006D5A5C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47A86AD5" w14:textId="788289FB" w:rsidR="006D5A5C" w:rsidRPr="00B816D5" w:rsidRDefault="006D5A5C" w:rsidP="006D5A5C">
      <w:pPr>
        <w:pStyle w:val="SingleTxtG"/>
        <w:rPr>
          <w:rFonts w:eastAsia="MS Mincho"/>
        </w:rPr>
      </w:pPr>
      <w:r w:rsidRPr="0076548F">
        <w:rPr>
          <w:i/>
          <w:iCs/>
          <w:lang w:val="fr-FR"/>
        </w:rPr>
        <w:lastRenderedPageBreak/>
        <w:t>Appendice</w:t>
      </w:r>
      <w:r w:rsidR="00AF5458">
        <w:rPr>
          <w:i/>
          <w:iCs/>
          <w:lang w:val="fr-FR"/>
        </w:rPr>
        <w:t> </w:t>
      </w:r>
      <w:r w:rsidRPr="0076548F">
        <w:rPr>
          <w:i/>
          <w:iCs/>
          <w:lang w:val="fr-FR"/>
        </w:rPr>
        <w:t>2, paragraphe</w:t>
      </w:r>
      <w:r w:rsidR="00AF5458">
        <w:rPr>
          <w:i/>
          <w:iCs/>
          <w:lang w:val="fr-FR"/>
        </w:rPr>
        <w:t> </w:t>
      </w:r>
      <w:r w:rsidRPr="0076548F">
        <w:rPr>
          <w:i/>
          <w:iCs/>
          <w:lang w:val="fr-FR"/>
        </w:rPr>
        <w:t>6</w:t>
      </w:r>
      <w:r>
        <w:rPr>
          <w:lang w:val="fr-FR"/>
        </w:rPr>
        <w:t xml:space="preserve">, </w:t>
      </w:r>
      <w:r w:rsidRPr="00EE4518">
        <w:rPr>
          <w:lang w:val="fr-FR"/>
        </w:rPr>
        <w:t>lire :</w:t>
      </w:r>
    </w:p>
    <w:p w14:paraId="231747D2" w14:textId="77777777" w:rsidR="006D5A5C" w:rsidRDefault="006D5A5C" w:rsidP="006D5A5C">
      <w:pPr>
        <w:pStyle w:val="SingleTxtG"/>
        <w:ind w:left="2268" w:hanging="1134"/>
        <w:rPr>
          <w:rFonts w:eastAsia="MS Mincho"/>
        </w:rPr>
      </w:pPr>
      <w:r>
        <w:rPr>
          <w:lang w:val="fr-FR"/>
        </w:rPr>
        <w:t>« 6.</w:t>
      </w:r>
      <w:r>
        <w:rPr>
          <w:lang w:val="fr-FR"/>
        </w:rPr>
        <w:tab/>
        <w:t>Remarques</w:t>
      </w:r>
    </w:p>
    <w:p w14:paraId="4F2AFFFB" w14:textId="77777777" w:rsidR="006D5A5C" w:rsidRPr="00695603" w:rsidRDefault="006D5A5C" w:rsidP="006D5A5C">
      <w:pPr>
        <w:pStyle w:val="SingleTxtG"/>
        <w:ind w:left="2268"/>
        <w:rPr>
          <w:lang w:val="fr-FR"/>
        </w:rPr>
      </w:pPr>
      <w:r>
        <w:rPr>
          <w:lang w:val="fr-FR"/>
        </w:rPr>
        <w:t>Les formules de récurrence suivantes sont utiles pour calculer les valeurs successives de la variable d’essai :</w:t>
      </w:r>
    </w:p>
    <w:p w14:paraId="3FAB1EF8" w14:textId="77777777" w:rsidR="006D5A5C" w:rsidRDefault="006D5A5C" w:rsidP="006D5A5C">
      <w:pPr>
        <w:rPr>
          <w:strike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Cs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</w:rPr>
                    <m:t>d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</w:rPr>
            <m:t>=</m:t>
          </m:r>
          <m:d>
            <m:dPr>
              <m:ctrlPr>
                <w:rPr>
                  <w:rFonts w:ascii="Cambria Math" w:eastAsia="MS Mincho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S Mincho" w:hAnsi="Cambria Math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Cs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</w:rPr>
                    <m:t>d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</w:rPr>
            <m:t>+</m:t>
          </m:r>
          <m:f>
            <m:fPr>
              <m:ctrlPr>
                <w:rPr>
                  <w:rFonts w:ascii="Cambria Math" w:eastAsia="MS Mincho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n</m:t>
              </m:r>
            </m:sub>
          </m:sSub>
        </m:oMath>
      </m:oMathPara>
    </w:p>
    <w:p w14:paraId="22CFE151" w14:textId="77777777" w:rsidR="006D5A5C" w:rsidRPr="00EE4518" w:rsidRDefault="006D5A5C" w:rsidP="006D5A5C">
      <w:pPr>
        <w:rPr>
          <w:bCs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bCs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bCs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Cs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n-1</m:t>
              </m:r>
            </m:den>
          </m:f>
        </m:oMath>
      </m:oMathPara>
    </w:p>
    <w:p w14:paraId="1C03B65F" w14:textId="77777777" w:rsidR="006D5A5C" w:rsidRPr="00B83465" w:rsidRDefault="006D5A5C" w:rsidP="006D5A5C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n=2, 3, … ; 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; 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e>
          </m:d>
        </m:oMath>
      </m:oMathPara>
    </w:p>
    <w:p w14:paraId="55781B19" w14:textId="77777777" w:rsidR="006D5A5C" w:rsidRDefault="006D5A5C" w:rsidP="006D5A5C">
      <w:pPr>
        <w:pStyle w:val="SingleTxtG"/>
        <w:ind w:left="2268"/>
        <w:rPr>
          <w:i/>
          <w:iCs/>
          <w:lang w:val="fr-FR"/>
        </w:rPr>
      </w:pPr>
      <w:r>
        <w:rPr>
          <w:lang w:val="fr-FR"/>
        </w:rPr>
        <w:t>... ».</w:t>
      </w:r>
    </w:p>
    <w:p w14:paraId="7BB47DF2" w14:textId="3324B083" w:rsidR="006D5A5C" w:rsidRPr="0094253A" w:rsidRDefault="006D5A5C" w:rsidP="006D5A5C">
      <w:pPr>
        <w:pStyle w:val="SingleTxtG"/>
        <w:rPr>
          <w:rFonts w:eastAsia="MS Mincho"/>
          <w:bCs/>
          <w:i/>
          <w:iCs/>
          <w:lang w:val="fr-FR"/>
        </w:rPr>
      </w:pPr>
      <w:r w:rsidRPr="0094253A">
        <w:rPr>
          <w:i/>
          <w:iCs/>
          <w:lang w:val="fr-FR"/>
        </w:rPr>
        <w:t>Annexe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4a</w:t>
      </w:r>
    </w:p>
    <w:p w14:paraId="5650B462" w14:textId="77777777" w:rsidR="006D5A5C" w:rsidRPr="0094253A" w:rsidRDefault="006D5A5C" w:rsidP="006D5A5C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 1, paragraphe 1</w:t>
      </w:r>
      <w:r w:rsidRPr="0094253A">
        <w:rPr>
          <w:lang w:val="fr-FR"/>
        </w:rPr>
        <w:t>, lire :</w:t>
      </w:r>
    </w:p>
    <w:p w14:paraId="7124FD06" w14:textId="77777777" w:rsidR="006D5A5C" w:rsidRPr="0094253A" w:rsidRDefault="006D5A5C" w:rsidP="006D5A5C">
      <w:pPr>
        <w:pStyle w:val="SingleTxtG"/>
        <w:ind w:left="2268" w:hanging="1134"/>
        <w:rPr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Description</w:t>
      </w:r>
    </w:p>
    <w:p w14:paraId="330BBED3" w14:textId="77777777" w:rsidR="006D5A5C" w:rsidRPr="0094253A" w:rsidRDefault="006D5A5C" w:rsidP="006D5A5C">
      <w:pPr>
        <w:pStyle w:val="SingleTxtG"/>
        <w:ind w:left="2268" w:hanging="1134"/>
        <w:rPr>
          <w:bCs/>
          <w:lang w:val="fr-FR"/>
        </w:rPr>
      </w:pPr>
      <w:r w:rsidRPr="0094253A">
        <w:rPr>
          <w:lang w:val="fr-FR"/>
        </w:rPr>
        <w:t>1.1</w:t>
      </w:r>
      <w:r w:rsidRPr="0094253A">
        <w:rPr>
          <w:lang w:val="fr-FR"/>
        </w:rPr>
        <w:tab/>
        <w:t>Prescriptions générales</w:t>
      </w:r>
    </w:p>
    <w:p w14:paraId="64A47101" w14:textId="77777777" w:rsidR="006D5A5C" w:rsidRPr="00EE4518" w:rsidRDefault="006D5A5C" w:rsidP="006D5A5C">
      <w:pPr>
        <w:pStyle w:val="SingleTxtG"/>
        <w:ind w:left="2268"/>
        <w:rPr>
          <w:rFonts w:eastAsia="MS PGothic"/>
          <w:color w:val="000000"/>
          <w:lang w:val="fr-FR"/>
        </w:rPr>
      </w:pPr>
      <w:r>
        <w:rPr>
          <w:lang w:val="fr-FR"/>
        </w:rPr>
        <w:t>L</w:t>
      </w:r>
      <w:r w:rsidRPr="00EE4518">
        <w:rPr>
          <w:lang w:val="fr-FR"/>
        </w:rPr>
        <w:t>es appareillages d</w:t>
      </w:r>
      <w:r>
        <w:rPr>
          <w:lang w:val="fr-FR"/>
        </w:rPr>
        <w:t>’</w:t>
      </w:r>
      <w:r w:rsidRPr="00EE4518">
        <w:rPr>
          <w:lang w:val="fr-FR"/>
        </w:rPr>
        <w:t xml:space="preserve">essai et de mesure </w:t>
      </w:r>
      <w:r>
        <w:rPr>
          <w:lang w:val="fr-FR"/>
        </w:rPr>
        <w:t xml:space="preserve">doivent être </w:t>
      </w:r>
      <w:r w:rsidRPr="00EE4518">
        <w:rPr>
          <w:lang w:val="fr-FR"/>
        </w:rPr>
        <w:t>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>
        <w:rPr>
          <w:lang w:val="fr-FR"/>
        </w:rPr>
        <w:t>’</w:t>
      </w:r>
      <w:r w:rsidRPr="00EE4518">
        <w:rPr>
          <w:lang w:val="fr-FR"/>
        </w:rPr>
        <w:t xml:space="preserve">amendements, </w:t>
      </w:r>
      <w:r>
        <w:rPr>
          <w:lang w:val="fr-FR"/>
        </w:rPr>
        <w:t>ou, à défaut, aux</w:t>
      </w:r>
      <w:r w:rsidRPr="00EE4518">
        <w:rPr>
          <w:lang w:val="fr-FR"/>
        </w:rPr>
        <w:t xml:space="preserve"> prescriptions suivantes</w:t>
      </w:r>
      <w:r>
        <w:rPr>
          <w:lang w:val="fr-FR"/>
        </w:rPr>
        <w:t> </w:t>
      </w:r>
      <w:r w:rsidRPr="00EE4518">
        <w:rPr>
          <w:lang w:val="fr-FR"/>
        </w:rPr>
        <w:t>:</w:t>
      </w:r>
    </w:p>
    <w:p w14:paraId="139010BA" w14:textId="77777777" w:rsidR="006D5A5C" w:rsidRPr="0094253A" w:rsidRDefault="006D5A5C" w:rsidP="006D5A5C">
      <w:pPr>
        <w:pStyle w:val="SingleTxtG"/>
        <w:ind w:left="2268" w:hanging="1134"/>
        <w:rPr>
          <w:rFonts w:eastAsia="MS Mincho"/>
          <w:lang w:val="fr-FR"/>
        </w:rPr>
      </w:pPr>
      <w:r w:rsidRPr="0094253A">
        <w:rPr>
          <w:lang w:val="fr-FR"/>
        </w:rPr>
        <w:t>1.1.1</w:t>
      </w:r>
      <w:r w:rsidRPr="0094253A">
        <w:rPr>
          <w:lang w:val="fr-FR"/>
        </w:rPr>
        <w:tab/>
        <w:t>Le banc doit permettre de simuler la résistance à l</w:t>
      </w:r>
      <w:r>
        <w:rPr>
          <w:lang w:val="fr-FR"/>
        </w:rPr>
        <w:t>’</w:t>
      </w:r>
      <w:r w:rsidRPr="0094253A">
        <w:rPr>
          <w:lang w:val="fr-FR"/>
        </w:rPr>
        <w:t>avancement sur route et appartenir à l</w:t>
      </w:r>
      <w:r>
        <w:rPr>
          <w:lang w:val="fr-FR"/>
        </w:rPr>
        <w:t>’</w:t>
      </w:r>
      <w:r w:rsidRPr="0094253A">
        <w:rPr>
          <w:lang w:val="fr-FR"/>
        </w:rPr>
        <w:t>un des deux types suivants : ... ».</w:t>
      </w:r>
    </w:p>
    <w:p w14:paraId="18DE6F7D" w14:textId="4E35B06A" w:rsidR="006D5A5C" w:rsidRPr="0094253A" w:rsidRDefault="006D5A5C" w:rsidP="006D5A5C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2, paragraphe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1.2</w:t>
      </w:r>
      <w:r w:rsidRPr="0094253A">
        <w:rPr>
          <w:lang w:val="fr-FR"/>
        </w:rPr>
        <w:t>, lire :</w:t>
      </w:r>
    </w:p>
    <w:p w14:paraId="2867BF91" w14:textId="77777777" w:rsidR="006D5A5C" w:rsidRPr="0094253A" w:rsidRDefault="006D5A5C" w:rsidP="006D5A5C">
      <w:pPr>
        <w:pStyle w:val="SingleTxtG"/>
        <w:ind w:left="2268" w:hanging="1134"/>
        <w:rPr>
          <w:lang w:val="fr-FR"/>
        </w:rPr>
      </w:pPr>
      <w:r w:rsidRPr="0094253A">
        <w:rPr>
          <w:lang w:val="fr-FR"/>
        </w:rPr>
        <w:t>« 1.2</w:t>
      </w:r>
      <w:r w:rsidRPr="0094253A">
        <w:rPr>
          <w:lang w:val="fr-FR"/>
        </w:rPr>
        <w:tab/>
        <w:t>Prescriptions générales</w:t>
      </w:r>
    </w:p>
    <w:p w14:paraId="2F2CD726" w14:textId="77777777" w:rsidR="006D5A5C" w:rsidRPr="00EE4518" w:rsidRDefault="006D5A5C" w:rsidP="006D5A5C">
      <w:pPr>
        <w:pStyle w:val="SingleTxtG"/>
        <w:ind w:left="2268"/>
        <w:rPr>
          <w:color w:val="000000"/>
          <w:lang w:val="fr-FR"/>
        </w:rPr>
      </w:pPr>
      <w:r>
        <w:rPr>
          <w:lang w:val="fr-FR"/>
        </w:rPr>
        <w:t>L</w:t>
      </w:r>
      <w:r w:rsidRPr="00EE4518">
        <w:rPr>
          <w:lang w:val="fr-FR"/>
        </w:rPr>
        <w:t>es appareillages d</w:t>
      </w:r>
      <w:r>
        <w:rPr>
          <w:lang w:val="fr-FR"/>
        </w:rPr>
        <w:t>’</w:t>
      </w:r>
      <w:r w:rsidRPr="00EE4518">
        <w:rPr>
          <w:lang w:val="fr-FR"/>
        </w:rPr>
        <w:t xml:space="preserve">essai et de mesure </w:t>
      </w:r>
      <w:r>
        <w:rPr>
          <w:lang w:val="fr-FR"/>
        </w:rPr>
        <w:t xml:space="preserve">doivent être </w:t>
      </w:r>
      <w:r w:rsidRPr="00EE4518">
        <w:rPr>
          <w:lang w:val="fr-FR"/>
        </w:rPr>
        <w:t>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>
        <w:rPr>
          <w:lang w:val="fr-FR"/>
        </w:rPr>
        <w:t>’</w:t>
      </w:r>
      <w:r w:rsidRPr="00EE4518">
        <w:rPr>
          <w:lang w:val="fr-FR"/>
        </w:rPr>
        <w:t xml:space="preserve">amendements, </w:t>
      </w:r>
      <w:r>
        <w:rPr>
          <w:lang w:val="fr-FR"/>
        </w:rPr>
        <w:t>ou, à défaut, aux</w:t>
      </w:r>
      <w:r w:rsidRPr="00EE4518">
        <w:rPr>
          <w:lang w:val="fr-FR"/>
        </w:rPr>
        <w:t xml:space="preserve"> prescriptions suivantes</w:t>
      </w:r>
      <w:r>
        <w:rPr>
          <w:lang w:val="fr-FR"/>
        </w:rPr>
        <w:t> </w:t>
      </w:r>
      <w:r w:rsidRPr="00EE4518">
        <w:rPr>
          <w:lang w:val="fr-FR"/>
        </w:rPr>
        <w:t>:</w:t>
      </w:r>
    </w:p>
    <w:p w14:paraId="66468C7E" w14:textId="77777777" w:rsidR="006D5A5C" w:rsidRPr="0094253A" w:rsidRDefault="006D5A5C" w:rsidP="006D5A5C">
      <w:pPr>
        <w:pStyle w:val="SingleTxtG"/>
        <w:ind w:left="2268"/>
        <w:rPr>
          <w:rFonts w:eastAsia="MS PGothic"/>
          <w:color w:val="000000"/>
          <w:lang w:val="fr-FR"/>
        </w:rPr>
      </w:pPr>
      <w:r w:rsidRPr="0094253A">
        <w:rPr>
          <w:lang w:val="fr-FR"/>
        </w:rPr>
        <w:t>... ».</w:t>
      </w:r>
    </w:p>
    <w:p w14:paraId="3B88A6C0" w14:textId="6DA42C36" w:rsidR="006D5A5C" w:rsidRPr="0094253A" w:rsidRDefault="006D5A5C" w:rsidP="006D5A5C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3, paragraphe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1</w:t>
      </w:r>
      <w:r w:rsidRPr="0094253A">
        <w:rPr>
          <w:lang w:val="fr-FR"/>
        </w:rPr>
        <w:t>, lire :</w:t>
      </w:r>
    </w:p>
    <w:p w14:paraId="0471D996" w14:textId="77777777" w:rsidR="006D5A5C" w:rsidRPr="0094253A" w:rsidRDefault="006D5A5C" w:rsidP="006D5A5C">
      <w:pPr>
        <w:pStyle w:val="SingleTxtG"/>
        <w:ind w:left="2268" w:hanging="1134"/>
        <w:rPr>
          <w:bCs/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Description</w:t>
      </w:r>
    </w:p>
    <w:p w14:paraId="1EB50E0F" w14:textId="77777777" w:rsidR="006D5A5C" w:rsidRPr="00EE4518" w:rsidRDefault="006D5A5C" w:rsidP="006D5A5C">
      <w:pPr>
        <w:pStyle w:val="SingleTxtG"/>
        <w:ind w:left="2268"/>
        <w:rPr>
          <w:color w:val="000000"/>
          <w:lang w:val="fr-FR"/>
        </w:rPr>
      </w:pPr>
      <w:r>
        <w:rPr>
          <w:lang w:val="fr-FR"/>
        </w:rPr>
        <w:t>L</w:t>
      </w:r>
      <w:r w:rsidRPr="00EE4518">
        <w:rPr>
          <w:lang w:val="fr-FR"/>
        </w:rPr>
        <w:t>es appareillages d</w:t>
      </w:r>
      <w:r>
        <w:rPr>
          <w:lang w:val="fr-FR"/>
        </w:rPr>
        <w:t>’</w:t>
      </w:r>
      <w:r w:rsidRPr="00EE4518">
        <w:rPr>
          <w:lang w:val="fr-FR"/>
        </w:rPr>
        <w:t xml:space="preserve">essai et de mesure </w:t>
      </w:r>
      <w:r>
        <w:rPr>
          <w:lang w:val="fr-FR"/>
        </w:rPr>
        <w:t xml:space="preserve">doivent être </w:t>
      </w:r>
      <w:r w:rsidRPr="00EE4518">
        <w:rPr>
          <w:lang w:val="fr-FR"/>
        </w:rPr>
        <w:t>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>
        <w:rPr>
          <w:lang w:val="fr-FR"/>
        </w:rPr>
        <w:t>’</w:t>
      </w:r>
      <w:r w:rsidRPr="00EE4518">
        <w:rPr>
          <w:lang w:val="fr-FR"/>
        </w:rPr>
        <w:t xml:space="preserve">amendements, </w:t>
      </w:r>
      <w:r>
        <w:rPr>
          <w:lang w:val="fr-FR"/>
        </w:rPr>
        <w:t>ou, à défaut</w:t>
      </w:r>
      <w:r w:rsidRPr="00EE4518">
        <w:rPr>
          <w:lang w:val="fr-FR"/>
        </w:rPr>
        <w:t xml:space="preserve">, </w:t>
      </w:r>
      <w:r>
        <w:rPr>
          <w:lang w:val="fr-FR"/>
        </w:rPr>
        <w:t>aux</w:t>
      </w:r>
      <w:r w:rsidRPr="00EE4518">
        <w:rPr>
          <w:lang w:val="fr-FR"/>
        </w:rPr>
        <w:t xml:space="preserve"> prescriptions suivantes</w:t>
      </w:r>
      <w:r>
        <w:rPr>
          <w:lang w:val="fr-FR"/>
        </w:rPr>
        <w:t> </w:t>
      </w:r>
      <w:r w:rsidRPr="00EE4518">
        <w:rPr>
          <w:lang w:val="fr-FR"/>
        </w:rPr>
        <w:t>:</w:t>
      </w:r>
    </w:p>
    <w:p w14:paraId="22E922A1" w14:textId="77777777" w:rsidR="006D5A5C" w:rsidRPr="0094253A" w:rsidRDefault="006D5A5C" w:rsidP="006D5A5C">
      <w:pPr>
        <w:pStyle w:val="SingleTxtG"/>
        <w:ind w:left="2268"/>
        <w:rPr>
          <w:rFonts w:eastAsia="MS PGothic"/>
          <w:color w:val="000000"/>
          <w:lang w:val="fr-FR"/>
        </w:rPr>
      </w:pPr>
      <w:r w:rsidRPr="0094253A">
        <w:rPr>
          <w:lang w:val="fr-FR"/>
        </w:rPr>
        <w:t>... ».</w:t>
      </w:r>
    </w:p>
    <w:p w14:paraId="64E23169" w14:textId="14AD0521" w:rsidR="006D5A5C" w:rsidRPr="0094253A" w:rsidRDefault="006D5A5C" w:rsidP="006D5A5C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4, paragraphe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1</w:t>
      </w:r>
      <w:r w:rsidRPr="0094253A">
        <w:rPr>
          <w:lang w:val="fr-FR"/>
        </w:rPr>
        <w:t>, lire :</w:t>
      </w:r>
    </w:p>
    <w:p w14:paraId="548E6874" w14:textId="77777777" w:rsidR="006D5A5C" w:rsidRPr="0094253A" w:rsidRDefault="006D5A5C" w:rsidP="006D5A5C">
      <w:pPr>
        <w:pStyle w:val="SingleTxtG"/>
        <w:ind w:left="2268" w:hanging="1134"/>
        <w:rPr>
          <w:bCs/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Description</w:t>
      </w:r>
    </w:p>
    <w:p w14:paraId="764A05C6" w14:textId="77777777" w:rsidR="006D5A5C" w:rsidRPr="00EE4518" w:rsidRDefault="006D5A5C" w:rsidP="006D5A5C">
      <w:pPr>
        <w:pStyle w:val="SingleTxtG"/>
        <w:ind w:left="2268"/>
        <w:rPr>
          <w:color w:val="000000"/>
          <w:lang w:val="fr-FR"/>
        </w:rPr>
      </w:pPr>
      <w:r>
        <w:rPr>
          <w:lang w:val="fr-FR"/>
        </w:rPr>
        <w:t>L</w:t>
      </w:r>
      <w:r w:rsidRPr="00EE4518">
        <w:rPr>
          <w:lang w:val="fr-FR"/>
        </w:rPr>
        <w:t>es appareillages d</w:t>
      </w:r>
      <w:r>
        <w:rPr>
          <w:lang w:val="fr-FR"/>
        </w:rPr>
        <w:t>’</w:t>
      </w:r>
      <w:r w:rsidRPr="00EE4518">
        <w:rPr>
          <w:lang w:val="fr-FR"/>
        </w:rPr>
        <w:t>essai et de mesure</w:t>
      </w:r>
      <w:r>
        <w:rPr>
          <w:lang w:val="fr-FR"/>
        </w:rPr>
        <w:t xml:space="preserve"> doivent être</w:t>
      </w:r>
      <w:r w:rsidRPr="00EE4518">
        <w:rPr>
          <w:lang w:val="fr-FR"/>
        </w:rPr>
        <w:t xml:space="preserve"> 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>
        <w:rPr>
          <w:lang w:val="fr-FR"/>
        </w:rPr>
        <w:t>’</w:t>
      </w:r>
      <w:r w:rsidRPr="00EE4518">
        <w:rPr>
          <w:lang w:val="fr-FR"/>
        </w:rPr>
        <w:t xml:space="preserve">amendements, </w:t>
      </w:r>
      <w:r>
        <w:rPr>
          <w:lang w:val="fr-FR"/>
        </w:rPr>
        <w:t>ou, à défaut, aux</w:t>
      </w:r>
      <w:r w:rsidRPr="00EE4518">
        <w:rPr>
          <w:lang w:val="fr-FR"/>
        </w:rPr>
        <w:t xml:space="preserve"> prescriptions suivantes</w:t>
      </w:r>
      <w:r>
        <w:rPr>
          <w:lang w:val="fr-FR"/>
        </w:rPr>
        <w:t> </w:t>
      </w:r>
      <w:r w:rsidRPr="00EE4518">
        <w:rPr>
          <w:lang w:val="fr-FR"/>
        </w:rPr>
        <w:t>:</w:t>
      </w:r>
    </w:p>
    <w:p w14:paraId="10CC82C1" w14:textId="77777777" w:rsidR="006D5A5C" w:rsidRPr="0094253A" w:rsidRDefault="006D5A5C" w:rsidP="006D5A5C">
      <w:pPr>
        <w:pStyle w:val="SingleTxtG"/>
        <w:ind w:left="2268"/>
        <w:rPr>
          <w:rFonts w:eastAsia="MS PGothic"/>
          <w:color w:val="000000"/>
          <w:lang w:val="fr-FR"/>
        </w:rPr>
      </w:pPr>
      <w:r w:rsidRPr="0094253A">
        <w:rPr>
          <w:lang w:val="fr-FR"/>
        </w:rPr>
        <w:t>... ».</w:t>
      </w:r>
    </w:p>
    <w:p w14:paraId="10C0E97A" w14:textId="3A98832B" w:rsidR="006D5A5C" w:rsidRPr="0094253A" w:rsidRDefault="006D5A5C" w:rsidP="00AF5458">
      <w:pPr>
        <w:pStyle w:val="SingleTxtG"/>
        <w:keepNext/>
        <w:keepLines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lastRenderedPageBreak/>
        <w:t>Appendice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5, paragraphe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1</w:t>
      </w:r>
      <w:r w:rsidRPr="0094253A">
        <w:rPr>
          <w:lang w:val="fr-FR"/>
        </w:rPr>
        <w:t>, lire :</w:t>
      </w:r>
    </w:p>
    <w:p w14:paraId="53C9AC1C" w14:textId="77777777" w:rsidR="006D5A5C" w:rsidRPr="0094253A" w:rsidRDefault="006D5A5C" w:rsidP="00AF5458">
      <w:pPr>
        <w:pStyle w:val="SingleTxtG"/>
        <w:keepNext/>
        <w:keepLines/>
        <w:ind w:left="2268" w:hanging="1134"/>
        <w:rPr>
          <w:bCs/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Description</w:t>
      </w:r>
    </w:p>
    <w:p w14:paraId="7ADC9040" w14:textId="77777777" w:rsidR="006D5A5C" w:rsidRPr="00EE4518" w:rsidRDefault="006D5A5C" w:rsidP="00AF5458">
      <w:pPr>
        <w:pStyle w:val="SingleTxtG"/>
        <w:keepNext/>
        <w:keepLines/>
        <w:spacing w:after="100"/>
        <w:ind w:left="2268"/>
        <w:rPr>
          <w:color w:val="000000"/>
          <w:lang w:val="fr-FR"/>
        </w:rPr>
      </w:pPr>
      <w:r>
        <w:rPr>
          <w:lang w:val="fr-FR"/>
        </w:rPr>
        <w:t>L</w:t>
      </w:r>
      <w:r w:rsidRPr="00EE4518">
        <w:rPr>
          <w:lang w:val="fr-FR"/>
        </w:rPr>
        <w:t>es appareillages d</w:t>
      </w:r>
      <w:r>
        <w:rPr>
          <w:lang w:val="fr-FR"/>
        </w:rPr>
        <w:t>’</w:t>
      </w:r>
      <w:r w:rsidRPr="00EE4518">
        <w:rPr>
          <w:lang w:val="fr-FR"/>
        </w:rPr>
        <w:t xml:space="preserve">essai et de mesure </w:t>
      </w:r>
      <w:r>
        <w:rPr>
          <w:lang w:val="fr-FR"/>
        </w:rPr>
        <w:t xml:space="preserve">doivent être </w:t>
      </w:r>
      <w:r w:rsidRPr="00EE4518">
        <w:rPr>
          <w:lang w:val="fr-FR"/>
        </w:rPr>
        <w:t>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>
        <w:rPr>
          <w:lang w:val="fr-FR"/>
        </w:rPr>
        <w:t>’</w:t>
      </w:r>
      <w:r w:rsidRPr="00EE4518">
        <w:rPr>
          <w:lang w:val="fr-FR"/>
        </w:rPr>
        <w:t xml:space="preserve">amendements, </w:t>
      </w:r>
      <w:r>
        <w:rPr>
          <w:lang w:val="fr-FR"/>
        </w:rPr>
        <w:t>ou, à défaut</w:t>
      </w:r>
      <w:r w:rsidRPr="00EE4518">
        <w:rPr>
          <w:lang w:val="fr-FR"/>
        </w:rPr>
        <w:t xml:space="preserve">, </w:t>
      </w:r>
      <w:r>
        <w:rPr>
          <w:lang w:val="fr-FR"/>
        </w:rPr>
        <w:t>aux</w:t>
      </w:r>
      <w:r w:rsidRPr="00EE4518">
        <w:rPr>
          <w:lang w:val="fr-FR"/>
        </w:rPr>
        <w:t xml:space="preserve"> prescriptions suivantes</w:t>
      </w:r>
      <w:r>
        <w:rPr>
          <w:lang w:val="fr-FR"/>
        </w:rPr>
        <w:t> </w:t>
      </w:r>
      <w:r w:rsidRPr="00EE4518">
        <w:rPr>
          <w:lang w:val="fr-FR"/>
        </w:rPr>
        <w:t>:</w:t>
      </w:r>
    </w:p>
    <w:p w14:paraId="7A96DE88" w14:textId="77777777" w:rsidR="006D5A5C" w:rsidRPr="0094253A" w:rsidRDefault="006D5A5C" w:rsidP="00AF5458">
      <w:pPr>
        <w:pStyle w:val="SingleTxtG"/>
        <w:spacing w:after="100"/>
        <w:ind w:left="2268"/>
        <w:rPr>
          <w:rFonts w:eastAsia="Yu Gothic"/>
          <w:color w:val="000000" w:themeColor="text1"/>
          <w:kern w:val="2"/>
          <w:lang w:val="fr-FR"/>
        </w:rPr>
      </w:pPr>
      <w:r w:rsidRPr="0094253A">
        <w:rPr>
          <w:lang w:val="fr-FR"/>
        </w:rPr>
        <w:t>... ».</w:t>
      </w:r>
    </w:p>
    <w:p w14:paraId="08E40E35" w14:textId="5549061A" w:rsidR="006D5A5C" w:rsidRPr="0094253A" w:rsidRDefault="006D5A5C" w:rsidP="00AF5458">
      <w:pPr>
        <w:pStyle w:val="SingleTxtG"/>
        <w:spacing w:after="100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6, paragraphe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1</w:t>
      </w:r>
      <w:r w:rsidRPr="0094253A">
        <w:rPr>
          <w:lang w:val="fr-FR"/>
        </w:rPr>
        <w:t>, lire :</w:t>
      </w:r>
    </w:p>
    <w:p w14:paraId="3001B20A" w14:textId="77777777" w:rsidR="006D5A5C" w:rsidRPr="0094253A" w:rsidRDefault="006D5A5C" w:rsidP="006D5A5C">
      <w:pPr>
        <w:pStyle w:val="SingleTxtG"/>
        <w:ind w:left="2268" w:hanging="1134"/>
        <w:rPr>
          <w:rFonts w:eastAsia="MS Mincho"/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Objet</w:t>
      </w:r>
    </w:p>
    <w:p w14:paraId="4C17F89B" w14:textId="77777777" w:rsidR="006D5A5C" w:rsidRPr="0094253A" w:rsidRDefault="006D5A5C" w:rsidP="00AF5458">
      <w:pPr>
        <w:pStyle w:val="SingleTxtG"/>
        <w:spacing w:after="100"/>
        <w:ind w:left="2268"/>
        <w:rPr>
          <w:rFonts w:eastAsia="MS Mincho"/>
          <w:lang w:val="fr-FR"/>
        </w:rPr>
      </w:pPr>
      <w:r w:rsidRPr="0094253A">
        <w:rPr>
          <w:lang w:val="fr-FR"/>
        </w:rPr>
        <w:t>La méthode décrite dans le présent appendice permet de vérifier que l</w:t>
      </w:r>
      <w:r>
        <w:rPr>
          <w:lang w:val="fr-FR"/>
        </w:rPr>
        <w:t>’</w:t>
      </w:r>
      <w:r w:rsidRPr="0094253A">
        <w:rPr>
          <w:lang w:val="fr-FR"/>
        </w:rPr>
        <w:t>inertie totale du banc simule de manière satisfaisante les valeurs réelles au cours des diverses phases du cycle d</w:t>
      </w:r>
      <w:r>
        <w:rPr>
          <w:lang w:val="fr-FR"/>
        </w:rPr>
        <w:t>’</w:t>
      </w:r>
      <w:r w:rsidRPr="0094253A">
        <w:rPr>
          <w:lang w:val="fr-FR"/>
        </w:rPr>
        <w:t xml:space="preserve">essai. Le </w:t>
      </w:r>
      <w:r>
        <w:rPr>
          <w:lang w:val="fr-FR"/>
        </w:rPr>
        <w:t>fabricant</w:t>
      </w:r>
      <w:r w:rsidRPr="0094253A">
        <w:rPr>
          <w:lang w:val="fr-FR"/>
        </w:rPr>
        <w:t xml:space="preserve"> du banc doit indiquer une méthode permettant de vérifier que les prescriptions du paragraphe 3 du présent appendice sont respectées.</w:t>
      </w:r>
    </w:p>
    <w:p w14:paraId="4EA93D61" w14:textId="77777777" w:rsidR="006D5A5C" w:rsidRPr="00EE4518" w:rsidRDefault="006D5A5C" w:rsidP="006D5A5C">
      <w:pPr>
        <w:pStyle w:val="SingleTxtG"/>
        <w:ind w:left="2268"/>
        <w:rPr>
          <w:rFonts w:eastAsia="MS Mincho"/>
          <w:lang w:val="fr-FR"/>
        </w:rPr>
      </w:pPr>
      <w:r w:rsidRPr="00EE4518">
        <w:rPr>
          <w:lang w:val="fr-FR"/>
        </w:rPr>
        <w:t>Si l</w:t>
      </w:r>
      <w:r>
        <w:rPr>
          <w:lang w:val="fr-FR"/>
        </w:rPr>
        <w:t>’</w:t>
      </w:r>
      <w:r w:rsidRPr="00EE4518">
        <w:rPr>
          <w:lang w:val="fr-FR"/>
        </w:rPr>
        <w:t>appareillage est conforme aux prescriptions du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ces dispositions peuvent ne pas s</w:t>
      </w:r>
      <w:r>
        <w:rPr>
          <w:lang w:val="fr-FR"/>
        </w:rPr>
        <w:t>’</w:t>
      </w:r>
      <w:r w:rsidRPr="00EE4518">
        <w:rPr>
          <w:lang w:val="fr-FR"/>
        </w:rPr>
        <w:t>appliquer.</w:t>
      </w:r>
      <w:r w:rsidRPr="00C838ED">
        <w:rPr>
          <w:lang w:val="fr-FR"/>
        </w:rPr>
        <w:t> ».</w:t>
      </w:r>
    </w:p>
    <w:p w14:paraId="4DA4A1BB" w14:textId="46AF76AA" w:rsidR="006D5A5C" w:rsidRPr="0094253A" w:rsidRDefault="006D5A5C" w:rsidP="00AF5458">
      <w:pPr>
        <w:pStyle w:val="SingleTxtG"/>
        <w:spacing w:after="100"/>
        <w:rPr>
          <w:i/>
          <w:iCs/>
          <w:lang w:val="fr-FR"/>
        </w:rPr>
      </w:pPr>
      <w:r w:rsidRPr="0094253A">
        <w:rPr>
          <w:i/>
          <w:iCs/>
          <w:lang w:val="fr-FR"/>
        </w:rPr>
        <w:t>Annexe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7</w:t>
      </w:r>
    </w:p>
    <w:p w14:paraId="3FDD6790" w14:textId="3D96BCFE" w:rsidR="006D5A5C" w:rsidRPr="0094253A" w:rsidRDefault="006D5A5C" w:rsidP="006D5A5C">
      <w:pPr>
        <w:pStyle w:val="SingleTxtG"/>
        <w:rPr>
          <w:lang w:val="fr-FR"/>
        </w:rPr>
      </w:pPr>
      <w:r w:rsidRPr="0094253A">
        <w:rPr>
          <w:i/>
          <w:iCs/>
          <w:lang w:val="fr-FR"/>
        </w:rPr>
        <w:t>Paragraphe</w:t>
      </w:r>
      <w:r w:rsidR="00AF5458">
        <w:rPr>
          <w:i/>
          <w:iCs/>
          <w:lang w:val="fr-FR"/>
        </w:rPr>
        <w:t> </w:t>
      </w:r>
      <w:r w:rsidRPr="0094253A">
        <w:rPr>
          <w:i/>
          <w:iCs/>
          <w:lang w:val="fr-FR"/>
        </w:rPr>
        <w:t>4</w:t>
      </w:r>
      <w:r w:rsidRPr="0094253A">
        <w:rPr>
          <w:lang w:val="fr-FR"/>
        </w:rPr>
        <w:t>, lire :</w:t>
      </w:r>
    </w:p>
    <w:p w14:paraId="2BDAD6FB" w14:textId="77777777" w:rsidR="006D5A5C" w:rsidRPr="0094253A" w:rsidRDefault="006D5A5C" w:rsidP="006D5A5C">
      <w:pPr>
        <w:pStyle w:val="SingleTxtG"/>
        <w:ind w:left="2268" w:hanging="1134"/>
        <w:rPr>
          <w:i/>
          <w:iCs/>
          <w:lang w:val="fr-FR"/>
        </w:rPr>
      </w:pPr>
      <w:r w:rsidRPr="0094253A">
        <w:rPr>
          <w:lang w:val="fr-FR"/>
        </w:rPr>
        <w:t>« 4.</w:t>
      </w:r>
      <w:r w:rsidRPr="0094253A">
        <w:rPr>
          <w:lang w:val="fr-FR"/>
        </w:rPr>
        <w:tab/>
        <w:t>Appareillage pour l</w:t>
      </w:r>
      <w:r>
        <w:rPr>
          <w:lang w:val="fr-FR"/>
        </w:rPr>
        <w:t>’</w:t>
      </w:r>
      <w:r w:rsidRPr="0094253A">
        <w:rPr>
          <w:lang w:val="fr-FR"/>
        </w:rPr>
        <w:t>essai d</w:t>
      </w:r>
      <w:r>
        <w:rPr>
          <w:lang w:val="fr-FR"/>
        </w:rPr>
        <w:t>’</w:t>
      </w:r>
      <w:r w:rsidRPr="0094253A">
        <w:rPr>
          <w:lang w:val="fr-FR"/>
        </w:rPr>
        <w:t>émissions par évaporation</w:t>
      </w:r>
    </w:p>
    <w:p w14:paraId="05762298" w14:textId="77777777" w:rsidR="006D5A5C" w:rsidRPr="00EE4518" w:rsidRDefault="006D5A5C" w:rsidP="006D5A5C">
      <w:pPr>
        <w:pStyle w:val="SingleTxtG"/>
        <w:ind w:left="2268"/>
        <w:rPr>
          <w:rFonts w:eastAsia="Yu Gothic"/>
          <w:color w:val="000000" w:themeColor="text1"/>
          <w:kern w:val="2"/>
          <w:lang w:val="fr-FR"/>
        </w:rPr>
      </w:pPr>
      <w:r>
        <w:rPr>
          <w:lang w:val="fr-FR"/>
        </w:rPr>
        <w:t>L</w:t>
      </w:r>
      <w:r w:rsidRPr="00EE4518">
        <w:rPr>
          <w:lang w:val="fr-FR"/>
        </w:rPr>
        <w:t>es appareillages d</w:t>
      </w:r>
      <w:r>
        <w:rPr>
          <w:lang w:val="fr-FR"/>
        </w:rPr>
        <w:t>’</w:t>
      </w:r>
      <w:r w:rsidRPr="00EE4518">
        <w:rPr>
          <w:lang w:val="fr-FR"/>
        </w:rPr>
        <w:t xml:space="preserve">essai et de mesure </w:t>
      </w:r>
      <w:r>
        <w:rPr>
          <w:lang w:val="fr-FR"/>
        </w:rPr>
        <w:t xml:space="preserve">doivent être </w:t>
      </w:r>
      <w:r w:rsidRPr="00EE4518">
        <w:rPr>
          <w:lang w:val="fr-FR"/>
        </w:rPr>
        <w:t>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>
        <w:rPr>
          <w:lang w:val="fr-FR"/>
        </w:rPr>
        <w:t>’</w:t>
      </w:r>
      <w:r w:rsidRPr="00EE4518">
        <w:rPr>
          <w:lang w:val="fr-FR"/>
        </w:rPr>
        <w:t xml:space="preserve">amendements, </w:t>
      </w:r>
      <w:r>
        <w:rPr>
          <w:lang w:val="fr-FR"/>
        </w:rPr>
        <w:t>ou, à défaut</w:t>
      </w:r>
      <w:r w:rsidRPr="00EE4518">
        <w:rPr>
          <w:lang w:val="fr-FR"/>
        </w:rPr>
        <w:t xml:space="preserve">, </w:t>
      </w:r>
      <w:r>
        <w:rPr>
          <w:lang w:val="fr-FR"/>
        </w:rPr>
        <w:t>aux</w:t>
      </w:r>
      <w:r w:rsidRPr="00EE4518">
        <w:rPr>
          <w:lang w:val="fr-FR"/>
        </w:rPr>
        <w:t xml:space="preserve"> prescriptions suivantes</w:t>
      </w:r>
      <w:r>
        <w:rPr>
          <w:lang w:val="fr-FR"/>
        </w:rPr>
        <w:t> </w:t>
      </w:r>
      <w:r w:rsidRPr="00EE4518">
        <w:rPr>
          <w:lang w:val="fr-FR"/>
        </w:rPr>
        <w:t>:</w:t>
      </w:r>
    </w:p>
    <w:p w14:paraId="2019D8AB" w14:textId="77777777" w:rsidR="006D5A5C" w:rsidRPr="0094253A" w:rsidRDefault="006D5A5C" w:rsidP="006D5A5C">
      <w:pPr>
        <w:pStyle w:val="SingleTxtG"/>
        <w:ind w:left="2268" w:hanging="1134"/>
        <w:rPr>
          <w:rFonts w:eastAsia="MS Mincho"/>
          <w:lang w:val="fr-FR"/>
        </w:rPr>
      </w:pPr>
      <w:r w:rsidRPr="0094253A">
        <w:rPr>
          <w:lang w:val="fr-FR"/>
        </w:rPr>
        <w:t>4.1</w:t>
      </w:r>
      <w:r w:rsidRPr="0094253A">
        <w:rPr>
          <w:lang w:val="fr-FR"/>
        </w:rPr>
        <w:tab/>
        <w:t>Banc à rouleaux</w:t>
      </w:r>
    </w:p>
    <w:p w14:paraId="1A99DB7C" w14:textId="77777777" w:rsidR="006D5A5C" w:rsidRPr="0094253A" w:rsidRDefault="006D5A5C" w:rsidP="006D5A5C">
      <w:pPr>
        <w:pStyle w:val="SingleTxtG"/>
        <w:ind w:left="2268"/>
        <w:rPr>
          <w:lang w:val="fr-FR"/>
        </w:rPr>
      </w:pPr>
      <w:r w:rsidRPr="0094253A">
        <w:rPr>
          <w:lang w:val="fr-FR"/>
        </w:rPr>
        <w:t>Le banc à rouleaux doit être conforme aux exigences de l</w:t>
      </w:r>
      <w:r>
        <w:rPr>
          <w:lang w:val="fr-FR"/>
        </w:rPr>
        <w:t>’</w:t>
      </w:r>
      <w:r w:rsidRPr="0094253A">
        <w:rPr>
          <w:lang w:val="fr-FR"/>
        </w:rPr>
        <w:t>appendice 1 de l</w:t>
      </w:r>
      <w:r>
        <w:rPr>
          <w:lang w:val="fr-FR"/>
        </w:rPr>
        <w:t>’</w:t>
      </w:r>
      <w:r w:rsidRPr="0094253A">
        <w:rPr>
          <w:lang w:val="fr-FR"/>
        </w:rPr>
        <w:t>annexe 4a du présent Règlement.</w:t>
      </w:r>
    </w:p>
    <w:p w14:paraId="1B85E2D7" w14:textId="77777777" w:rsidR="006D5A5C" w:rsidRPr="0094253A" w:rsidRDefault="006D5A5C" w:rsidP="00AF5458">
      <w:pPr>
        <w:pStyle w:val="SingleTxtG"/>
        <w:spacing w:after="100"/>
        <w:ind w:left="2268"/>
        <w:rPr>
          <w:lang w:val="fr-FR"/>
        </w:rPr>
      </w:pPr>
      <w:r w:rsidRPr="0094253A">
        <w:rPr>
          <w:lang w:val="fr-FR"/>
        </w:rPr>
        <w:t>... ».</w:t>
      </w:r>
    </w:p>
    <w:p w14:paraId="7A5C0DD2" w14:textId="77777777" w:rsidR="006D5A5C" w:rsidRPr="0094253A" w:rsidRDefault="006D5A5C" w:rsidP="00AF5458">
      <w:pPr>
        <w:pStyle w:val="SingleTxtG"/>
        <w:spacing w:after="100"/>
        <w:rPr>
          <w:lang w:val="fr-FR"/>
        </w:rPr>
      </w:pPr>
      <w:r w:rsidRPr="0094253A">
        <w:rPr>
          <w:i/>
          <w:iCs/>
          <w:lang w:val="fr-FR"/>
        </w:rPr>
        <w:t>Appendice 1, paragraphe 1</w:t>
      </w:r>
      <w:r w:rsidRPr="0094253A">
        <w:rPr>
          <w:lang w:val="fr-FR"/>
        </w:rPr>
        <w:t>, lire :</w:t>
      </w:r>
    </w:p>
    <w:p w14:paraId="388B2893" w14:textId="77777777" w:rsidR="006D5A5C" w:rsidRPr="0094253A" w:rsidRDefault="006D5A5C" w:rsidP="006D5A5C">
      <w:pPr>
        <w:pStyle w:val="SingleTxtG"/>
        <w:ind w:left="2268" w:hanging="1134"/>
        <w:rPr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Fréquence et méthode d</w:t>
      </w:r>
      <w:r>
        <w:rPr>
          <w:lang w:val="fr-FR"/>
        </w:rPr>
        <w:t>’</w:t>
      </w:r>
      <w:r w:rsidRPr="0094253A">
        <w:rPr>
          <w:lang w:val="fr-FR"/>
        </w:rPr>
        <w:t>étalonnage</w:t>
      </w:r>
    </w:p>
    <w:p w14:paraId="4DA06FD6" w14:textId="77777777" w:rsidR="006D5A5C" w:rsidRPr="00EE4518" w:rsidRDefault="006D5A5C" w:rsidP="006D5A5C">
      <w:pPr>
        <w:pStyle w:val="SingleTxtG"/>
        <w:ind w:left="2268"/>
        <w:rPr>
          <w:color w:val="000000"/>
          <w:lang w:val="fr-FR"/>
        </w:rPr>
      </w:pPr>
      <w:r>
        <w:rPr>
          <w:lang w:val="fr-FR"/>
        </w:rPr>
        <w:t>L</w:t>
      </w:r>
      <w:r w:rsidRPr="00EE4518">
        <w:rPr>
          <w:lang w:val="fr-FR"/>
        </w:rPr>
        <w:t>es appareillages d</w:t>
      </w:r>
      <w:r>
        <w:rPr>
          <w:lang w:val="fr-FR"/>
        </w:rPr>
        <w:t>’</w:t>
      </w:r>
      <w:r w:rsidRPr="00EE4518">
        <w:rPr>
          <w:lang w:val="fr-FR"/>
        </w:rPr>
        <w:t>essai et de mesure</w:t>
      </w:r>
      <w:r>
        <w:rPr>
          <w:lang w:val="fr-FR"/>
        </w:rPr>
        <w:t xml:space="preserve"> doivent être</w:t>
      </w:r>
      <w:r w:rsidRPr="00EE4518">
        <w:rPr>
          <w:lang w:val="fr-FR"/>
        </w:rPr>
        <w:t xml:space="preserve"> 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>
        <w:rPr>
          <w:lang w:val="fr-FR"/>
        </w:rPr>
        <w:t>’</w:t>
      </w:r>
      <w:r w:rsidRPr="00EE4518">
        <w:rPr>
          <w:lang w:val="fr-FR"/>
        </w:rPr>
        <w:t xml:space="preserve">amendements, </w:t>
      </w:r>
      <w:r>
        <w:rPr>
          <w:lang w:val="fr-FR"/>
        </w:rPr>
        <w:t>ou, à défaut, aux</w:t>
      </w:r>
      <w:r w:rsidRPr="00EE4518">
        <w:rPr>
          <w:lang w:val="fr-FR"/>
        </w:rPr>
        <w:t xml:space="preserve"> prescriptions suivantes</w:t>
      </w:r>
      <w:r>
        <w:rPr>
          <w:lang w:val="fr-FR"/>
        </w:rPr>
        <w:t> </w:t>
      </w:r>
      <w:r w:rsidRPr="00EE4518">
        <w:rPr>
          <w:lang w:val="fr-FR"/>
        </w:rPr>
        <w:t>:</w:t>
      </w:r>
    </w:p>
    <w:p w14:paraId="1EEF35D1" w14:textId="77777777" w:rsidR="006D5A5C" w:rsidRDefault="006D5A5C" w:rsidP="00AF5458">
      <w:pPr>
        <w:pStyle w:val="SingleTxtG"/>
        <w:spacing w:after="100"/>
        <w:ind w:left="2268"/>
        <w:rPr>
          <w:lang w:val="fr-FR"/>
        </w:rPr>
      </w:pPr>
      <w:r w:rsidRPr="0094253A">
        <w:rPr>
          <w:lang w:val="fr-FR"/>
        </w:rPr>
        <w:t>... ».</w:t>
      </w:r>
    </w:p>
    <w:p w14:paraId="59F05AEE" w14:textId="753DB383" w:rsidR="006D5A5C" w:rsidRPr="00EE4518" w:rsidRDefault="006D5A5C" w:rsidP="00AF5458">
      <w:pPr>
        <w:pStyle w:val="SingleTxtG"/>
        <w:spacing w:after="100"/>
        <w:rPr>
          <w:i/>
          <w:iCs/>
          <w:lang w:val="fr-FR"/>
        </w:rPr>
      </w:pPr>
      <w:r w:rsidRPr="00EE4518">
        <w:rPr>
          <w:i/>
          <w:iCs/>
          <w:lang w:val="fr-FR"/>
        </w:rPr>
        <w:t>Annexe</w:t>
      </w:r>
      <w:r w:rsidR="00AF5458">
        <w:rPr>
          <w:i/>
          <w:iCs/>
          <w:lang w:val="fr-FR"/>
        </w:rPr>
        <w:t> </w:t>
      </w:r>
      <w:r w:rsidRPr="00EE4518">
        <w:rPr>
          <w:i/>
          <w:iCs/>
          <w:lang w:val="fr-FR"/>
        </w:rPr>
        <w:t>11,</w:t>
      </w:r>
    </w:p>
    <w:p w14:paraId="74DD4BA7" w14:textId="745F12AE" w:rsidR="006D5A5C" w:rsidRDefault="006D5A5C" w:rsidP="00AF5458">
      <w:pPr>
        <w:pStyle w:val="SingleTxtG"/>
        <w:spacing w:after="100"/>
        <w:rPr>
          <w:rFonts w:eastAsia="MS PGothic"/>
          <w:color w:val="000000"/>
          <w:lang w:val="fr-FR"/>
        </w:rPr>
      </w:pPr>
      <w:r w:rsidRPr="00AF5458">
        <w:rPr>
          <w:i/>
          <w:iCs/>
          <w:lang w:val="fr-FR"/>
        </w:rPr>
        <w:t>Paragraphe</w:t>
      </w:r>
      <w:r w:rsidR="00AF5458">
        <w:rPr>
          <w:rFonts w:eastAsia="MS PGothic"/>
          <w:i/>
          <w:iCs/>
          <w:color w:val="000000"/>
          <w:lang w:val="fr-FR"/>
        </w:rPr>
        <w:t> </w:t>
      </w:r>
      <w:r w:rsidRPr="00EE4518">
        <w:rPr>
          <w:rFonts w:eastAsia="MS PGothic"/>
          <w:i/>
          <w:iCs/>
          <w:color w:val="000000"/>
          <w:lang w:val="fr-FR"/>
        </w:rPr>
        <w:t>3.2.1.2</w:t>
      </w:r>
      <w:r w:rsidRPr="00EE4518">
        <w:rPr>
          <w:rFonts w:eastAsia="MS PGothic"/>
          <w:color w:val="000000"/>
          <w:lang w:val="fr-FR"/>
        </w:rPr>
        <w:t xml:space="preserve">, </w:t>
      </w:r>
      <w:r w:rsidRPr="0076548F">
        <w:rPr>
          <w:lang w:val="fr-FR"/>
        </w:rPr>
        <w:t>lire</w:t>
      </w:r>
      <w:r>
        <w:rPr>
          <w:rFonts w:eastAsia="MS PGothic"/>
          <w:color w:val="000000"/>
          <w:lang w:val="fr-FR"/>
        </w:rPr>
        <w:t> </w:t>
      </w:r>
      <w:r w:rsidRPr="00EE4518">
        <w:rPr>
          <w:rFonts w:eastAsia="MS PGothic"/>
          <w:color w:val="000000"/>
          <w:lang w:val="fr-FR"/>
        </w:rPr>
        <w:t>:</w:t>
      </w:r>
    </w:p>
    <w:p w14:paraId="034A1782" w14:textId="35B85BB9" w:rsidR="005F0207" w:rsidRDefault="006D5A5C" w:rsidP="006D5A5C">
      <w:pPr>
        <w:pStyle w:val="SingleTxtG"/>
        <w:ind w:left="2268" w:hanging="1134"/>
        <w:rPr>
          <w:rFonts w:eastAsia="MS PGothic"/>
          <w:color w:val="000000"/>
          <w:lang w:val="fr-FR"/>
        </w:rPr>
      </w:pPr>
      <w:r w:rsidRPr="00920B8F">
        <w:rPr>
          <w:rFonts w:eastAsia="MS PGothic"/>
          <w:color w:val="000000"/>
          <w:lang w:val="fr-FR"/>
        </w:rPr>
        <w:t>«</w:t>
      </w:r>
      <w:r>
        <w:rPr>
          <w:rFonts w:eastAsia="MS PGothic"/>
          <w:color w:val="000000"/>
          <w:lang w:val="fr-FR"/>
        </w:rPr>
        <w:t> </w:t>
      </w:r>
      <w:r w:rsidRPr="00920B8F">
        <w:rPr>
          <w:rFonts w:eastAsia="MS PGothic"/>
          <w:color w:val="000000"/>
          <w:lang w:val="fr-FR"/>
        </w:rPr>
        <w:t>3.2.1.2</w:t>
      </w:r>
      <w:r>
        <w:rPr>
          <w:rFonts w:eastAsia="MS PGothic"/>
          <w:color w:val="000000"/>
          <w:lang w:val="fr-FR"/>
        </w:rPr>
        <w:tab/>
      </w:r>
      <w:r w:rsidRPr="006D5A5C">
        <w:rPr>
          <w:lang w:val="fr-FR"/>
        </w:rPr>
        <w:t>Le</w:t>
      </w:r>
      <w:r w:rsidRPr="007D5667">
        <w:rPr>
          <w:rFonts w:eastAsia="MS PGothic"/>
          <w:color w:val="000000"/>
          <w:lang w:val="fr-FR"/>
        </w:rPr>
        <w:t xml:space="preserve"> constructeur peut désactiver un programme de surveillance OBD particulier pour un cycle de conduite donné à une température ambiante ou une température du moteur inférieure à 266</w:t>
      </w:r>
      <w:r w:rsidR="00AF5458">
        <w:rPr>
          <w:rFonts w:eastAsia="MS PGothic"/>
          <w:color w:val="000000"/>
          <w:lang w:val="fr-FR"/>
        </w:rPr>
        <w:t> </w:t>
      </w:r>
      <w:r w:rsidRPr="007D5667">
        <w:rPr>
          <w:rFonts w:eastAsia="MS PGothic"/>
          <w:color w:val="000000"/>
          <w:lang w:val="fr-FR"/>
        </w:rPr>
        <w:t>K (-7</w:t>
      </w:r>
      <w:r w:rsidR="00AF5458">
        <w:rPr>
          <w:rFonts w:eastAsia="MS PGothic"/>
          <w:color w:val="000000"/>
          <w:lang w:val="fr-FR"/>
        </w:rPr>
        <w:t> </w:t>
      </w:r>
      <w:r w:rsidRPr="007D5667">
        <w:rPr>
          <w:rFonts w:eastAsia="MS PGothic"/>
          <w:color w:val="000000"/>
          <w:lang w:val="fr-FR"/>
        </w:rPr>
        <w:t>°C)</w:t>
      </w:r>
      <w:r>
        <w:rPr>
          <w:rFonts w:eastAsia="MS PGothic"/>
          <w:color w:val="000000"/>
          <w:lang w:val="fr-FR"/>
        </w:rPr>
        <w:t>,</w:t>
      </w:r>
      <w:r w:rsidRPr="007D5667">
        <w:rPr>
          <w:rFonts w:eastAsia="MS PGothic"/>
          <w:color w:val="000000"/>
          <w:lang w:val="fr-FR"/>
        </w:rPr>
        <w:t xml:space="preserve"> ou à une altitude de plus de 2</w:t>
      </w:r>
      <w:r>
        <w:rPr>
          <w:rFonts w:eastAsia="MS PGothic"/>
          <w:color w:val="000000"/>
          <w:lang w:val="fr-FR"/>
        </w:rPr>
        <w:t> </w:t>
      </w:r>
      <w:r w:rsidRPr="007D5667">
        <w:rPr>
          <w:rFonts w:eastAsia="MS PGothic"/>
          <w:color w:val="000000"/>
          <w:lang w:val="fr-FR"/>
        </w:rPr>
        <w:t>500</w:t>
      </w:r>
      <w:r>
        <w:rPr>
          <w:rFonts w:eastAsia="MS PGothic"/>
          <w:color w:val="000000"/>
          <w:lang w:val="fr-FR"/>
        </w:rPr>
        <w:t> </w:t>
      </w:r>
      <w:r w:rsidRPr="007D5667">
        <w:rPr>
          <w:rFonts w:eastAsia="MS PGothic"/>
          <w:color w:val="000000"/>
          <w:lang w:val="fr-FR"/>
        </w:rPr>
        <w:t>m au-dessus du niveau de la mer, à condition qu</w:t>
      </w:r>
      <w:r>
        <w:rPr>
          <w:rFonts w:eastAsia="MS PGothic"/>
          <w:color w:val="000000"/>
          <w:lang w:val="fr-FR"/>
        </w:rPr>
        <w:t>’</w:t>
      </w:r>
      <w:r w:rsidRPr="007D5667">
        <w:rPr>
          <w:rFonts w:eastAsia="MS PGothic"/>
          <w:color w:val="000000"/>
          <w:lang w:val="fr-FR"/>
        </w:rPr>
        <w:t xml:space="preserve">il produise des données et/ou une évaluation technique prouvant que le système OBD ne serait pas </w:t>
      </w:r>
      <w:r w:rsidRPr="0076548F">
        <w:rPr>
          <w:lang w:val="fr-FR"/>
        </w:rPr>
        <w:t>fiable</w:t>
      </w:r>
      <w:r w:rsidRPr="007D5667">
        <w:rPr>
          <w:rFonts w:eastAsia="MS PGothic"/>
          <w:color w:val="000000"/>
          <w:lang w:val="fr-FR"/>
        </w:rPr>
        <w:t xml:space="preserve"> dans ces conditions.</w:t>
      </w:r>
      <w:r w:rsidRPr="00401E58">
        <w:t xml:space="preserve"> </w:t>
      </w:r>
      <w:r w:rsidRPr="00401E58">
        <w:rPr>
          <w:rFonts w:eastAsia="MS PGothic"/>
          <w:color w:val="000000"/>
          <w:lang w:val="fr-FR"/>
        </w:rPr>
        <w:t>Il peut aussi demander la désactivation d</w:t>
      </w:r>
      <w:r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un programme de surveillance OBD particulier à d</w:t>
      </w:r>
      <w:r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autres températures ambiantes ou à d</w:t>
      </w:r>
      <w:r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autres altitudes s</w:t>
      </w:r>
      <w:r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il apporte la preuve à l</w:t>
      </w:r>
      <w:r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autorité compétente, grâce à des données et/ou à une évaluation technique, que le diagnostic serait faussé dans ces conditions.</w:t>
      </w:r>
      <w:r w:rsidRPr="00C03383">
        <w:t xml:space="preserve"> </w:t>
      </w:r>
      <w:r w:rsidRPr="00C03383">
        <w:rPr>
          <w:rFonts w:eastAsia="MS PGothic"/>
          <w:color w:val="000000"/>
          <w:lang w:val="fr-FR"/>
        </w:rPr>
        <w:t>Il n</w:t>
      </w:r>
      <w:r>
        <w:rPr>
          <w:rFonts w:eastAsia="MS PGothic"/>
          <w:color w:val="000000"/>
          <w:lang w:val="fr-FR"/>
        </w:rPr>
        <w:t>’</w:t>
      </w:r>
      <w:r w:rsidRPr="00C03383">
        <w:rPr>
          <w:rFonts w:eastAsia="MS PGothic"/>
          <w:color w:val="000000"/>
          <w:lang w:val="fr-FR"/>
        </w:rPr>
        <w:t>est pas nécessaire que le témoin de défaillance (TD) s</w:t>
      </w:r>
      <w:r>
        <w:rPr>
          <w:rFonts w:eastAsia="MS PGothic"/>
          <w:color w:val="000000"/>
          <w:lang w:val="fr-FR"/>
        </w:rPr>
        <w:t>’</w:t>
      </w:r>
      <w:r w:rsidRPr="00C03383">
        <w:rPr>
          <w:rFonts w:eastAsia="MS PGothic"/>
          <w:color w:val="000000"/>
          <w:lang w:val="fr-FR"/>
        </w:rPr>
        <w:t>allume en cas de dépassement des seuils OBD pendant la régénération, sous réserve qu</w:t>
      </w:r>
      <w:r>
        <w:rPr>
          <w:rFonts w:eastAsia="MS PGothic"/>
          <w:color w:val="000000"/>
          <w:lang w:val="fr-FR"/>
        </w:rPr>
        <w:t>’</w:t>
      </w:r>
      <w:r w:rsidRPr="00C03383">
        <w:rPr>
          <w:rFonts w:eastAsia="MS PGothic"/>
          <w:color w:val="000000"/>
          <w:lang w:val="fr-FR"/>
        </w:rPr>
        <w:t>aucun défaut ne soit présent.</w:t>
      </w:r>
      <w:r>
        <w:rPr>
          <w:rFonts w:eastAsia="MS PGothic"/>
          <w:color w:val="000000"/>
          <w:lang w:val="fr-FR"/>
        </w:rPr>
        <w:t> ».</w:t>
      </w:r>
    </w:p>
    <w:p w14:paraId="0ED4362D" w14:textId="6C84FA15" w:rsidR="006D5A5C" w:rsidRPr="006D5A5C" w:rsidRDefault="006D5A5C" w:rsidP="00AF5458">
      <w:pPr>
        <w:pStyle w:val="SingleTxtG"/>
        <w:spacing w:before="200" w:after="0" w:line="20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5A5C" w:rsidRPr="006D5A5C" w:rsidSect="006D5A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3942" w14:textId="77777777" w:rsidR="003602E8" w:rsidRDefault="003602E8"/>
  </w:endnote>
  <w:endnote w:type="continuationSeparator" w:id="0">
    <w:p w14:paraId="3E9F8A53" w14:textId="77777777" w:rsidR="003602E8" w:rsidRDefault="003602E8">
      <w:pPr>
        <w:pStyle w:val="Pieddepage"/>
      </w:pPr>
    </w:p>
  </w:endnote>
  <w:endnote w:type="continuationNotice" w:id="1">
    <w:p w14:paraId="1E6C204D" w14:textId="77777777" w:rsidR="003602E8" w:rsidRPr="00C451B9" w:rsidRDefault="003602E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CBDB" w14:textId="77777777" w:rsidR="006D5A5C" w:rsidRPr="006D5A5C" w:rsidRDefault="006D5A5C" w:rsidP="006D5A5C">
    <w:pPr>
      <w:pStyle w:val="Pieddepage"/>
      <w:tabs>
        <w:tab w:val="right" w:pos="9638"/>
      </w:tabs>
    </w:pPr>
    <w:r w:rsidRPr="006D5A5C">
      <w:rPr>
        <w:b/>
        <w:sz w:val="18"/>
      </w:rPr>
      <w:fldChar w:fldCharType="begin"/>
    </w:r>
    <w:r w:rsidRPr="006D5A5C">
      <w:rPr>
        <w:b/>
        <w:sz w:val="18"/>
      </w:rPr>
      <w:instrText xml:space="preserve"> PAGE  \* MERGEFORMAT </w:instrText>
    </w:r>
    <w:r w:rsidRPr="006D5A5C">
      <w:rPr>
        <w:b/>
        <w:sz w:val="18"/>
      </w:rPr>
      <w:fldChar w:fldCharType="separate"/>
    </w:r>
    <w:r w:rsidRPr="006D5A5C">
      <w:rPr>
        <w:b/>
        <w:noProof/>
        <w:sz w:val="18"/>
      </w:rPr>
      <w:t>2</w:t>
    </w:r>
    <w:r w:rsidRPr="006D5A5C">
      <w:rPr>
        <w:b/>
        <w:sz w:val="18"/>
      </w:rPr>
      <w:fldChar w:fldCharType="end"/>
    </w:r>
    <w:r>
      <w:rPr>
        <w:b/>
        <w:sz w:val="18"/>
      </w:rPr>
      <w:tab/>
    </w:r>
    <w:r>
      <w:t>GE.23-11805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BE05" w14:textId="77777777" w:rsidR="006D5A5C" w:rsidRPr="006D5A5C" w:rsidRDefault="006D5A5C" w:rsidP="006D5A5C">
    <w:pPr>
      <w:pStyle w:val="Pieddepage"/>
      <w:tabs>
        <w:tab w:val="right" w:pos="9638"/>
      </w:tabs>
      <w:rPr>
        <w:b/>
        <w:sz w:val="18"/>
      </w:rPr>
    </w:pPr>
    <w:r>
      <w:t>GE.23-11805</w:t>
    </w:r>
    <w:r>
      <w:tab/>
    </w:r>
    <w:r w:rsidRPr="006D5A5C">
      <w:rPr>
        <w:b/>
        <w:sz w:val="18"/>
      </w:rPr>
      <w:fldChar w:fldCharType="begin"/>
    </w:r>
    <w:r w:rsidRPr="006D5A5C">
      <w:rPr>
        <w:b/>
        <w:sz w:val="18"/>
      </w:rPr>
      <w:instrText xml:space="preserve"> PAGE  \* MERGEFORMAT </w:instrText>
    </w:r>
    <w:r w:rsidRPr="006D5A5C">
      <w:rPr>
        <w:b/>
        <w:sz w:val="18"/>
      </w:rPr>
      <w:fldChar w:fldCharType="separate"/>
    </w:r>
    <w:r w:rsidRPr="006D5A5C">
      <w:rPr>
        <w:b/>
        <w:noProof/>
        <w:sz w:val="18"/>
      </w:rPr>
      <w:t>3</w:t>
    </w:r>
    <w:r w:rsidRPr="006D5A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0822" w14:textId="6CBBD315" w:rsidR="00467F2C" w:rsidRPr="006D5A5C" w:rsidRDefault="006D5A5C" w:rsidP="006D5A5C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17B20D4" wp14:editId="3BA70F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23-11805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E90B5B6" wp14:editId="2097F18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261023    301023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A80F" w14:textId="77777777" w:rsidR="003602E8" w:rsidRPr="00D27D5E" w:rsidRDefault="003602E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04F3FD" w14:textId="77777777" w:rsidR="003602E8" w:rsidRPr="00D171D4" w:rsidRDefault="003602E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48444C0" w14:textId="77777777" w:rsidR="003602E8" w:rsidRPr="00C451B9" w:rsidRDefault="003602E8" w:rsidP="00C451B9">
      <w:pPr>
        <w:spacing w:line="240" w:lineRule="auto"/>
        <w:rPr>
          <w:sz w:val="2"/>
          <w:szCs w:val="2"/>
        </w:rPr>
      </w:pPr>
    </w:p>
  </w:footnote>
  <w:footnote w:id="2">
    <w:p w14:paraId="0019431A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642FF05E" w14:textId="77777777" w:rsidR="00591072" w:rsidRPr="00591072" w:rsidRDefault="00591072" w:rsidP="00591072">
      <w:pPr>
        <w:pStyle w:val="Notedebasdepage"/>
      </w:pPr>
      <w:r w:rsidRPr="006D5A5C">
        <w:rPr>
          <w:spacing w:val="-2"/>
        </w:rPr>
        <w:tab/>
      </w:r>
      <w:r w:rsidRPr="006D5A5C">
        <w:rPr>
          <w:spacing w:val="-2"/>
        </w:rPr>
        <w:tab/>
        <w:t>Accord concernant l’adoption de conditions uniformes d’homologation et la reconnaissance réciproque</w:t>
      </w:r>
      <w:r w:rsidRPr="00591072">
        <w:t xml:space="preserve"> de l’homologation des équipements et pièces de véhicules à moteur, en date, à Genève, du 20 mars 1958 (version originale) ;</w:t>
      </w:r>
    </w:p>
    <w:p w14:paraId="1653B228" w14:textId="75A7DDF2" w:rsidR="00442E31" w:rsidRPr="00442E31" w:rsidRDefault="00591072" w:rsidP="006D5A5C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5894" w14:textId="77777777" w:rsidR="006D5A5C" w:rsidRPr="006D5A5C" w:rsidRDefault="006D5A5C">
    <w:pPr>
      <w:pStyle w:val="En-tte"/>
      <w:rPr>
        <w:lang w:val="en-US"/>
      </w:rPr>
    </w:pPr>
    <w:r>
      <w:fldChar w:fldCharType="begin"/>
    </w:r>
    <w:r w:rsidRPr="006D5A5C">
      <w:rPr>
        <w:lang w:val="en-US"/>
      </w:rPr>
      <w:instrText xml:space="preserve"> TITLE  \* MERGEFORMAT </w:instrText>
    </w:r>
    <w:r>
      <w:fldChar w:fldCharType="separate"/>
    </w:r>
    <w:r w:rsidRPr="006D5A5C">
      <w:rPr>
        <w:lang w:val="en-US"/>
      </w:rPr>
      <w:t>E/ECE/324/Rev.1/Add.82/Rev.3/Amend.11</w:t>
    </w:r>
    <w:r>
      <w:fldChar w:fldCharType="end"/>
    </w:r>
    <w:r w:rsidRPr="006D5A5C">
      <w:rPr>
        <w:lang w:val="en-US"/>
      </w:rPr>
      <w:br/>
    </w:r>
    <w:r>
      <w:fldChar w:fldCharType="begin"/>
    </w:r>
    <w:r w:rsidRPr="006D5A5C">
      <w:rPr>
        <w:lang w:val="en-US"/>
      </w:rPr>
      <w:instrText xml:space="preserve"> KEYWORDS  \* MERGEFORMAT </w:instrText>
    </w:r>
    <w:r>
      <w:fldChar w:fldCharType="separate"/>
    </w:r>
    <w:r w:rsidRPr="006D5A5C">
      <w:rPr>
        <w:lang w:val="en-US"/>
      </w:rPr>
      <w:t>E/ECE/TRANS/505/Rev.1/Add.82/Rev.3/Amend.11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5B0" w14:textId="77777777" w:rsidR="006D5A5C" w:rsidRPr="006D5A5C" w:rsidRDefault="006D5A5C" w:rsidP="006D5A5C">
    <w:pPr>
      <w:pStyle w:val="En-tte"/>
      <w:jc w:val="right"/>
      <w:rPr>
        <w:lang w:val="en-US"/>
      </w:rPr>
    </w:pPr>
    <w:r>
      <w:fldChar w:fldCharType="begin"/>
    </w:r>
    <w:r w:rsidRPr="006D5A5C">
      <w:rPr>
        <w:lang w:val="en-US"/>
      </w:rPr>
      <w:instrText xml:space="preserve"> TITLE  \* MERGEFORMAT </w:instrText>
    </w:r>
    <w:r>
      <w:fldChar w:fldCharType="separate"/>
    </w:r>
    <w:r w:rsidRPr="006D5A5C">
      <w:rPr>
        <w:lang w:val="en-US"/>
      </w:rPr>
      <w:t>E/ECE/324/Rev.1/Add.82/Rev.3/Amend.11</w:t>
    </w:r>
    <w:r>
      <w:fldChar w:fldCharType="end"/>
    </w:r>
    <w:r w:rsidRPr="006D5A5C">
      <w:rPr>
        <w:lang w:val="en-US"/>
      </w:rPr>
      <w:br/>
    </w:r>
    <w:r>
      <w:fldChar w:fldCharType="begin"/>
    </w:r>
    <w:r w:rsidRPr="006D5A5C">
      <w:rPr>
        <w:lang w:val="en-US"/>
      </w:rPr>
      <w:instrText xml:space="preserve"> KEYWORDS  \* MERGEFORMAT </w:instrText>
    </w:r>
    <w:r>
      <w:fldChar w:fldCharType="separate"/>
    </w:r>
    <w:r w:rsidRPr="006D5A5C">
      <w:rPr>
        <w:lang w:val="en-US"/>
      </w:rPr>
      <w:t>E/ECE/TRANS/505/Rev.1/Add.82/Rev.3/Amend.11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89544539">
    <w:abstractNumId w:val="2"/>
  </w:num>
  <w:num w:numId="2" w16cid:durableId="104926570">
    <w:abstractNumId w:val="1"/>
  </w:num>
  <w:num w:numId="3" w16cid:durableId="953485985">
    <w:abstractNumId w:val="0"/>
  </w:num>
  <w:num w:numId="4" w16cid:durableId="652411759">
    <w:abstractNumId w:val="2"/>
  </w:num>
  <w:num w:numId="5" w16cid:durableId="1068040728">
    <w:abstractNumId w:val="1"/>
  </w:num>
  <w:num w:numId="6" w16cid:durableId="5184659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E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4E80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02E8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5A5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25E46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5458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0A7AF8"/>
  <w15:docId w15:val="{62C8B53E-3CFA-41B2-B2C1-EF49D427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3</Pages>
  <Words>781</Words>
  <Characters>4350</Characters>
  <Application>Microsoft Office Word</Application>
  <DocSecurity>0</DocSecurity>
  <Lines>108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E/ECE/324/Rev.1/Add.82/Rev.3/Amend.11</dc:title>
  <dc:creator>Marie DESCHAMPS</dc:creator>
  <cp:keywords>E/ECE/TRANS/505/Rev.1/Add.82/Rev.3/Amend.11</cp:keywords>
  <cp:lastModifiedBy>Marie Deschamps</cp:lastModifiedBy>
  <cp:revision>2</cp:revision>
  <cp:lastPrinted>2008-11-04T15:54:00Z</cp:lastPrinted>
  <dcterms:created xsi:type="dcterms:W3CDTF">2023-10-30T08:40:00Z</dcterms:created>
  <dcterms:modified xsi:type="dcterms:W3CDTF">2023-10-30T08:40:00Z</dcterms:modified>
</cp:coreProperties>
</file>