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C1840E0" w14:textId="77777777" w:rsidTr="00387CD4">
        <w:trPr>
          <w:trHeight w:hRule="exact" w:val="851"/>
        </w:trPr>
        <w:tc>
          <w:tcPr>
            <w:tcW w:w="142" w:type="dxa"/>
            <w:tcBorders>
              <w:bottom w:val="single" w:sz="4" w:space="0" w:color="auto"/>
            </w:tcBorders>
          </w:tcPr>
          <w:p w14:paraId="0A66D174" w14:textId="77777777" w:rsidR="002D5AAC" w:rsidRDefault="002D5AAC" w:rsidP="00CE49C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57E131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0AF9C9E" w14:textId="23CC831B" w:rsidR="002D5AAC" w:rsidRDefault="00CE49C5" w:rsidP="00CE49C5">
            <w:pPr>
              <w:jc w:val="right"/>
            </w:pPr>
            <w:r w:rsidRPr="00CE49C5">
              <w:rPr>
                <w:sz w:val="40"/>
              </w:rPr>
              <w:t>ECE</w:t>
            </w:r>
            <w:r>
              <w:t>/TRANS/WP.29/GRVA/2024/4</w:t>
            </w:r>
          </w:p>
        </w:tc>
      </w:tr>
      <w:tr w:rsidR="002D5AAC" w:rsidRPr="00CE49C5" w14:paraId="44791BDC" w14:textId="77777777" w:rsidTr="00387CD4">
        <w:trPr>
          <w:trHeight w:hRule="exact" w:val="2835"/>
        </w:trPr>
        <w:tc>
          <w:tcPr>
            <w:tcW w:w="1280" w:type="dxa"/>
            <w:gridSpan w:val="2"/>
            <w:tcBorders>
              <w:top w:val="single" w:sz="4" w:space="0" w:color="auto"/>
              <w:bottom w:val="single" w:sz="12" w:space="0" w:color="auto"/>
            </w:tcBorders>
          </w:tcPr>
          <w:p w14:paraId="697DA55E" w14:textId="77777777" w:rsidR="002D5AAC" w:rsidRDefault="002E5067" w:rsidP="00387CD4">
            <w:pPr>
              <w:spacing w:before="120"/>
              <w:jc w:val="center"/>
            </w:pPr>
            <w:r>
              <w:rPr>
                <w:noProof/>
                <w:lang w:val="fr-CH" w:eastAsia="fr-CH"/>
              </w:rPr>
              <w:drawing>
                <wp:inline distT="0" distB="0" distL="0" distR="0" wp14:anchorId="5B75E491" wp14:editId="54CE81E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43DF8B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611908B" w14:textId="7312DD65" w:rsidR="002D5AAC" w:rsidRDefault="00CE49C5" w:rsidP="00387CD4">
            <w:pPr>
              <w:spacing w:before="240"/>
              <w:rPr>
                <w:lang w:val="en-US"/>
              </w:rPr>
            </w:pPr>
            <w:r>
              <w:rPr>
                <w:lang w:val="en-US"/>
              </w:rPr>
              <w:t xml:space="preserve">Distr.: </w:t>
            </w:r>
            <w:r w:rsidRPr="00CE49C5">
              <w:rPr>
                <w:rFonts w:eastAsia="MS Mincho" w:cs="Times New Roman"/>
                <w:szCs w:val="20"/>
                <w:lang w:val="en-GB"/>
              </w:rPr>
              <w:t>General</w:t>
            </w:r>
          </w:p>
          <w:p w14:paraId="02BC89FA" w14:textId="2325BCBF" w:rsidR="00CE49C5" w:rsidRDefault="00CE49C5" w:rsidP="00CE49C5">
            <w:pPr>
              <w:spacing w:line="240" w:lineRule="exact"/>
              <w:rPr>
                <w:lang w:val="en-US"/>
              </w:rPr>
            </w:pPr>
            <w:r w:rsidRPr="00CE49C5">
              <w:rPr>
                <w:rFonts w:eastAsia="MS Mincho" w:cs="Times New Roman"/>
                <w:szCs w:val="20"/>
                <w:lang w:val="en-GB"/>
              </w:rPr>
              <w:t>1 November 2023</w:t>
            </w:r>
          </w:p>
          <w:p w14:paraId="0208D941" w14:textId="77777777" w:rsidR="00CE49C5" w:rsidRDefault="00CE49C5" w:rsidP="00CE49C5">
            <w:pPr>
              <w:spacing w:line="240" w:lineRule="exact"/>
              <w:rPr>
                <w:lang w:val="en-US"/>
              </w:rPr>
            </w:pPr>
            <w:r>
              <w:rPr>
                <w:lang w:val="en-US"/>
              </w:rPr>
              <w:t>Russian</w:t>
            </w:r>
          </w:p>
          <w:p w14:paraId="287C5296" w14:textId="40930AD3" w:rsidR="00CE49C5" w:rsidRPr="008D53B6" w:rsidRDefault="00CE49C5" w:rsidP="00CE49C5">
            <w:pPr>
              <w:spacing w:line="240" w:lineRule="exact"/>
              <w:rPr>
                <w:lang w:val="en-US"/>
              </w:rPr>
            </w:pPr>
            <w:r>
              <w:rPr>
                <w:lang w:val="en-US"/>
              </w:rPr>
              <w:t xml:space="preserve">Original: </w:t>
            </w:r>
            <w:r w:rsidRPr="00CE49C5">
              <w:rPr>
                <w:rFonts w:eastAsia="MS Mincho" w:cs="Times New Roman"/>
                <w:szCs w:val="20"/>
                <w:lang w:val="en-GB"/>
              </w:rPr>
              <w:t>English</w:t>
            </w:r>
          </w:p>
        </w:tc>
      </w:tr>
    </w:tbl>
    <w:p w14:paraId="752E98D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D2ECFFA" w14:textId="77777777" w:rsidR="00F40481" w:rsidRPr="00F40481" w:rsidRDefault="00F40481" w:rsidP="00F40481">
      <w:pPr>
        <w:spacing w:before="120"/>
        <w:rPr>
          <w:rFonts w:eastAsia="Times New Roman" w:cs="Times New Roman"/>
          <w:sz w:val="28"/>
          <w:szCs w:val="28"/>
          <w:lang w:eastAsia="fr-FR"/>
        </w:rPr>
      </w:pPr>
      <w:r w:rsidRPr="00F40481">
        <w:rPr>
          <w:rFonts w:eastAsia="Times New Roman" w:cs="Times New Roman"/>
          <w:sz w:val="28"/>
          <w:szCs w:val="28"/>
          <w:lang w:eastAsia="fr-FR"/>
        </w:rPr>
        <w:t>Комитет по внутреннему транспорту</w:t>
      </w:r>
    </w:p>
    <w:p w14:paraId="07ED944C" w14:textId="77777777" w:rsidR="00F40481" w:rsidRPr="00F40481" w:rsidRDefault="00F40481" w:rsidP="00F40481">
      <w:pPr>
        <w:spacing w:before="120"/>
        <w:rPr>
          <w:rFonts w:eastAsia="Times New Roman" w:cs="Times New Roman"/>
          <w:b/>
          <w:sz w:val="24"/>
          <w:szCs w:val="24"/>
          <w:lang w:eastAsia="fr-FR"/>
        </w:rPr>
      </w:pPr>
      <w:r w:rsidRPr="00F40481">
        <w:rPr>
          <w:rFonts w:eastAsia="Times New Roman" w:cs="Times New Roman"/>
          <w:b/>
          <w:bCs/>
          <w:sz w:val="24"/>
          <w:szCs w:val="24"/>
          <w:lang w:eastAsia="fr-FR"/>
        </w:rPr>
        <w:t>Всемирный форум для согласования правил</w:t>
      </w:r>
      <w:r w:rsidRPr="00F40481">
        <w:rPr>
          <w:rFonts w:eastAsia="Times New Roman" w:cs="Times New Roman"/>
          <w:b/>
          <w:bCs/>
          <w:sz w:val="24"/>
          <w:szCs w:val="24"/>
          <w:lang w:eastAsia="fr-FR"/>
        </w:rPr>
        <w:br/>
        <w:t>в области транспортных средств</w:t>
      </w:r>
    </w:p>
    <w:p w14:paraId="405EDF6E" w14:textId="0D16C1E3" w:rsidR="00F40481" w:rsidRPr="00F40481" w:rsidRDefault="00F40481" w:rsidP="00F40481">
      <w:pPr>
        <w:tabs>
          <w:tab w:val="center" w:pos="4819"/>
        </w:tabs>
        <w:spacing w:before="120"/>
        <w:rPr>
          <w:rFonts w:eastAsia="MS Mincho" w:cs="Times New Roman"/>
          <w:b/>
          <w:szCs w:val="20"/>
        </w:rPr>
      </w:pPr>
      <w:r w:rsidRPr="00F40481">
        <w:rPr>
          <w:rFonts w:eastAsia="MS Mincho" w:cs="Times New Roman"/>
          <w:b/>
          <w:bCs/>
          <w:szCs w:val="20"/>
        </w:rPr>
        <w:t>Рабочая группа по автоматизированным/автономным</w:t>
      </w:r>
      <w:r>
        <w:rPr>
          <w:rFonts w:eastAsia="MS Mincho" w:cs="Times New Roman"/>
          <w:b/>
          <w:bCs/>
          <w:szCs w:val="20"/>
        </w:rPr>
        <w:br/>
      </w:r>
      <w:r w:rsidRPr="00F40481">
        <w:rPr>
          <w:rFonts w:eastAsia="MS Mincho" w:cs="Times New Roman"/>
          <w:b/>
          <w:bCs/>
          <w:szCs w:val="20"/>
        </w:rPr>
        <w:t>и подключенным транспортным средствам</w:t>
      </w:r>
    </w:p>
    <w:p w14:paraId="043018F3" w14:textId="2E236D45" w:rsidR="00F40481" w:rsidRPr="00F40481" w:rsidRDefault="00F40481" w:rsidP="00F40481">
      <w:pPr>
        <w:tabs>
          <w:tab w:val="center" w:pos="4819"/>
        </w:tabs>
        <w:spacing w:before="120"/>
        <w:rPr>
          <w:rFonts w:eastAsia="MS Mincho" w:cs="Times New Roman"/>
          <w:b/>
          <w:bCs/>
          <w:szCs w:val="20"/>
        </w:rPr>
      </w:pPr>
      <w:r w:rsidRPr="00F40481">
        <w:rPr>
          <w:rFonts w:eastAsia="MS Mincho" w:cs="Times New Roman"/>
          <w:b/>
          <w:bCs/>
          <w:szCs w:val="20"/>
        </w:rPr>
        <w:t>Восемнадцатая сессия</w:t>
      </w:r>
      <w:r>
        <w:rPr>
          <w:rFonts w:eastAsia="MS Mincho" w:cs="Times New Roman"/>
          <w:b/>
          <w:bCs/>
          <w:szCs w:val="20"/>
        </w:rPr>
        <w:br/>
      </w:r>
      <w:r w:rsidRPr="00F40481">
        <w:rPr>
          <w:rFonts w:eastAsia="MS Mincho" w:cs="Times New Roman"/>
          <w:szCs w:val="20"/>
        </w:rPr>
        <w:t>Женева, 22–26 января 2024 года</w:t>
      </w:r>
      <w:r>
        <w:rPr>
          <w:rFonts w:eastAsia="MS Mincho" w:cs="Times New Roman"/>
          <w:szCs w:val="20"/>
        </w:rPr>
        <w:br/>
      </w:r>
      <w:r w:rsidRPr="00F40481">
        <w:rPr>
          <w:rFonts w:eastAsia="MS Mincho" w:cs="Times New Roman"/>
          <w:szCs w:val="20"/>
        </w:rPr>
        <w:t>Пункт 5 а) предварительной повестки дня</w:t>
      </w:r>
      <w:r>
        <w:rPr>
          <w:rFonts w:eastAsia="MS Mincho" w:cs="Times New Roman"/>
          <w:szCs w:val="20"/>
        </w:rPr>
        <w:br/>
      </w:r>
      <w:r w:rsidRPr="00F40481">
        <w:rPr>
          <w:rFonts w:eastAsia="MS Mincho" w:cs="Times New Roman"/>
          <w:b/>
          <w:bCs/>
          <w:szCs w:val="20"/>
        </w:rPr>
        <w:t>Подключенные транспортные средства:</w:t>
      </w:r>
      <w:r>
        <w:rPr>
          <w:rFonts w:eastAsia="MS Mincho" w:cs="Times New Roman"/>
          <w:b/>
          <w:bCs/>
          <w:szCs w:val="20"/>
        </w:rPr>
        <w:br/>
      </w:r>
      <w:r w:rsidRPr="00F40481">
        <w:rPr>
          <w:rFonts w:eastAsia="MS Mincho" w:cs="Times New Roman"/>
          <w:b/>
          <w:bCs/>
          <w:szCs w:val="20"/>
        </w:rPr>
        <w:t>Вопросы, касающиеся кибербезопасности,</w:t>
      </w:r>
      <w:r>
        <w:rPr>
          <w:rFonts w:eastAsia="MS Mincho" w:cs="Times New Roman"/>
          <w:b/>
          <w:bCs/>
          <w:szCs w:val="20"/>
        </w:rPr>
        <w:br/>
      </w:r>
      <w:r w:rsidRPr="00F40481">
        <w:rPr>
          <w:rFonts w:eastAsia="MS Mincho" w:cs="Times New Roman"/>
          <w:b/>
          <w:bCs/>
          <w:szCs w:val="20"/>
        </w:rPr>
        <w:t>обновлений программного обеспечения</w:t>
      </w:r>
      <w:r>
        <w:rPr>
          <w:rFonts w:eastAsia="MS Mincho" w:cs="Times New Roman"/>
          <w:b/>
          <w:bCs/>
          <w:szCs w:val="20"/>
        </w:rPr>
        <w:br/>
      </w:r>
      <w:r w:rsidRPr="00F40481">
        <w:rPr>
          <w:rFonts w:eastAsia="MS Mincho" w:cs="Times New Roman"/>
          <w:b/>
          <w:bCs/>
          <w:szCs w:val="20"/>
        </w:rPr>
        <w:t>и беспроводной связи</w:t>
      </w:r>
    </w:p>
    <w:p w14:paraId="4439D65A" w14:textId="77777777" w:rsidR="00F40481" w:rsidRPr="00F40481" w:rsidRDefault="00F40481" w:rsidP="00F40481">
      <w:pPr>
        <w:pStyle w:val="HChG"/>
        <w:rPr>
          <w:rFonts w:eastAsia="MS Mincho"/>
        </w:rPr>
      </w:pPr>
      <w:r w:rsidRPr="00F40481">
        <w:rPr>
          <w:rFonts w:eastAsia="MS Mincho"/>
        </w:rPr>
        <w:tab/>
      </w:r>
      <w:r w:rsidRPr="00F40481">
        <w:rPr>
          <w:rFonts w:eastAsia="MS Mincho"/>
        </w:rPr>
        <w:tab/>
        <w:t>Предложение по дополнению к Правилам № 155 ООН (кибербезопасность и система обеспечения кибербезопасности)</w:t>
      </w:r>
    </w:p>
    <w:p w14:paraId="79E11DBF" w14:textId="53A29130" w:rsidR="00F40481" w:rsidRPr="00F40481" w:rsidRDefault="00F40481" w:rsidP="00F40481">
      <w:pPr>
        <w:pStyle w:val="H1G"/>
        <w:rPr>
          <w:rFonts w:eastAsia="MS Mincho"/>
        </w:rPr>
      </w:pPr>
      <w:r w:rsidRPr="00F40481">
        <w:rPr>
          <w:rFonts w:eastAsia="MS Mincho"/>
        </w:rPr>
        <w:tab/>
      </w:r>
      <w:r w:rsidRPr="00F40481">
        <w:rPr>
          <w:rFonts w:eastAsia="MS Mincho"/>
        </w:rPr>
        <w:tab/>
        <w:t>Представлено экспертами от Италии, Соединенного</w:t>
      </w:r>
      <w:r>
        <w:rPr>
          <w:rFonts w:eastAsia="MS Mincho"/>
        </w:rPr>
        <w:br/>
      </w:r>
      <w:r w:rsidRPr="00F40481">
        <w:rPr>
          <w:rFonts w:eastAsia="MS Mincho"/>
        </w:rPr>
        <w:t>Королевства Великобритании и Северной Ирландии, Франции</w:t>
      </w:r>
      <w:r>
        <w:rPr>
          <w:rFonts w:eastAsia="MS Mincho"/>
        </w:rPr>
        <w:br/>
      </w:r>
      <w:r w:rsidRPr="00F40481">
        <w:rPr>
          <w:rFonts w:eastAsia="MS Mincho"/>
        </w:rPr>
        <w:t>и Международной ассоциации заводов-изготовителей мотоциклов</w:t>
      </w:r>
      <w:r w:rsidRPr="00F40481">
        <w:rPr>
          <w:rStyle w:val="aa"/>
          <w:rFonts w:eastAsia="MS Mincho"/>
          <w:sz w:val="20"/>
          <w:vertAlign w:val="baseline"/>
        </w:rPr>
        <w:footnoteReference w:customMarkFollows="1" w:id="1"/>
        <w:t>*</w:t>
      </w:r>
    </w:p>
    <w:p w14:paraId="4C3F2D89" w14:textId="7F9B898D" w:rsidR="00F40481" w:rsidRPr="00F40481" w:rsidRDefault="00F40481" w:rsidP="00F40481">
      <w:pPr>
        <w:pStyle w:val="SingleTxtG"/>
        <w:rPr>
          <w:rFonts w:eastAsia="MS Mincho"/>
        </w:rPr>
      </w:pPr>
      <w:r w:rsidRPr="00F40481">
        <w:rPr>
          <w:rFonts w:eastAsia="MS Mincho"/>
        </w:rPr>
        <w:tab/>
        <w:t>Воспроизведенный ниже текст был подготовлен экспертами от Италии, Соединенного Королевства Великобритании и Северной Ирландии, Франции</w:t>
      </w:r>
      <w:r>
        <w:rPr>
          <w:rFonts w:eastAsia="MS Mincho"/>
        </w:rPr>
        <w:br/>
      </w:r>
      <w:r w:rsidRPr="00F40481">
        <w:rPr>
          <w:rFonts w:eastAsia="MS Mincho"/>
        </w:rPr>
        <w:t>и Международной ассоциации заводов-изготовителей мотоциклов. Цель данного предложения заключается в расширении области применения Правил № 155 ООН,</w:t>
      </w:r>
      <w:r>
        <w:rPr>
          <w:rFonts w:eastAsia="MS Mincho"/>
        </w:rPr>
        <w:br/>
      </w:r>
      <w:r w:rsidRPr="00F40481">
        <w:rPr>
          <w:rFonts w:eastAsia="MS Mincho"/>
        </w:rPr>
        <w:t>с тем чтобы под их действие подпадали все транспортные средства категории L. Изменения к существующему тексту Правил выделены жирным шрифтом в случае новых элементов или зачеркиванием в случае исключенных элементов.</w:t>
      </w:r>
    </w:p>
    <w:p w14:paraId="2EC2B211" w14:textId="77777777" w:rsidR="00F40481" w:rsidRPr="00F40481" w:rsidRDefault="00F40481" w:rsidP="00F40481">
      <w:pPr>
        <w:pStyle w:val="HChG"/>
        <w:pageBreakBefore/>
        <w:rPr>
          <w:rFonts w:eastAsia="MS Mincho"/>
        </w:rPr>
      </w:pPr>
      <w:r w:rsidRPr="00F40481">
        <w:rPr>
          <w:rFonts w:eastAsia="MS Mincho"/>
        </w:rPr>
        <w:lastRenderedPageBreak/>
        <w:tab/>
        <w:t>I.</w:t>
      </w:r>
      <w:r w:rsidRPr="00F40481">
        <w:rPr>
          <w:rFonts w:eastAsia="MS Mincho"/>
        </w:rPr>
        <w:tab/>
        <w:t>Предложение</w:t>
      </w:r>
    </w:p>
    <w:p w14:paraId="7E361315" w14:textId="77777777" w:rsidR="00F40481" w:rsidRPr="00F40481" w:rsidRDefault="00F40481" w:rsidP="00F40481">
      <w:pPr>
        <w:spacing w:after="120" w:line="240" w:lineRule="auto"/>
        <w:ind w:left="1133"/>
        <w:rPr>
          <w:rFonts w:eastAsia="MS Mincho" w:cs="Times New Roman"/>
          <w:szCs w:val="20"/>
        </w:rPr>
      </w:pPr>
      <w:r w:rsidRPr="00F40481">
        <w:rPr>
          <w:rFonts w:eastAsia="MS Mincho" w:cs="Times New Roman"/>
          <w:i/>
          <w:iCs/>
          <w:szCs w:val="20"/>
        </w:rPr>
        <w:t xml:space="preserve">Пункт 1.1 </w:t>
      </w:r>
      <w:r w:rsidRPr="00F40481">
        <w:rPr>
          <w:rFonts w:eastAsia="MS Mincho" w:cs="Times New Roman"/>
          <w:szCs w:val="20"/>
        </w:rPr>
        <w:t xml:space="preserve">изменить следующим образом: </w:t>
      </w:r>
    </w:p>
    <w:p w14:paraId="7B8715D2" w14:textId="7F0FCFB2" w:rsidR="00F40481" w:rsidRPr="00F40481" w:rsidRDefault="00F40481" w:rsidP="00F40481">
      <w:pPr>
        <w:spacing w:after="120" w:line="240" w:lineRule="auto"/>
        <w:ind w:left="2268" w:right="1128" w:hanging="1134"/>
        <w:jc w:val="both"/>
        <w:rPr>
          <w:rFonts w:eastAsia="MS Mincho" w:cs="Times New Roman"/>
          <w:szCs w:val="20"/>
        </w:rPr>
      </w:pPr>
      <w:r w:rsidRPr="00F40481">
        <w:rPr>
          <w:rFonts w:eastAsia="MS Mincho" w:cs="Times New Roman"/>
          <w:szCs w:val="20"/>
        </w:rPr>
        <w:t>«1.1</w:t>
      </w:r>
      <w:r w:rsidRPr="00F40481">
        <w:rPr>
          <w:rFonts w:eastAsia="MS Mincho" w:cs="Times New Roman"/>
          <w:szCs w:val="20"/>
        </w:rPr>
        <w:tab/>
        <w:t xml:space="preserve">Настоящие Правила применяются к транспортным средствам категорий </w:t>
      </w:r>
      <w:r w:rsidRPr="00F40481">
        <w:rPr>
          <w:rFonts w:eastAsia="MS Mincho" w:cs="Times New Roman"/>
          <w:b/>
          <w:bCs/>
          <w:szCs w:val="20"/>
        </w:rPr>
        <w:t>L,</w:t>
      </w:r>
      <w:r w:rsidRPr="00F40481">
        <w:rPr>
          <w:rFonts w:eastAsia="MS Mincho" w:cs="Times New Roman"/>
          <w:szCs w:val="20"/>
        </w:rPr>
        <w:t xml:space="preserve"> M</w:t>
      </w:r>
      <w:r w:rsidRPr="00F40481">
        <w:rPr>
          <w:rFonts w:eastAsia="MS Mincho" w:cs="Times New Roman"/>
          <w:b/>
          <w:bCs/>
          <w:szCs w:val="20"/>
        </w:rPr>
        <w:t>,</w:t>
      </w:r>
      <w:r w:rsidRPr="00F40481">
        <w:rPr>
          <w:rFonts w:eastAsia="MS Mincho" w:cs="Times New Roman"/>
          <w:szCs w:val="20"/>
        </w:rPr>
        <w:t xml:space="preserve"> </w:t>
      </w:r>
      <w:r w:rsidRPr="00F40481">
        <w:rPr>
          <w:rFonts w:eastAsia="MS Mincho" w:cs="Times New Roman"/>
          <w:strike/>
          <w:szCs w:val="20"/>
        </w:rPr>
        <w:t>и</w:t>
      </w:r>
      <w:r w:rsidRPr="00F40481">
        <w:rPr>
          <w:rFonts w:eastAsia="MS Mincho" w:cs="Times New Roman"/>
          <w:szCs w:val="20"/>
        </w:rPr>
        <w:t xml:space="preserve"> N </w:t>
      </w:r>
      <w:r w:rsidRPr="00F40481">
        <w:rPr>
          <w:rFonts w:eastAsia="MS Mincho" w:cs="Times New Roman"/>
          <w:b/>
          <w:bCs/>
          <w:szCs w:val="20"/>
        </w:rPr>
        <w:t>и O</w:t>
      </w:r>
      <w:r w:rsidRPr="00F40481">
        <w:rPr>
          <w:rFonts w:eastAsia="MS Mincho" w:cs="Times New Roman"/>
          <w:szCs w:val="20"/>
        </w:rPr>
        <w:t xml:space="preserve"> в отношении кибербезопасности</w:t>
      </w:r>
      <w:r w:rsidRPr="00F40481">
        <w:rPr>
          <w:rFonts w:eastAsia="MS Mincho" w:cs="Times New Roman"/>
          <w:b/>
          <w:bCs/>
          <w:szCs w:val="20"/>
        </w:rPr>
        <w:t>, если они оснащены</w:t>
      </w:r>
      <w:r>
        <w:rPr>
          <w:rFonts w:eastAsia="MS Mincho" w:cs="Times New Roman"/>
          <w:b/>
          <w:bCs/>
          <w:szCs w:val="20"/>
        </w:rPr>
        <w:br/>
      </w:r>
      <w:r w:rsidRPr="00F40481">
        <w:rPr>
          <w:rFonts w:eastAsia="MS Mincho" w:cs="Times New Roman"/>
          <w:b/>
          <w:bCs/>
          <w:szCs w:val="20"/>
        </w:rPr>
        <w:t>по меньшей мере одним электронным блоком управления.</w:t>
      </w:r>
    </w:p>
    <w:p w14:paraId="085D099C" w14:textId="77777777" w:rsidR="00F40481" w:rsidRPr="00F40481" w:rsidRDefault="00F40481" w:rsidP="00F40481">
      <w:pPr>
        <w:spacing w:after="120" w:line="240" w:lineRule="auto"/>
        <w:ind w:left="2268" w:right="1128"/>
        <w:jc w:val="both"/>
        <w:rPr>
          <w:rFonts w:eastAsia="MS Mincho" w:cs="Times New Roman"/>
          <w:szCs w:val="20"/>
        </w:rPr>
      </w:pPr>
      <w:r w:rsidRPr="00F40481">
        <w:rPr>
          <w:rFonts w:eastAsia="MS Mincho" w:cs="Times New Roman"/>
          <w:strike/>
          <w:szCs w:val="20"/>
        </w:rPr>
        <w:t>Настоящие Правила применяются также к транспортным средствам категории O, если они оснащены по меньшей мере одним электронным блоком управления</w:t>
      </w:r>
      <w:r w:rsidRPr="00F40481">
        <w:rPr>
          <w:rFonts w:eastAsia="MS Mincho" w:cs="Times New Roman"/>
          <w:szCs w:val="20"/>
        </w:rPr>
        <w:t>».</w:t>
      </w:r>
    </w:p>
    <w:p w14:paraId="744663EF" w14:textId="1C9FEE68" w:rsidR="00F40481" w:rsidRPr="00F40481" w:rsidRDefault="00F40481" w:rsidP="00F40481">
      <w:pPr>
        <w:spacing w:after="120" w:line="240" w:lineRule="auto"/>
        <w:ind w:right="1128"/>
        <w:jc w:val="both"/>
        <w:rPr>
          <w:rFonts w:eastAsia="MS Mincho" w:cs="Times New Roman"/>
          <w:szCs w:val="20"/>
        </w:rPr>
      </w:pPr>
      <w:r w:rsidRPr="00F40481">
        <w:rPr>
          <w:rFonts w:eastAsia="MS Mincho" w:cs="Times New Roman"/>
          <w:szCs w:val="20"/>
        </w:rPr>
        <w:tab/>
      </w:r>
      <w:r w:rsidRPr="00F40481">
        <w:rPr>
          <w:rFonts w:eastAsia="MS Mincho" w:cs="Times New Roman"/>
          <w:szCs w:val="20"/>
        </w:rPr>
        <w:tab/>
      </w:r>
      <w:r w:rsidRPr="00F40481">
        <w:rPr>
          <w:rFonts w:eastAsia="MS Mincho" w:cs="Times New Roman"/>
          <w:i/>
          <w:iCs/>
          <w:szCs w:val="20"/>
        </w:rPr>
        <w:t>Пункт 1.2</w:t>
      </w:r>
      <w:r w:rsidRPr="00F40481">
        <w:rPr>
          <w:rFonts w:eastAsia="MS Mincho" w:cs="Times New Roman"/>
          <w:szCs w:val="20"/>
        </w:rPr>
        <w:t xml:space="preserve"> исключить:</w:t>
      </w:r>
    </w:p>
    <w:p w14:paraId="4B74C5DA" w14:textId="77777777" w:rsidR="00F40481" w:rsidRPr="00F40481" w:rsidRDefault="00F40481" w:rsidP="00F40481">
      <w:pPr>
        <w:spacing w:after="120" w:line="240" w:lineRule="auto"/>
        <w:ind w:left="2268" w:right="1128" w:hanging="1134"/>
        <w:jc w:val="both"/>
        <w:rPr>
          <w:rFonts w:eastAsia="MS Mincho" w:cs="Times New Roman"/>
          <w:szCs w:val="20"/>
        </w:rPr>
      </w:pPr>
      <w:r w:rsidRPr="00F40481">
        <w:rPr>
          <w:rFonts w:eastAsia="MS Mincho" w:cs="Times New Roman"/>
          <w:szCs w:val="20"/>
        </w:rPr>
        <w:t>«</w:t>
      </w:r>
      <w:r w:rsidRPr="00F40481">
        <w:rPr>
          <w:rFonts w:eastAsia="MS Mincho" w:cs="Times New Roman"/>
          <w:strike/>
          <w:szCs w:val="20"/>
        </w:rPr>
        <w:t>1.2</w:t>
      </w:r>
      <w:r w:rsidRPr="00F40481">
        <w:rPr>
          <w:rFonts w:eastAsia="MS Mincho" w:cs="Times New Roman"/>
          <w:szCs w:val="20"/>
        </w:rPr>
        <w:tab/>
      </w:r>
      <w:r w:rsidRPr="00F40481">
        <w:rPr>
          <w:rFonts w:eastAsia="MS Mincho" w:cs="Times New Roman"/>
          <w:strike/>
          <w:szCs w:val="20"/>
        </w:rPr>
        <w:t>Настоящие Правила применяются также к транспортным средствам категорий L6 и L7, если они оснащены автоматизированной функцией управления транспортным средством, начиная с уровня 3 и выше, как это определено в справочном документе с определениями термина «автоматизированное вождение» в рамках WP.29 и Общих принципах для разработки правил ООН, касающихся автоматизированных транспортных средств (ECE/TRANS/WP.29/1140)</w:t>
      </w:r>
      <w:r w:rsidRPr="00F40481">
        <w:rPr>
          <w:rFonts w:eastAsia="MS Mincho" w:cs="Times New Roman"/>
          <w:szCs w:val="20"/>
        </w:rPr>
        <w:t>».</w:t>
      </w:r>
    </w:p>
    <w:p w14:paraId="59D72A1D" w14:textId="77777777" w:rsidR="00F40481" w:rsidRPr="00F40481" w:rsidRDefault="00F40481" w:rsidP="00F40481">
      <w:pPr>
        <w:spacing w:after="120" w:line="240" w:lineRule="auto"/>
        <w:ind w:left="1134" w:right="1128"/>
        <w:jc w:val="both"/>
        <w:rPr>
          <w:rFonts w:eastAsia="MS Mincho" w:cs="Times New Roman"/>
          <w:i/>
          <w:szCs w:val="20"/>
        </w:rPr>
      </w:pPr>
      <w:r w:rsidRPr="00F40481">
        <w:rPr>
          <w:rFonts w:eastAsia="MS Mincho" w:cs="Times New Roman"/>
          <w:i/>
          <w:iCs/>
          <w:szCs w:val="20"/>
        </w:rPr>
        <w:t>Пункты 1.3</w:t>
      </w:r>
      <w:r w:rsidRPr="00F40481">
        <w:rPr>
          <w:rFonts w:eastAsia="MS Mincho" w:cs="Times New Roman"/>
          <w:szCs w:val="20"/>
        </w:rPr>
        <w:t xml:space="preserve"> </w:t>
      </w:r>
      <w:r w:rsidRPr="00F40481">
        <w:rPr>
          <w:rFonts w:eastAsia="MS Mincho" w:cs="Times New Roman"/>
          <w:i/>
          <w:iCs/>
          <w:szCs w:val="20"/>
        </w:rPr>
        <w:t>(прежний) и 1.4,</w:t>
      </w:r>
      <w:r w:rsidRPr="00F40481">
        <w:rPr>
          <w:rFonts w:eastAsia="MS Mincho" w:cs="Times New Roman"/>
          <w:szCs w:val="20"/>
        </w:rPr>
        <w:t xml:space="preserve"> изменить нумерацию на 1.2 и 1.3.</w:t>
      </w:r>
    </w:p>
    <w:p w14:paraId="2E778649" w14:textId="77777777" w:rsidR="00F40481" w:rsidRPr="00F40481" w:rsidRDefault="00F40481" w:rsidP="00F40481">
      <w:pPr>
        <w:spacing w:after="120" w:line="240" w:lineRule="auto"/>
        <w:ind w:left="1134" w:right="1128"/>
        <w:jc w:val="both"/>
        <w:rPr>
          <w:rFonts w:eastAsia="MS Mincho" w:cs="Times New Roman"/>
          <w:szCs w:val="20"/>
        </w:rPr>
      </w:pPr>
      <w:r w:rsidRPr="00F40481">
        <w:rPr>
          <w:rFonts w:eastAsia="MS Mincho" w:cs="Times New Roman"/>
          <w:i/>
          <w:iCs/>
          <w:szCs w:val="20"/>
        </w:rPr>
        <w:t xml:space="preserve">Пункт 7.3.1 </w:t>
      </w:r>
      <w:r w:rsidRPr="00F40481">
        <w:rPr>
          <w:rFonts w:eastAsia="MS Mincho" w:cs="Times New Roman"/>
          <w:szCs w:val="20"/>
        </w:rPr>
        <w:t>изменить следующим образом:</w:t>
      </w:r>
    </w:p>
    <w:p w14:paraId="3A6759A3" w14:textId="45A356D6" w:rsidR="00F40481" w:rsidRPr="00F40481" w:rsidRDefault="00F40481" w:rsidP="00F40481">
      <w:pPr>
        <w:spacing w:after="120" w:line="240" w:lineRule="auto"/>
        <w:ind w:left="2268" w:right="1128" w:hanging="1134"/>
        <w:jc w:val="both"/>
        <w:rPr>
          <w:rFonts w:eastAsia="MS Mincho" w:cs="Times New Roman"/>
          <w:szCs w:val="20"/>
        </w:rPr>
      </w:pPr>
      <w:r w:rsidRPr="00F40481">
        <w:rPr>
          <w:rFonts w:eastAsia="MS Mincho" w:cs="Times New Roman"/>
          <w:szCs w:val="20"/>
        </w:rPr>
        <w:t>«7.3.1</w:t>
      </w:r>
      <w:r w:rsidRPr="00F40481">
        <w:rPr>
          <w:rFonts w:eastAsia="MS Mincho" w:cs="Times New Roman"/>
          <w:szCs w:val="20"/>
        </w:rPr>
        <w:tab/>
        <w:t>Изготовитель должен иметь действующее свидетельство о соответствии системы обеспечения кибербезопасности, относящееся к официально утверждаемому типу транспортного средства. Однако, в случае официальных утверждений типа</w:t>
      </w:r>
      <w:r w:rsidRPr="00F40481">
        <w:rPr>
          <w:rFonts w:eastAsia="MS Mincho" w:cs="Times New Roman"/>
          <w:b/>
          <w:bCs/>
          <w:szCs w:val="20"/>
        </w:rPr>
        <w:t xml:space="preserve"> транспортных средств категорий M, N и O, впервые предоставленных</w:t>
      </w:r>
      <w:r w:rsidRPr="00F40481">
        <w:rPr>
          <w:rFonts w:eastAsia="MS Mincho" w:cs="Times New Roman"/>
          <w:szCs w:val="20"/>
        </w:rPr>
        <w:t xml:space="preserve"> до 1 июля 2024 года,</w:t>
      </w:r>
      <w:r w:rsidRPr="00F40481">
        <w:rPr>
          <w:rFonts w:eastAsia="MS Mincho" w:cs="Times New Roman"/>
          <w:b/>
          <w:bCs/>
          <w:szCs w:val="20"/>
        </w:rPr>
        <w:t xml:space="preserve"> а также в случае официальных утверждений типа транспортных средств категории L, впервые предоставленных до 1 июля 2029 года,</w:t>
      </w:r>
      <w:r>
        <w:rPr>
          <w:rFonts w:eastAsia="MS Mincho" w:cs="Times New Roman"/>
          <w:szCs w:val="20"/>
        </w:rPr>
        <w:br/>
      </w:r>
      <w:r w:rsidRPr="00F40481">
        <w:rPr>
          <w:rFonts w:eastAsia="MS Mincho" w:cs="Times New Roman"/>
          <w:szCs w:val="20"/>
        </w:rPr>
        <w:t>и каждого распространения таких официальных утверждений, если изготовитель транспортного средства может продемонстрировать, что данный тип транспортного средства не мог быть разработан в соответствии с СОКиБ, то изготовитель транспортного средства должен продемонстрировать, что на этапе разработки соответствующего типа транспортного средства фактор кибербезопасности был учтен должным образом».</w:t>
      </w:r>
    </w:p>
    <w:p w14:paraId="29E6A81E" w14:textId="77777777" w:rsidR="00F40481" w:rsidRPr="00F40481" w:rsidRDefault="00F40481" w:rsidP="00F40481">
      <w:pPr>
        <w:spacing w:after="120" w:line="240" w:lineRule="auto"/>
        <w:ind w:left="1134" w:right="1128"/>
        <w:jc w:val="both"/>
        <w:rPr>
          <w:rFonts w:eastAsia="MS Mincho" w:cs="Times New Roman"/>
          <w:szCs w:val="20"/>
        </w:rPr>
      </w:pPr>
      <w:r w:rsidRPr="00F40481">
        <w:rPr>
          <w:rFonts w:eastAsia="MS Mincho" w:cs="Times New Roman"/>
          <w:i/>
          <w:iCs/>
          <w:szCs w:val="20"/>
        </w:rPr>
        <w:t>Пункт 7.3.4</w:t>
      </w:r>
      <w:r w:rsidRPr="00F40481">
        <w:rPr>
          <w:rFonts w:eastAsia="MS Mincho" w:cs="Times New Roman"/>
          <w:szCs w:val="20"/>
        </w:rPr>
        <w:t xml:space="preserve"> изменить следующим образом:</w:t>
      </w:r>
    </w:p>
    <w:p w14:paraId="10CC61F1" w14:textId="5993BE01" w:rsidR="00F40481" w:rsidRPr="00F40481" w:rsidRDefault="00F40481" w:rsidP="00F40481">
      <w:pPr>
        <w:spacing w:after="120" w:line="240" w:lineRule="auto"/>
        <w:ind w:left="2268" w:right="1128" w:hanging="1134"/>
        <w:jc w:val="both"/>
        <w:rPr>
          <w:rFonts w:eastAsia="MS Mincho" w:cs="Times New Roman"/>
          <w:szCs w:val="20"/>
        </w:rPr>
      </w:pPr>
      <w:r w:rsidRPr="00F40481">
        <w:rPr>
          <w:rFonts w:eastAsia="MS Mincho" w:cs="Times New Roman"/>
          <w:szCs w:val="20"/>
        </w:rPr>
        <w:t>«7.3.4</w:t>
      </w:r>
      <w:r w:rsidRPr="00F40481">
        <w:rPr>
          <w:rFonts w:eastAsia="MS Mincho" w:cs="Times New Roman"/>
          <w:szCs w:val="20"/>
        </w:rPr>
        <w:tab/>
        <w:t>Изготовитель транспортного средства защищает данный тип транспортного средства от рисков, выявленных в ходе оценки рисков изготовителем транспортного средства. Для защиты типа транспортного средства принимаются соразмерные меры по смягчению последствий. Осуществляемые меры по смягчению последствий включают все меры по смягчению последствий, о которых говорится в частях В и С приложения 5 и которые касаются выявленных рисков. Если же та или иная мера по смягчению последствий, упомянутая в части В или С приложения 5, не имеет отношения к выявленному риску или является недостаточной, изготовитель транспортного средства обеспечивает осуществление какой-либо другой соответствующей меры по смягчению последствий. В частности, в случае официальных утверждений типа</w:t>
      </w:r>
      <w:r w:rsidRPr="00F40481">
        <w:rPr>
          <w:rFonts w:eastAsia="MS Mincho" w:cs="Times New Roman"/>
          <w:b/>
          <w:bCs/>
          <w:szCs w:val="20"/>
        </w:rPr>
        <w:t xml:space="preserve"> транспортных средств категорий M, N и O</w:t>
      </w:r>
      <w:r w:rsidRPr="00F40481">
        <w:rPr>
          <w:rFonts w:eastAsia="MS Mincho" w:cs="Times New Roman"/>
          <w:szCs w:val="20"/>
        </w:rPr>
        <w:t xml:space="preserve">, впервые предоставленных до 1 июля 2024 года, </w:t>
      </w:r>
      <w:r w:rsidRPr="00F40481">
        <w:rPr>
          <w:rFonts w:eastAsia="MS Mincho" w:cs="Times New Roman"/>
          <w:b/>
          <w:bCs/>
          <w:szCs w:val="20"/>
        </w:rPr>
        <w:t>а также в случае официальных утверждений типа транспортных средств категории L,</w:t>
      </w:r>
      <w:r w:rsidRPr="00F40481">
        <w:rPr>
          <w:rFonts w:eastAsia="MS Mincho" w:cs="Times New Roman"/>
          <w:szCs w:val="20"/>
        </w:rPr>
        <w:t xml:space="preserve"> впервые предоставленных</w:t>
      </w:r>
      <w:r>
        <w:rPr>
          <w:rFonts w:eastAsia="MS Mincho" w:cs="Times New Roman"/>
          <w:szCs w:val="20"/>
        </w:rPr>
        <w:br/>
      </w:r>
      <w:r w:rsidRPr="00F40481">
        <w:rPr>
          <w:rFonts w:eastAsia="MS Mincho" w:cs="Times New Roman"/>
          <w:szCs w:val="20"/>
        </w:rPr>
        <w:t>до 1 июля 2029 года, и каждого распространения таких официальных утверждений, изготовитель транспортного средства обеспечивает осуществление какой-либо другой соответствующей меры по смягчению последствий, если та или иная мера по смягчению последствий, упомянутая в части В или С приложения 5, технически неосуществима. Соответствующая оценка технической осуществимости предоставляется изготовителем органу по официальному утверждению».</w:t>
      </w:r>
    </w:p>
    <w:p w14:paraId="0BD60244" w14:textId="77777777" w:rsidR="00F40481" w:rsidRPr="00F40481" w:rsidRDefault="00F40481" w:rsidP="00F40481">
      <w:pPr>
        <w:pStyle w:val="HChG"/>
        <w:rPr>
          <w:rFonts w:eastAsia="MS Mincho"/>
        </w:rPr>
      </w:pPr>
      <w:r w:rsidRPr="00F40481">
        <w:rPr>
          <w:rFonts w:eastAsia="MS Mincho"/>
        </w:rPr>
        <w:lastRenderedPageBreak/>
        <w:tab/>
        <w:t>II.</w:t>
      </w:r>
      <w:r w:rsidRPr="00F40481">
        <w:rPr>
          <w:rFonts w:eastAsia="MS Mincho"/>
        </w:rPr>
        <w:tab/>
        <w:t>Обоснование</w:t>
      </w:r>
    </w:p>
    <w:p w14:paraId="2C21A885" w14:textId="77777777" w:rsidR="00F40481" w:rsidRPr="00F40481" w:rsidRDefault="00F40481" w:rsidP="00F40481">
      <w:pPr>
        <w:spacing w:after="120"/>
        <w:ind w:left="1134" w:right="1134"/>
        <w:jc w:val="both"/>
        <w:rPr>
          <w:rFonts w:eastAsia="MS Mincho" w:cs="Times New Roman"/>
          <w:szCs w:val="20"/>
        </w:rPr>
      </w:pPr>
      <w:r w:rsidRPr="00F40481">
        <w:rPr>
          <w:rFonts w:eastAsia="MS Mincho" w:cs="Times New Roman"/>
          <w:szCs w:val="20"/>
        </w:rPr>
        <w:t>1.</w:t>
      </w:r>
      <w:r w:rsidRPr="00F40481">
        <w:rPr>
          <w:rFonts w:eastAsia="MS Mincho" w:cs="Times New Roman"/>
          <w:szCs w:val="20"/>
        </w:rPr>
        <w:tab/>
        <w:t>Цель Правил № 155 ООН заключается в создании международной основы для официального утверждения типа дорожных транспортных средств в отношении обеспечения кибербезопасности. В этой связи GRVA надлежит стремиться к тому, чтобы у Договаривающихся сторон была как можно более широкая область применения, а у изготовителей транспортных средств любой соответствующей категории была возможность подать заявку на получение официального утверждения типа.</w:t>
      </w:r>
    </w:p>
    <w:p w14:paraId="224ACA8A" w14:textId="48BF5186" w:rsidR="00F40481" w:rsidRPr="00F40481" w:rsidRDefault="00F40481" w:rsidP="00F40481">
      <w:pPr>
        <w:spacing w:after="120"/>
        <w:ind w:left="1134" w:right="1134"/>
        <w:jc w:val="both"/>
        <w:rPr>
          <w:rFonts w:eastAsia="MS Mincho" w:cs="Times New Roman"/>
          <w:szCs w:val="20"/>
        </w:rPr>
      </w:pPr>
      <w:r w:rsidRPr="00F40481">
        <w:rPr>
          <w:rFonts w:eastAsia="MS Mincho" w:cs="Times New Roman"/>
          <w:szCs w:val="20"/>
        </w:rPr>
        <w:t>2.</w:t>
      </w:r>
      <w:r w:rsidRPr="00F40481">
        <w:rPr>
          <w:rFonts w:eastAsia="MS Mincho" w:cs="Times New Roman"/>
          <w:szCs w:val="20"/>
        </w:rPr>
        <w:tab/>
        <w:t>В ходе предыдущих сессий GRVA и ее неофициальной рабочей группы по вопросам кибербезопасности и обновлений программного обеспечения не было приведено никаких технических аргументов в пользу исключения транспортных средств категории L из области применения Правил. Из-за исключения этой категории из области применения Правил Договаривающиеся стороны и региональные организации вынуждены применять в отношении этой категории транспортных средств национальное или региональное законодательство. Это может привести к возникновению особых требований и определенного уровня несоответствия, что может оказаться обременительными для отрасли.</w:t>
      </w:r>
    </w:p>
    <w:p w14:paraId="2A48C9E7" w14:textId="77777777" w:rsidR="00F40481" w:rsidRPr="00F40481" w:rsidRDefault="00F40481" w:rsidP="00F40481">
      <w:pPr>
        <w:spacing w:after="120"/>
        <w:ind w:left="1134" w:right="1134"/>
        <w:jc w:val="both"/>
        <w:rPr>
          <w:rFonts w:eastAsia="MS Mincho" w:cs="Times New Roman"/>
          <w:szCs w:val="20"/>
        </w:rPr>
      </w:pPr>
      <w:r w:rsidRPr="00F40481">
        <w:rPr>
          <w:rFonts w:eastAsia="MS Mincho" w:cs="Times New Roman"/>
          <w:szCs w:val="20"/>
        </w:rPr>
        <w:t>3.</w:t>
      </w:r>
      <w:r w:rsidRPr="00F40481">
        <w:rPr>
          <w:rFonts w:eastAsia="MS Mincho" w:cs="Times New Roman"/>
          <w:szCs w:val="20"/>
        </w:rPr>
        <w:tab/>
        <w:t>По аналогии с тем, что было предусмотрено для категорий M и N в первоначальном варианте Правил (пункты 7.3.1 и 7.3.4), для утверждения типов транспортных средств, разработка которых началась до того, как изготовитель внедрил систему обеспечения кибербезопасности, изготовителям транспортных средств категории, вводимой согласно настоящему предложению, необходимо достаточное время для демонстрации того, что должные меры в области кибербезопасности были приняты. Для упрощения формулировок и устранения ссылки на уровни автоматизации транспортные средства категории L, которые уже подпадают под действие Правил, были включены в срок, отсчитываемый с начала разработки. Поскольку в соответствии с положениями изготовители по-прежнему должны продемонстрировать, что факторы кибербезопасности были должным образом учтены, а любые альтернативные меры по смягчению последствий являются целесообразными, предоставление дополнительного времени в данном случае не должно вызвать затруднений.</w:t>
      </w:r>
    </w:p>
    <w:p w14:paraId="45767E7B" w14:textId="77777777" w:rsidR="00F40481" w:rsidRPr="00F40481" w:rsidRDefault="00F40481" w:rsidP="00F40481">
      <w:pPr>
        <w:spacing w:before="60"/>
        <w:jc w:val="center"/>
        <w:rPr>
          <w:rFonts w:eastAsia="MS Mincho" w:cs="Times New Roman"/>
          <w:szCs w:val="20"/>
        </w:rPr>
      </w:pPr>
      <w:r w:rsidRPr="00F40481">
        <w:rPr>
          <w:rFonts w:eastAsia="MS Mincho" w:cs="Times New Roman"/>
          <w:szCs w:val="20"/>
          <w:u w:val="single"/>
        </w:rPr>
        <w:tab/>
      </w:r>
      <w:r w:rsidRPr="00F40481">
        <w:rPr>
          <w:rFonts w:eastAsia="MS Mincho" w:cs="Times New Roman"/>
          <w:szCs w:val="20"/>
          <w:u w:val="single"/>
        </w:rPr>
        <w:tab/>
      </w:r>
      <w:r w:rsidRPr="00F40481">
        <w:rPr>
          <w:rFonts w:eastAsia="MS Mincho" w:cs="Times New Roman"/>
          <w:szCs w:val="20"/>
          <w:u w:val="single"/>
        </w:rPr>
        <w:tab/>
      </w:r>
    </w:p>
    <w:sectPr w:rsidR="00F40481" w:rsidRPr="00F40481" w:rsidSect="00CE49C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40A4" w14:textId="77777777" w:rsidR="00970691" w:rsidRPr="00A312BC" w:rsidRDefault="00970691" w:rsidP="00A312BC"/>
  </w:endnote>
  <w:endnote w:type="continuationSeparator" w:id="0">
    <w:p w14:paraId="296E4CF3" w14:textId="77777777" w:rsidR="00970691" w:rsidRPr="00A312BC" w:rsidRDefault="0097069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228C" w14:textId="340A5099" w:rsidR="00CE49C5" w:rsidRPr="00CE49C5" w:rsidRDefault="00CE49C5">
    <w:pPr>
      <w:pStyle w:val="a8"/>
    </w:pPr>
    <w:r w:rsidRPr="00CE49C5">
      <w:rPr>
        <w:b/>
        <w:sz w:val="18"/>
      </w:rPr>
      <w:fldChar w:fldCharType="begin"/>
    </w:r>
    <w:r w:rsidRPr="00CE49C5">
      <w:rPr>
        <w:b/>
        <w:sz w:val="18"/>
      </w:rPr>
      <w:instrText xml:space="preserve"> PAGE  \* MERGEFORMAT </w:instrText>
    </w:r>
    <w:r w:rsidRPr="00CE49C5">
      <w:rPr>
        <w:b/>
        <w:sz w:val="18"/>
      </w:rPr>
      <w:fldChar w:fldCharType="separate"/>
    </w:r>
    <w:r w:rsidRPr="00CE49C5">
      <w:rPr>
        <w:b/>
        <w:noProof/>
        <w:sz w:val="18"/>
      </w:rPr>
      <w:t>2</w:t>
    </w:r>
    <w:r w:rsidRPr="00CE49C5">
      <w:rPr>
        <w:b/>
        <w:sz w:val="18"/>
      </w:rPr>
      <w:fldChar w:fldCharType="end"/>
    </w:r>
    <w:r>
      <w:rPr>
        <w:b/>
        <w:sz w:val="18"/>
      </w:rPr>
      <w:tab/>
    </w:r>
    <w:r>
      <w:t>GE.23-21144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BA47" w14:textId="3449DE66" w:rsidR="00CE49C5" w:rsidRPr="00CE49C5" w:rsidRDefault="00CE49C5" w:rsidP="00CE49C5">
    <w:pPr>
      <w:pStyle w:val="a8"/>
      <w:tabs>
        <w:tab w:val="clear" w:pos="9639"/>
        <w:tab w:val="right" w:pos="9638"/>
      </w:tabs>
      <w:rPr>
        <w:b/>
        <w:sz w:val="18"/>
      </w:rPr>
    </w:pPr>
    <w:r>
      <w:t>GE.23-21144</w:t>
    </w:r>
    <w:r>
      <w:tab/>
    </w:r>
    <w:r w:rsidRPr="00CE49C5">
      <w:rPr>
        <w:b/>
        <w:sz w:val="18"/>
      </w:rPr>
      <w:fldChar w:fldCharType="begin"/>
    </w:r>
    <w:r w:rsidRPr="00CE49C5">
      <w:rPr>
        <w:b/>
        <w:sz w:val="18"/>
      </w:rPr>
      <w:instrText xml:space="preserve"> PAGE  \* MERGEFORMAT </w:instrText>
    </w:r>
    <w:r w:rsidRPr="00CE49C5">
      <w:rPr>
        <w:b/>
        <w:sz w:val="18"/>
      </w:rPr>
      <w:fldChar w:fldCharType="separate"/>
    </w:r>
    <w:r w:rsidRPr="00CE49C5">
      <w:rPr>
        <w:b/>
        <w:noProof/>
        <w:sz w:val="18"/>
      </w:rPr>
      <w:t>3</w:t>
    </w:r>
    <w:r w:rsidRPr="00CE49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3107" w14:textId="7548BCF2" w:rsidR="00042B72" w:rsidRPr="00F40481" w:rsidRDefault="00CE49C5" w:rsidP="00CE49C5">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0BF3EF64" wp14:editId="4485093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23-21144  (R)</w:t>
    </w:r>
    <w:r>
      <w:rPr>
        <w:noProof/>
      </w:rPr>
      <w:drawing>
        <wp:anchor distT="0" distB="0" distL="114300" distR="114300" simplePos="0" relativeHeight="251659264" behindDoc="0" locked="0" layoutInCell="1" allowOverlap="1" wp14:anchorId="0E5D8264" wp14:editId="7247BC1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481">
      <w:rPr>
        <w:lang w:val="fr-CH"/>
      </w:rPr>
      <w:t xml:space="preserve">  091123  101123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D5C9" w14:textId="77777777" w:rsidR="00970691" w:rsidRPr="001075E9" w:rsidRDefault="00970691" w:rsidP="001075E9">
      <w:pPr>
        <w:tabs>
          <w:tab w:val="right" w:pos="2155"/>
        </w:tabs>
        <w:spacing w:after="80" w:line="240" w:lineRule="auto"/>
        <w:ind w:left="680"/>
        <w:rPr>
          <w:u w:val="single"/>
        </w:rPr>
      </w:pPr>
      <w:r>
        <w:rPr>
          <w:u w:val="single"/>
        </w:rPr>
        <w:tab/>
      </w:r>
    </w:p>
  </w:footnote>
  <w:footnote w:type="continuationSeparator" w:id="0">
    <w:p w14:paraId="72B69AEA" w14:textId="77777777" w:rsidR="00970691" w:rsidRDefault="00970691" w:rsidP="00407B78">
      <w:pPr>
        <w:tabs>
          <w:tab w:val="right" w:pos="2155"/>
        </w:tabs>
        <w:spacing w:after="80"/>
        <w:ind w:left="680"/>
        <w:rPr>
          <w:u w:val="single"/>
        </w:rPr>
      </w:pPr>
      <w:r>
        <w:rPr>
          <w:u w:val="single"/>
        </w:rPr>
        <w:tab/>
      </w:r>
    </w:p>
  </w:footnote>
  <w:footnote w:id="1">
    <w:p w14:paraId="1EA8CC23" w14:textId="6BC43E44" w:rsidR="00F40481" w:rsidRPr="00F40481" w:rsidRDefault="00F40481" w:rsidP="00F40481">
      <w:pPr>
        <w:pStyle w:val="ad"/>
        <w:spacing w:after="240"/>
        <w:rPr>
          <w:szCs w:val="18"/>
        </w:rPr>
      </w:pPr>
      <w:r>
        <w:tab/>
      </w:r>
      <w:r w:rsidRPr="00F40481">
        <w:rPr>
          <w:rStyle w:val="aa"/>
          <w:szCs w:val="18"/>
          <w:vertAlign w:val="baseline"/>
        </w:rPr>
        <w:t>*</w:t>
      </w:r>
      <w:r w:rsidRPr="00F40481">
        <w:rPr>
          <w:rStyle w:val="aa"/>
          <w:szCs w:val="18"/>
          <w:vertAlign w:val="baseline"/>
        </w:rPr>
        <w:tab/>
      </w:r>
      <w:r w:rsidRPr="00F40481">
        <w:rPr>
          <w:rFonts w:eastAsia="MS Mincho"/>
          <w:szCs w:val="18"/>
          <w:lang w:eastAsia="en-US"/>
        </w:rPr>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 20.5), Всемирный форум будет разрабатывать, согласовывать и обновлять</w:t>
      </w:r>
      <w:r>
        <w:rPr>
          <w:rFonts w:eastAsia="MS Mincho"/>
          <w:szCs w:val="18"/>
          <w:lang w:eastAsia="en-US"/>
        </w:rPr>
        <w:br/>
      </w:r>
      <w:r w:rsidRPr="00F40481">
        <w:rPr>
          <w:rFonts w:eastAsia="MS Mincho"/>
          <w:szCs w:val="18"/>
          <w:lang w:eastAsia="en-US"/>
        </w:rPr>
        <w:t>правила ООН в целях улучшения характеристик транспортных средств. Настоящий</w:t>
      </w:r>
      <w:r>
        <w:rPr>
          <w:rFonts w:eastAsia="MS Mincho"/>
          <w:szCs w:val="18"/>
          <w:lang w:eastAsia="en-US"/>
        </w:rPr>
        <w:br/>
      </w:r>
      <w:r w:rsidRPr="00F40481">
        <w:rPr>
          <w:rFonts w:eastAsia="MS Mincho"/>
          <w:szCs w:val="18"/>
          <w:lang w:eastAsia="en-US"/>
        </w:rPr>
        <w:t>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B57A" w14:textId="61B4AAB7" w:rsidR="00CE49C5" w:rsidRPr="00CE49C5" w:rsidRDefault="00CE49C5">
    <w:pPr>
      <w:pStyle w:val="a5"/>
    </w:pPr>
    <w:fldSimple w:instr=" TITLE  \* MERGEFORMAT ">
      <w:r w:rsidR="003015B6">
        <w:t>ECE/TRANS/WP.29/GRVA/2024/4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35F7" w14:textId="64F23B7F" w:rsidR="00CE49C5" w:rsidRPr="00CE49C5" w:rsidRDefault="00CE49C5" w:rsidP="00CE49C5">
    <w:pPr>
      <w:pStyle w:val="a5"/>
      <w:jc w:val="right"/>
    </w:pPr>
    <w:fldSimple w:instr=" TITLE  \* MERGEFORMAT ">
      <w:r w:rsidR="003015B6">
        <w:t>ECE/TRANS/WP.29/GRVA/2024/4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780226855">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91"/>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15B6"/>
    <w:rsid w:val="00305C08"/>
    <w:rsid w:val="00307FB6"/>
    <w:rsid w:val="00317339"/>
    <w:rsid w:val="00322004"/>
    <w:rsid w:val="00327651"/>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70691"/>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B4851"/>
    <w:rsid w:val="00BC18B2"/>
    <w:rsid w:val="00BD33EE"/>
    <w:rsid w:val="00BE1CC7"/>
    <w:rsid w:val="00C106D6"/>
    <w:rsid w:val="00C119AE"/>
    <w:rsid w:val="00C60F0C"/>
    <w:rsid w:val="00C71E84"/>
    <w:rsid w:val="00C805C9"/>
    <w:rsid w:val="00C92939"/>
    <w:rsid w:val="00CA1679"/>
    <w:rsid w:val="00CB151C"/>
    <w:rsid w:val="00CE49C5"/>
    <w:rsid w:val="00CE5A1A"/>
    <w:rsid w:val="00CF55F6"/>
    <w:rsid w:val="00D33D63"/>
    <w:rsid w:val="00D5253A"/>
    <w:rsid w:val="00D76AAB"/>
    <w:rsid w:val="00D873A8"/>
    <w:rsid w:val="00D90028"/>
    <w:rsid w:val="00D90138"/>
    <w:rsid w:val="00D9145B"/>
    <w:rsid w:val="00DD78D1"/>
    <w:rsid w:val="00DE32CD"/>
    <w:rsid w:val="00DF5767"/>
    <w:rsid w:val="00DF71B9"/>
    <w:rsid w:val="00E12C5F"/>
    <w:rsid w:val="00E73F76"/>
    <w:rsid w:val="00EA2C9F"/>
    <w:rsid w:val="00EA420E"/>
    <w:rsid w:val="00ED0BDA"/>
    <w:rsid w:val="00ED73DC"/>
    <w:rsid w:val="00EE142A"/>
    <w:rsid w:val="00EF1360"/>
    <w:rsid w:val="00EF3220"/>
    <w:rsid w:val="00F2523A"/>
    <w:rsid w:val="00F40481"/>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D451C"/>
  <w15:docId w15:val="{C325BCE8-979D-41C8-9536-3DE7E6C4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Level1">
    <w:name w:val="Level 1"/>
    <w:basedOn w:val="a"/>
    <w:rsid w:val="00F40481"/>
    <w:pPr>
      <w:widowControl w:val="0"/>
      <w:numPr>
        <w:numId w:val="22"/>
      </w:numPr>
      <w:tabs>
        <w:tab w:val="num" w:pos="2268"/>
      </w:tabs>
      <w:suppressAutoHyphens w:val="0"/>
      <w:autoSpaceDE w:val="0"/>
      <w:autoSpaceDN w:val="0"/>
      <w:adjustRightInd w:val="0"/>
      <w:spacing w:line="240" w:lineRule="auto"/>
      <w:ind w:left="720" w:hanging="720"/>
      <w:outlineLvl w:val="0"/>
    </w:pPr>
    <w:rPr>
      <w:rFonts w:ascii="Courier New" w:eastAsia="MS Mincho" w:hAnsi="Courier New" w:cs="Times New Roman"/>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E8839-84C2-41FC-AAB9-62A89C6778FB}">
  <ds:schemaRefs>
    <ds:schemaRef ds:uri="http://schemas.openxmlformats.org/officeDocument/2006/bibliography"/>
  </ds:schemaRefs>
</ds:datastoreItem>
</file>

<file path=customXml/itemProps2.xml><?xml version="1.0" encoding="utf-8"?>
<ds:datastoreItem xmlns:ds="http://schemas.openxmlformats.org/officeDocument/2006/customXml" ds:itemID="{FDC3025B-A088-4EF5-A6E8-4F4D4B723415}"/>
</file>

<file path=customXml/itemProps3.xml><?xml version="1.0" encoding="utf-8"?>
<ds:datastoreItem xmlns:ds="http://schemas.openxmlformats.org/officeDocument/2006/customXml" ds:itemID="{C7EEF3F3-2DDB-414E-8A46-2B6A8926DFA8}"/>
</file>

<file path=docProps/app.xml><?xml version="1.0" encoding="utf-8"?>
<Properties xmlns="http://schemas.openxmlformats.org/officeDocument/2006/extended-properties" xmlns:vt="http://schemas.openxmlformats.org/officeDocument/2006/docPropsVTypes">
  <Template>ECE.dotm</Template>
  <TotalTime>2</TotalTime>
  <Pages>3</Pages>
  <Words>824</Words>
  <Characters>5847</Characters>
  <Application>Microsoft Office Word</Application>
  <DocSecurity>0</DocSecurity>
  <Lines>123</Lines>
  <Paragraphs>30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ECE/TRANS/WP.29/GRVA/2024/4</vt:lpstr>
      <vt:lpstr>A/</vt:lpstr>
      <vt:lpstr>A/</vt:lpstr>
    </vt:vector>
  </TitlesOfParts>
  <Company>DCM</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ECE/TRANS/WP.29/GRVA/2024/4</dc:title>
  <dc:subject/>
  <dc:creator>Anna KISSELEVA</dc:creator>
  <cp:keywords/>
  <cp:lastModifiedBy>Anna Kisseleva</cp:lastModifiedBy>
  <cp:revision>3</cp:revision>
  <cp:lastPrinted>2023-11-10T06:31:00Z</cp:lastPrinted>
  <dcterms:created xsi:type="dcterms:W3CDTF">2023-11-10T06:30:00Z</dcterms:created>
  <dcterms:modified xsi:type="dcterms:W3CDTF">2023-11-10T06:32:00Z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