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1EE571C8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EEFB8D5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D929A86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C3EC3AC" w14:textId="2904D026" w:rsidR="001433FD" w:rsidRPr="001A5B70" w:rsidRDefault="001A5B70" w:rsidP="001A5B70">
            <w:pPr>
              <w:jc w:val="right"/>
            </w:pPr>
            <w:r w:rsidRPr="001A5B70">
              <w:rPr>
                <w:sz w:val="40"/>
              </w:rPr>
              <w:t>ECE</w:t>
            </w:r>
            <w:r>
              <w:t>/TRANS/WP.15/AC.2/2024/9</w:t>
            </w:r>
          </w:p>
        </w:tc>
      </w:tr>
      <w:tr w:rsidR="001433FD" w:rsidRPr="00DB58B5" w14:paraId="62D401CB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34AC664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5EB9C64" wp14:editId="7ADB8D67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A9E822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F3B3937" w14:textId="77777777" w:rsidR="0001207F" w:rsidRDefault="007945BC" w:rsidP="007945BC">
            <w:pPr>
              <w:spacing w:before="240" w:line="240" w:lineRule="exact"/>
            </w:pPr>
            <w:r>
              <w:t>Distr. générale</w:t>
            </w:r>
          </w:p>
          <w:p w14:paraId="1E0EDD28" w14:textId="27350D11" w:rsidR="007945BC" w:rsidRDefault="007724AD" w:rsidP="007945BC">
            <w:pPr>
              <w:spacing w:line="240" w:lineRule="exact"/>
            </w:pPr>
            <w:r>
              <w:t>8</w:t>
            </w:r>
            <w:r w:rsidR="007945BC">
              <w:t xml:space="preserve"> novembre 2023</w:t>
            </w:r>
          </w:p>
          <w:p w14:paraId="3B4709D8" w14:textId="77777777" w:rsidR="007945BC" w:rsidRDefault="007945BC" w:rsidP="007945BC">
            <w:pPr>
              <w:spacing w:line="240" w:lineRule="exact"/>
            </w:pPr>
          </w:p>
          <w:p w14:paraId="2F5173CB" w14:textId="77777777" w:rsidR="007945BC" w:rsidRPr="00DB58B5" w:rsidRDefault="007945BC" w:rsidP="007945BC">
            <w:pPr>
              <w:spacing w:line="240" w:lineRule="exact"/>
            </w:pPr>
            <w:r>
              <w:t>Original : français</w:t>
            </w:r>
          </w:p>
        </w:tc>
      </w:tr>
    </w:tbl>
    <w:p w14:paraId="065B137F" w14:textId="77777777" w:rsidR="007945BC" w:rsidRDefault="007945BC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6F07901A" w14:textId="77777777" w:rsidR="007945BC" w:rsidRDefault="007945BC" w:rsidP="00FD1581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03032A7" w14:textId="77777777" w:rsidR="007945BC" w:rsidRPr="009E01B8" w:rsidRDefault="007945BC" w:rsidP="00FD1581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2413F83A" w14:textId="77777777" w:rsidR="007945BC" w:rsidRPr="004812F5" w:rsidRDefault="007945BC" w:rsidP="00FD1581">
      <w:pPr>
        <w:spacing w:before="120"/>
        <w:rPr>
          <w:b/>
        </w:rPr>
      </w:pPr>
      <w:r w:rsidRPr="004812F5">
        <w:rPr>
          <w:b/>
          <w:lang w:val="fr-FR"/>
        </w:rPr>
        <w:t>Réunion commune d’experts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14:paraId="57C29831" w14:textId="77777777" w:rsidR="00847BF1" w:rsidRPr="00234E40" w:rsidRDefault="00847BF1" w:rsidP="00847BF1">
      <w:pPr>
        <w:tabs>
          <w:tab w:val="left" w:pos="4030"/>
        </w:tabs>
        <w:spacing w:before="120"/>
        <w:rPr>
          <w:b/>
        </w:rPr>
      </w:pPr>
      <w:bookmarkStart w:id="0" w:name="_Hlk148721657"/>
      <w:r>
        <w:rPr>
          <w:b/>
          <w:lang w:val="fr-FR"/>
        </w:rPr>
        <w:t>Q</w:t>
      </w:r>
      <w:r w:rsidRPr="0082526B">
        <w:rPr>
          <w:b/>
          <w:lang w:val="fr-FR"/>
        </w:rPr>
        <w:t>uarante-</w:t>
      </w:r>
      <w:r>
        <w:rPr>
          <w:b/>
          <w:lang w:val="fr-FR"/>
        </w:rPr>
        <w:t>troisième</w:t>
      </w:r>
      <w:r w:rsidRPr="00B336E0">
        <w:rPr>
          <w:b/>
        </w:rPr>
        <w:t xml:space="preserve"> </w:t>
      </w:r>
      <w:bookmarkEnd w:id="0"/>
      <w:r w:rsidRPr="00D36F25">
        <w:rPr>
          <w:b/>
        </w:rPr>
        <w:t>session</w:t>
      </w:r>
    </w:p>
    <w:p w14:paraId="5F557D6B" w14:textId="77777777" w:rsidR="00847BF1" w:rsidRDefault="00847BF1" w:rsidP="00847BF1">
      <w:pPr>
        <w:rPr>
          <w:bCs/>
          <w:lang w:val="fr-FR"/>
        </w:rPr>
      </w:pPr>
      <w:r>
        <w:t xml:space="preserve">Genève, </w:t>
      </w:r>
      <w:r>
        <w:rPr>
          <w:bCs/>
          <w:lang w:val="fr-FR"/>
        </w:rPr>
        <w:t>22-26 janvier 2024</w:t>
      </w:r>
    </w:p>
    <w:p w14:paraId="6DB9681B" w14:textId="77777777" w:rsidR="00847BF1" w:rsidRDefault="00847BF1" w:rsidP="00847BF1">
      <w:r w:rsidRPr="00B93E72">
        <w:t xml:space="preserve">Point </w:t>
      </w:r>
      <w:r>
        <w:t xml:space="preserve">5 b) </w:t>
      </w:r>
      <w:r w:rsidRPr="00B93E72">
        <w:t>de l’ordre du jour provisoire</w:t>
      </w:r>
    </w:p>
    <w:p w14:paraId="7CDBC5C5" w14:textId="77777777" w:rsidR="00847BF1" w:rsidRPr="009A0A47" w:rsidRDefault="00847BF1" w:rsidP="00847BF1">
      <w:pPr>
        <w:rPr>
          <w:b/>
          <w:bCs/>
          <w:lang w:val="fr-FR"/>
        </w:rPr>
      </w:pPr>
      <w:r w:rsidRPr="009A0A47">
        <w:rPr>
          <w:b/>
          <w:bCs/>
        </w:rPr>
        <w:t>Propositions</w:t>
      </w:r>
      <w:r w:rsidRPr="009A0A47">
        <w:rPr>
          <w:b/>
          <w:bCs/>
          <w:lang w:val="fr-FR"/>
        </w:rPr>
        <w:t xml:space="preserve"> d’amendements au Règlement annexé à l’ADN :</w:t>
      </w:r>
    </w:p>
    <w:p w14:paraId="163F2169" w14:textId="77777777" w:rsidR="00847BF1" w:rsidRPr="009A0A47" w:rsidRDefault="00847BF1" w:rsidP="00847BF1">
      <w:pPr>
        <w:rPr>
          <w:b/>
          <w:bCs/>
        </w:rPr>
      </w:pPr>
      <w:r w:rsidRPr="009A0A47">
        <w:rPr>
          <w:b/>
          <w:bCs/>
          <w:lang w:val="fr-FR"/>
        </w:rPr>
        <w:t>autres propositions</w:t>
      </w:r>
    </w:p>
    <w:p w14:paraId="40047A22" w14:textId="77777777" w:rsidR="006C3EF1" w:rsidRDefault="006C3EF1" w:rsidP="006C3EF1">
      <w:pPr>
        <w:pStyle w:val="HChG"/>
        <w:rPr>
          <w:lang w:val="fr-FR"/>
        </w:rPr>
      </w:pPr>
      <w:r w:rsidRPr="00163582">
        <w:rPr>
          <w:lang w:val="fr-FR"/>
        </w:rPr>
        <w:tab/>
      </w:r>
      <w:r w:rsidRPr="00163582">
        <w:rPr>
          <w:lang w:val="fr-FR"/>
        </w:rPr>
        <w:tab/>
        <w:t>Proposition d</w:t>
      </w:r>
      <w:r>
        <w:rPr>
          <w:lang w:val="fr-FR"/>
        </w:rPr>
        <w:t>’amendement au 7.1.5.0.2 du Règlement annexé à</w:t>
      </w:r>
      <w:r w:rsidRPr="00163582">
        <w:rPr>
          <w:lang w:val="fr-FR"/>
        </w:rPr>
        <w:t xml:space="preserve"> l</w:t>
      </w:r>
      <w:r>
        <w:rPr>
          <w:lang w:val="fr-FR"/>
        </w:rPr>
        <w:t>’</w:t>
      </w:r>
      <w:r w:rsidRPr="00163582">
        <w:rPr>
          <w:lang w:val="fr-FR"/>
        </w:rPr>
        <w:t>ADN</w:t>
      </w:r>
    </w:p>
    <w:p w14:paraId="06CE4A57" w14:textId="55B1366C" w:rsidR="006C3EF1" w:rsidRDefault="006C3EF1" w:rsidP="006C3EF1">
      <w:pPr>
        <w:spacing w:before="360" w:after="240" w:line="270" w:lineRule="exact"/>
        <w:rPr>
          <w:b/>
          <w:sz w:val="24"/>
          <w:szCs w:val="24"/>
          <w:lang w:val="fr-FR"/>
        </w:rPr>
      </w:pPr>
      <w:r w:rsidRPr="00001ECF">
        <w:rPr>
          <w:b/>
          <w:sz w:val="24"/>
          <w:szCs w:val="24"/>
        </w:rPr>
        <w:tab/>
      </w:r>
      <w:r w:rsidRPr="00001ECF">
        <w:rPr>
          <w:b/>
          <w:sz w:val="24"/>
          <w:szCs w:val="24"/>
        </w:rPr>
        <w:tab/>
      </w:r>
      <w:r>
        <w:rPr>
          <w:b/>
          <w:sz w:val="24"/>
          <w:szCs w:val="24"/>
          <w:lang w:val="fr-FR"/>
        </w:rPr>
        <w:t>Communication du</w:t>
      </w:r>
      <w:r w:rsidRPr="00001ECF">
        <w:rPr>
          <w:b/>
          <w:sz w:val="24"/>
          <w:szCs w:val="24"/>
          <w:lang w:val="fr-FR"/>
        </w:rPr>
        <w:t xml:space="preserve"> Go</w:t>
      </w:r>
      <w:r>
        <w:rPr>
          <w:b/>
          <w:sz w:val="24"/>
          <w:szCs w:val="24"/>
          <w:lang w:val="fr-FR"/>
        </w:rPr>
        <w:t>u</w:t>
      </w:r>
      <w:r w:rsidRPr="00001ECF">
        <w:rPr>
          <w:b/>
          <w:sz w:val="24"/>
          <w:szCs w:val="24"/>
          <w:lang w:val="fr-FR"/>
        </w:rPr>
        <w:t>vern</w:t>
      </w:r>
      <w:r>
        <w:rPr>
          <w:b/>
          <w:sz w:val="24"/>
          <w:szCs w:val="24"/>
          <w:lang w:val="fr-FR"/>
        </w:rPr>
        <w:t>e</w:t>
      </w:r>
      <w:r w:rsidRPr="00001ECF">
        <w:rPr>
          <w:b/>
          <w:sz w:val="24"/>
          <w:szCs w:val="24"/>
          <w:lang w:val="fr-FR"/>
        </w:rPr>
        <w:t xml:space="preserve">ment </w:t>
      </w:r>
      <w:r>
        <w:rPr>
          <w:b/>
          <w:sz w:val="24"/>
          <w:szCs w:val="24"/>
          <w:lang w:val="fr-FR"/>
        </w:rPr>
        <w:t>de la</w:t>
      </w:r>
      <w:r w:rsidRPr="00001ECF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France</w:t>
      </w:r>
      <w:r w:rsidR="001B3D42" w:rsidRPr="00152895">
        <w:rPr>
          <w:rFonts w:eastAsia="Calibri"/>
          <w:lang w:val="fr-FR"/>
        </w:rPr>
        <w:footnoteReference w:customMarkFollows="1" w:id="2"/>
        <w:t>*</w:t>
      </w:r>
      <w:r w:rsidR="001B3D42" w:rsidRPr="00152895">
        <w:rPr>
          <w:rFonts w:eastAsia="Calibri"/>
          <w:vertAlign w:val="superscript"/>
          <w:lang w:val="fr-FR"/>
        </w:rPr>
        <w:t xml:space="preserve">, </w:t>
      </w:r>
      <w:r w:rsidR="001B3D42" w:rsidRPr="00152895">
        <w:rPr>
          <w:rFonts w:eastAsia="Calibri"/>
          <w:lang w:val="fr-FR"/>
        </w:rPr>
        <w:footnoteReference w:customMarkFollows="1" w:id="3"/>
        <w:t>**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113022" w14:paraId="24CB59D0" w14:textId="77777777" w:rsidTr="000651CB">
        <w:trPr>
          <w:jc w:val="center"/>
        </w:trPr>
        <w:tc>
          <w:tcPr>
            <w:tcW w:w="9628" w:type="dxa"/>
            <w:shd w:val="clear" w:color="auto" w:fill="auto"/>
          </w:tcPr>
          <w:p w14:paraId="67939BC2" w14:textId="77777777" w:rsidR="00113022" w:rsidRPr="00C6263E" w:rsidRDefault="00113022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 xml:space="preserve">Résumé </w:t>
            </w:r>
          </w:p>
        </w:tc>
      </w:tr>
      <w:tr w:rsidR="00113022" w14:paraId="6C9245F8" w14:textId="77777777" w:rsidTr="000651CB">
        <w:trPr>
          <w:jc w:val="center"/>
        </w:trPr>
        <w:tc>
          <w:tcPr>
            <w:tcW w:w="9628" w:type="dxa"/>
            <w:shd w:val="clear" w:color="auto" w:fill="auto"/>
          </w:tcPr>
          <w:p w14:paraId="0C02B40C" w14:textId="57822A20" w:rsidR="00113022" w:rsidRDefault="0049363A" w:rsidP="009E059D">
            <w:pPr>
              <w:pStyle w:val="SingleTxtG"/>
              <w:ind w:left="3402" w:hanging="2268"/>
              <w:rPr>
                <w:bCs/>
                <w:lang w:val="fr-FR"/>
              </w:rPr>
            </w:pPr>
            <w:r w:rsidRPr="00CE4C23">
              <w:rPr>
                <w:b/>
                <w:bCs/>
                <w:lang w:val="fr-FR"/>
              </w:rPr>
              <w:t>Résumé analytique :</w:t>
            </w:r>
            <w:r w:rsidR="00376174">
              <w:rPr>
                <w:b/>
                <w:bCs/>
                <w:lang w:val="fr-FR"/>
              </w:rPr>
              <w:tab/>
            </w:r>
            <w:r w:rsidR="00376174" w:rsidRPr="00CE4C23">
              <w:rPr>
                <w:bCs/>
                <w:lang w:val="fr-FR"/>
              </w:rPr>
              <w:t xml:space="preserve">Le présent document contient une proposition d’amendement </w:t>
            </w:r>
            <w:r w:rsidR="00376174">
              <w:rPr>
                <w:bCs/>
                <w:lang w:val="fr-FR"/>
              </w:rPr>
              <w:br/>
              <w:t xml:space="preserve">aux versions française et anglaise du </w:t>
            </w:r>
            <w:r w:rsidR="00376174" w:rsidRPr="00CE4C23">
              <w:rPr>
                <w:bCs/>
                <w:lang w:val="fr-FR"/>
              </w:rPr>
              <w:t xml:space="preserve">7.1.5.0.2 du Règlement </w:t>
            </w:r>
            <w:r w:rsidR="00376174">
              <w:rPr>
                <w:bCs/>
                <w:lang w:val="fr-FR"/>
              </w:rPr>
              <w:br/>
            </w:r>
            <w:r w:rsidR="00376174">
              <w:rPr>
                <w:bCs/>
                <w:lang w:val="fr-FR"/>
              </w:rPr>
              <w:tab/>
            </w:r>
            <w:r w:rsidR="00376174" w:rsidRPr="00CE4C23">
              <w:rPr>
                <w:bCs/>
                <w:lang w:val="fr-FR"/>
              </w:rPr>
              <w:t>annexé à l’ADN</w:t>
            </w:r>
          </w:p>
          <w:p w14:paraId="29619FE8" w14:textId="45CC1E88" w:rsidR="00376174" w:rsidRDefault="00DB0E3F" w:rsidP="006E5E26">
            <w:pPr>
              <w:pStyle w:val="SingleTxtG"/>
              <w:rPr>
                <w:lang w:val="fr-FR"/>
              </w:rPr>
            </w:pPr>
            <w:r w:rsidRPr="001D2F35">
              <w:rPr>
                <w:b/>
                <w:bCs/>
                <w:lang w:val="fr-FR"/>
              </w:rPr>
              <w:t>Mesures à prendre :</w:t>
            </w:r>
            <w:r>
              <w:rPr>
                <w:b/>
                <w:bCs/>
                <w:lang w:val="fr-FR"/>
              </w:rPr>
              <w:tab/>
            </w:r>
            <w:r w:rsidR="00883E7F" w:rsidRPr="001D2F35">
              <w:rPr>
                <w:lang w:val="fr-FR"/>
              </w:rPr>
              <w:t xml:space="preserve">Voir paragraphe </w:t>
            </w:r>
            <w:r w:rsidR="000D422B">
              <w:rPr>
                <w:lang w:val="fr-FR"/>
              </w:rPr>
              <w:t>7</w:t>
            </w:r>
          </w:p>
          <w:p w14:paraId="7DFA3E8D" w14:textId="754D52FA" w:rsidR="002B630D" w:rsidRDefault="00C91FF5" w:rsidP="00BB487B">
            <w:pPr>
              <w:pStyle w:val="SingleTxtG"/>
              <w:tabs>
                <w:tab w:val="clear" w:pos="2835"/>
                <w:tab w:val="left" w:pos="3392"/>
              </w:tabs>
              <w:spacing w:after="0"/>
              <w:ind w:left="3392" w:hanging="2268"/>
              <w:rPr>
                <w:lang w:val="fr-FR"/>
              </w:rPr>
            </w:pPr>
            <w:r w:rsidRPr="00CE4C23">
              <w:rPr>
                <w:b/>
                <w:bCs/>
                <w:lang w:val="fr-FR"/>
              </w:rPr>
              <w:t>Documents de référence :</w:t>
            </w:r>
            <w:r>
              <w:rPr>
                <w:b/>
                <w:bCs/>
                <w:lang w:val="fr-FR"/>
              </w:rPr>
              <w:tab/>
            </w:r>
            <w:r w:rsidR="003D6D96">
              <w:rPr>
                <w:lang w:val="fr-FR"/>
              </w:rPr>
              <w:t xml:space="preserve">Document informel </w:t>
            </w:r>
            <w:r w:rsidR="009E059D">
              <w:rPr>
                <w:lang w:val="fr-FR"/>
              </w:rPr>
              <w:t>INF.8 de la quarante-deuxième session</w:t>
            </w:r>
          </w:p>
          <w:p w14:paraId="28414F77" w14:textId="3C46167F" w:rsidR="00883E7F" w:rsidRDefault="00A13DD1" w:rsidP="00A13DD1">
            <w:pPr>
              <w:pStyle w:val="SingleTxtG"/>
              <w:spacing w:after="0"/>
              <w:ind w:left="2835" w:hanging="1701"/>
            </w:pPr>
            <w:r>
              <w:rPr>
                <w:b/>
                <w:bCs/>
                <w:lang w:val="fr-FR"/>
              </w:rPr>
              <w:tab/>
            </w:r>
            <w:r>
              <w:rPr>
                <w:b/>
                <w:bCs/>
                <w:lang w:val="fr-FR"/>
              </w:rPr>
              <w:tab/>
            </w:r>
            <w:r>
              <w:rPr>
                <w:b/>
                <w:bCs/>
                <w:lang w:val="fr-FR"/>
              </w:rPr>
              <w:tab/>
            </w:r>
            <w:r>
              <w:rPr>
                <w:b/>
                <w:bCs/>
                <w:lang w:val="fr-FR"/>
              </w:rPr>
              <w:tab/>
            </w:r>
            <w:r>
              <w:rPr>
                <w:b/>
                <w:bCs/>
                <w:lang w:val="fr-FR"/>
              </w:rPr>
              <w:tab/>
            </w:r>
            <w:r w:rsidR="009E059D">
              <w:rPr>
                <w:lang w:val="fr-FR"/>
              </w:rPr>
              <w:t>Rapport de la quarante-deuxième session (paragraphe 63)</w:t>
            </w:r>
          </w:p>
        </w:tc>
      </w:tr>
      <w:tr w:rsidR="00113022" w14:paraId="2373BA16" w14:textId="77777777" w:rsidTr="000651CB">
        <w:trPr>
          <w:jc w:val="center"/>
        </w:trPr>
        <w:tc>
          <w:tcPr>
            <w:tcW w:w="9628" w:type="dxa"/>
            <w:shd w:val="clear" w:color="auto" w:fill="auto"/>
          </w:tcPr>
          <w:p w14:paraId="42932EB5" w14:textId="77777777" w:rsidR="00113022" w:rsidRDefault="00113022" w:rsidP="006E5E26"/>
        </w:tc>
      </w:tr>
    </w:tbl>
    <w:p w14:paraId="1E8EC4AE" w14:textId="64D86B4B" w:rsidR="000651CB" w:rsidRPr="00511ABF" w:rsidRDefault="000651CB" w:rsidP="00A13DD1">
      <w:pPr>
        <w:pStyle w:val="HChG"/>
        <w:rPr>
          <w:lang w:val="fr-FR" w:eastAsia="fr-FR"/>
        </w:rPr>
      </w:pPr>
      <w:r w:rsidRPr="00001ECF">
        <w:rPr>
          <w:lang w:val="fr-FR"/>
        </w:rPr>
        <w:tab/>
      </w:r>
      <w:r w:rsidRPr="00001ECF">
        <w:rPr>
          <w:lang w:val="fr-FR"/>
        </w:rPr>
        <w:tab/>
      </w:r>
      <w:r w:rsidRPr="00511ABF">
        <w:rPr>
          <w:lang w:val="fr-FR" w:eastAsia="fr-FR"/>
        </w:rPr>
        <w:tab/>
      </w:r>
      <w:r w:rsidRPr="00A13DD1">
        <w:t>Introduction</w:t>
      </w:r>
    </w:p>
    <w:p w14:paraId="661C0001" w14:textId="77777777" w:rsidR="000651CB" w:rsidRPr="00E8735D" w:rsidRDefault="000651CB" w:rsidP="00EE32EE">
      <w:pPr>
        <w:pStyle w:val="SingleTxtG"/>
        <w:rPr>
          <w:lang w:val="fr-FR" w:eastAsia="fr-FR"/>
        </w:rPr>
      </w:pPr>
      <w:r w:rsidRPr="00E8735D">
        <w:rPr>
          <w:lang w:val="fr-FR" w:eastAsia="fr-FR"/>
        </w:rPr>
        <w:t>1.</w:t>
      </w:r>
      <w:r w:rsidRPr="00E8735D">
        <w:rPr>
          <w:lang w:val="fr-FR" w:eastAsia="fr-FR"/>
        </w:rPr>
        <w:tab/>
        <w:t>Le texte existant du 7.1.5.0.2 du Règlement annexé à l’</w:t>
      </w:r>
      <w:r>
        <w:rPr>
          <w:lang w:val="fr-FR" w:eastAsia="fr-FR"/>
        </w:rPr>
        <w:t>ADN est rédigé comme suit :</w:t>
      </w:r>
    </w:p>
    <w:p w14:paraId="5B391A6D" w14:textId="6233CFD7" w:rsidR="000651CB" w:rsidRPr="00E8735D" w:rsidRDefault="000651CB" w:rsidP="00CF55D8">
      <w:pPr>
        <w:pStyle w:val="SingleTxtG"/>
        <w:tabs>
          <w:tab w:val="clear" w:pos="2268"/>
        </w:tabs>
        <w:ind w:left="2835" w:hanging="1134"/>
        <w:rPr>
          <w:lang w:val="fr-FR" w:eastAsia="fr-FR"/>
        </w:rPr>
      </w:pPr>
      <w:r w:rsidRPr="00E8735D">
        <w:rPr>
          <w:lang w:val="fr-FR" w:eastAsia="fr-FR"/>
        </w:rPr>
        <w:lastRenderedPageBreak/>
        <w:t>"7.1.5.0.2</w:t>
      </w:r>
      <w:r w:rsidRPr="00E8735D">
        <w:rPr>
          <w:lang w:val="fr-FR" w:eastAsia="fr-FR"/>
        </w:rPr>
        <w:tab/>
        <w:t>Les bateaux transportant des marchandises dangereuses énumérées au tableau</w:t>
      </w:r>
      <w:r w:rsidR="007A7025">
        <w:rPr>
          <w:lang w:val="fr-FR" w:eastAsia="fr-FR"/>
        </w:rPr>
        <w:t> </w:t>
      </w:r>
      <w:r w:rsidRPr="00E8735D">
        <w:rPr>
          <w:lang w:val="fr-FR" w:eastAsia="fr-FR"/>
        </w:rPr>
        <w:t>A du chapitre 3.2 en colis placés exclusivement dans des conteneurs doivent montrer les cônes bleus ou feux bleus en nombre indiqué dans la colonne (12) du tableau A du chapitre 3.2 pour autant que</w:t>
      </w:r>
      <w:r>
        <w:rPr>
          <w:lang w:val="fr-FR" w:eastAsia="fr-FR"/>
        </w:rPr>
        <w:t>:</w:t>
      </w:r>
      <w:r w:rsidRPr="00E8735D">
        <w:rPr>
          <w:lang w:val="fr-FR" w:eastAsia="fr-FR"/>
        </w:rPr>
        <w:t xml:space="preserve"> </w:t>
      </w:r>
    </w:p>
    <w:p w14:paraId="38B7AF4D" w14:textId="4C963250" w:rsidR="000651CB" w:rsidRPr="00E8735D" w:rsidRDefault="007027BD" w:rsidP="00CF55D8">
      <w:pPr>
        <w:pStyle w:val="SingleTxtG"/>
        <w:tabs>
          <w:tab w:val="clear" w:pos="2268"/>
        </w:tabs>
        <w:ind w:left="2835" w:hanging="567"/>
        <w:rPr>
          <w:lang w:val="fr-FR" w:eastAsia="fr-FR"/>
        </w:rPr>
      </w:pPr>
      <w:r w:rsidRPr="007027BD">
        <w:rPr>
          <w:lang w:val="fr-FR" w:eastAsia="fr-FR"/>
        </w:rPr>
        <w:t>–</w:t>
      </w:r>
      <w:r>
        <w:rPr>
          <w:lang w:val="fr-FR" w:eastAsia="fr-FR"/>
        </w:rPr>
        <w:tab/>
      </w:r>
      <w:r w:rsidR="000651CB" w:rsidRPr="00E8735D">
        <w:rPr>
          <w:lang w:val="fr-FR" w:eastAsia="fr-FR"/>
        </w:rPr>
        <w:t>trois cônes bleus ou trois feux bleus sont exigés; ou</w:t>
      </w:r>
    </w:p>
    <w:p w14:paraId="79CCDF6E" w14:textId="279F411C" w:rsidR="000651CB" w:rsidRPr="00E8735D" w:rsidRDefault="000651CB" w:rsidP="00CF55D8">
      <w:pPr>
        <w:pStyle w:val="SingleTxtG"/>
        <w:numPr>
          <w:ilvl w:val="0"/>
          <w:numId w:val="16"/>
        </w:numPr>
        <w:tabs>
          <w:tab w:val="clear" w:pos="2268"/>
        </w:tabs>
        <w:ind w:left="2835" w:hanging="567"/>
        <w:rPr>
          <w:lang w:val="fr-FR" w:eastAsia="fr-FR"/>
        </w:rPr>
      </w:pPr>
      <w:r w:rsidRPr="00E8735D">
        <w:rPr>
          <w:lang w:val="fr-FR" w:eastAsia="fr-FR"/>
        </w:rPr>
        <w:t>deux cônes bleus ou deux feux bleus sont exigés, il s’agit d’une matière de la classe 2 ou le groupe d’emballage I est indiqué dans la colonne (4) du tableau A du chapitre 3.2 et la masse brute totale de ces marchandises dangereuses est supérieure à 30 000 kg; ou</w:t>
      </w:r>
    </w:p>
    <w:p w14:paraId="43A48396" w14:textId="6D346974" w:rsidR="000651CB" w:rsidRPr="00E8735D" w:rsidRDefault="000651CB" w:rsidP="00CF55D8">
      <w:pPr>
        <w:pStyle w:val="SingleTxtG"/>
        <w:tabs>
          <w:tab w:val="clear" w:pos="2268"/>
        </w:tabs>
        <w:ind w:left="2835" w:hanging="567"/>
        <w:rPr>
          <w:lang w:val="fr-FR" w:eastAsia="fr-FR"/>
        </w:rPr>
      </w:pPr>
      <w:r w:rsidRPr="00E8735D">
        <w:rPr>
          <w:lang w:val="fr-FR" w:eastAsia="fr-FR"/>
        </w:rPr>
        <w:t>–</w:t>
      </w:r>
      <w:r w:rsidR="000A10DE">
        <w:rPr>
          <w:lang w:val="fr-FR" w:eastAsia="fr-FR"/>
        </w:rPr>
        <w:tab/>
      </w:r>
      <w:r w:rsidRPr="00E8735D">
        <w:rPr>
          <w:lang w:val="fr-FR" w:eastAsia="fr-FR"/>
        </w:rPr>
        <w:t>un cône bleu ou un feu bleu est exigé, il s’agit d’une matière de la classe 2 ou le groupe d’emballage I est indiqué dans la colonne (4) du tableau A du chapitre 3.2 et la masse brute totale de ces matières est supérieure à 130 000 kg</w:t>
      </w:r>
      <w:r w:rsidRPr="00E8735D">
        <w:rPr>
          <w:bCs/>
          <w:lang w:val="fr-FR" w:eastAsia="fr-FR"/>
        </w:rPr>
        <w:t>."</w:t>
      </w:r>
    </w:p>
    <w:p w14:paraId="1958D874" w14:textId="1BFD5D3C" w:rsidR="000651CB" w:rsidRDefault="000651CB" w:rsidP="00EE32EE">
      <w:pPr>
        <w:pStyle w:val="SingleTxtG"/>
        <w:rPr>
          <w:lang w:val="fr-FR" w:eastAsia="fr-FR"/>
        </w:rPr>
      </w:pPr>
      <w:r>
        <w:rPr>
          <w:lang w:val="fr-FR" w:eastAsia="fr-FR"/>
        </w:rPr>
        <w:t>2.</w:t>
      </w:r>
      <w:r>
        <w:rPr>
          <w:lang w:val="fr-FR" w:eastAsia="fr-FR"/>
        </w:rPr>
        <w:tab/>
        <w:t xml:space="preserve">Dans le document </w:t>
      </w:r>
      <w:r w:rsidR="009F1E55">
        <w:rPr>
          <w:lang w:val="fr-FR" w:eastAsia="fr-FR"/>
        </w:rPr>
        <w:t xml:space="preserve">informel </w:t>
      </w:r>
      <w:r>
        <w:rPr>
          <w:lang w:val="fr-FR" w:eastAsia="fr-FR"/>
        </w:rPr>
        <w:t>INF.8 présenté lors de la quarante-deuxième session du Comité</w:t>
      </w:r>
      <w:r w:rsidR="007E7ABB">
        <w:rPr>
          <w:lang w:val="fr-FR" w:eastAsia="fr-FR"/>
        </w:rPr>
        <w:t xml:space="preserve"> </w:t>
      </w:r>
      <w:r w:rsidR="004B73EB">
        <w:rPr>
          <w:lang w:val="fr-FR" w:eastAsia="fr-FR"/>
        </w:rPr>
        <w:t>d</w:t>
      </w:r>
      <w:r w:rsidR="00917626">
        <w:rPr>
          <w:lang w:val="fr-FR" w:eastAsia="fr-FR"/>
        </w:rPr>
        <w:t xml:space="preserve">e sécurité </w:t>
      </w:r>
      <w:r w:rsidR="007E7ABB">
        <w:rPr>
          <w:lang w:val="fr-FR" w:eastAsia="fr-FR"/>
        </w:rPr>
        <w:t>de l’ADN</w:t>
      </w:r>
      <w:r>
        <w:rPr>
          <w:lang w:val="fr-FR" w:eastAsia="fr-FR"/>
        </w:rPr>
        <w:t xml:space="preserve">, la France faisait état d’une incohérence apparente entre les deuxième et troisième </w:t>
      </w:r>
      <w:proofErr w:type="spellStart"/>
      <w:r>
        <w:rPr>
          <w:lang w:val="fr-FR" w:eastAsia="fr-FR"/>
        </w:rPr>
        <w:t>indents</w:t>
      </w:r>
      <w:proofErr w:type="spellEnd"/>
      <w:r>
        <w:rPr>
          <w:lang w:val="fr-FR" w:eastAsia="fr-FR"/>
        </w:rPr>
        <w:t>.</w:t>
      </w:r>
    </w:p>
    <w:p w14:paraId="00748E25" w14:textId="77777777" w:rsidR="000651CB" w:rsidRDefault="000651CB" w:rsidP="00EE32EE">
      <w:pPr>
        <w:pStyle w:val="SingleTxtG"/>
        <w:rPr>
          <w:lang w:val="fr-FR" w:eastAsia="fr-FR"/>
        </w:rPr>
      </w:pPr>
      <w:r>
        <w:rPr>
          <w:lang w:val="fr-FR" w:eastAsia="fr-FR"/>
        </w:rPr>
        <w:t>3.</w:t>
      </w:r>
      <w:r>
        <w:rPr>
          <w:lang w:val="fr-FR" w:eastAsia="fr-FR"/>
        </w:rPr>
        <w:tab/>
        <w:t xml:space="preserve">Grâce à l’éclairage apporté par d’autres délégations, il est apparu qu’il n’y avait pas d’incohérence dans le texte ces deux </w:t>
      </w:r>
      <w:proofErr w:type="spellStart"/>
      <w:r>
        <w:rPr>
          <w:lang w:val="fr-FR" w:eastAsia="fr-FR"/>
        </w:rPr>
        <w:t>indents</w:t>
      </w:r>
      <w:proofErr w:type="spellEnd"/>
      <w:r>
        <w:rPr>
          <w:lang w:val="fr-FR" w:eastAsia="fr-FR"/>
        </w:rPr>
        <w:t>, mais que leur rédaction pouvait prêter à confusion, et qu’en conséquence, cette rédaction pouvait être clarifiée.</w:t>
      </w:r>
    </w:p>
    <w:p w14:paraId="127DD72B" w14:textId="77777777" w:rsidR="000651CB" w:rsidRDefault="000651CB" w:rsidP="00EE32EE">
      <w:pPr>
        <w:pStyle w:val="SingleTxtG"/>
        <w:rPr>
          <w:lang w:val="fr-FR" w:eastAsia="fr-FR"/>
        </w:rPr>
      </w:pPr>
      <w:r>
        <w:rPr>
          <w:lang w:val="fr-FR" w:eastAsia="fr-FR"/>
        </w:rPr>
        <w:t>4.</w:t>
      </w:r>
      <w:r>
        <w:rPr>
          <w:lang w:val="fr-FR" w:eastAsia="fr-FR"/>
        </w:rPr>
        <w:tab/>
        <w:t>En conséquence, le Comité a invité la France (paragraphe 63 du rapport de la quarante-deuxième session) à proposer un amendement au 7.1.5.0.2, aux fins d’éviter tout risque de mauvaise interprétation de ces dispositions.</w:t>
      </w:r>
    </w:p>
    <w:p w14:paraId="00B4492B" w14:textId="77777777" w:rsidR="000651CB" w:rsidRPr="00E8735D" w:rsidRDefault="000651CB" w:rsidP="00CF55D8">
      <w:pPr>
        <w:pStyle w:val="HChG"/>
        <w:rPr>
          <w:lang w:val="fr-FR" w:eastAsia="fr-FR"/>
        </w:rPr>
      </w:pPr>
      <w:r w:rsidRPr="00511ABF">
        <w:rPr>
          <w:lang w:val="fr-FR" w:eastAsia="fr-FR"/>
        </w:rPr>
        <w:tab/>
      </w:r>
      <w:r w:rsidRPr="00511ABF">
        <w:rPr>
          <w:lang w:val="fr-FR" w:eastAsia="fr-FR"/>
        </w:rPr>
        <w:tab/>
      </w:r>
      <w:r w:rsidRPr="00E8735D">
        <w:rPr>
          <w:lang w:val="fr-FR" w:eastAsia="fr-FR"/>
        </w:rPr>
        <w:t>Propos</w:t>
      </w:r>
      <w:r>
        <w:rPr>
          <w:lang w:val="fr-FR" w:eastAsia="fr-FR"/>
        </w:rPr>
        <w:t>itions</w:t>
      </w:r>
    </w:p>
    <w:p w14:paraId="1F67AC9C" w14:textId="77777777" w:rsidR="000651CB" w:rsidRDefault="000651CB" w:rsidP="00CF55D8">
      <w:pPr>
        <w:pStyle w:val="SingleTxtG"/>
        <w:rPr>
          <w:lang w:val="fr-FR" w:eastAsia="fr-FR"/>
        </w:rPr>
      </w:pPr>
      <w:r>
        <w:rPr>
          <w:lang w:val="fr-FR" w:eastAsia="fr-FR"/>
        </w:rPr>
        <w:t>5.</w:t>
      </w:r>
      <w:r>
        <w:rPr>
          <w:lang w:val="fr-FR" w:eastAsia="fr-FR"/>
        </w:rPr>
        <w:tab/>
        <w:t>La proposition de nouveau texte pour la version française du 7.1.5.0.2 est présentée ci-après (le texte supprimé est barré, le texte ajouté est en gras) :</w:t>
      </w:r>
    </w:p>
    <w:p w14:paraId="67559E6C" w14:textId="77777777" w:rsidR="000651CB" w:rsidRPr="00E8735D" w:rsidRDefault="000651CB" w:rsidP="004E554F">
      <w:pPr>
        <w:pStyle w:val="SingleTxtG"/>
        <w:tabs>
          <w:tab w:val="clear" w:pos="1701"/>
        </w:tabs>
        <w:ind w:left="2835" w:hanging="1134"/>
        <w:rPr>
          <w:lang w:val="fr-FR" w:eastAsia="fr-FR"/>
        </w:rPr>
      </w:pPr>
      <w:r w:rsidRPr="00E8735D">
        <w:rPr>
          <w:lang w:val="fr-FR" w:eastAsia="fr-FR"/>
        </w:rPr>
        <w:t>"7.1.5.0.2</w:t>
      </w:r>
      <w:r w:rsidRPr="00E8735D">
        <w:rPr>
          <w:lang w:val="fr-FR" w:eastAsia="fr-FR"/>
        </w:rPr>
        <w:tab/>
        <w:t>Les bateaux transportant des marchandises dangereuses énumérées au tableau A du chapitre 3.2 en colis placés exclusivement dans des conteneurs doivent montrer les cônes bleus ou feux bleus en nombre indiqué dans la colonne (12) du tableau A du chapitre 3.2 pour autant que</w:t>
      </w:r>
      <w:r>
        <w:rPr>
          <w:lang w:val="fr-FR" w:eastAsia="fr-FR"/>
        </w:rPr>
        <w:t>:</w:t>
      </w:r>
      <w:r w:rsidRPr="00E8735D">
        <w:rPr>
          <w:lang w:val="fr-FR" w:eastAsia="fr-FR"/>
        </w:rPr>
        <w:t xml:space="preserve"> </w:t>
      </w:r>
    </w:p>
    <w:p w14:paraId="5AAB7657" w14:textId="246DF571" w:rsidR="000651CB" w:rsidRPr="00E8735D" w:rsidRDefault="00F61AE3" w:rsidP="004E554F">
      <w:pPr>
        <w:pStyle w:val="SingleTxtG"/>
        <w:numPr>
          <w:ilvl w:val="0"/>
          <w:numId w:val="16"/>
        </w:numPr>
        <w:tabs>
          <w:tab w:val="clear" w:pos="2268"/>
        </w:tabs>
        <w:ind w:left="2835" w:hanging="567"/>
        <w:rPr>
          <w:lang w:val="fr-FR" w:eastAsia="fr-FR"/>
        </w:rPr>
      </w:pPr>
      <w:r>
        <w:rPr>
          <w:lang w:val="fr-FR" w:eastAsia="fr-FR"/>
        </w:rPr>
        <w:tab/>
      </w:r>
      <w:r w:rsidR="000651CB" w:rsidRPr="00E8735D">
        <w:rPr>
          <w:lang w:val="fr-FR" w:eastAsia="fr-FR"/>
        </w:rPr>
        <w:t>trois cônes bleus ou trois feux bleus sont exigés; ou</w:t>
      </w:r>
    </w:p>
    <w:p w14:paraId="7EE7D107" w14:textId="40EFF2F9" w:rsidR="000651CB" w:rsidRDefault="004A0FC8" w:rsidP="004E554F">
      <w:pPr>
        <w:pStyle w:val="SingleTxtG"/>
        <w:numPr>
          <w:ilvl w:val="0"/>
          <w:numId w:val="16"/>
        </w:numPr>
        <w:tabs>
          <w:tab w:val="clear" w:pos="2268"/>
        </w:tabs>
        <w:ind w:left="2835" w:hanging="567"/>
        <w:rPr>
          <w:lang w:val="fr-FR" w:eastAsia="fr-FR"/>
        </w:rPr>
      </w:pPr>
      <w:r>
        <w:rPr>
          <w:lang w:val="fr-FR" w:eastAsia="fr-FR"/>
        </w:rPr>
        <w:tab/>
      </w:r>
      <w:r w:rsidR="000651CB" w:rsidRPr="00E8735D">
        <w:rPr>
          <w:lang w:val="fr-FR" w:eastAsia="fr-FR"/>
        </w:rPr>
        <w:t>deux cônes bleus ou deux feux bleus sont exigés</w:t>
      </w:r>
      <w:r w:rsidR="000651CB" w:rsidRPr="00BB487B">
        <w:rPr>
          <w:strike/>
          <w:lang w:val="fr-FR" w:eastAsia="fr-FR"/>
        </w:rPr>
        <w:t>, il s’agit d’une matière de la classe 2 ou le groupe d’emballage I est indiqué dans la colonne (4) du tableau A du chapitre 3.2 et la masse brute totale de ces marchandises dangereuses est supérieure à 30 000 kg</w:t>
      </w:r>
      <w:r w:rsidR="000651CB" w:rsidRPr="00E8735D">
        <w:rPr>
          <w:lang w:val="fr-FR" w:eastAsia="fr-FR"/>
        </w:rPr>
        <w:t xml:space="preserve">; </w:t>
      </w:r>
      <w:r w:rsidR="000651CB" w:rsidRPr="00810F7A">
        <w:rPr>
          <w:b/>
          <w:lang w:val="fr-FR" w:eastAsia="fr-FR"/>
        </w:rPr>
        <w:t xml:space="preserve">toutefois, lorsqu’il s’agit de matières de la classe 2 </w:t>
      </w:r>
      <w:r w:rsidR="000651CB" w:rsidRPr="00E8735D">
        <w:rPr>
          <w:b/>
          <w:lang w:val="fr-FR" w:eastAsia="fr-FR"/>
        </w:rPr>
        <w:t>ou</w:t>
      </w:r>
      <w:r w:rsidR="000651CB" w:rsidRPr="00810F7A">
        <w:rPr>
          <w:b/>
          <w:lang w:val="fr-FR" w:eastAsia="fr-FR"/>
        </w:rPr>
        <w:t xml:space="preserve"> de groupe d’emballage I, tel qu’indiqué dans la colonne (4) du tableau A du chapitre 3.2, et que la masse brute totale de ces matières </w:t>
      </w:r>
      <w:r w:rsidR="000651CB">
        <w:rPr>
          <w:b/>
          <w:lang w:val="fr-FR" w:eastAsia="fr-FR"/>
        </w:rPr>
        <w:t>n’excède pas</w:t>
      </w:r>
      <w:r w:rsidR="000651CB" w:rsidRPr="00810F7A">
        <w:rPr>
          <w:b/>
          <w:lang w:val="fr-FR" w:eastAsia="fr-FR"/>
        </w:rPr>
        <w:t xml:space="preserve"> 30</w:t>
      </w:r>
      <w:r w:rsidR="000651CB">
        <w:rPr>
          <w:b/>
          <w:lang w:val="fr-FR" w:eastAsia="fr-FR"/>
        </w:rPr>
        <w:t> </w:t>
      </w:r>
      <w:r w:rsidR="000651CB" w:rsidRPr="00810F7A">
        <w:rPr>
          <w:b/>
          <w:lang w:val="fr-FR" w:eastAsia="fr-FR"/>
        </w:rPr>
        <w:t>000</w:t>
      </w:r>
      <w:r w:rsidR="000651CB">
        <w:rPr>
          <w:b/>
          <w:lang w:val="fr-FR" w:eastAsia="fr-FR"/>
        </w:rPr>
        <w:t> </w:t>
      </w:r>
      <w:r w:rsidR="000651CB" w:rsidRPr="00810F7A">
        <w:rPr>
          <w:b/>
          <w:lang w:val="fr-FR" w:eastAsia="fr-FR"/>
        </w:rPr>
        <w:t>kg, aucun cône bleu ou feu bleu n’est exigé;</w:t>
      </w:r>
      <w:r w:rsidR="000651CB">
        <w:rPr>
          <w:lang w:val="fr-FR" w:eastAsia="fr-FR"/>
        </w:rPr>
        <w:t xml:space="preserve"> ou</w:t>
      </w:r>
    </w:p>
    <w:p w14:paraId="1E4AE930" w14:textId="490C3C1C" w:rsidR="000651CB" w:rsidRPr="00E8735D" w:rsidRDefault="004A0FC8" w:rsidP="004E554F">
      <w:pPr>
        <w:pStyle w:val="SingleTxtG"/>
        <w:numPr>
          <w:ilvl w:val="0"/>
          <w:numId w:val="16"/>
        </w:numPr>
        <w:tabs>
          <w:tab w:val="clear" w:pos="2268"/>
        </w:tabs>
        <w:ind w:left="2835" w:hanging="567"/>
        <w:rPr>
          <w:lang w:val="fr-FR" w:eastAsia="fr-FR"/>
        </w:rPr>
      </w:pPr>
      <w:r>
        <w:rPr>
          <w:lang w:val="fr-FR" w:eastAsia="fr-FR"/>
        </w:rPr>
        <w:tab/>
      </w:r>
      <w:r w:rsidR="000651CB" w:rsidRPr="00E8735D">
        <w:rPr>
          <w:lang w:val="fr-FR" w:eastAsia="fr-FR"/>
        </w:rPr>
        <w:t>un cône bleu ou un feu bleu est exigé</w:t>
      </w:r>
      <w:r w:rsidR="000651CB" w:rsidRPr="00BB487B">
        <w:rPr>
          <w:strike/>
          <w:lang w:val="fr-FR" w:eastAsia="fr-FR"/>
        </w:rPr>
        <w:t>, il s’agit d’une matière de la classe 2 ou le groupe d’emballage I est indiqué dans la colonne (4) du tableau A du chapitre 3.2 et la masse brute totale de ces matières est supérieure à 130 000 kg</w:t>
      </w:r>
      <w:r w:rsidR="000651CB" w:rsidRPr="00810F7A">
        <w:rPr>
          <w:b/>
          <w:lang w:val="fr-FR" w:eastAsia="fr-FR"/>
        </w:rPr>
        <w:t>;</w:t>
      </w:r>
      <w:r w:rsidR="000651CB" w:rsidRPr="00E8735D">
        <w:rPr>
          <w:lang w:val="fr-FR" w:eastAsia="fr-FR"/>
        </w:rPr>
        <w:t xml:space="preserve"> </w:t>
      </w:r>
      <w:r w:rsidR="000651CB" w:rsidRPr="00810F7A">
        <w:rPr>
          <w:b/>
          <w:lang w:val="fr-FR" w:eastAsia="fr-FR"/>
        </w:rPr>
        <w:t xml:space="preserve">toutefois, lorsqu’il s’agit de matières de la classe 2 </w:t>
      </w:r>
      <w:r w:rsidR="000651CB" w:rsidRPr="00E8735D">
        <w:rPr>
          <w:b/>
          <w:lang w:val="fr-FR" w:eastAsia="fr-FR"/>
        </w:rPr>
        <w:t>ou</w:t>
      </w:r>
      <w:r w:rsidR="000651CB" w:rsidRPr="00810F7A">
        <w:rPr>
          <w:b/>
          <w:lang w:val="fr-FR" w:eastAsia="fr-FR"/>
        </w:rPr>
        <w:t xml:space="preserve"> de groupe d’emballage I, tel qu’indiqué dans la colonne (4) du tableau A du chapitre 3.2, et que la masse brute totale de ces matières </w:t>
      </w:r>
      <w:r w:rsidR="000651CB">
        <w:rPr>
          <w:b/>
          <w:lang w:val="fr-FR" w:eastAsia="fr-FR"/>
        </w:rPr>
        <w:t xml:space="preserve">n’excède pas </w:t>
      </w:r>
      <w:r w:rsidR="000651CB" w:rsidRPr="00810F7A">
        <w:rPr>
          <w:b/>
          <w:lang w:val="fr-FR" w:eastAsia="fr-FR"/>
        </w:rPr>
        <w:t xml:space="preserve">à </w:t>
      </w:r>
      <w:r w:rsidR="000651CB">
        <w:rPr>
          <w:b/>
          <w:lang w:val="fr-FR" w:eastAsia="fr-FR"/>
        </w:rPr>
        <w:t>1</w:t>
      </w:r>
      <w:r w:rsidR="000651CB" w:rsidRPr="00810F7A">
        <w:rPr>
          <w:b/>
          <w:lang w:val="fr-FR" w:eastAsia="fr-FR"/>
        </w:rPr>
        <w:t>30</w:t>
      </w:r>
      <w:r w:rsidR="000651CB">
        <w:rPr>
          <w:b/>
          <w:lang w:val="fr-FR" w:eastAsia="fr-FR"/>
        </w:rPr>
        <w:t> </w:t>
      </w:r>
      <w:r w:rsidR="000651CB" w:rsidRPr="00810F7A">
        <w:rPr>
          <w:b/>
          <w:lang w:val="fr-FR" w:eastAsia="fr-FR"/>
        </w:rPr>
        <w:t>000</w:t>
      </w:r>
      <w:r w:rsidR="000651CB">
        <w:rPr>
          <w:b/>
          <w:lang w:val="fr-FR" w:eastAsia="fr-FR"/>
        </w:rPr>
        <w:t> </w:t>
      </w:r>
      <w:r w:rsidR="000651CB" w:rsidRPr="00810F7A">
        <w:rPr>
          <w:b/>
          <w:lang w:val="fr-FR" w:eastAsia="fr-FR"/>
        </w:rPr>
        <w:t>kg, aucun cône bleu ou feu bleu n’est exigé</w:t>
      </w:r>
      <w:r w:rsidR="000651CB" w:rsidRPr="00E8735D">
        <w:rPr>
          <w:bCs/>
          <w:lang w:val="fr-FR" w:eastAsia="fr-FR"/>
        </w:rPr>
        <w:t>."</w:t>
      </w:r>
    </w:p>
    <w:p w14:paraId="502E3F93" w14:textId="0F6CA118" w:rsidR="000651CB" w:rsidRPr="001D2F35" w:rsidRDefault="00346C49" w:rsidP="00CF55D8">
      <w:pPr>
        <w:pStyle w:val="SingleTxtG"/>
        <w:rPr>
          <w:lang w:val="fr-FR" w:eastAsia="fr-FR"/>
        </w:rPr>
      </w:pPr>
      <w:r>
        <w:rPr>
          <w:lang w:val="fr-FR" w:eastAsia="fr-FR"/>
        </w:rPr>
        <w:t>6.</w:t>
      </w:r>
      <w:r w:rsidR="000651CB" w:rsidRPr="00E8735D">
        <w:rPr>
          <w:lang w:val="fr-FR" w:eastAsia="fr-FR"/>
        </w:rPr>
        <w:tab/>
      </w:r>
      <w:r w:rsidR="000651CB" w:rsidRPr="001D2F35">
        <w:rPr>
          <w:lang w:val="fr-FR" w:eastAsia="fr-FR"/>
        </w:rPr>
        <w:t xml:space="preserve">Sous réserve de leur pertinence et de leur acceptation, le texte de cet amendement dans les versions </w:t>
      </w:r>
      <w:r w:rsidR="000D4BA8">
        <w:rPr>
          <w:lang w:val="fr-FR" w:eastAsia="fr-FR"/>
        </w:rPr>
        <w:t>anglais</w:t>
      </w:r>
      <w:r w:rsidR="00FF5DE8">
        <w:rPr>
          <w:lang w:val="fr-FR" w:eastAsia="fr-FR"/>
        </w:rPr>
        <w:t xml:space="preserve">, </w:t>
      </w:r>
      <w:r w:rsidR="000651CB" w:rsidRPr="001D2F35">
        <w:rPr>
          <w:lang w:val="fr-FR" w:eastAsia="fr-FR"/>
        </w:rPr>
        <w:t xml:space="preserve">russe et allemande du Règlement annexé à l’ADN pourrait être établi par le </w:t>
      </w:r>
      <w:r w:rsidR="000651CB">
        <w:rPr>
          <w:lang w:val="fr-FR" w:eastAsia="fr-FR"/>
        </w:rPr>
        <w:t>Secrétariat ou par les délégations russophones et germanophones</w:t>
      </w:r>
      <w:r w:rsidR="000651CB" w:rsidRPr="00E8735D">
        <w:rPr>
          <w:lang w:val="fr-FR" w:eastAsia="fr-FR"/>
        </w:rPr>
        <w:t>.</w:t>
      </w:r>
    </w:p>
    <w:p w14:paraId="1949D361" w14:textId="77777777" w:rsidR="000651CB" w:rsidRPr="00511ABF" w:rsidRDefault="000651CB" w:rsidP="00CF55D8">
      <w:pPr>
        <w:pStyle w:val="HChG"/>
        <w:rPr>
          <w:lang w:val="fr-FR" w:eastAsia="fr-FR"/>
        </w:rPr>
      </w:pPr>
      <w:r w:rsidRPr="00511ABF">
        <w:rPr>
          <w:lang w:val="fr-FR" w:eastAsia="fr-FR"/>
        </w:rPr>
        <w:lastRenderedPageBreak/>
        <w:tab/>
      </w:r>
      <w:r w:rsidRPr="00511ABF">
        <w:rPr>
          <w:lang w:val="fr-FR" w:eastAsia="fr-FR"/>
        </w:rPr>
        <w:tab/>
        <w:t>Suites à donner</w:t>
      </w:r>
    </w:p>
    <w:p w14:paraId="403EF612" w14:textId="335DF047" w:rsidR="000651CB" w:rsidRPr="00E8735D" w:rsidRDefault="00346C49" w:rsidP="00CF55D8">
      <w:pPr>
        <w:pStyle w:val="SingleTxtG"/>
        <w:rPr>
          <w:lang w:val="fr-FR" w:eastAsia="fr-FR"/>
        </w:rPr>
      </w:pPr>
      <w:r>
        <w:rPr>
          <w:lang w:val="fr-FR" w:eastAsia="fr-FR"/>
        </w:rPr>
        <w:t>7</w:t>
      </w:r>
      <w:r w:rsidR="000651CB" w:rsidRPr="00E8735D">
        <w:rPr>
          <w:lang w:val="fr-FR" w:eastAsia="fr-FR"/>
        </w:rPr>
        <w:t>.</w:t>
      </w:r>
      <w:r w:rsidR="000651CB" w:rsidRPr="00E8735D">
        <w:rPr>
          <w:lang w:val="fr-FR" w:eastAsia="fr-FR"/>
        </w:rPr>
        <w:tab/>
      </w:r>
      <w:r w:rsidR="000651CB" w:rsidRPr="001D2F35">
        <w:rPr>
          <w:lang w:val="fr-FR" w:eastAsia="fr-FR"/>
        </w:rPr>
        <w:t xml:space="preserve">Le Comité </w:t>
      </w:r>
      <w:r w:rsidR="00917626" w:rsidRPr="00917626">
        <w:rPr>
          <w:lang w:val="fr-FR" w:eastAsia="fr-FR"/>
        </w:rPr>
        <w:t xml:space="preserve">de sécurité de l’ADN </w:t>
      </w:r>
      <w:r w:rsidR="000651CB" w:rsidRPr="001D2F35">
        <w:rPr>
          <w:lang w:val="fr-FR" w:eastAsia="fr-FR"/>
        </w:rPr>
        <w:t xml:space="preserve">est invité à examiner les propositions figurant aux paragraphes 5 </w:t>
      </w:r>
      <w:r w:rsidR="00FF5DE8">
        <w:rPr>
          <w:lang w:val="fr-FR" w:eastAsia="fr-FR"/>
        </w:rPr>
        <w:t>et 6</w:t>
      </w:r>
      <w:r w:rsidR="000651CB" w:rsidRPr="001D2F35">
        <w:rPr>
          <w:lang w:val="fr-FR" w:eastAsia="fr-FR"/>
        </w:rPr>
        <w:t xml:space="preserve"> ci-dessus et à leur donner les suites qu’il jugera appropriées</w:t>
      </w:r>
      <w:r w:rsidR="000651CB" w:rsidRPr="00E8735D">
        <w:rPr>
          <w:lang w:val="fr-FR" w:eastAsia="fr-FR"/>
        </w:rPr>
        <w:t>.</w:t>
      </w:r>
    </w:p>
    <w:p w14:paraId="7A55BAC9" w14:textId="691106D5" w:rsidR="00C1626B" w:rsidRPr="000651CB" w:rsidRDefault="000651CB" w:rsidP="000651C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626B" w:rsidRPr="000651CB" w:rsidSect="007945B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4B1D" w14:textId="77777777" w:rsidR="00A51039" w:rsidRDefault="00A51039" w:rsidP="00F95C08">
      <w:pPr>
        <w:spacing w:line="240" w:lineRule="auto"/>
      </w:pPr>
    </w:p>
  </w:endnote>
  <w:endnote w:type="continuationSeparator" w:id="0">
    <w:p w14:paraId="332349B6" w14:textId="77777777" w:rsidR="00A51039" w:rsidRPr="00AC3823" w:rsidRDefault="00A51039" w:rsidP="00AC3823">
      <w:pPr>
        <w:pStyle w:val="Pieddepage"/>
      </w:pPr>
    </w:p>
  </w:endnote>
  <w:endnote w:type="continuationNotice" w:id="1">
    <w:p w14:paraId="1790A156" w14:textId="77777777" w:rsidR="00A51039" w:rsidRDefault="00A510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26E0" w14:textId="77777777" w:rsidR="007945BC" w:rsidRPr="007945BC" w:rsidRDefault="007945BC" w:rsidP="007945BC">
    <w:pPr>
      <w:pStyle w:val="Pieddepage"/>
      <w:tabs>
        <w:tab w:val="right" w:pos="9638"/>
      </w:tabs>
      <w:rPr>
        <w:sz w:val="18"/>
      </w:rPr>
    </w:pPr>
    <w:r w:rsidRPr="007945BC">
      <w:rPr>
        <w:b/>
        <w:sz w:val="18"/>
      </w:rPr>
      <w:fldChar w:fldCharType="begin"/>
    </w:r>
    <w:r w:rsidRPr="007945BC">
      <w:rPr>
        <w:b/>
        <w:sz w:val="18"/>
      </w:rPr>
      <w:instrText xml:space="preserve"> PAGE  \* MERGEFORMAT </w:instrText>
    </w:r>
    <w:r w:rsidRPr="007945BC">
      <w:rPr>
        <w:b/>
        <w:sz w:val="18"/>
      </w:rPr>
      <w:fldChar w:fldCharType="separate"/>
    </w:r>
    <w:r w:rsidRPr="007945BC">
      <w:rPr>
        <w:b/>
        <w:noProof/>
        <w:sz w:val="18"/>
      </w:rPr>
      <w:t>2</w:t>
    </w:r>
    <w:r w:rsidRPr="007945B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8025" w14:textId="77777777" w:rsidR="007945BC" w:rsidRPr="007945BC" w:rsidRDefault="007945BC" w:rsidP="007945BC">
    <w:pPr>
      <w:pStyle w:val="Pieddepage"/>
      <w:tabs>
        <w:tab w:val="right" w:pos="9638"/>
      </w:tabs>
      <w:rPr>
        <w:b/>
        <w:sz w:val="18"/>
      </w:rPr>
    </w:pPr>
    <w:r>
      <w:tab/>
    </w:r>
    <w:r w:rsidRPr="007945BC">
      <w:rPr>
        <w:b/>
        <w:sz w:val="18"/>
      </w:rPr>
      <w:fldChar w:fldCharType="begin"/>
    </w:r>
    <w:r w:rsidRPr="007945BC">
      <w:rPr>
        <w:b/>
        <w:sz w:val="18"/>
      </w:rPr>
      <w:instrText xml:space="preserve"> PAGE  \* MERGEFORMAT </w:instrText>
    </w:r>
    <w:r w:rsidRPr="007945BC">
      <w:rPr>
        <w:b/>
        <w:sz w:val="18"/>
      </w:rPr>
      <w:fldChar w:fldCharType="separate"/>
    </w:r>
    <w:r w:rsidRPr="007945BC">
      <w:rPr>
        <w:b/>
        <w:noProof/>
        <w:sz w:val="18"/>
      </w:rPr>
      <w:t>3</w:t>
    </w:r>
    <w:r w:rsidRPr="007945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F425" w14:textId="03608267" w:rsidR="000D3EE9" w:rsidRPr="001A5B70" w:rsidRDefault="001A5B70" w:rsidP="001A5B70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GE.23-21753  (F)</w:t>
    </w:r>
    <w:bookmarkStart w:id="1" w:name="_GoBack"/>
    <w:bookmarkEnd w:id="1"/>
    <w:r>
      <w:rPr>
        <w:sz w:val="20"/>
      </w:rPr>
      <w:tab/>
    </w:r>
    <w:r w:rsidRPr="001A5B70">
      <w:rPr>
        <w:noProof/>
        <w:sz w:val="20"/>
        <w:lang w:eastAsia="fr-CH"/>
      </w:rPr>
      <w:drawing>
        <wp:inline distT="0" distB="0" distL="0" distR="0" wp14:anchorId="668E66A2" wp14:editId="000444E0">
          <wp:extent cx="1105200" cy="234000"/>
          <wp:effectExtent l="0" t="0" r="0" b="0"/>
          <wp:docPr id="1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32DC36F0" wp14:editId="6A8C356D">
          <wp:extent cx="638810" cy="638810"/>
          <wp:effectExtent l="0" t="0" r="889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FA3D" w14:textId="77777777" w:rsidR="00A51039" w:rsidRPr="00AC3823" w:rsidRDefault="00A5103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E8EFA4" w14:textId="77777777" w:rsidR="00A51039" w:rsidRPr="00AC3823" w:rsidRDefault="00A5103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DE75B4" w14:textId="77777777" w:rsidR="00A51039" w:rsidRPr="00AC3823" w:rsidRDefault="00A51039">
      <w:pPr>
        <w:spacing w:line="240" w:lineRule="auto"/>
        <w:rPr>
          <w:sz w:val="2"/>
          <w:szCs w:val="2"/>
        </w:rPr>
      </w:pPr>
    </w:p>
  </w:footnote>
  <w:footnote w:id="2">
    <w:p w14:paraId="1EC47D76" w14:textId="35D79A00" w:rsidR="001B3D42" w:rsidRPr="009A1A19" w:rsidRDefault="001B3D42" w:rsidP="009A1A19">
      <w:pPr>
        <w:pStyle w:val="Notedebasdepage"/>
        <w:rPr>
          <w:szCs w:val="18"/>
          <w:lang w:val="fr-FR"/>
        </w:rPr>
      </w:pPr>
      <w:r>
        <w:rPr>
          <w:lang w:val="fr-FR"/>
        </w:rPr>
        <w:tab/>
      </w:r>
      <w:r w:rsidRPr="009A1A19">
        <w:rPr>
          <w:rStyle w:val="Appelnotedebasdep"/>
        </w:rPr>
        <w:t>*</w:t>
      </w:r>
      <w:r w:rsidRPr="009A1A19">
        <w:rPr>
          <w:rStyle w:val="Appelnotedebasdep"/>
          <w:szCs w:val="18"/>
          <w:lang w:val="fr-FR"/>
        </w:rPr>
        <w:tab/>
      </w:r>
      <w:r w:rsidRPr="009A1A19">
        <w:rPr>
          <w:szCs w:val="18"/>
          <w:lang w:val="fr-FR"/>
        </w:rPr>
        <w:t xml:space="preserve">Diffusée en langue allemande par la Commission </w:t>
      </w:r>
      <w:r w:rsidRPr="009A1A19">
        <w:rPr>
          <w:szCs w:val="18"/>
        </w:rPr>
        <w:t>centrale</w:t>
      </w:r>
      <w:r w:rsidRPr="009A1A19">
        <w:rPr>
          <w:szCs w:val="18"/>
          <w:lang w:val="fr-FR"/>
        </w:rPr>
        <w:t xml:space="preserve"> pour la navigation du Rhin sous la cote CCNR-ZKR/ADN/WP.15/AC.2/2024/</w:t>
      </w:r>
      <w:r w:rsidR="00695301" w:rsidRPr="009A1A19">
        <w:rPr>
          <w:szCs w:val="18"/>
          <w:lang w:val="fr-FR"/>
        </w:rPr>
        <w:t>9</w:t>
      </w:r>
    </w:p>
  </w:footnote>
  <w:footnote w:id="3">
    <w:p w14:paraId="730DD9D7" w14:textId="422B9CF4" w:rsidR="001B3D42" w:rsidRPr="009A1A19" w:rsidRDefault="001B3D42" w:rsidP="009A1A19">
      <w:pPr>
        <w:pStyle w:val="Notedebasdepage"/>
        <w:rPr>
          <w:szCs w:val="18"/>
          <w:lang w:val="fr-FR"/>
        </w:rPr>
      </w:pPr>
      <w:r w:rsidRPr="009A1A19">
        <w:rPr>
          <w:szCs w:val="18"/>
          <w:lang w:val="fr-FR"/>
        </w:rPr>
        <w:tab/>
      </w:r>
      <w:r w:rsidRPr="009A1A19">
        <w:rPr>
          <w:rStyle w:val="Appelnotedebasdep"/>
          <w:szCs w:val="18"/>
          <w:lang w:val="fr-FR"/>
        </w:rPr>
        <w:t>**</w:t>
      </w:r>
      <w:r w:rsidRPr="009A1A19">
        <w:rPr>
          <w:rStyle w:val="Appelnotedebasdep"/>
          <w:szCs w:val="18"/>
          <w:lang w:val="fr-FR"/>
        </w:rPr>
        <w:tab/>
      </w:r>
      <w:r w:rsidRPr="009A1A19">
        <w:rPr>
          <w:szCs w:val="18"/>
          <w:lang w:val="fr-FR"/>
        </w:rPr>
        <w:t>A/78/6 (Sect. 20), tableau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5581" w14:textId="77777777" w:rsidR="007945BC" w:rsidRPr="007945BC" w:rsidRDefault="00AB4517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7945BC">
      <w:t>ECE/TRANS/WP.15/AC.2/2024/9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4021" w14:textId="77777777" w:rsidR="007945BC" w:rsidRPr="007945BC" w:rsidRDefault="00AB4517" w:rsidP="007945BC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945BC">
      <w:t>ECE/TRANS/WP.15/AC.2/2024/9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3285A"/>
    <w:multiLevelType w:val="hybridMultilevel"/>
    <w:tmpl w:val="6F8E1184"/>
    <w:lvl w:ilvl="0" w:tplc="7D8E39F8">
      <w:start w:val="1"/>
      <w:numFmt w:val="bullet"/>
      <w:lvlText w:val="–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E685F"/>
    <w:multiLevelType w:val="hybridMultilevel"/>
    <w:tmpl w:val="66A426D0"/>
    <w:lvl w:ilvl="0" w:tplc="BC0CB098">
      <w:start w:val="1"/>
      <w:numFmt w:val="bullet"/>
      <w:lvlText w:val="–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1D435808"/>
    <w:multiLevelType w:val="hybridMultilevel"/>
    <w:tmpl w:val="DC30DE24"/>
    <w:lvl w:ilvl="0" w:tplc="803E4816">
      <w:start w:val="1"/>
      <w:numFmt w:val="bullet"/>
      <w:lvlText w:val="–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793325273">
    <w:abstractNumId w:val="15"/>
  </w:num>
  <w:num w:numId="2" w16cid:durableId="1510682996">
    <w:abstractNumId w:val="14"/>
  </w:num>
  <w:num w:numId="3" w16cid:durableId="1000038789">
    <w:abstractNumId w:val="11"/>
  </w:num>
  <w:num w:numId="4" w16cid:durableId="264777775">
    <w:abstractNumId w:val="8"/>
  </w:num>
  <w:num w:numId="5" w16cid:durableId="1788892970">
    <w:abstractNumId w:val="3"/>
  </w:num>
  <w:num w:numId="6" w16cid:durableId="1679960599">
    <w:abstractNumId w:val="2"/>
  </w:num>
  <w:num w:numId="7" w16cid:durableId="1379163083">
    <w:abstractNumId w:val="1"/>
  </w:num>
  <w:num w:numId="8" w16cid:durableId="231426835">
    <w:abstractNumId w:val="0"/>
  </w:num>
  <w:num w:numId="9" w16cid:durableId="1124270532">
    <w:abstractNumId w:val="9"/>
  </w:num>
  <w:num w:numId="10" w16cid:durableId="805970342">
    <w:abstractNumId w:val="7"/>
  </w:num>
  <w:num w:numId="11" w16cid:durableId="1641888049">
    <w:abstractNumId w:val="6"/>
  </w:num>
  <w:num w:numId="12" w16cid:durableId="795177297">
    <w:abstractNumId w:val="5"/>
  </w:num>
  <w:num w:numId="13" w16cid:durableId="1037851395">
    <w:abstractNumId w:val="4"/>
  </w:num>
  <w:num w:numId="14" w16cid:durableId="2113426518">
    <w:abstractNumId w:val="10"/>
  </w:num>
  <w:num w:numId="15" w16cid:durableId="1064109638">
    <w:abstractNumId w:val="12"/>
  </w:num>
  <w:num w:numId="16" w16cid:durableId="10215859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7945BC"/>
    <w:rsid w:val="0001207F"/>
    <w:rsid w:val="00017F94"/>
    <w:rsid w:val="00023842"/>
    <w:rsid w:val="000334F9"/>
    <w:rsid w:val="0004639C"/>
    <w:rsid w:val="000651CB"/>
    <w:rsid w:val="0007796D"/>
    <w:rsid w:val="000942EE"/>
    <w:rsid w:val="000A10DE"/>
    <w:rsid w:val="000A52BF"/>
    <w:rsid w:val="000B7790"/>
    <w:rsid w:val="000D3EE9"/>
    <w:rsid w:val="000D422B"/>
    <w:rsid w:val="000D4BA8"/>
    <w:rsid w:val="000D62F3"/>
    <w:rsid w:val="00111F2F"/>
    <w:rsid w:val="00112482"/>
    <w:rsid w:val="00113022"/>
    <w:rsid w:val="001433FD"/>
    <w:rsid w:val="0014365E"/>
    <w:rsid w:val="001541D3"/>
    <w:rsid w:val="00156B77"/>
    <w:rsid w:val="00176178"/>
    <w:rsid w:val="00177140"/>
    <w:rsid w:val="001A5B70"/>
    <w:rsid w:val="001B3D42"/>
    <w:rsid w:val="001D400F"/>
    <w:rsid w:val="001F525A"/>
    <w:rsid w:val="00223272"/>
    <w:rsid w:val="00240333"/>
    <w:rsid w:val="0024779E"/>
    <w:rsid w:val="002647B5"/>
    <w:rsid w:val="00273A1B"/>
    <w:rsid w:val="002832AC"/>
    <w:rsid w:val="002A41D4"/>
    <w:rsid w:val="002B630D"/>
    <w:rsid w:val="002C06EB"/>
    <w:rsid w:val="002D7C93"/>
    <w:rsid w:val="00326A7F"/>
    <w:rsid w:val="00346C49"/>
    <w:rsid w:val="0037241C"/>
    <w:rsid w:val="00376174"/>
    <w:rsid w:val="003819FF"/>
    <w:rsid w:val="003B388A"/>
    <w:rsid w:val="003D6D96"/>
    <w:rsid w:val="00441C3B"/>
    <w:rsid w:val="00446B0A"/>
    <w:rsid w:val="00446FE5"/>
    <w:rsid w:val="00452396"/>
    <w:rsid w:val="00471288"/>
    <w:rsid w:val="0049363A"/>
    <w:rsid w:val="0049687C"/>
    <w:rsid w:val="004A0FC8"/>
    <w:rsid w:val="004B28EC"/>
    <w:rsid w:val="004B73EB"/>
    <w:rsid w:val="004E468C"/>
    <w:rsid w:val="004E554F"/>
    <w:rsid w:val="004E594C"/>
    <w:rsid w:val="005316B0"/>
    <w:rsid w:val="005505B7"/>
    <w:rsid w:val="00573BE5"/>
    <w:rsid w:val="00586ED3"/>
    <w:rsid w:val="00596AA9"/>
    <w:rsid w:val="005B4D0F"/>
    <w:rsid w:val="00695301"/>
    <w:rsid w:val="006C3EF1"/>
    <w:rsid w:val="007027BD"/>
    <w:rsid w:val="00703D0F"/>
    <w:rsid w:val="00706363"/>
    <w:rsid w:val="007158BB"/>
    <w:rsid w:val="0071601D"/>
    <w:rsid w:val="0075410D"/>
    <w:rsid w:val="007724AD"/>
    <w:rsid w:val="007945BC"/>
    <w:rsid w:val="007A62E6"/>
    <w:rsid w:val="007A7025"/>
    <w:rsid w:val="007E740A"/>
    <w:rsid w:val="007E7ABB"/>
    <w:rsid w:val="0080684C"/>
    <w:rsid w:val="008204DA"/>
    <w:rsid w:val="008265B8"/>
    <w:rsid w:val="0084428F"/>
    <w:rsid w:val="00847BF1"/>
    <w:rsid w:val="008535AD"/>
    <w:rsid w:val="00871C75"/>
    <w:rsid w:val="008767E8"/>
    <w:rsid w:val="008776DC"/>
    <w:rsid w:val="00883605"/>
    <w:rsid w:val="00883E7F"/>
    <w:rsid w:val="008D41D1"/>
    <w:rsid w:val="008E6043"/>
    <w:rsid w:val="00917626"/>
    <w:rsid w:val="00961E7B"/>
    <w:rsid w:val="009705C8"/>
    <w:rsid w:val="009A1A19"/>
    <w:rsid w:val="009C1CF4"/>
    <w:rsid w:val="009E059D"/>
    <w:rsid w:val="009F02C9"/>
    <w:rsid w:val="009F1E55"/>
    <w:rsid w:val="00A13DD1"/>
    <w:rsid w:val="00A30353"/>
    <w:rsid w:val="00A51039"/>
    <w:rsid w:val="00A62D91"/>
    <w:rsid w:val="00A90D54"/>
    <w:rsid w:val="00AA113A"/>
    <w:rsid w:val="00AC3823"/>
    <w:rsid w:val="00AE323C"/>
    <w:rsid w:val="00AF774C"/>
    <w:rsid w:val="00B00181"/>
    <w:rsid w:val="00B00B0D"/>
    <w:rsid w:val="00B247C1"/>
    <w:rsid w:val="00B40927"/>
    <w:rsid w:val="00B50E25"/>
    <w:rsid w:val="00B64918"/>
    <w:rsid w:val="00B765F7"/>
    <w:rsid w:val="00BA0CA9"/>
    <w:rsid w:val="00BB487B"/>
    <w:rsid w:val="00C02897"/>
    <w:rsid w:val="00C1626B"/>
    <w:rsid w:val="00C4708E"/>
    <w:rsid w:val="00C66A47"/>
    <w:rsid w:val="00C7616F"/>
    <w:rsid w:val="00C91FF5"/>
    <w:rsid w:val="00CB16B5"/>
    <w:rsid w:val="00CE0608"/>
    <w:rsid w:val="00CF55D8"/>
    <w:rsid w:val="00D3439C"/>
    <w:rsid w:val="00D44CF3"/>
    <w:rsid w:val="00D46C8C"/>
    <w:rsid w:val="00D62D6B"/>
    <w:rsid w:val="00DB0E3F"/>
    <w:rsid w:val="00DB1831"/>
    <w:rsid w:val="00DD3BFD"/>
    <w:rsid w:val="00DE239D"/>
    <w:rsid w:val="00DF431C"/>
    <w:rsid w:val="00DF6678"/>
    <w:rsid w:val="00E368F7"/>
    <w:rsid w:val="00E428C8"/>
    <w:rsid w:val="00E95255"/>
    <w:rsid w:val="00EC031B"/>
    <w:rsid w:val="00EE32EE"/>
    <w:rsid w:val="00EF2E22"/>
    <w:rsid w:val="00F0592C"/>
    <w:rsid w:val="00F06ED4"/>
    <w:rsid w:val="00F43289"/>
    <w:rsid w:val="00F61AE3"/>
    <w:rsid w:val="00F660DF"/>
    <w:rsid w:val="00F8400B"/>
    <w:rsid w:val="00F95C08"/>
    <w:rsid w:val="00FA2CA8"/>
    <w:rsid w:val="00FA3BAD"/>
    <w:rsid w:val="00FD1581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9AD44"/>
  <w15:docId w15:val="{33940F0D-3D62-44F5-82AE-14EE4FA2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F7"/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styleId="Rvision">
    <w:name w:val="Revision"/>
    <w:hidden/>
    <w:uiPriority w:val="99"/>
    <w:semiHidden/>
    <w:rsid w:val="003D6D96"/>
    <w:pPr>
      <w:spacing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46C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46C4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346C4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6C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6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14563-ACB7-44AD-B0EF-E55148CFDD3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81307320-C528-4032-AB5A-73B861CDA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940D1-2AF4-4C0D-B50F-35B7CD5E0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0</TotalTime>
  <Pages>3</Pages>
  <Words>776</Words>
  <Characters>3938</Characters>
  <Application>Microsoft Office Word</Application>
  <DocSecurity>0</DocSecurity>
  <Lines>91</Lines>
  <Paragraphs>48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ECE/EX/22</vt:lpstr>
      <vt:lpstr>ECE/EX/22</vt:lpstr>
    </vt:vector>
  </TitlesOfParts>
  <Company>DCM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ECE/TRANS/WP.15/AC.2/2024/9</dc:title>
  <dc:subject>FINAL</dc:subject>
  <dc:creator>Editorial</dc:creator>
  <cp:keywords/>
  <dc:description/>
  <cp:lastModifiedBy>Sandrine Clere</cp:lastModifiedBy>
  <cp:revision>2</cp:revision>
  <cp:lastPrinted>2014-05-14T10:59:00Z</cp:lastPrinted>
  <dcterms:created xsi:type="dcterms:W3CDTF">2023-11-08T15:29:00Z</dcterms:created>
  <dcterms:modified xsi:type="dcterms:W3CDTF">2023-11-08T15:29:00Z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