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FF287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3CC0BE" w14:textId="77777777" w:rsidR="002D5AAC" w:rsidRDefault="002D5AAC" w:rsidP="006C00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BAEA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BF3FCB" w14:textId="3DE437FA" w:rsidR="002D5AAC" w:rsidRDefault="006C0075" w:rsidP="006C0075">
            <w:pPr>
              <w:jc w:val="right"/>
            </w:pPr>
            <w:r w:rsidRPr="006C0075">
              <w:rPr>
                <w:sz w:val="40"/>
              </w:rPr>
              <w:t>ECE</w:t>
            </w:r>
            <w:r>
              <w:t>/TRANS/WP.15/AC.2/2024/4</w:t>
            </w:r>
          </w:p>
        </w:tc>
      </w:tr>
      <w:tr w:rsidR="002D5AAC" w:rsidRPr="00B1005D" w14:paraId="18771C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F14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4571DC" wp14:editId="6C2E0F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F54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4B7DB8" w14:textId="77777777" w:rsidR="002D5AAC" w:rsidRDefault="006C00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C908B2" w14:textId="77777777" w:rsidR="006C0075" w:rsidRDefault="006C0075" w:rsidP="006C0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2023</w:t>
            </w:r>
          </w:p>
          <w:p w14:paraId="007CE465" w14:textId="77777777" w:rsidR="006C0075" w:rsidRDefault="006C0075" w:rsidP="006C0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E7961F" w14:textId="4AC1097D" w:rsidR="006C0075" w:rsidRPr="008D53B6" w:rsidRDefault="006C0075" w:rsidP="006C0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C8A2A0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DC7C99" w14:textId="77777777" w:rsidR="006C0075" w:rsidRPr="006C0075" w:rsidRDefault="006C0075" w:rsidP="006C0075">
      <w:pPr>
        <w:spacing w:before="120"/>
        <w:rPr>
          <w:sz w:val="28"/>
          <w:szCs w:val="28"/>
        </w:rPr>
      </w:pPr>
      <w:r w:rsidRPr="006C0075">
        <w:rPr>
          <w:sz w:val="28"/>
          <w:szCs w:val="28"/>
        </w:rPr>
        <w:t>Комитет по внутреннему транспорту</w:t>
      </w:r>
    </w:p>
    <w:p w14:paraId="4BA4DDB0" w14:textId="77777777" w:rsidR="006C0075" w:rsidRPr="006C0075" w:rsidRDefault="006C0075" w:rsidP="006C0075">
      <w:pPr>
        <w:spacing w:before="120"/>
        <w:rPr>
          <w:b/>
          <w:sz w:val="24"/>
          <w:szCs w:val="24"/>
        </w:rPr>
      </w:pPr>
      <w:r w:rsidRPr="006C0075">
        <w:rPr>
          <w:b/>
          <w:bCs/>
          <w:sz w:val="24"/>
          <w:szCs w:val="24"/>
        </w:rPr>
        <w:t>Рабочая группа по перевозкам опасных грузов</w:t>
      </w:r>
    </w:p>
    <w:p w14:paraId="0ED97631" w14:textId="262A660A" w:rsidR="006C0075" w:rsidRPr="004812F5" w:rsidRDefault="006C0075" w:rsidP="006C0075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 прилагаемым</w:t>
      </w:r>
      <w:r>
        <w:rPr>
          <w:b/>
          <w:bCs/>
        </w:rPr>
        <w:br/>
        <w:t>к Европейскому соглашению  о международной перевозке</w:t>
      </w:r>
      <w:r>
        <w:rPr>
          <w:b/>
          <w:bCs/>
        </w:rPr>
        <w:br/>
        <w:t xml:space="preserve">опасных грузов 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4797F3B1" w14:textId="77777777" w:rsidR="006C0075" w:rsidRPr="00234E40" w:rsidRDefault="006C0075" w:rsidP="006C0075">
      <w:pPr>
        <w:tabs>
          <w:tab w:val="left" w:pos="4030"/>
        </w:tabs>
        <w:spacing w:before="120"/>
        <w:rPr>
          <w:b/>
        </w:rPr>
      </w:pPr>
      <w:r>
        <w:rPr>
          <w:b/>
          <w:bCs/>
        </w:rPr>
        <w:t>Сорок третья сессия</w:t>
      </w:r>
    </w:p>
    <w:p w14:paraId="2B6CA87D" w14:textId="77777777" w:rsidR="006C0075" w:rsidRDefault="006C0075" w:rsidP="006C0075">
      <w:pPr>
        <w:rPr>
          <w:bCs/>
        </w:rPr>
      </w:pPr>
      <w:r>
        <w:t>Женева, 22–26 января 2024 года</w:t>
      </w:r>
    </w:p>
    <w:p w14:paraId="02889F6D" w14:textId="77777777" w:rsidR="006C0075" w:rsidRDefault="006C0075" w:rsidP="006C0075">
      <w:r>
        <w:t>Пункт 5 b) предварительной повестки дня</w:t>
      </w:r>
    </w:p>
    <w:p w14:paraId="3FEA42F5" w14:textId="7058B1F5" w:rsidR="006C0075" w:rsidRPr="009A0A47" w:rsidRDefault="006C0075" w:rsidP="006C0075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</w:t>
      </w:r>
      <w:r w:rsidRPr="006C0075">
        <w:rPr>
          <w:b/>
          <w:bCs/>
        </w:rPr>
        <w:t xml:space="preserve"> </w:t>
      </w:r>
      <w:r>
        <w:rPr>
          <w:b/>
          <w:bCs/>
        </w:rPr>
        <w:t>к ВОПОГ:</w:t>
      </w:r>
      <w:r w:rsidRPr="006C0075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9177ABC" w14:textId="77777777" w:rsidR="006C0075" w:rsidRPr="00F83617" w:rsidRDefault="006C0075" w:rsidP="006C0075">
      <w:pPr>
        <w:pStyle w:val="HChG"/>
      </w:pPr>
      <w:r>
        <w:tab/>
      </w:r>
      <w:r>
        <w:tab/>
        <w:t>Раздел 7.1.3.31, пункт 7.2.3.31.1 ВОПОГ: двигатели, ссылка на стандарт ЕС</w:t>
      </w:r>
      <w:r>
        <w:noBreakHyphen/>
        <w:t>ТТСВП</w:t>
      </w:r>
    </w:p>
    <w:p w14:paraId="34CC4DF2" w14:textId="148ACCB3" w:rsidR="006C0075" w:rsidRPr="002572E7" w:rsidRDefault="006C0075" w:rsidP="006C0075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6C0075">
        <w:rPr>
          <w:rFonts w:eastAsia="Calibri"/>
          <w:b w:val="0"/>
          <w:bCs/>
          <w:sz w:val="18"/>
          <w:szCs w:val="18"/>
        </w:rPr>
        <w:footnoteReference w:customMarkFollows="1" w:id="1"/>
        <w:t>*</w:t>
      </w:r>
      <w:r w:rsidRPr="00325CD0">
        <w:rPr>
          <w:b w:val="0"/>
          <w:bCs/>
          <w:sz w:val="18"/>
          <w:szCs w:val="18"/>
        </w:rPr>
        <w:t xml:space="preserve"> </w:t>
      </w:r>
      <w:r w:rsidRPr="006C0075">
        <w:rPr>
          <w:rFonts w:eastAsia="Calibri"/>
          <w:b w:val="0"/>
          <w:bCs/>
          <w:sz w:val="18"/>
          <w:szCs w:val="18"/>
        </w:rPr>
        <w:footnoteReference w:customMarkFollows="1" w:id="2"/>
        <w:t>**</w:t>
      </w:r>
      <w:r>
        <w:t xml:space="preserve"> </w:t>
      </w:r>
    </w:p>
    <w:p w14:paraId="1CD719FA" w14:textId="77777777" w:rsidR="006C0075" w:rsidRPr="002572E7" w:rsidRDefault="006C0075" w:rsidP="006C0075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030C563A" w14:textId="0FABEA32" w:rsidR="006C0075" w:rsidRPr="002572E7" w:rsidRDefault="006C0075" w:rsidP="006C0075">
      <w:pPr>
        <w:pStyle w:val="SingleTxtG"/>
      </w:pPr>
      <w:r>
        <w:t>1.</w:t>
      </w:r>
      <w:r>
        <w:tab/>
        <w:t>В разделе 7.1.3.31 и пункте 7.2.3.31.1 предусматривается, что движительные комплексы и вспомогательные системы могут также работать на топливе с температурой вспышки равной или ниже 55</w:t>
      </w:r>
      <w:r w:rsidR="00E6327E" w:rsidRPr="00E6327E">
        <w:t xml:space="preserve"> </w:t>
      </w:r>
      <w:r>
        <w:rPr>
          <w:vertAlign w:val="superscript"/>
        </w:rPr>
        <w:t>о</w:t>
      </w:r>
      <w:r>
        <w:t>C, если такие движительные комплексы и вспомогательные системы отвечают требованиям главы 30 и раздела 1 приложения</w:t>
      </w:r>
      <w:r w:rsidR="00E6327E" w:rsidRPr="00D560E7">
        <w:rPr>
          <w:lang w:val="en-US"/>
        </w:rPr>
        <w:t> </w:t>
      </w:r>
      <w:r>
        <w:t>8 Европейского стандарта, устанавливающего технические требования для судов внутреннего плавания (ЕС-ТТСВП), с поправками.</w:t>
      </w:r>
    </w:p>
    <w:p w14:paraId="0B54B0B6" w14:textId="77777777" w:rsidR="006C0075" w:rsidRPr="002572E7" w:rsidRDefault="006C0075" w:rsidP="006C0075">
      <w:pPr>
        <w:pStyle w:val="SingleTxtG"/>
      </w:pPr>
      <w:r>
        <w:t>2.</w:t>
      </w:r>
      <w:r>
        <w:tab/>
        <w:t>Когда эти требования были добавлены в правила, прилагаемые к ВОПОГ, вышеупомянутый раздел ЕС-ТТСВП содержал технические требования, применимые к движительным комплексам и вспомогательным системам или их двигателям, использующим в качестве топлива сжиженный природный газ (СПГ) (вид топлива).</w:t>
      </w:r>
    </w:p>
    <w:p w14:paraId="4B0BEE17" w14:textId="77777777" w:rsidR="006C0075" w:rsidRPr="002572E7" w:rsidRDefault="006C0075" w:rsidP="006C0075">
      <w:pPr>
        <w:pStyle w:val="SingleTxtG"/>
      </w:pPr>
      <w:r>
        <w:t>3.</w:t>
      </w:r>
      <w:r>
        <w:tab/>
        <w:t>1 января 2024 года вступает в силу ЕС-ТТСВП 2023 года. В данном стандарте раздел 1 приложения 8 теперь содержит только определения, но не технические требования. Такие технические требования к двигателям, использующим СПГ, теперь изложены в главе 2 раздела III приложения 8 "Движительные комплексы и вспомогательные системы, включая двигатели внутреннего сгорания, использующие в качестве топлива СПГ". Кроме того, в главе 2 раздела II содержатся положения, касающиеся "хранения используемого в качестве топлива СПГ".</w:t>
      </w:r>
    </w:p>
    <w:p w14:paraId="23B9CD20" w14:textId="31FA38DF" w:rsidR="006C0075" w:rsidRPr="002572E7" w:rsidRDefault="006C0075" w:rsidP="006C0075">
      <w:pPr>
        <w:pStyle w:val="SingleTxtG"/>
      </w:pPr>
      <w:r>
        <w:lastRenderedPageBreak/>
        <w:t>4.</w:t>
      </w:r>
      <w:r>
        <w:tab/>
        <w:t>Делегация Европейской организации судоводителей (ЕОС) и рекомендованные классификационные общества ВОПОГ, а также Европейский союз речного судоходства (ЕСРС) уже поднимали эту проблему на сорок первой сессии Комитета по вопросам безопасности в своих документах ECE/TRANS/WP.15/AC.2/2023/9 и INF.23. Большинство делегаций предпочли решение, заключающееся в том, чтобы предусмотреть ссылку только на приложение 8 к ЕС-ТТСВП, т. е. не оказывать никакого влияния непосредственно на движительные комплексы, которые разрешены к использованию на судах, перевозящих опасные грузы. Другие делегации выступали за решение, заключающееся в полном исключении подраздела 7.1.3.31 и пункта</w:t>
      </w:r>
      <w:r w:rsidR="00E6327E" w:rsidRPr="00D560E7">
        <w:rPr>
          <w:lang w:val="en-US"/>
        </w:rPr>
        <w:t> </w:t>
      </w:r>
      <w:r>
        <w:t>7.2.3.31.1 из ВОПОГ, т. е. исключении ссылки на ЕС-ТТСВП, без проведения собственной оценки безопасности в отношении взаимодействия с перевозимыми опасными грузами.</w:t>
      </w:r>
    </w:p>
    <w:p w14:paraId="29FF1AF2" w14:textId="77777777" w:rsidR="006C0075" w:rsidRPr="002572E7" w:rsidRDefault="006C0075" w:rsidP="006C0075">
      <w:pPr>
        <w:pStyle w:val="SingleTxtG"/>
      </w:pPr>
      <w:r>
        <w:t>5.</w:t>
      </w:r>
      <w:r>
        <w:tab/>
        <w:t>Было решено, что Германия и Нидерланды подготовят к сорок второй сессии (или к одной из последующих сессий) предложение по поправке такого рода, охватывающей также в общих чертах вопрос о допустимости использования других видов топлива или типов движительных комплексов для судов, перевозящих опасные грузы. Это совместное предложение по разным причинам не могло быть подготовлено.</w:t>
      </w:r>
    </w:p>
    <w:p w14:paraId="3AB972FB" w14:textId="77777777" w:rsidR="006C0075" w:rsidRPr="002572E7" w:rsidRDefault="006C0075" w:rsidP="006C0075">
      <w:pPr>
        <w:pStyle w:val="HChG"/>
      </w:pPr>
      <w:r>
        <w:tab/>
      </w:r>
      <w:r>
        <w:tab/>
        <w:t>Предложение</w:t>
      </w:r>
    </w:p>
    <w:p w14:paraId="777CE271" w14:textId="3960896F" w:rsidR="006C0075" w:rsidRPr="002572E7" w:rsidRDefault="006C0075" w:rsidP="006C0075">
      <w:pPr>
        <w:pStyle w:val="SingleTxtG"/>
      </w:pPr>
      <w:r>
        <w:t>6.</w:t>
      </w:r>
      <w:r>
        <w:tab/>
        <w:t xml:space="preserve">Данное предложение преследует единственную цель </w:t>
      </w:r>
      <w:r w:rsidR="00E6327E" w:rsidRPr="00E6327E">
        <w:t>—</w:t>
      </w:r>
      <w:r>
        <w:t xml:space="preserve"> обновить ссылку на двигатели, использующие в качестве топлива СПГ.</w:t>
      </w:r>
    </w:p>
    <w:p w14:paraId="0D081266" w14:textId="77777777" w:rsidR="006C0075" w:rsidRPr="002572E7" w:rsidRDefault="006C0075" w:rsidP="006C0075">
      <w:pPr>
        <w:pStyle w:val="SingleTxtG"/>
      </w:pPr>
      <w:r>
        <w:t>7.</w:t>
      </w:r>
      <w:r>
        <w:tab/>
        <w:t>В нем не рассматривается вопрос о том, следует ли разрешать установку на борту судов, перевозящих опасные грузы, движительных комплексов, использующих водородные топливные элементы, метанол или другие виды топлива.</w:t>
      </w:r>
    </w:p>
    <w:p w14:paraId="09B68496" w14:textId="77777777" w:rsidR="006C0075" w:rsidRPr="002572E7" w:rsidRDefault="006C0075" w:rsidP="006C0075">
      <w:pPr>
        <w:pStyle w:val="SingleTxtG"/>
      </w:pPr>
      <w:r>
        <w:t>8.</w:t>
      </w:r>
      <w:r>
        <w:tab/>
        <w:t>Германия хотела бы обратиться к Комитету по вопросам безопасности с просьбой рассмотреть и одобрить нижеследующие предложения о поправках.</w:t>
      </w:r>
    </w:p>
    <w:p w14:paraId="3A092471" w14:textId="025728F7" w:rsidR="006C0075" w:rsidRPr="002572E7" w:rsidRDefault="006C0075" w:rsidP="006C0075">
      <w:pPr>
        <w:pStyle w:val="SingleTxtG"/>
      </w:pPr>
      <w:r>
        <w:t>9.</w:t>
      </w:r>
      <w:r>
        <w:tab/>
        <w:t xml:space="preserve">Во втором абзаце раздела 7.1.3.31 и во втором абзаце пункта 7.2.3.31.1 вместо "раздела 1 приложения 8" вставить "раздела II приложения 8 "Хранение топлива", глава 1 </w:t>
      </w:r>
      <w:r w:rsidR="00E6327E" w:rsidRPr="00E6327E">
        <w:t>—</w:t>
      </w:r>
      <w:r>
        <w:t xml:space="preserve"> "СПГ", и главы 2 раздела III "Движительные комплексы и вспомогательные системы, включая двигатели внутреннего сгорания, использующие в качестве топлива СПГ".</w:t>
      </w:r>
    </w:p>
    <w:p w14:paraId="0BC7D480" w14:textId="77777777" w:rsidR="006C0075" w:rsidRPr="002572E7" w:rsidRDefault="006C0075" w:rsidP="006C0075">
      <w:pPr>
        <w:pStyle w:val="HChG"/>
      </w:pPr>
      <w:r>
        <w:tab/>
      </w:r>
      <w:r>
        <w:tab/>
      </w:r>
      <w:r>
        <w:rPr>
          <w:bCs/>
        </w:rPr>
        <w:t>Переходная мера</w:t>
      </w:r>
    </w:p>
    <w:p w14:paraId="0C2FF6FD" w14:textId="2E7F54CD" w:rsidR="006C0075" w:rsidRPr="00017072" w:rsidRDefault="006C0075" w:rsidP="006C0075">
      <w:pPr>
        <w:pStyle w:val="SingleTxtG"/>
      </w:pPr>
      <w:r>
        <w:t>10.</w:t>
      </w:r>
      <w:r>
        <w:tab/>
        <w:t xml:space="preserve">Поскольку эта поправка вступит в силу не ранее 1 января 2025 года, ссылка на ЕС-ТТСВП 2023 года в издании ВОПОГ 2023 года (в частности, "с поправками") будет касаться соответствующих определений только на протяжении 2024 года. В результате этого будет отсутствовать обеспечивающее соответствие положение в отношении не только новых судов, но </w:t>
      </w:r>
      <w:r w:rsidR="00B1005D">
        <w:t xml:space="preserve">и </w:t>
      </w:r>
      <w:r>
        <w:t>для целей продления свидетельств о допущении.</w:t>
      </w:r>
    </w:p>
    <w:p w14:paraId="2722FC23" w14:textId="667914D4" w:rsidR="006C0075" w:rsidRPr="00017072" w:rsidRDefault="006C0075" w:rsidP="006C0075">
      <w:pPr>
        <w:pStyle w:val="SingleTxtG"/>
      </w:pPr>
      <w:r>
        <w:t>11.</w:t>
      </w:r>
      <w:r>
        <w:tab/>
        <w:t>В силу этого, при условии одобрения вышеуказанного предложения, Германия предлагает другим Договаривающимся сторонам заключить многостороннее соглашение о ссылке на соответствующие технические требования ЕС-ТТСВП с</w:t>
      </w:r>
      <w:r w:rsidR="00E6327E" w:rsidRPr="00D560E7">
        <w:rPr>
          <w:lang w:val="en-US"/>
        </w:rPr>
        <w:t> </w:t>
      </w:r>
      <w:r>
        <w:t>2024</w:t>
      </w:r>
      <w:r w:rsidR="00E6327E" w:rsidRPr="00D560E7">
        <w:rPr>
          <w:lang w:val="en-US"/>
        </w:rPr>
        <w:t> </w:t>
      </w:r>
      <w:r>
        <w:t>года.</w:t>
      </w:r>
    </w:p>
    <w:p w14:paraId="042F9559" w14:textId="77777777" w:rsidR="006C0075" w:rsidRPr="00CE1DD7" w:rsidRDefault="006C0075" w:rsidP="006C00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490A7" w14:textId="77777777" w:rsidR="00E12C5F" w:rsidRPr="008D53B6" w:rsidRDefault="00E12C5F" w:rsidP="00D9145B"/>
    <w:sectPr w:rsidR="00E12C5F" w:rsidRPr="008D53B6" w:rsidSect="006C00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60AA" w14:textId="77777777" w:rsidR="001D2C43" w:rsidRPr="00A312BC" w:rsidRDefault="001D2C43" w:rsidP="00A312BC"/>
  </w:endnote>
  <w:endnote w:type="continuationSeparator" w:id="0">
    <w:p w14:paraId="2AFAFFCA" w14:textId="77777777" w:rsidR="001D2C43" w:rsidRPr="00A312BC" w:rsidRDefault="001D2C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959" w14:textId="4EBB5BAE" w:rsidR="006C0075" w:rsidRPr="006C0075" w:rsidRDefault="006C0075">
    <w:pPr>
      <w:pStyle w:val="a8"/>
    </w:pPr>
    <w:r w:rsidRPr="006C0075">
      <w:rPr>
        <w:b/>
        <w:sz w:val="18"/>
      </w:rPr>
      <w:fldChar w:fldCharType="begin"/>
    </w:r>
    <w:r w:rsidRPr="006C0075">
      <w:rPr>
        <w:b/>
        <w:sz w:val="18"/>
      </w:rPr>
      <w:instrText xml:space="preserve"> PAGE  \* MERGEFORMAT </w:instrText>
    </w:r>
    <w:r w:rsidRPr="006C0075">
      <w:rPr>
        <w:b/>
        <w:sz w:val="18"/>
      </w:rPr>
      <w:fldChar w:fldCharType="separate"/>
    </w:r>
    <w:r w:rsidRPr="006C0075">
      <w:rPr>
        <w:b/>
        <w:noProof/>
        <w:sz w:val="18"/>
      </w:rPr>
      <w:t>2</w:t>
    </w:r>
    <w:r w:rsidRPr="006C0075">
      <w:rPr>
        <w:b/>
        <w:sz w:val="18"/>
      </w:rPr>
      <w:fldChar w:fldCharType="end"/>
    </w:r>
    <w:r>
      <w:rPr>
        <w:b/>
        <w:sz w:val="18"/>
      </w:rPr>
      <w:tab/>
    </w:r>
    <w:r>
      <w:t>GE.23-21332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BAAD" w14:textId="423028F6" w:rsidR="006C0075" w:rsidRPr="006C0075" w:rsidRDefault="006C0075" w:rsidP="006C0075">
    <w:pPr>
      <w:pStyle w:val="a8"/>
      <w:tabs>
        <w:tab w:val="clear" w:pos="9639"/>
        <w:tab w:val="right" w:pos="9638"/>
      </w:tabs>
      <w:rPr>
        <w:b/>
        <w:sz w:val="18"/>
      </w:rPr>
    </w:pPr>
    <w:r>
      <w:t>GE.23-21332</w:t>
    </w:r>
    <w:r>
      <w:tab/>
    </w:r>
    <w:r w:rsidRPr="006C0075">
      <w:rPr>
        <w:b/>
        <w:sz w:val="18"/>
      </w:rPr>
      <w:fldChar w:fldCharType="begin"/>
    </w:r>
    <w:r w:rsidRPr="006C0075">
      <w:rPr>
        <w:b/>
        <w:sz w:val="18"/>
      </w:rPr>
      <w:instrText xml:space="preserve"> PAGE  \* MERGEFORMAT </w:instrText>
    </w:r>
    <w:r w:rsidRPr="006C0075">
      <w:rPr>
        <w:b/>
        <w:sz w:val="18"/>
      </w:rPr>
      <w:fldChar w:fldCharType="separate"/>
    </w:r>
    <w:r w:rsidRPr="006C0075">
      <w:rPr>
        <w:b/>
        <w:noProof/>
        <w:sz w:val="18"/>
      </w:rPr>
      <w:t>3</w:t>
    </w:r>
    <w:r w:rsidRPr="006C00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6FBA" w14:textId="5606B5E7" w:rsidR="00042B72" w:rsidRPr="006C0075" w:rsidRDefault="006C0075" w:rsidP="006C00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C2BDB1" wp14:editId="4C8C30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23-21332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9ACF84" wp14:editId="71828C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031123  061123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9D0B" w14:textId="77777777" w:rsidR="001D2C43" w:rsidRPr="001075E9" w:rsidRDefault="001D2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AF9A28" w14:textId="77777777" w:rsidR="001D2C43" w:rsidRDefault="001D2C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812783" w14:textId="77777777" w:rsidR="006C0075" w:rsidRPr="00457483" w:rsidRDefault="006C0075" w:rsidP="006C0075">
      <w:pPr>
        <w:pStyle w:val="ad"/>
        <w:rPr>
          <w:sz w:val="16"/>
          <w:szCs w:val="16"/>
        </w:rPr>
      </w:pPr>
      <w:r>
        <w:tab/>
      </w:r>
      <w:r w:rsidRPr="006C0075"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CCNR-ZKR/ADN/WP.15/AC.2/2024/4.</w:t>
      </w:r>
    </w:p>
  </w:footnote>
  <w:footnote w:id="2">
    <w:p w14:paraId="65D59E8F" w14:textId="77777777" w:rsidR="006C0075" w:rsidRPr="00457483" w:rsidRDefault="006C0075" w:rsidP="006C0075">
      <w:pPr>
        <w:pStyle w:val="ad"/>
        <w:rPr>
          <w:sz w:val="16"/>
          <w:szCs w:val="16"/>
        </w:rPr>
      </w:pPr>
      <w:r>
        <w:tab/>
      </w:r>
      <w:r w:rsidRPr="006C0075">
        <w:t>**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5E2" w14:textId="30DEBD64" w:rsidR="006C0075" w:rsidRPr="006C0075" w:rsidRDefault="00325CD0">
    <w:pPr>
      <w:pStyle w:val="a5"/>
    </w:pPr>
    <w:fldSimple w:instr=" TITLE  \* MERGEFORMAT ">
      <w:r w:rsidR="009361F2">
        <w:t>ECE/TRANS/WP.15/AC.2/2024/4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F73" w14:textId="6534F645" w:rsidR="006C0075" w:rsidRPr="006C0075" w:rsidRDefault="00325CD0" w:rsidP="006C0075">
    <w:pPr>
      <w:pStyle w:val="a5"/>
      <w:jc w:val="right"/>
    </w:pPr>
    <w:fldSimple w:instr=" TITLE  \* MERGEFORMAT ">
      <w:r w:rsidR="009361F2">
        <w:t>ECE/TRANS/WP.15/AC.2/2024/4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C43"/>
    <w:rsid w:val="001D4AB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CD0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247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007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95B"/>
    <w:rsid w:val="00906890"/>
    <w:rsid w:val="00911BE4"/>
    <w:rsid w:val="009361F2"/>
    <w:rsid w:val="00951972"/>
    <w:rsid w:val="009608F3"/>
    <w:rsid w:val="009A24AC"/>
    <w:rsid w:val="009C59D7"/>
    <w:rsid w:val="009C60B6"/>
    <w:rsid w:val="009C6FE6"/>
    <w:rsid w:val="009D7E7D"/>
    <w:rsid w:val="00A14DA8"/>
    <w:rsid w:val="00A312BC"/>
    <w:rsid w:val="00A84021"/>
    <w:rsid w:val="00A84D35"/>
    <w:rsid w:val="00A917B3"/>
    <w:rsid w:val="00AB4B51"/>
    <w:rsid w:val="00B1005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327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AD3F8"/>
  <w15:docId w15:val="{D2002377-BD35-40CA-B838-89E397F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C0075"/>
    <w:rPr>
      <w:lang w:val="ru-RU" w:eastAsia="en-US"/>
    </w:rPr>
  </w:style>
  <w:style w:type="character" w:customStyle="1" w:styleId="HChGChar">
    <w:name w:val="_ H _Ch_G Char"/>
    <w:link w:val="HChG"/>
    <w:rsid w:val="006C007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35C32-8005-4E6B-A5BE-789965ADCA9B}"/>
</file>

<file path=customXml/itemProps2.xml><?xml version="1.0" encoding="utf-8"?>
<ds:datastoreItem xmlns:ds="http://schemas.openxmlformats.org/officeDocument/2006/customXml" ds:itemID="{BACEE9E8-137B-4D83-8D7A-EA5C910DB1D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614</Words>
  <Characters>4105</Characters>
  <Application>Microsoft Office Word</Application>
  <DocSecurity>0</DocSecurity>
  <Lines>108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ECE/TRANS/WP.15/AC.2/2024/4</vt:lpstr>
      <vt:lpstr>A/</vt:lpstr>
      <vt:lpstr>A/</vt:lpstr>
    </vt:vector>
  </TitlesOfParts>
  <Company>DCM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ECE/TRANS/WP.15/AC.2/2024/4</dc:title>
  <dc:subject/>
  <dc:creator>Tatiana CHVETS</dc:creator>
  <cp:keywords/>
  <cp:lastModifiedBy>Tatiana Chvets</cp:lastModifiedBy>
  <cp:revision>3</cp:revision>
  <cp:lastPrinted>2023-11-06T09:17:00Z</cp:lastPrinted>
  <dcterms:created xsi:type="dcterms:W3CDTF">2023-11-06T09:17:00Z</dcterms:created>
  <dcterms:modified xsi:type="dcterms:W3CDTF">2023-11-06T09:17:00Z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