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433FD" w:rsidRPr="00DB58B5" w14:paraId="6F1F3397" w14:textId="77777777" w:rsidTr="005316B0">
        <w:trPr>
          <w:trHeight w:hRule="exact" w:val="851"/>
        </w:trPr>
        <w:tc>
          <w:tcPr>
            <w:tcW w:w="1276" w:type="dxa"/>
            <w:tcBorders>
              <w:bottom w:val="single" w:sz="4" w:space="0" w:color="auto"/>
            </w:tcBorders>
          </w:tcPr>
          <w:p w14:paraId="2CCCF92D" w14:textId="77777777" w:rsidR="001433FD" w:rsidRPr="00DB58B5" w:rsidRDefault="001433FD" w:rsidP="0001207F"/>
        </w:tc>
        <w:tc>
          <w:tcPr>
            <w:tcW w:w="2268" w:type="dxa"/>
            <w:tcBorders>
              <w:bottom w:val="single" w:sz="4" w:space="0" w:color="auto"/>
            </w:tcBorders>
            <w:vAlign w:val="bottom"/>
          </w:tcPr>
          <w:p w14:paraId="4E7FEDA4" w14:textId="77777777" w:rsidR="001433FD" w:rsidRPr="00DB58B5" w:rsidRDefault="001433FD" w:rsidP="007D3236">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1CCC928F" w14:textId="1A47A554" w:rsidR="001433FD" w:rsidRPr="00E76E6A" w:rsidRDefault="00E76E6A" w:rsidP="00E76E6A">
            <w:pPr>
              <w:jc w:val="right"/>
            </w:pPr>
            <w:r w:rsidRPr="00E76E6A">
              <w:rPr>
                <w:sz w:val="40"/>
              </w:rPr>
              <w:t>ECE</w:t>
            </w:r>
            <w:r>
              <w:t>/TRANS/WP.15/AC.2/2024/4</w:t>
            </w:r>
          </w:p>
        </w:tc>
      </w:tr>
      <w:tr w:rsidR="001433FD" w:rsidRPr="00DB58B5" w14:paraId="7F785241" w14:textId="77777777" w:rsidTr="007D3236">
        <w:trPr>
          <w:trHeight w:hRule="exact" w:val="2835"/>
        </w:trPr>
        <w:tc>
          <w:tcPr>
            <w:tcW w:w="1276" w:type="dxa"/>
            <w:tcBorders>
              <w:top w:val="single" w:sz="4" w:space="0" w:color="auto"/>
              <w:bottom w:val="single" w:sz="12" w:space="0" w:color="auto"/>
            </w:tcBorders>
          </w:tcPr>
          <w:p w14:paraId="1B0B182D" w14:textId="77777777" w:rsidR="001433FD" w:rsidRPr="00DB58B5" w:rsidRDefault="001433FD" w:rsidP="007D3236">
            <w:pPr>
              <w:spacing w:before="120"/>
              <w:jc w:val="center"/>
            </w:pPr>
            <w:r>
              <w:rPr>
                <w:noProof/>
                <w:lang w:eastAsia="fr-CH"/>
              </w:rPr>
              <w:drawing>
                <wp:inline distT="0" distB="0" distL="0" distR="0" wp14:anchorId="6B0368B9" wp14:editId="7CD563CF">
                  <wp:extent cx="714375" cy="590550"/>
                  <wp:effectExtent l="0" t="0" r="9525" b="0"/>
                  <wp:docPr id="3" name="Picture 3"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3AB349E" w14:textId="77777777" w:rsidR="001433FD" w:rsidRPr="00D144DA" w:rsidRDefault="001433FD" w:rsidP="007D3236">
            <w:pPr>
              <w:spacing w:before="120" w:line="420" w:lineRule="exact"/>
              <w:rPr>
                <w:b/>
                <w:sz w:val="40"/>
                <w:szCs w:val="40"/>
              </w:rPr>
            </w:pPr>
            <w:r w:rsidRPr="00D144DA">
              <w:rPr>
                <w:b/>
                <w:sz w:val="40"/>
                <w:szCs w:val="40"/>
              </w:rPr>
              <w:t>Conseil économique et social</w:t>
            </w:r>
          </w:p>
        </w:tc>
        <w:tc>
          <w:tcPr>
            <w:tcW w:w="2835" w:type="dxa"/>
            <w:tcBorders>
              <w:top w:val="single" w:sz="4" w:space="0" w:color="auto"/>
              <w:bottom w:val="single" w:sz="12" w:space="0" w:color="auto"/>
            </w:tcBorders>
          </w:tcPr>
          <w:p w14:paraId="2A0E42B4" w14:textId="77777777" w:rsidR="0001207F" w:rsidRPr="00D144DA" w:rsidRDefault="00CA7FFB" w:rsidP="00CA7FFB">
            <w:pPr>
              <w:spacing w:before="240" w:line="240" w:lineRule="exact"/>
            </w:pPr>
            <w:r w:rsidRPr="00D144DA">
              <w:t>Distr. générale</w:t>
            </w:r>
          </w:p>
          <w:p w14:paraId="0021BACD" w14:textId="1394664A" w:rsidR="00CA7FFB" w:rsidRPr="00D144DA" w:rsidRDefault="00AF2B1D" w:rsidP="00CA7FFB">
            <w:pPr>
              <w:spacing w:line="240" w:lineRule="exact"/>
            </w:pPr>
            <w:r>
              <w:t>2</w:t>
            </w:r>
            <w:r w:rsidR="00CA7FFB" w:rsidRPr="00D144DA">
              <w:t xml:space="preserve"> </w:t>
            </w:r>
            <w:r>
              <w:t>novem</w:t>
            </w:r>
            <w:r w:rsidR="00CA7FFB" w:rsidRPr="00D144DA">
              <w:t>bre 2023</w:t>
            </w:r>
          </w:p>
          <w:p w14:paraId="290801EC" w14:textId="77777777" w:rsidR="00CA7FFB" w:rsidRPr="00D144DA" w:rsidRDefault="00CA7FFB" w:rsidP="00CA7FFB">
            <w:pPr>
              <w:spacing w:line="240" w:lineRule="exact"/>
            </w:pPr>
          </w:p>
          <w:p w14:paraId="333E7E19" w14:textId="77777777" w:rsidR="00CA7FFB" w:rsidRPr="00D144DA" w:rsidRDefault="00CA7FFB" w:rsidP="00CA7FFB">
            <w:pPr>
              <w:spacing w:line="240" w:lineRule="exact"/>
            </w:pPr>
            <w:r w:rsidRPr="00D144DA">
              <w:t>Original : français</w:t>
            </w:r>
          </w:p>
        </w:tc>
      </w:tr>
    </w:tbl>
    <w:p w14:paraId="35538656" w14:textId="77777777" w:rsidR="00D2472E" w:rsidRDefault="00D2472E" w:rsidP="00FD1581">
      <w:pPr>
        <w:spacing w:before="120"/>
        <w:rPr>
          <w:b/>
          <w:sz w:val="28"/>
          <w:szCs w:val="28"/>
        </w:rPr>
      </w:pPr>
      <w:r w:rsidRPr="00883605">
        <w:rPr>
          <w:b/>
          <w:sz w:val="28"/>
          <w:szCs w:val="28"/>
        </w:rPr>
        <w:t>Commission économique pour l’Europe</w:t>
      </w:r>
    </w:p>
    <w:p w14:paraId="60555A4C" w14:textId="77777777" w:rsidR="00D2472E" w:rsidRDefault="00D2472E" w:rsidP="00FD1581">
      <w:pPr>
        <w:spacing w:before="120"/>
        <w:rPr>
          <w:sz w:val="28"/>
          <w:szCs w:val="28"/>
        </w:rPr>
      </w:pPr>
      <w:r w:rsidRPr="00685843">
        <w:rPr>
          <w:sz w:val="28"/>
          <w:szCs w:val="28"/>
        </w:rPr>
        <w:t>Comité des transports intérieurs</w:t>
      </w:r>
    </w:p>
    <w:p w14:paraId="4575F345" w14:textId="77777777" w:rsidR="00D2472E" w:rsidRPr="009E01B8" w:rsidRDefault="00D2472E" w:rsidP="00FD1581">
      <w:pPr>
        <w:spacing w:before="120"/>
        <w:rPr>
          <w:b/>
          <w:sz w:val="24"/>
          <w:szCs w:val="24"/>
        </w:rPr>
      </w:pPr>
      <w:r w:rsidRPr="009E01B8">
        <w:rPr>
          <w:b/>
          <w:sz w:val="24"/>
          <w:szCs w:val="24"/>
        </w:rPr>
        <w:t>Groupe de travail des transports</w:t>
      </w:r>
      <w:r>
        <w:rPr>
          <w:b/>
          <w:sz w:val="24"/>
          <w:szCs w:val="24"/>
        </w:rPr>
        <w:t xml:space="preserve"> </w:t>
      </w:r>
      <w:r w:rsidRPr="009E01B8">
        <w:rPr>
          <w:b/>
          <w:sz w:val="24"/>
          <w:szCs w:val="24"/>
        </w:rPr>
        <w:t>de marchandises dangereuses</w:t>
      </w:r>
    </w:p>
    <w:p w14:paraId="590279DA" w14:textId="77777777" w:rsidR="00D2472E" w:rsidRPr="004812F5" w:rsidRDefault="00D2472E" w:rsidP="00FD1581">
      <w:pPr>
        <w:spacing w:before="120"/>
        <w:rPr>
          <w:b/>
        </w:rPr>
      </w:pPr>
      <w:r w:rsidRPr="004812F5">
        <w:rPr>
          <w:b/>
          <w:lang w:val="fr-FR"/>
        </w:rPr>
        <w:t>Réunion commune d’experts sur le Règlement annexé</w:t>
      </w:r>
      <w:r>
        <w:rPr>
          <w:b/>
          <w:lang w:val="fr-FR"/>
        </w:rPr>
        <w:t xml:space="preserve"> </w:t>
      </w:r>
      <w:r>
        <w:rPr>
          <w:b/>
          <w:lang w:val="fr-FR"/>
        </w:rPr>
        <w:br/>
      </w:r>
      <w:r w:rsidRPr="004812F5">
        <w:rPr>
          <w:b/>
          <w:lang w:val="fr-FR"/>
        </w:rPr>
        <w:t>à l’Accord européen</w:t>
      </w:r>
      <w:r>
        <w:rPr>
          <w:b/>
          <w:lang w:val="fr-FR"/>
        </w:rPr>
        <w:t xml:space="preserve"> </w:t>
      </w:r>
      <w:r w:rsidRPr="004812F5">
        <w:rPr>
          <w:b/>
          <w:lang w:val="fr-FR"/>
        </w:rPr>
        <w:t>relatif au transport international</w:t>
      </w:r>
      <w:r>
        <w:rPr>
          <w:b/>
          <w:lang w:val="fr-FR"/>
        </w:rPr>
        <w:t xml:space="preserve"> </w:t>
      </w:r>
      <w:r>
        <w:rPr>
          <w:b/>
          <w:lang w:val="fr-FR"/>
        </w:rPr>
        <w:br/>
      </w:r>
      <w:r w:rsidRPr="004812F5">
        <w:rPr>
          <w:b/>
          <w:lang w:val="fr-FR"/>
        </w:rPr>
        <w:t xml:space="preserve">des marchandises </w:t>
      </w:r>
      <w:r w:rsidRPr="004812F5">
        <w:rPr>
          <w:b/>
          <w:bCs/>
          <w:iCs/>
          <w:lang w:val="fr-FR"/>
        </w:rPr>
        <w:t>dangereuses par voies</w:t>
      </w:r>
      <w:r>
        <w:rPr>
          <w:b/>
          <w:bCs/>
          <w:iCs/>
          <w:lang w:val="fr-FR"/>
        </w:rPr>
        <w:t xml:space="preserve"> </w:t>
      </w:r>
      <w:r w:rsidRPr="004812F5">
        <w:rPr>
          <w:b/>
          <w:bCs/>
          <w:iCs/>
          <w:lang w:val="fr-FR"/>
        </w:rPr>
        <w:t>de navigation</w:t>
      </w:r>
      <w:r>
        <w:rPr>
          <w:b/>
          <w:bCs/>
          <w:iCs/>
          <w:lang w:val="fr-FR"/>
        </w:rPr>
        <w:t xml:space="preserve"> </w:t>
      </w:r>
      <w:r>
        <w:rPr>
          <w:b/>
          <w:bCs/>
          <w:iCs/>
          <w:lang w:val="fr-FR"/>
        </w:rPr>
        <w:br/>
      </w:r>
      <w:r w:rsidRPr="004812F5">
        <w:rPr>
          <w:b/>
          <w:bCs/>
          <w:iCs/>
          <w:lang w:val="fr-FR"/>
        </w:rPr>
        <w:t xml:space="preserve">intérieures (ADN) </w:t>
      </w:r>
      <w:r w:rsidRPr="004812F5">
        <w:rPr>
          <w:b/>
          <w:bCs/>
          <w:lang w:val="fr-FR"/>
        </w:rPr>
        <w:t>(Comité de sécurité de l’ADN)</w:t>
      </w:r>
    </w:p>
    <w:p w14:paraId="739B44A3" w14:textId="77777777" w:rsidR="00C04D54" w:rsidRPr="00234E40" w:rsidRDefault="00C04D54" w:rsidP="00C04D54">
      <w:pPr>
        <w:tabs>
          <w:tab w:val="left" w:pos="4030"/>
        </w:tabs>
        <w:spacing w:before="120"/>
        <w:rPr>
          <w:b/>
        </w:rPr>
      </w:pPr>
      <w:r>
        <w:rPr>
          <w:b/>
          <w:lang w:val="fr-FR"/>
        </w:rPr>
        <w:t>Q</w:t>
      </w:r>
      <w:r w:rsidRPr="0082526B">
        <w:rPr>
          <w:b/>
          <w:lang w:val="fr-FR"/>
        </w:rPr>
        <w:t>uarante-</w:t>
      </w:r>
      <w:r>
        <w:rPr>
          <w:b/>
          <w:lang w:val="fr-FR"/>
        </w:rPr>
        <w:t>troisième</w:t>
      </w:r>
      <w:r w:rsidRPr="00B336E0">
        <w:rPr>
          <w:b/>
        </w:rPr>
        <w:t xml:space="preserve"> </w:t>
      </w:r>
      <w:r w:rsidRPr="00D36F25">
        <w:rPr>
          <w:b/>
        </w:rPr>
        <w:t>session</w:t>
      </w:r>
    </w:p>
    <w:p w14:paraId="26A50B2A" w14:textId="77777777" w:rsidR="00C04D54" w:rsidRDefault="00C04D54" w:rsidP="00C04D54">
      <w:pPr>
        <w:rPr>
          <w:bCs/>
          <w:lang w:val="fr-FR"/>
        </w:rPr>
      </w:pPr>
      <w:r>
        <w:t xml:space="preserve">Genève, </w:t>
      </w:r>
      <w:r>
        <w:rPr>
          <w:bCs/>
          <w:lang w:val="fr-FR"/>
        </w:rPr>
        <w:t>22-26 janvier 2024</w:t>
      </w:r>
    </w:p>
    <w:p w14:paraId="24AA1E1B" w14:textId="4188443D" w:rsidR="00C04D54" w:rsidRDefault="00C04D54" w:rsidP="00C04D54">
      <w:r w:rsidRPr="00B93E72">
        <w:t xml:space="preserve">Point </w:t>
      </w:r>
      <w:r>
        <w:t xml:space="preserve">5 </w:t>
      </w:r>
      <w:r w:rsidR="00847058">
        <w:t>b</w:t>
      </w:r>
      <w:r>
        <w:t xml:space="preserve">) </w:t>
      </w:r>
      <w:r w:rsidRPr="00B93E72">
        <w:t>de l’ordre du jour provisoire</w:t>
      </w:r>
    </w:p>
    <w:p w14:paraId="2D51AF1A" w14:textId="77777777" w:rsidR="00C04D54" w:rsidRPr="009A0A47" w:rsidRDefault="00C04D54" w:rsidP="00C04D54">
      <w:pPr>
        <w:rPr>
          <w:b/>
          <w:bCs/>
          <w:lang w:val="fr-FR"/>
        </w:rPr>
      </w:pPr>
      <w:r w:rsidRPr="009A0A47">
        <w:rPr>
          <w:b/>
          <w:bCs/>
        </w:rPr>
        <w:t>Propositions</w:t>
      </w:r>
      <w:r w:rsidRPr="009A0A47">
        <w:rPr>
          <w:b/>
          <w:bCs/>
          <w:lang w:val="fr-FR"/>
        </w:rPr>
        <w:t xml:space="preserve"> d’amendements au Règlement annexé à l’ADN :</w:t>
      </w:r>
    </w:p>
    <w:p w14:paraId="31B74240" w14:textId="77777777" w:rsidR="00C04D54" w:rsidRPr="009A0A47" w:rsidRDefault="00C04D54" w:rsidP="00C04D54">
      <w:pPr>
        <w:rPr>
          <w:b/>
          <w:bCs/>
        </w:rPr>
      </w:pPr>
      <w:r w:rsidRPr="009A0A47">
        <w:rPr>
          <w:b/>
          <w:bCs/>
          <w:lang w:val="fr-FR"/>
        </w:rPr>
        <w:t>autres propositions</w:t>
      </w:r>
    </w:p>
    <w:p w14:paraId="47915C53" w14:textId="78DC593C" w:rsidR="00B671DC" w:rsidRPr="00F83617" w:rsidRDefault="00F83617" w:rsidP="00F83617">
      <w:pPr>
        <w:pStyle w:val="H1G"/>
      </w:pPr>
      <w:r>
        <w:rPr>
          <w:lang w:val="fr-FR"/>
        </w:rPr>
        <w:tab/>
      </w:r>
      <w:r>
        <w:rPr>
          <w:lang w:val="fr-FR"/>
        </w:rPr>
        <w:tab/>
      </w:r>
      <w:r w:rsidR="00B671DC" w:rsidRPr="00F83617">
        <w:t>7.1.</w:t>
      </w:r>
      <w:r w:rsidR="00FB0D93">
        <w:t>3.</w:t>
      </w:r>
      <w:r w:rsidR="00B671DC" w:rsidRPr="00F83617">
        <w:t>31, 7.2.3.31.1 de l'ADN :</w:t>
      </w:r>
      <w:r w:rsidRPr="00F83617">
        <w:t xml:space="preserve"> </w:t>
      </w:r>
      <w:r w:rsidR="00B671DC" w:rsidRPr="00F83617">
        <w:t>Machines, renvoi à l'ES-TRIN</w:t>
      </w:r>
    </w:p>
    <w:p w14:paraId="2E8FBC49" w14:textId="77777777" w:rsidR="00B671DC" w:rsidRPr="002572E7" w:rsidRDefault="00B671DC" w:rsidP="00F83617">
      <w:pPr>
        <w:pStyle w:val="H1G"/>
        <w:rPr>
          <w:rFonts w:eastAsia="Calibri"/>
          <w:lang w:val="fr-FR"/>
        </w:rPr>
      </w:pPr>
      <w:r w:rsidRPr="002572E7">
        <w:rPr>
          <w:rFonts w:eastAsia="Calibri"/>
          <w:lang w:val="fr-FR"/>
        </w:rPr>
        <w:tab/>
      </w:r>
      <w:r w:rsidRPr="002572E7">
        <w:rPr>
          <w:rFonts w:eastAsia="Calibri"/>
          <w:lang w:val="fr-FR"/>
        </w:rPr>
        <w:tab/>
        <w:t>Communication du Gouvernement de l’Allemagne</w:t>
      </w:r>
      <w:r w:rsidRPr="002572E7">
        <w:rPr>
          <w:rFonts w:eastAsia="Calibri"/>
          <w:lang w:val="fr-FR"/>
        </w:rPr>
        <w:footnoteReference w:customMarkFollows="1" w:id="2"/>
        <w:t>*</w:t>
      </w:r>
      <w:r w:rsidRPr="002572E7">
        <w:rPr>
          <w:rFonts w:eastAsia="Calibri"/>
          <w:vertAlign w:val="superscript"/>
          <w:lang w:val="fr-FR"/>
        </w:rPr>
        <w:t xml:space="preserve">, </w:t>
      </w:r>
      <w:r w:rsidRPr="002572E7">
        <w:rPr>
          <w:rFonts w:eastAsia="Calibri"/>
          <w:lang w:val="fr-FR"/>
        </w:rPr>
        <w:footnoteReference w:customMarkFollows="1" w:id="3"/>
        <w:t>**</w:t>
      </w:r>
    </w:p>
    <w:p w14:paraId="5B371815" w14:textId="4C306712" w:rsidR="00B671DC" w:rsidRPr="002572E7" w:rsidRDefault="00B671DC" w:rsidP="00F83617">
      <w:pPr>
        <w:pStyle w:val="HChG"/>
        <w:rPr>
          <w:lang w:val="fr-FR"/>
        </w:rPr>
      </w:pPr>
      <w:r w:rsidRPr="002572E7">
        <w:rPr>
          <w:lang w:val="fr-FR"/>
        </w:rPr>
        <w:tab/>
      </w:r>
      <w:r w:rsidR="00F83617">
        <w:rPr>
          <w:lang w:val="fr-FR"/>
        </w:rPr>
        <w:tab/>
      </w:r>
      <w:r w:rsidR="00F83617">
        <w:rPr>
          <w:lang w:val="fr-FR"/>
        </w:rPr>
        <w:tab/>
      </w:r>
      <w:r w:rsidRPr="002572E7">
        <w:rPr>
          <w:lang w:val="fr-FR"/>
        </w:rPr>
        <w:t>Introduction</w:t>
      </w:r>
    </w:p>
    <w:p w14:paraId="028E8A99" w14:textId="5E79951F" w:rsidR="00B671DC" w:rsidRPr="002572E7" w:rsidRDefault="00B671DC" w:rsidP="00F83617">
      <w:pPr>
        <w:pStyle w:val="SingleTxtG"/>
        <w:rPr>
          <w:lang w:val="fr-FR"/>
        </w:rPr>
      </w:pPr>
      <w:r w:rsidRPr="002572E7">
        <w:rPr>
          <w:lang w:val="fr-FR"/>
        </w:rPr>
        <w:t>1.</w:t>
      </w:r>
      <w:r w:rsidRPr="002572E7">
        <w:rPr>
          <w:lang w:val="fr-FR"/>
        </w:rPr>
        <w:tab/>
        <w:t>Les 7.1.</w:t>
      </w:r>
      <w:r w:rsidR="00FB0D93">
        <w:rPr>
          <w:lang w:val="fr-FR"/>
        </w:rPr>
        <w:t>3.</w:t>
      </w:r>
      <w:r w:rsidRPr="002572E7">
        <w:rPr>
          <w:lang w:val="fr-FR"/>
        </w:rPr>
        <w:t>31.1 et 7.2.3.31.1 disposent qu'il est également possible de faire fonctionner les systèmes de propulsion et systèmes auxiliaires avec un combustible dont le point d’éclair est inférieur ou égal à 55 °C, si ces systèmes de propulsion et systèmes auxiliaires satisfont aux prescriptions du chapitre 30 et de la section 1 de l’annexe 8 du Standard européen établissant les prescriptions techniques des bateaux de navigation intérieure (ES−TRIN), dans sa version modifiée.</w:t>
      </w:r>
    </w:p>
    <w:p w14:paraId="743FED4B" w14:textId="0358C199" w:rsidR="00B671DC" w:rsidRPr="002572E7" w:rsidRDefault="00B671DC" w:rsidP="00F83617">
      <w:pPr>
        <w:pStyle w:val="SingleTxtG"/>
        <w:rPr>
          <w:lang w:val="fr-FR"/>
        </w:rPr>
      </w:pPr>
      <w:r w:rsidRPr="002572E7">
        <w:rPr>
          <w:lang w:val="fr-FR"/>
        </w:rPr>
        <w:t>2.</w:t>
      </w:r>
      <w:r w:rsidRPr="002572E7">
        <w:rPr>
          <w:lang w:val="fr-FR"/>
        </w:rPr>
        <w:tab/>
        <w:t xml:space="preserve">Lorsque ces prescriptions ont été ajoutées au règlement annexé à l'ADN, la section précitée de l'ES-TRIN contenait les prescriptions techniques applicables aux systèmes de propulsion et aux systèmes auxiliaires, ou à leurs moteurs utilisant le </w:t>
      </w:r>
      <w:r w:rsidR="00C902A0">
        <w:rPr>
          <w:rStyle w:val="hgkelc"/>
          <w:lang w:val="fr-FR"/>
        </w:rPr>
        <w:t>gaz naturel liquéfié</w:t>
      </w:r>
      <w:r w:rsidR="00C902A0" w:rsidRPr="002572E7">
        <w:rPr>
          <w:lang w:val="fr-FR"/>
        </w:rPr>
        <w:t xml:space="preserve"> </w:t>
      </w:r>
      <w:r w:rsidR="00C902A0">
        <w:rPr>
          <w:lang w:val="fr-FR"/>
        </w:rPr>
        <w:t>(</w:t>
      </w:r>
      <w:r w:rsidRPr="002572E7">
        <w:rPr>
          <w:lang w:val="fr-FR"/>
        </w:rPr>
        <w:t>GNL</w:t>
      </w:r>
      <w:r w:rsidR="00C902A0">
        <w:rPr>
          <w:lang w:val="fr-FR"/>
        </w:rPr>
        <w:t>)</w:t>
      </w:r>
      <w:r w:rsidRPr="002572E7">
        <w:rPr>
          <w:lang w:val="fr-FR"/>
        </w:rPr>
        <w:t xml:space="preserve"> comme carburant (combustible).</w:t>
      </w:r>
    </w:p>
    <w:p w14:paraId="567AB314" w14:textId="77777777" w:rsidR="00B671DC" w:rsidRPr="002572E7" w:rsidRDefault="00B671DC" w:rsidP="00F83617">
      <w:pPr>
        <w:pStyle w:val="SingleTxtG"/>
        <w:rPr>
          <w:lang w:val="fr-FR"/>
        </w:rPr>
      </w:pPr>
      <w:r w:rsidRPr="002572E7">
        <w:rPr>
          <w:lang w:val="fr-FR"/>
        </w:rPr>
        <w:t>3.</w:t>
      </w:r>
      <w:r w:rsidRPr="002572E7">
        <w:rPr>
          <w:lang w:val="fr-FR"/>
        </w:rPr>
        <w:tab/>
        <w:t xml:space="preserve">L'édition 2023 de l'ES-TRIN </w:t>
      </w:r>
      <w:r>
        <w:rPr>
          <w:lang w:val="fr-FR"/>
        </w:rPr>
        <w:t>entre</w:t>
      </w:r>
      <w:r w:rsidRPr="002572E7">
        <w:rPr>
          <w:lang w:val="fr-FR"/>
        </w:rPr>
        <w:t xml:space="preserve"> en vigueur le 1</w:t>
      </w:r>
      <w:r w:rsidRPr="002572E7">
        <w:rPr>
          <w:vertAlign w:val="superscript"/>
          <w:lang w:val="fr-FR"/>
        </w:rPr>
        <w:t>er</w:t>
      </w:r>
      <w:r w:rsidRPr="002572E7">
        <w:rPr>
          <w:lang w:val="fr-FR"/>
        </w:rPr>
        <w:t xml:space="preserve"> janvier 2024. Dans cette édition, la section 1 de l'annexe 8 ne contient plus que des définitions, mais plus de prescriptions techniques. Ces prescriptions techniques pour les moteurs utilisant du GNL figurent désormais à l'annexe 8, section III, chapitre 2, « Systèmes de propulsion ou auxiliaires comprenant des moteurs à combustion interne utilisant du GNL comme combustible ». En </w:t>
      </w:r>
      <w:r w:rsidRPr="002572E7">
        <w:rPr>
          <w:lang w:val="fr-FR"/>
        </w:rPr>
        <w:lastRenderedPageBreak/>
        <w:t>outre, la section II, chapitre 2, contient des dispositions relatives au « stockage de combustible GNL ».</w:t>
      </w:r>
    </w:p>
    <w:p w14:paraId="556647E2" w14:textId="4643BF88" w:rsidR="00B671DC" w:rsidRPr="002572E7" w:rsidRDefault="00B671DC" w:rsidP="005E1253">
      <w:pPr>
        <w:pStyle w:val="SingleTxtG"/>
        <w:rPr>
          <w:lang w:val="fr-FR"/>
        </w:rPr>
      </w:pPr>
      <w:r w:rsidRPr="002572E7">
        <w:rPr>
          <w:lang w:val="fr-FR"/>
        </w:rPr>
        <w:t>4.</w:t>
      </w:r>
      <w:r w:rsidRPr="002572E7">
        <w:rPr>
          <w:lang w:val="fr-FR"/>
        </w:rPr>
        <w:tab/>
        <w:t>La délégation de l'</w:t>
      </w:r>
      <w:r w:rsidR="005E1253">
        <w:rPr>
          <w:lang w:val="fr-FR"/>
        </w:rPr>
        <w:t>o</w:t>
      </w:r>
      <w:r w:rsidR="005E1253" w:rsidRPr="005E1253">
        <w:rPr>
          <w:lang w:val="fr-FR"/>
        </w:rPr>
        <w:t>rganisation européenne des bateliers (OEB)</w:t>
      </w:r>
      <w:r w:rsidR="005E1253">
        <w:rPr>
          <w:lang w:val="fr-FR"/>
        </w:rPr>
        <w:t xml:space="preserve"> et les</w:t>
      </w:r>
      <w:r w:rsidR="005E1253" w:rsidRPr="005E1253">
        <w:rPr>
          <w:lang w:val="fr-FR"/>
        </w:rPr>
        <w:t xml:space="preserve"> sociétés de classification ADN</w:t>
      </w:r>
      <w:r w:rsidR="005E1253">
        <w:rPr>
          <w:lang w:val="fr-FR"/>
        </w:rPr>
        <w:t xml:space="preserve"> </w:t>
      </w:r>
      <w:r w:rsidR="005E1253" w:rsidRPr="005E1253">
        <w:rPr>
          <w:lang w:val="fr-FR"/>
        </w:rPr>
        <w:t xml:space="preserve">recommandées et Union européenne de la navigation fluviale (UENF) </w:t>
      </w:r>
      <w:r w:rsidRPr="002572E7">
        <w:rPr>
          <w:lang w:val="fr-FR"/>
        </w:rPr>
        <w:t xml:space="preserve">avait déjà soulevé ce problème lors de la </w:t>
      </w:r>
      <w:r w:rsidR="00720EC1">
        <w:rPr>
          <w:lang w:val="fr-FR"/>
        </w:rPr>
        <w:t>q</w:t>
      </w:r>
      <w:r w:rsidR="00720EC1" w:rsidRPr="00720EC1">
        <w:rPr>
          <w:lang w:val="fr-FR"/>
        </w:rPr>
        <w:t>uarante-</w:t>
      </w:r>
      <w:r w:rsidR="00FF36C2">
        <w:rPr>
          <w:lang w:val="fr-FR"/>
        </w:rPr>
        <w:t>prem</w:t>
      </w:r>
      <w:r w:rsidR="00720EC1" w:rsidRPr="00720EC1">
        <w:rPr>
          <w:lang w:val="fr-FR"/>
        </w:rPr>
        <w:t>iè</w:t>
      </w:r>
      <w:r w:rsidR="00FF36C2">
        <w:rPr>
          <w:lang w:val="fr-FR"/>
        </w:rPr>
        <w:t>r</w:t>
      </w:r>
      <w:r w:rsidR="00720EC1" w:rsidRPr="00720EC1">
        <w:rPr>
          <w:lang w:val="fr-FR"/>
        </w:rPr>
        <w:t>e</w:t>
      </w:r>
      <w:r w:rsidR="00CA3987" w:rsidRPr="002572E7">
        <w:rPr>
          <w:lang w:val="fr-FR"/>
        </w:rPr>
        <w:t xml:space="preserve"> </w:t>
      </w:r>
      <w:r w:rsidRPr="002572E7">
        <w:rPr>
          <w:lang w:val="fr-FR"/>
        </w:rPr>
        <w:t>session du Comité de sécurité dans ses documents ECE/TRANS/WP.15/AC.2/2023/9 et INF.23. Les délégations ont pour la plupart préféré la solution consistant à ne renvoyer qu'à l'annexe 8 de l'ES-TRIN, c'est-à-dire à ne pas exercer d'influence propre sur les systèmes de propulsion admissibles à bord de bateaux transportant des marchandises dangereuses. D'autres ont préconisé une solution consistant à supprimer entièrement les 7.1.3.31 et 7.2.3.31.1 de l'ADN, c'est-à-dire à supprimer le renvoi à l'ES-TRIN, sans procéder à leur propre évaluation de la sécurité en ce qui concerne les interactions avec les cargaisons de marchandises dangereuses.</w:t>
      </w:r>
    </w:p>
    <w:p w14:paraId="735405FD" w14:textId="229285EE" w:rsidR="00B671DC" w:rsidRPr="002572E7" w:rsidRDefault="00B671DC" w:rsidP="00F83617">
      <w:pPr>
        <w:pStyle w:val="SingleTxtG"/>
        <w:rPr>
          <w:lang w:val="fr-FR"/>
        </w:rPr>
      </w:pPr>
      <w:r w:rsidRPr="002572E7">
        <w:rPr>
          <w:lang w:val="fr-FR"/>
        </w:rPr>
        <w:t>5.</w:t>
      </w:r>
      <w:r w:rsidRPr="002572E7">
        <w:rPr>
          <w:lang w:val="fr-FR"/>
        </w:rPr>
        <w:tab/>
        <w:t xml:space="preserve">Il a été convenu que l'Allemagne et les Pays-Bas élaboreraient pour la </w:t>
      </w:r>
      <w:r w:rsidRPr="002572E7" w:rsidDel="004512C9">
        <w:rPr>
          <w:lang w:val="fr-FR"/>
        </w:rPr>
        <w:t>42</w:t>
      </w:r>
      <w:r w:rsidRPr="002572E7" w:rsidDel="004512C9">
        <w:rPr>
          <w:vertAlign w:val="superscript"/>
          <w:lang w:val="fr-FR"/>
        </w:rPr>
        <w:t>e</w:t>
      </w:r>
      <w:r w:rsidRPr="002572E7" w:rsidDel="00CE6F1D">
        <w:rPr>
          <w:lang w:val="fr-FR"/>
        </w:rPr>
        <w:t xml:space="preserve"> </w:t>
      </w:r>
      <w:r w:rsidRPr="002572E7">
        <w:rPr>
          <w:lang w:val="fr-FR"/>
        </w:rPr>
        <w:t>session (ou une session ultérieure) une proposition de modification dans ce sens, portant également de manière générale sur l'admissibilité d'autres carburants ou types de propulsion pour les bateaux transportant des marchandises dangereuses. Cette proposition commune n'a pas pu être élaborée pour diverses raisons.</w:t>
      </w:r>
    </w:p>
    <w:p w14:paraId="3FA8F47E" w14:textId="4149AC58" w:rsidR="00B671DC" w:rsidRPr="002572E7" w:rsidRDefault="00017072" w:rsidP="00017072">
      <w:pPr>
        <w:pStyle w:val="HChG"/>
        <w:rPr>
          <w:lang w:val="fr-FR"/>
        </w:rPr>
      </w:pPr>
      <w:r>
        <w:rPr>
          <w:lang w:val="fr-FR"/>
        </w:rPr>
        <w:tab/>
      </w:r>
      <w:r w:rsidR="00B671DC" w:rsidRPr="002572E7">
        <w:rPr>
          <w:lang w:val="fr-FR"/>
        </w:rPr>
        <w:tab/>
        <w:t>Demande</w:t>
      </w:r>
    </w:p>
    <w:p w14:paraId="703E6FF0" w14:textId="77777777" w:rsidR="00B671DC" w:rsidRPr="002572E7" w:rsidRDefault="00B671DC" w:rsidP="00017072">
      <w:pPr>
        <w:pStyle w:val="SingleTxtG"/>
        <w:rPr>
          <w:lang w:val="fr-FR"/>
        </w:rPr>
      </w:pPr>
      <w:r w:rsidRPr="002572E7">
        <w:rPr>
          <w:lang w:val="fr-FR"/>
        </w:rPr>
        <w:t>6.</w:t>
      </w:r>
      <w:r w:rsidRPr="002572E7">
        <w:rPr>
          <w:lang w:val="fr-FR"/>
        </w:rPr>
        <w:tab/>
        <w:t>La présente demande vise uniquement à actualiser le renvoi concernant les moteurs utilisant du GNL comme combustible.</w:t>
      </w:r>
    </w:p>
    <w:p w14:paraId="4601441E" w14:textId="77777777" w:rsidR="00B671DC" w:rsidRPr="002572E7" w:rsidRDefault="00B671DC" w:rsidP="00017072">
      <w:pPr>
        <w:pStyle w:val="SingleTxtG"/>
        <w:rPr>
          <w:lang w:val="fr-FR"/>
        </w:rPr>
      </w:pPr>
      <w:r w:rsidRPr="002572E7">
        <w:rPr>
          <w:lang w:val="fr-FR"/>
        </w:rPr>
        <w:t>7.</w:t>
      </w:r>
      <w:r w:rsidRPr="002572E7">
        <w:rPr>
          <w:lang w:val="fr-FR"/>
        </w:rPr>
        <w:tab/>
        <w:t>La présente proposition ne porte pas sur la question de savoir si les systèmes de propulsion utilisant des piles à combustible à hydrogène, le méthanol ou d'autres combustibles doivent être autorisés ou non à bord de bateaux transportant des marchandises dangereuses.</w:t>
      </w:r>
    </w:p>
    <w:p w14:paraId="27538DD7" w14:textId="77777777" w:rsidR="00B671DC" w:rsidRPr="002572E7" w:rsidRDefault="00B671DC" w:rsidP="00017072">
      <w:pPr>
        <w:pStyle w:val="SingleTxtG"/>
        <w:rPr>
          <w:lang w:val="fr-FR"/>
        </w:rPr>
      </w:pPr>
      <w:r w:rsidRPr="002572E7">
        <w:rPr>
          <w:lang w:val="fr-FR"/>
        </w:rPr>
        <w:t>8.</w:t>
      </w:r>
      <w:r w:rsidRPr="002572E7">
        <w:rPr>
          <w:lang w:val="fr-FR"/>
        </w:rPr>
        <w:tab/>
        <w:t>L'Allemagne invite le Comité de sécurité à examiner et valider les propositions de modifications ci-après.</w:t>
      </w:r>
    </w:p>
    <w:p w14:paraId="6BA3F049" w14:textId="7FB3D26A" w:rsidR="00B671DC" w:rsidRPr="002572E7" w:rsidRDefault="00B671DC" w:rsidP="00017072">
      <w:pPr>
        <w:pStyle w:val="SingleTxtG"/>
        <w:rPr>
          <w:lang w:val="fr-FR"/>
        </w:rPr>
      </w:pPr>
      <w:r w:rsidRPr="002572E7">
        <w:rPr>
          <w:lang w:val="fr-FR"/>
        </w:rPr>
        <w:t>9.</w:t>
      </w:r>
      <w:r w:rsidRPr="002572E7">
        <w:rPr>
          <w:lang w:val="fr-FR"/>
        </w:rPr>
        <w:tab/>
        <w:t xml:space="preserve">Au 7.1.3.31, </w:t>
      </w:r>
      <w:r w:rsidR="00B667F5">
        <w:t xml:space="preserve">deuxième </w:t>
      </w:r>
      <w:r w:rsidRPr="002572E7">
        <w:rPr>
          <w:lang w:val="fr-FR"/>
        </w:rPr>
        <w:t xml:space="preserve">tiret et au 7.2.3.31.1, </w:t>
      </w:r>
      <w:r w:rsidR="00B667F5">
        <w:t xml:space="preserve">deuxième </w:t>
      </w:r>
      <w:r w:rsidRPr="002572E7">
        <w:rPr>
          <w:lang w:val="fr-FR"/>
        </w:rPr>
        <w:t xml:space="preserve">tiret, remplacer le texte « de la section 1 de l’annexe 8 » par « de l'annexe 8, section II, stockage de combustible, chapitre 1 GNL, et section III, chapitre 2 </w:t>
      </w:r>
      <w:r w:rsidR="00D209A1">
        <w:rPr>
          <w:lang w:val="fr-FR"/>
        </w:rPr>
        <w:t>s</w:t>
      </w:r>
      <w:r w:rsidRPr="002572E7">
        <w:rPr>
          <w:lang w:val="fr-FR"/>
        </w:rPr>
        <w:t>ystèmes de propulsion ou auxiliaires comprenant des moteurs à combustion interne utilisant du GNL comme combustible ».</w:t>
      </w:r>
    </w:p>
    <w:p w14:paraId="0182EC89" w14:textId="309C35ED" w:rsidR="00B671DC" w:rsidRPr="002572E7" w:rsidRDefault="00017072" w:rsidP="00017072">
      <w:pPr>
        <w:pStyle w:val="HChG"/>
        <w:rPr>
          <w:lang w:val="fr-FR"/>
        </w:rPr>
      </w:pPr>
      <w:r>
        <w:rPr>
          <w:lang w:val="fr-FR"/>
        </w:rPr>
        <w:tab/>
      </w:r>
      <w:r w:rsidR="00B671DC" w:rsidRPr="002572E7">
        <w:rPr>
          <w:lang w:val="fr-FR"/>
        </w:rPr>
        <w:tab/>
        <w:t>Mesure provisoire</w:t>
      </w:r>
    </w:p>
    <w:p w14:paraId="51033CC8" w14:textId="73CDA407" w:rsidR="00B671DC" w:rsidRPr="00017072" w:rsidRDefault="00B671DC" w:rsidP="00017072">
      <w:pPr>
        <w:pStyle w:val="SingleTxtG"/>
      </w:pPr>
      <w:r w:rsidRPr="00017072">
        <w:t>10.</w:t>
      </w:r>
      <w:r w:rsidRPr="00017072">
        <w:tab/>
        <w:t>Étant donné que cette modification ne pourra prendre effet qu'au 1er janvier 2025, le renvoi à l'ES-TRIN 2023 figurant dans l'ADN 2023 (</w:t>
      </w:r>
      <w:r w:rsidR="009F7F37">
        <w:t>notamment</w:t>
      </w:r>
      <w:r w:rsidRPr="00017072">
        <w:t xml:space="preserve"> « dans sa version modifiée ») n'aboutira qu'aux définitions au cours de l'année 2024. De ce fait, il manquera une disposition exécutoire pour les bateaux nouvellement construits, mais aussi pour le renouvellement de certificats d'agrément.</w:t>
      </w:r>
    </w:p>
    <w:p w14:paraId="0440B76C" w14:textId="77777777" w:rsidR="00EC4558" w:rsidRPr="00017072" w:rsidRDefault="00EC4558" w:rsidP="00017072">
      <w:pPr>
        <w:pStyle w:val="SingleTxtG"/>
      </w:pPr>
      <w:r w:rsidRPr="00017072">
        <w:t>11.</w:t>
      </w:r>
      <w:r w:rsidRPr="00017072">
        <w:tab/>
        <w:t>Sous réserve de l'approbation de la demande ci-avant, l'Allemagne propose par conséquent aux autres Parties contractantes de conclure un accord multilatéral afin de renvoyer dès 2024 aux prescriptions techniques pertinentes de l'ES-TRIN.</w:t>
      </w:r>
    </w:p>
    <w:p w14:paraId="45F88B43" w14:textId="0A7CCEB3" w:rsidR="00C1626B" w:rsidRPr="00CE1DD7" w:rsidRDefault="00CE1DD7" w:rsidP="00CE1DD7">
      <w:pPr>
        <w:spacing w:before="240"/>
        <w:jc w:val="center"/>
        <w:rPr>
          <w:u w:val="single"/>
        </w:rPr>
      </w:pPr>
      <w:r>
        <w:rPr>
          <w:u w:val="single"/>
        </w:rPr>
        <w:tab/>
      </w:r>
      <w:r>
        <w:rPr>
          <w:u w:val="single"/>
        </w:rPr>
        <w:tab/>
      </w:r>
      <w:r>
        <w:rPr>
          <w:u w:val="single"/>
        </w:rPr>
        <w:tab/>
      </w:r>
    </w:p>
    <w:sectPr w:rsidR="00C1626B" w:rsidRPr="00CE1DD7" w:rsidSect="00CA7FFB">
      <w:headerReference w:type="even" r:id="rId11"/>
      <w:headerReference w:type="default" r:id="rId12"/>
      <w:footerReference w:type="even" r:id="rId13"/>
      <w:footerReference w:type="default" r:id="rId14"/>
      <w:footerReference w:type="first" r:id="rId15"/>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98449D" w14:textId="77777777" w:rsidR="00F62D4B" w:rsidRDefault="00F62D4B" w:rsidP="00F95C08">
      <w:pPr>
        <w:spacing w:line="240" w:lineRule="auto"/>
      </w:pPr>
    </w:p>
  </w:endnote>
  <w:endnote w:type="continuationSeparator" w:id="0">
    <w:p w14:paraId="2A942273" w14:textId="77777777" w:rsidR="00F62D4B" w:rsidRPr="00AC3823" w:rsidRDefault="00F62D4B" w:rsidP="00AC3823">
      <w:pPr>
        <w:pStyle w:val="Pieddepage"/>
      </w:pPr>
    </w:p>
  </w:endnote>
  <w:endnote w:type="continuationNotice" w:id="1">
    <w:p w14:paraId="133A4D5C" w14:textId="77777777" w:rsidR="00F62D4B" w:rsidRDefault="00F62D4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6EF12" w14:textId="77777777" w:rsidR="00CA7FFB" w:rsidRPr="00CA7FFB" w:rsidRDefault="00CA7FFB" w:rsidP="00CA7FFB">
    <w:pPr>
      <w:pStyle w:val="Pieddepage"/>
      <w:tabs>
        <w:tab w:val="right" w:pos="9638"/>
      </w:tabs>
      <w:rPr>
        <w:sz w:val="18"/>
      </w:rPr>
    </w:pPr>
    <w:r w:rsidRPr="00CA7FFB">
      <w:rPr>
        <w:b/>
        <w:sz w:val="18"/>
      </w:rPr>
      <w:fldChar w:fldCharType="begin"/>
    </w:r>
    <w:r w:rsidRPr="00CA7FFB">
      <w:rPr>
        <w:b/>
        <w:sz w:val="18"/>
      </w:rPr>
      <w:instrText xml:space="preserve"> PAGE  \* MERGEFORMAT </w:instrText>
    </w:r>
    <w:r w:rsidRPr="00CA7FFB">
      <w:rPr>
        <w:b/>
        <w:sz w:val="18"/>
      </w:rPr>
      <w:fldChar w:fldCharType="separate"/>
    </w:r>
    <w:r w:rsidRPr="00CA7FFB">
      <w:rPr>
        <w:b/>
        <w:noProof/>
        <w:sz w:val="18"/>
      </w:rPr>
      <w:t>2</w:t>
    </w:r>
    <w:r w:rsidRPr="00CA7FFB">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3916D" w14:textId="77777777" w:rsidR="00CA7FFB" w:rsidRPr="00CA7FFB" w:rsidRDefault="00CA7FFB" w:rsidP="00CA7FFB">
    <w:pPr>
      <w:pStyle w:val="Pieddepage"/>
      <w:tabs>
        <w:tab w:val="right" w:pos="9638"/>
      </w:tabs>
      <w:rPr>
        <w:b/>
        <w:sz w:val="18"/>
      </w:rPr>
    </w:pPr>
    <w:r>
      <w:tab/>
    </w:r>
    <w:r w:rsidRPr="00CA7FFB">
      <w:rPr>
        <w:b/>
        <w:sz w:val="18"/>
      </w:rPr>
      <w:fldChar w:fldCharType="begin"/>
    </w:r>
    <w:r w:rsidRPr="00CA7FFB">
      <w:rPr>
        <w:b/>
        <w:sz w:val="18"/>
      </w:rPr>
      <w:instrText xml:space="preserve"> PAGE  \* MERGEFORMAT </w:instrText>
    </w:r>
    <w:r w:rsidRPr="00CA7FFB">
      <w:rPr>
        <w:b/>
        <w:sz w:val="18"/>
      </w:rPr>
      <w:fldChar w:fldCharType="separate"/>
    </w:r>
    <w:r w:rsidRPr="00CA7FFB">
      <w:rPr>
        <w:b/>
        <w:noProof/>
        <w:sz w:val="18"/>
      </w:rPr>
      <w:t>3</w:t>
    </w:r>
    <w:r w:rsidRPr="00CA7FF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BC26C" w14:textId="0DD72438" w:rsidR="000D3EE9" w:rsidRPr="00E76E6A" w:rsidRDefault="00E76E6A" w:rsidP="00E76E6A">
    <w:pPr>
      <w:pStyle w:val="Pieddepage"/>
      <w:tabs>
        <w:tab w:val="left" w:pos="6520"/>
        <w:tab w:val="right" w:pos="9638"/>
      </w:tabs>
      <w:spacing w:before="120"/>
      <w:rPr>
        <w:sz w:val="20"/>
      </w:rPr>
    </w:pPr>
    <w:r>
      <w:rPr>
        <w:sz w:val="20"/>
      </w:rPr>
      <w:t>GE.23-21332  (F)</w:t>
    </w:r>
    <w:bookmarkStart w:id="0" w:name="_GoBack"/>
    <w:bookmarkEnd w:id="0"/>
    <w:r>
      <w:rPr>
        <w:sz w:val="20"/>
      </w:rPr>
      <w:tab/>
    </w:r>
    <w:r w:rsidRPr="00E76E6A">
      <w:rPr>
        <w:noProof/>
        <w:sz w:val="20"/>
        <w:lang w:eastAsia="fr-CH"/>
      </w:rPr>
      <w:drawing>
        <wp:inline distT="0" distB="0" distL="0" distR="0" wp14:anchorId="2898976E" wp14:editId="00F62138">
          <wp:extent cx="1105200" cy="234000"/>
          <wp:effectExtent l="0" t="0" r="0" b="0"/>
          <wp:docPr id="1"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inline>
      </w:drawing>
    </w:r>
    <w:r>
      <w:rPr>
        <w:sz w:val="20"/>
      </w:rPr>
      <w:tab/>
    </w:r>
    <w:r>
      <w:rPr>
        <w:noProof/>
        <w:sz w:val="20"/>
      </w:rPr>
      <w:drawing>
        <wp:inline distT="0" distB="0" distL="0" distR="0" wp14:anchorId="5812390B" wp14:editId="2957576A">
          <wp:extent cx="638810" cy="638810"/>
          <wp:effectExtent l="0" t="0" r="8890" b="889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810" cy="63881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C697F6" w14:textId="77777777" w:rsidR="00F62D4B" w:rsidRPr="00AC3823" w:rsidRDefault="00F62D4B" w:rsidP="00AC3823">
      <w:pPr>
        <w:pStyle w:val="Pieddepage"/>
        <w:tabs>
          <w:tab w:val="right" w:pos="2155"/>
        </w:tabs>
        <w:spacing w:after="80" w:line="240" w:lineRule="atLeast"/>
        <w:ind w:left="680"/>
        <w:rPr>
          <w:u w:val="single"/>
        </w:rPr>
      </w:pPr>
      <w:r>
        <w:rPr>
          <w:u w:val="single"/>
        </w:rPr>
        <w:tab/>
      </w:r>
    </w:p>
  </w:footnote>
  <w:footnote w:type="continuationSeparator" w:id="0">
    <w:p w14:paraId="207C2401" w14:textId="77777777" w:rsidR="00F62D4B" w:rsidRPr="00AC3823" w:rsidRDefault="00F62D4B" w:rsidP="00AC3823">
      <w:pPr>
        <w:pStyle w:val="Pieddepage"/>
        <w:tabs>
          <w:tab w:val="right" w:pos="2155"/>
        </w:tabs>
        <w:spacing w:after="80" w:line="240" w:lineRule="atLeast"/>
        <w:ind w:left="680"/>
        <w:rPr>
          <w:u w:val="single"/>
        </w:rPr>
      </w:pPr>
      <w:r>
        <w:rPr>
          <w:u w:val="single"/>
        </w:rPr>
        <w:tab/>
      </w:r>
    </w:p>
  </w:footnote>
  <w:footnote w:type="continuationNotice" w:id="1">
    <w:p w14:paraId="5E6A1CA0" w14:textId="77777777" w:rsidR="00F62D4B" w:rsidRPr="00AC3823" w:rsidRDefault="00F62D4B">
      <w:pPr>
        <w:spacing w:line="240" w:lineRule="auto"/>
        <w:rPr>
          <w:sz w:val="2"/>
          <w:szCs w:val="2"/>
        </w:rPr>
      </w:pPr>
    </w:p>
  </w:footnote>
  <w:footnote w:id="2">
    <w:p w14:paraId="043FB730" w14:textId="2061A807" w:rsidR="00B671DC" w:rsidRPr="00457483" w:rsidRDefault="00B671DC" w:rsidP="00B671DC">
      <w:pPr>
        <w:pStyle w:val="Notedebasdepage"/>
        <w:rPr>
          <w:sz w:val="16"/>
          <w:szCs w:val="16"/>
          <w:lang w:val="fr-FR"/>
        </w:rPr>
      </w:pPr>
      <w:r w:rsidRPr="00457483">
        <w:rPr>
          <w:rStyle w:val="Appelnotedebasdep"/>
          <w:lang w:val="fr-FR"/>
        </w:rPr>
        <w:tab/>
        <w:t>*</w:t>
      </w:r>
      <w:r w:rsidRPr="00457483">
        <w:rPr>
          <w:rStyle w:val="Appelnotedebasdep"/>
          <w:lang w:val="fr-FR"/>
        </w:rPr>
        <w:tab/>
      </w:r>
      <w:r w:rsidRPr="00457483">
        <w:rPr>
          <w:sz w:val="16"/>
          <w:szCs w:val="16"/>
          <w:lang w:val="fr-FR"/>
        </w:rPr>
        <w:t>Diffusée en langue allemande par la Commission centrale pour la navigation du Rhin sous la cote CCNR-ZKR/ADN/WP.15/AC.2/202</w:t>
      </w:r>
      <w:r w:rsidR="0023424E">
        <w:rPr>
          <w:sz w:val="16"/>
          <w:szCs w:val="16"/>
          <w:lang w:val="fr-FR"/>
        </w:rPr>
        <w:t>4</w:t>
      </w:r>
      <w:r w:rsidRPr="00457483">
        <w:rPr>
          <w:sz w:val="16"/>
          <w:szCs w:val="16"/>
          <w:lang w:val="fr-FR"/>
        </w:rPr>
        <w:t>/</w:t>
      </w:r>
      <w:r w:rsidR="00A14E7C">
        <w:rPr>
          <w:sz w:val="16"/>
          <w:szCs w:val="16"/>
          <w:lang w:val="fr-FR"/>
        </w:rPr>
        <w:t>4</w:t>
      </w:r>
    </w:p>
  </w:footnote>
  <w:footnote w:id="3">
    <w:p w14:paraId="1B63653C" w14:textId="5368D565" w:rsidR="00B671DC" w:rsidRPr="00457483" w:rsidRDefault="00B671DC" w:rsidP="00B671DC">
      <w:pPr>
        <w:pStyle w:val="Notedebasdepage"/>
        <w:rPr>
          <w:sz w:val="16"/>
          <w:szCs w:val="16"/>
        </w:rPr>
      </w:pPr>
      <w:r w:rsidRPr="00457483">
        <w:rPr>
          <w:rStyle w:val="Appelnotedebasdep"/>
          <w:lang w:val="fr-FR"/>
        </w:rPr>
        <w:tab/>
      </w:r>
      <w:r w:rsidRPr="000D2A03">
        <w:rPr>
          <w:rStyle w:val="Appelnotedebasdep"/>
        </w:rPr>
        <w:t>**</w:t>
      </w:r>
      <w:r w:rsidRPr="000D2A03">
        <w:rPr>
          <w:rStyle w:val="Appelnotedebasdep"/>
        </w:rPr>
        <w:tab/>
      </w:r>
      <w:r w:rsidR="00F3467F" w:rsidRPr="000D2A03">
        <w:rPr>
          <w:sz w:val="16"/>
          <w:szCs w:val="16"/>
        </w:rPr>
        <w:t>A/78/6 (Sect. 20), tabl</w:t>
      </w:r>
      <w:r w:rsidR="002D26A8" w:rsidRPr="000D2A03">
        <w:rPr>
          <w:sz w:val="16"/>
          <w:szCs w:val="16"/>
        </w:rPr>
        <w:t xml:space="preserve">eau </w:t>
      </w:r>
      <w:r w:rsidR="00F3467F" w:rsidRPr="000D2A03">
        <w:rPr>
          <w:sz w:val="16"/>
          <w:szCs w:val="16"/>
        </w:rPr>
        <w:t>20.5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549E6" w14:textId="77777777" w:rsidR="00CA7FFB" w:rsidRPr="00CA7FFB" w:rsidRDefault="00CE2FCA">
    <w:pPr>
      <w:pStyle w:val="En-tte"/>
    </w:pPr>
    <w:r>
      <w:fldChar w:fldCharType="begin"/>
    </w:r>
    <w:r>
      <w:instrText xml:space="preserve"> TITLE  \* MERGEFORMAT </w:instrText>
    </w:r>
    <w:r>
      <w:fldChar w:fldCharType="separate"/>
    </w:r>
    <w:r w:rsidR="00CA7FFB">
      <w:t>ECE/TRANS/WP.15/AC.2/2024/4</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849A4" w14:textId="77777777" w:rsidR="00CA7FFB" w:rsidRPr="00CA7FFB" w:rsidRDefault="00CE2FCA" w:rsidP="00CA7FFB">
    <w:pPr>
      <w:pStyle w:val="En-tte"/>
      <w:jc w:val="right"/>
    </w:pPr>
    <w:r>
      <w:fldChar w:fldCharType="begin"/>
    </w:r>
    <w:r>
      <w:instrText xml:space="preserve"> TITLE  \* MERGEFORMAT </w:instrText>
    </w:r>
    <w:r>
      <w:fldChar w:fldCharType="separate"/>
    </w:r>
    <w:r w:rsidR="00CA7FFB">
      <w:t>ECE/TRANS/WP.15/AC.2/2024/4</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16cid:durableId="1727071631">
    <w:abstractNumId w:val="12"/>
  </w:num>
  <w:num w:numId="2" w16cid:durableId="1246260390">
    <w:abstractNumId w:val="11"/>
  </w:num>
  <w:num w:numId="3" w16cid:durableId="1801025533">
    <w:abstractNumId w:val="10"/>
  </w:num>
  <w:num w:numId="4" w16cid:durableId="867524192">
    <w:abstractNumId w:val="8"/>
  </w:num>
  <w:num w:numId="5" w16cid:durableId="1507554841">
    <w:abstractNumId w:val="3"/>
  </w:num>
  <w:num w:numId="6" w16cid:durableId="1546329480">
    <w:abstractNumId w:val="2"/>
  </w:num>
  <w:num w:numId="7" w16cid:durableId="1061907231">
    <w:abstractNumId w:val="1"/>
  </w:num>
  <w:num w:numId="8" w16cid:durableId="1136993671">
    <w:abstractNumId w:val="0"/>
  </w:num>
  <w:num w:numId="9" w16cid:durableId="1472165012">
    <w:abstractNumId w:val="9"/>
  </w:num>
  <w:num w:numId="10" w16cid:durableId="2117019982">
    <w:abstractNumId w:val="7"/>
  </w:num>
  <w:num w:numId="11" w16cid:durableId="1913276299">
    <w:abstractNumId w:val="6"/>
  </w:num>
  <w:num w:numId="12" w16cid:durableId="511648347">
    <w:abstractNumId w:val="5"/>
  </w:num>
  <w:num w:numId="13" w16cid:durableId="85198798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5F2324AE-7E1B-46E0-BE39-6171A5137F5D}"/>
    <w:docVar w:name="dgnword-eventsink" w:val="646185176"/>
  </w:docVars>
  <w:rsids>
    <w:rsidRoot w:val="00CA7FFB"/>
    <w:rsid w:val="0001207F"/>
    <w:rsid w:val="00017072"/>
    <w:rsid w:val="00017F94"/>
    <w:rsid w:val="000210D0"/>
    <w:rsid w:val="00023842"/>
    <w:rsid w:val="000334F9"/>
    <w:rsid w:val="0004639C"/>
    <w:rsid w:val="0007796D"/>
    <w:rsid w:val="000942EE"/>
    <w:rsid w:val="000A52BF"/>
    <w:rsid w:val="000B7790"/>
    <w:rsid w:val="000D2A03"/>
    <w:rsid w:val="000D3EE9"/>
    <w:rsid w:val="000D62F3"/>
    <w:rsid w:val="00111F2F"/>
    <w:rsid w:val="00121A25"/>
    <w:rsid w:val="001433FD"/>
    <w:rsid w:val="0014365E"/>
    <w:rsid w:val="001541D3"/>
    <w:rsid w:val="00156B77"/>
    <w:rsid w:val="00176178"/>
    <w:rsid w:val="00177140"/>
    <w:rsid w:val="00190562"/>
    <w:rsid w:val="001D400F"/>
    <w:rsid w:val="001F525A"/>
    <w:rsid w:val="00223272"/>
    <w:rsid w:val="0023424E"/>
    <w:rsid w:val="00240333"/>
    <w:rsid w:val="0024779E"/>
    <w:rsid w:val="002832AC"/>
    <w:rsid w:val="002D26A8"/>
    <w:rsid w:val="002D7C93"/>
    <w:rsid w:val="002E2254"/>
    <w:rsid w:val="0037241C"/>
    <w:rsid w:val="003819FF"/>
    <w:rsid w:val="00441C3B"/>
    <w:rsid w:val="00442C09"/>
    <w:rsid w:val="00446B0A"/>
    <w:rsid w:val="00446FE5"/>
    <w:rsid w:val="004512C9"/>
    <w:rsid w:val="00452396"/>
    <w:rsid w:val="00471288"/>
    <w:rsid w:val="00493AE2"/>
    <w:rsid w:val="0049687C"/>
    <w:rsid w:val="004A6C1F"/>
    <w:rsid w:val="004B429F"/>
    <w:rsid w:val="004E468C"/>
    <w:rsid w:val="00502A40"/>
    <w:rsid w:val="005316B0"/>
    <w:rsid w:val="005505B7"/>
    <w:rsid w:val="00552A0A"/>
    <w:rsid w:val="00573BE5"/>
    <w:rsid w:val="00581B57"/>
    <w:rsid w:val="00586ED3"/>
    <w:rsid w:val="00596AA9"/>
    <w:rsid w:val="005B4D0F"/>
    <w:rsid w:val="005E1253"/>
    <w:rsid w:val="00703D0F"/>
    <w:rsid w:val="00706363"/>
    <w:rsid w:val="007158BB"/>
    <w:rsid w:val="0071601D"/>
    <w:rsid w:val="00720EC1"/>
    <w:rsid w:val="00740C8B"/>
    <w:rsid w:val="0075410D"/>
    <w:rsid w:val="007A62E6"/>
    <w:rsid w:val="0080684C"/>
    <w:rsid w:val="00810F0E"/>
    <w:rsid w:val="008204DA"/>
    <w:rsid w:val="00847058"/>
    <w:rsid w:val="008535AD"/>
    <w:rsid w:val="00871C75"/>
    <w:rsid w:val="008767E8"/>
    <w:rsid w:val="008776DC"/>
    <w:rsid w:val="00883605"/>
    <w:rsid w:val="008D1840"/>
    <w:rsid w:val="008E6043"/>
    <w:rsid w:val="00961E7B"/>
    <w:rsid w:val="009705C8"/>
    <w:rsid w:val="009C1CF4"/>
    <w:rsid w:val="009F02C9"/>
    <w:rsid w:val="009F7F37"/>
    <w:rsid w:val="00A14E7C"/>
    <w:rsid w:val="00A30353"/>
    <w:rsid w:val="00A44802"/>
    <w:rsid w:val="00A62D91"/>
    <w:rsid w:val="00A90D54"/>
    <w:rsid w:val="00AA113A"/>
    <w:rsid w:val="00AC3823"/>
    <w:rsid w:val="00AE323C"/>
    <w:rsid w:val="00AF2B1D"/>
    <w:rsid w:val="00AF774C"/>
    <w:rsid w:val="00B00181"/>
    <w:rsid w:val="00B00B0D"/>
    <w:rsid w:val="00B247C1"/>
    <w:rsid w:val="00B40927"/>
    <w:rsid w:val="00B50E25"/>
    <w:rsid w:val="00B5103C"/>
    <w:rsid w:val="00B52488"/>
    <w:rsid w:val="00B64918"/>
    <w:rsid w:val="00B667F5"/>
    <w:rsid w:val="00B671DC"/>
    <w:rsid w:val="00B765F7"/>
    <w:rsid w:val="00BA0CA9"/>
    <w:rsid w:val="00C02897"/>
    <w:rsid w:val="00C04D54"/>
    <w:rsid w:val="00C1626B"/>
    <w:rsid w:val="00C66A47"/>
    <w:rsid w:val="00C7616F"/>
    <w:rsid w:val="00C902A0"/>
    <w:rsid w:val="00CA12B3"/>
    <w:rsid w:val="00CA3987"/>
    <w:rsid w:val="00CA7FFB"/>
    <w:rsid w:val="00CB16B5"/>
    <w:rsid w:val="00CE0608"/>
    <w:rsid w:val="00CE1DD7"/>
    <w:rsid w:val="00CE6F1D"/>
    <w:rsid w:val="00D144DA"/>
    <w:rsid w:val="00D209A1"/>
    <w:rsid w:val="00D22DDC"/>
    <w:rsid w:val="00D2472E"/>
    <w:rsid w:val="00D3439C"/>
    <w:rsid w:val="00D44CF3"/>
    <w:rsid w:val="00D46C8C"/>
    <w:rsid w:val="00D9177C"/>
    <w:rsid w:val="00DB1831"/>
    <w:rsid w:val="00DD3BFD"/>
    <w:rsid w:val="00DE239D"/>
    <w:rsid w:val="00DF431C"/>
    <w:rsid w:val="00DF6678"/>
    <w:rsid w:val="00E368F7"/>
    <w:rsid w:val="00E428C8"/>
    <w:rsid w:val="00E76E6A"/>
    <w:rsid w:val="00E838B4"/>
    <w:rsid w:val="00EB0C60"/>
    <w:rsid w:val="00EC031B"/>
    <w:rsid w:val="00EC4558"/>
    <w:rsid w:val="00EF2E22"/>
    <w:rsid w:val="00F0592C"/>
    <w:rsid w:val="00F06ED4"/>
    <w:rsid w:val="00F3467F"/>
    <w:rsid w:val="00F43289"/>
    <w:rsid w:val="00F62D4B"/>
    <w:rsid w:val="00F660DF"/>
    <w:rsid w:val="00F83617"/>
    <w:rsid w:val="00F95C08"/>
    <w:rsid w:val="00FB0D93"/>
    <w:rsid w:val="00FD1581"/>
    <w:rsid w:val="00FF36C2"/>
    <w:rsid w:val="00FF7812"/>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465A8B"/>
  <w15:docId w15:val="{32799D37-BFDC-40DB-8701-E4DB742AE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zh-CN" w:bidi="ar-SA"/>
      </w:rPr>
    </w:rPrDefault>
    <w:pPrDefault>
      <w:pPr>
        <w:spacing w:line="240" w:lineRule="atLeast"/>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68F7"/>
  </w:style>
  <w:style w:type="paragraph" w:styleId="Titre1">
    <w:name w:val="heading 1"/>
    <w:aliases w:val="Table_G"/>
    <w:basedOn w:val="SingleTxtG"/>
    <w:next w:val="SingleTxtG"/>
    <w:link w:val="Titre1Car"/>
    <w:qFormat/>
    <w:rsid w:val="0080684C"/>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qFormat/>
    <w:rsid w:val="0080684C"/>
    <w:pPr>
      <w:spacing w:line="240" w:lineRule="auto"/>
    </w:pPr>
    <w:rPr>
      <w:sz w:val="16"/>
    </w:rPr>
  </w:style>
  <w:style w:type="character" w:customStyle="1" w:styleId="PieddepageCar">
    <w:name w:val="Pied de page Car"/>
    <w:aliases w:val="3_G Car"/>
    <w:basedOn w:val="Policepardfaut"/>
    <w:link w:val="Pieddepage"/>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80684C"/>
    <w:pPr>
      <w:tabs>
        <w:tab w:val="left" w:pos="1701"/>
        <w:tab w:val="left" w:pos="2268"/>
        <w:tab w:val="left" w:pos="2835"/>
      </w:tabs>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left" w:pos="1701"/>
        <w:tab w:val="left" w:pos="2268"/>
        <w:tab w:val="left" w:pos="2835"/>
      </w:tabs>
      <w:spacing w:after="120"/>
      <w:ind w:right="1134"/>
      <w:jc w:val="both"/>
    </w:pPr>
  </w:style>
  <w:style w:type="character" w:styleId="Appelnotedebasdep">
    <w:name w:val="footnote reference"/>
    <w:aliases w:val="4_G,Footnote Reference/"/>
    <w:basedOn w:val="Policepardfaut"/>
    <w:qFormat/>
    <w:rsid w:val="00023842"/>
    <w:rPr>
      <w:rFonts w:ascii="Times New Roman" w:hAnsi="Times New Roman"/>
      <w:sz w:val="18"/>
      <w:vertAlign w:val="superscript"/>
      <w:lang w:val="fr-CH"/>
    </w:rPr>
  </w:style>
  <w:style w:type="character" w:styleId="Appeldenotedefin">
    <w:name w:val="endnote reference"/>
    <w:aliases w:val="1_G"/>
    <w:basedOn w:val="Appelnotedebasdep"/>
    <w:qFormat/>
    <w:rsid w:val="00023842"/>
    <w:rPr>
      <w:rFonts w:ascii="Times New Roman" w:hAnsi="Times New Roman"/>
      <w:sz w:val="18"/>
      <w:vertAlign w:val="superscript"/>
      <w:lang w:val="fr-CH"/>
    </w:rPr>
  </w:style>
  <w:style w:type="table" w:styleId="Grilledutableau">
    <w:name w:val="Table Grid"/>
    <w:basedOn w:val="TableauNormal"/>
    <w:rsid w:val="00023842"/>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706363"/>
    <w:rPr>
      <w:color w:val="0000FF"/>
      <w:u w:val="none"/>
    </w:rPr>
  </w:style>
  <w:style w:type="character" w:styleId="Lienhypertextesuivivisit">
    <w:name w:val="FollowedHyperlink"/>
    <w:basedOn w:val="Policepardfaut"/>
    <w:unhideWhenUsed/>
    <w:rsid w:val="00706363"/>
    <w:rPr>
      <w:color w:val="0000FF"/>
      <w:u w:val="none"/>
    </w:rPr>
  </w:style>
  <w:style w:type="paragraph" w:styleId="Notedebasdepage">
    <w:name w:val="footnote text"/>
    <w:aliases w:val="5_G"/>
    <w:basedOn w:val="Normal"/>
    <w:link w:val="NotedebasdepageCar"/>
    <w:qFormat/>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qFormat/>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qFormat/>
    <w:rsid w:val="00023842"/>
    <w:rPr>
      <w:rFonts w:ascii="Times New Roman" w:hAnsi="Times New Roman"/>
      <w:b/>
      <w:sz w:val="18"/>
      <w:lang w:val="fr-CH"/>
    </w:rPr>
  </w:style>
  <w:style w:type="character" w:customStyle="1" w:styleId="Titre1Car">
    <w:name w:val="Titre 1 Car"/>
    <w:aliases w:val="Table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1433FD"/>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433FD"/>
    <w:rPr>
      <w:rFonts w:ascii="Tahoma" w:hAnsi="Tahoma" w:cs="Tahoma"/>
      <w:sz w:val="16"/>
      <w:szCs w:val="16"/>
      <w:lang w:eastAsia="en-US"/>
    </w:rPr>
  </w:style>
  <w:style w:type="character" w:customStyle="1" w:styleId="SingleTxtGChar">
    <w:name w:val="_ Single Txt_G Char"/>
    <w:link w:val="SingleTxtG"/>
    <w:rsid w:val="0001207F"/>
  </w:style>
  <w:style w:type="character" w:customStyle="1" w:styleId="HChGChar">
    <w:name w:val="_ H _Ch_G Char"/>
    <w:link w:val="HChG"/>
    <w:rsid w:val="0001207F"/>
    <w:rPr>
      <w:b/>
      <w:sz w:val="28"/>
    </w:rPr>
  </w:style>
  <w:style w:type="paragraph" w:styleId="Rvision">
    <w:name w:val="Revision"/>
    <w:hidden/>
    <w:uiPriority w:val="99"/>
    <w:semiHidden/>
    <w:rsid w:val="00F83617"/>
    <w:pPr>
      <w:spacing w:line="240" w:lineRule="auto"/>
    </w:pPr>
  </w:style>
  <w:style w:type="character" w:customStyle="1" w:styleId="hgkelc">
    <w:name w:val="hgkelc"/>
    <w:basedOn w:val="Policepardfaut"/>
    <w:rsid w:val="00C902A0"/>
  </w:style>
  <w:style w:type="character" w:styleId="Marquedecommentaire">
    <w:name w:val="annotation reference"/>
    <w:basedOn w:val="Policepardfaut"/>
    <w:uiPriority w:val="99"/>
    <w:semiHidden/>
    <w:unhideWhenUsed/>
    <w:rsid w:val="00502A40"/>
    <w:rPr>
      <w:sz w:val="16"/>
      <w:szCs w:val="16"/>
    </w:rPr>
  </w:style>
  <w:style w:type="paragraph" w:styleId="Commentaire">
    <w:name w:val="annotation text"/>
    <w:basedOn w:val="Normal"/>
    <w:link w:val="CommentaireCar"/>
    <w:uiPriority w:val="99"/>
    <w:unhideWhenUsed/>
    <w:rsid w:val="00502A40"/>
    <w:pPr>
      <w:spacing w:line="240" w:lineRule="auto"/>
    </w:pPr>
  </w:style>
  <w:style w:type="character" w:customStyle="1" w:styleId="CommentaireCar">
    <w:name w:val="Commentaire Car"/>
    <w:basedOn w:val="Policepardfaut"/>
    <w:link w:val="Commentaire"/>
    <w:uiPriority w:val="99"/>
    <w:rsid w:val="00502A40"/>
  </w:style>
  <w:style w:type="paragraph" w:styleId="Objetducommentaire">
    <w:name w:val="annotation subject"/>
    <w:basedOn w:val="Commentaire"/>
    <w:next w:val="Commentaire"/>
    <w:link w:val="ObjetducommentaireCar"/>
    <w:uiPriority w:val="99"/>
    <w:semiHidden/>
    <w:unhideWhenUsed/>
    <w:rsid w:val="00502A40"/>
    <w:rPr>
      <w:b/>
      <w:bCs/>
    </w:rPr>
  </w:style>
  <w:style w:type="character" w:customStyle="1" w:styleId="ObjetducommentaireCar">
    <w:name w:val="Objet du commentaire Car"/>
    <w:basedOn w:val="CommentaireCar"/>
    <w:link w:val="Objetducommentaire"/>
    <w:uiPriority w:val="99"/>
    <w:semiHidden/>
    <w:rsid w:val="00502A4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3411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zyubynska\United%20Nations\UNOG_DCM-Macros%20-%20UNECE\Templates\TRANS\TRANS_WP1_24_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eate a new document." ma:contentTypeScope="" ma:versionID="e62f3c52afbfb087cbf0486b24bccade">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0897c4342d1b21160e8184e77b1557a4"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307320-C528-4032-AB5A-73B861CDA11F}">
  <ds:schemaRefs>
    <ds:schemaRef ds:uri="http://schemas.microsoft.com/sharepoint/v3/contenttype/forms"/>
  </ds:schemaRefs>
</ds:datastoreItem>
</file>

<file path=customXml/itemProps2.xml><?xml version="1.0" encoding="utf-8"?>
<ds:datastoreItem xmlns:ds="http://schemas.openxmlformats.org/officeDocument/2006/customXml" ds:itemID="{9BC14563-ACB7-44AD-B0EF-E55148CFDD3D}">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3.xml><?xml version="1.0" encoding="utf-8"?>
<ds:datastoreItem xmlns:ds="http://schemas.openxmlformats.org/officeDocument/2006/customXml" ds:itemID="{51A2F191-AC81-4799-B25C-B93A115728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TRANS_WP1_24_F.dotm</Template>
  <TotalTime>0</TotalTime>
  <Pages>2</Pages>
  <Words>715</Words>
  <Characters>4168</Characters>
  <Application>Microsoft Office Word</Application>
  <DocSecurity>0</DocSecurity>
  <Lines>80</Lines>
  <Paragraphs>36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ECE/TRANS/WP.15/AC.2/2024/4</vt:lpstr>
      <vt:lpstr>ECE/EX/22</vt:lpstr>
    </vt:vector>
  </TitlesOfParts>
  <Company>DCM</Company>
  <LinksUpToDate>false</LinksUpToDate>
  <CharactersWithSpaces>4847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ECE/TRANS/WP.15/AC.2/2024/4</dc:title>
  <dc:subject>FINAL</dc:subject>
  <dc:creator>Editorial</dc:creator>
  <cp:keywords/>
  <dc:description/>
  <cp:lastModifiedBy>Sandrine Clere</cp:lastModifiedBy>
  <cp:revision>2</cp:revision>
  <cp:lastPrinted>2014-05-14T10:59:00Z</cp:lastPrinted>
  <dcterms:created xsi:type="dcterms:W3CDTF">2023-11-03T08:58:00Z</dcterms:created>
  <dcterms:modified xsi:type="dcterms:W3CDTF">2023-11-03T08:58:00Z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0x010100C351874580DE274AB11582BCB027F582</vt:lpwstr>
  </property>
  <property fmtid="{D5CDD505-2E9C-101B-9397-08002B2CF9AE}" pid="3" name="MediaServiceImageTags">
    <vt:lpwstr/>
  </property>
  <property fmtid="{D5CDD505-2E9C-101B-9397-08002B2CF9AE}" pid="4" name="gba66df640194346a5267c50f24d4797">
    <vt:lpwstr/>
  </property>
  <property fmtid="{D5CDD505-2E9C-101B-9397-08002B2CF9AE}" pid="5" name="Office_x0020_of_x0020_Origin">
    <vt:lpwstr/>
  </property>
  <property fmtid="{D5CDD505-2E9C-101B-9397-08002B2CF9AE}" pid="6" name="Office of Origin">
    <vt:lpwstr/>
  </property>
</Properties>
</file>