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C7A438" w14:textId="77777777" w:rsidTr="00C97039">
        <w:trPr>
          <w:trHeight w:hRule="exact" w:val="851"/>
        </w:trPr>
        <w:tc>
          <w:tcPr>
            <w:tcW w:w="1276" w:type="dxa"/>
            <w:tcBorders>
              <w:bottom w:val="single" w:sz="4" w:space="0" w:color="auto"/>
            </w:tcBorders>
          </w:tcPr>
          <w:p w14:paraId="61ED2FB9" w14:textId="77777777" w:rsidR="00F35BAF" w:rsidRPr="00DB58B5" w:rsidRDefault="00F35BAF" w:rsidP="00D02C62"/>
        </w:tc>
        <w:tc>
          <w:tcPr>
            <w:tcW w:w="2268" w:type="dxa"/>
            <w:tcBorders>
              <w:bottom w:val="single" w:sz="4" w:space="0" w:color="auto"/>
            </w:tcBorders>
            <w:vAlign w:val="bottom"/>
          </w:tcPr>
          <w:p w14:paraId="634CA77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C18994" w14:textId="3E3A2574" w:rsidR="00F35BAF" w:rsidRPr="00DB58B5" w:rsidRDefault="00D02C62" w:rsidP="00D02C62">
            <w:pPr>
              <w:jc w:val="right"/>
            </w:pPr>
            <w:r w:rsidRPr="00D02C62">
              <w:rPr>
                <w:sz w:val="40"/>
              </w:rPr>
              <w:t>ECE</w:t>
            </w:r>
            <w:r>
              <w:t>/TRANS/WP.15/AC.2/2024/20</w:t>
            </w:r>
          </w:p>
        </w:tc>
      </w:tr>
      <w:tr w:rsidR="00F35BAF" w:rsidRPr="00DB58B5" w14:paraId="1BFF426E" w14:textId="77777777" w:rsidTr="00C97039">
        <w:trPr>
          <w:trHeight w:hRule="exact" w:val="2835"/>
        </w:trPr>
        <w:tc>
          <w:tcPr>
            <w:tcW w:w="1276" w:type="dxa"/>
            <w:tcBorders>
              <w:top w:val="single" w:sz="4" w:space="0" w:color="auto"/>
              <w:bottom w:val="single" w:sz="12" w:space="0" w:color="auto"/>
            </w:tcBorders>
          </w:tcPr>
          <w:p w14:paraId="52F3CDB0" w14:textId="77777777" w:rsidR="00F35BAF" w:rsidRPr="00DB58B5" w:rsidRDefault="00F35BAF" w:rsidP="00C97039">
            <w:pPr>
              <w:spacing w:before="120"/>
              <w:jc w:val="center"/>
            </w:pPr>
            <w:r>
              <w:rPr>
                <w:noProof/>
                <w:lang w:eastAsia="fr-CH"/>
              </w:rPr>
              <w:drawing>
                <wp:inline distT="0" distB="0" distL="0" distR="0" wp14:anchorId="73413C64" wp14:editId="28B6C2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26AE8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D9FAF8" w14:textId="77777777" w:rsidR="00F35BAF" w:rsidRDefault="00D02C62" w:rsidP="00C97039">
            <w:pPr>
              <w:spacing w:before="240"/>
            </w:pPr>
            <w:proofErr w:type="spellStart"/>
            <w:r>
              <w:t>Distr</w:t>
            </w:r>
            <w:proofErr w:type="spellEnd"/>
            <w:r>
              <w:t>. générale</w:t>
            </w:r>
          </w:p>
          <w:p w14:paraId="7190FF63" w14:textId="77777777" w:rsidR="00D02C62" w:rsidRDefault="00D02C62" w:rsidP="00D02C62">
            <w:pPr>
              <w:spacing w:line="240" w:lineRule="exact"/>
            </w:pPr>
            <w:r>
              <w:t>10 novembre 2023</w:t>
            </w:r>
          </w:p>
          <w:p w14:paraId="22D4D58F" w14:textId="77777777" w:rsidR="00D02C62" w:rsidRDefault="00D02C62" w:rsidP="00D02C62">
            <w:pPr>
              <w:spacing w:line="240" w:lineRule="exact"/>
            </w:pPr>
            <w:r>
              <w:t>Français</w:t>
            </w:r>
          </w:p>
          <w:p w14:paraId="5D017556" w14:textId="7176EB35" w:rsidR="00D02C62" w:rsidRPr="00DB58B5" w:rsidRDefault="00D02C62" w:rsidP="00D02C62">
            <w:pPr>
              <w:spacing w:line="240" w:lineRule="exact"/>
            </w:pPr>
            <w:r>
              <w:t>Original : anglais</w:t>
            </w:r>
          </w:p>
        </w:tc>
      </w:tr>
    </w:tbl>
    <w:p w14:paraId="2AA435CD" w14:textId="158F7C38" w:rsidR="007F20FA" w:rsidRPr="000312C0" w:rsidRDefault="007F20FA" w:rsidP="007F20FA">
      <w:pPr>
        <w:spacing w:before="120"/>
        <w:rPr>
          <w:b/>
          <w:sz w:val="28"/>
          <w:szCs w:val="28"/>
        </w:rPr>
      </w:pPr>
      <w:r w:rsidRPr="000312C0">
        <w:rPr>
          <w:b/>
          <w:sz w:val="28"/>
          <w:szCs w:val="28"/>
        </w:rPr>
        <w:t>Commission économique pour l</w:t>
      </w:r>
      <w:r w:rsidR="004E7A97">
        <w:rPr>
          <w:b/>
          <w:sz w:val="28"/>
          <w:szCs w:val="28"/>
        </w:rPr>
        <w:t>’</w:t>
      </w:r>
      <w:r w:rsidRPr="000312C0">
        <w:rPr>
          <w:b/>
          <w:sz w:val="28"/>
          <w:szCs w:val="28"/>
        </w:rPr>
        <w:t>Europe</w:t>
      </w:r>
    </w:p>
    <w:p w14:paraId="78B0CA04" w14:textId="77777777" w:rsidR="007F20FA" w:rsidRDefault="007F20FA" w:rsidP="007F20FA">
      <w:pPr>
        <w:spacing w:before="120"/>
        <w:rPr>
          <w:sz w:val="28"/>
          <w:szCs w:val="28"/>
        </w:rPr>
      </w:pPr>
      <w:r w:rsidRPr="00685843">
        <w:rPr>
          <w:sz w:val="28"/>
          <w:szCs w:val="28"/>
        </w:rPr>
        <w:t>Comité des transports intérieurs</w:t>
      </w:r>
    </w:p>
    <w:p w14:paraId="08F5A2B4" w14:textId="77777777" w:rsidR="00D02C62" w:rsidRPr="00736CEC" w:rsidRDefault="00D02C62" w:rsidP="00D02C62">
      <w:pPr>
        <w:spacing w:before="120"/>
        <w:rPr>
          <w:b/>
          <w:sz w:val="24"/>
          <w:szCs w:val="24"/>
          <w:lang w:val="fr-FR"/>
        </w:rPr>
      </w:pPr>
      <w:r w:rsidRPr="00736CEC">
        <w:rPr>
          <w:b/>
          <w:sz w:val="24"/>
          <w:szCs w:val="24"/>
          <w:lang w:val="fr-FR"/>
        </w:rPr>
        <w:t>Groupe de travail des transports de marchandises dangereuses</w:t>
      </w:r>
    </w:p>
    <w:p w14:paraId="526F8FDB" w14:textId="4BDBEC4A" w:rsidR="00D02C62" w:rsidRPr="00D02C62" w:rsidRDefault="00D02C62" w:rsidP="00D02C62">
      <w:pPr>
        <w:spacing w:before="120"/>
        <w:rPr>
          <w:b/>
        </w:rPr>
      </w:pPr>
      <w:r>
        <w:rPr>
          <w:b/>
          <w:bCs/>
          <w:lang w:val="fr-FR"/>
        </w:rPr>
        <w:t>Réunion commune d</w:t>
      </w:r>
      <w:r w:rsidR="004E7A97">
        <w:rPr>
          <w:b/>
          <w:bCs/>
          <w:lang w:val="fr-FR"/>
        </w:rPr>
        <w:t>’</w:t>
      </w:r>
      <w:r>
        <w:rPr>
          <w:b/>
          <w:bCs/>
          <w:lang w:val="fr-FR"/>
        </w:rPr>
        <w:t>experts du Règlement annexé à l</w:t>
      </w:r>
      <w:r w:rsidR="004E7A97">
        <w:rPr>
          <w:b/>
          <w:bCs/>
          <w:lang w:val="fr-FR"/>
        </w:rPr>
        <w:t>’</w:t>
      </w:r>
      <w:r>
        <w:rPr>
          <w:b/>
          <w:bCs/>
          <w:lang w:val="fr-FR"/>
        </w:rPr>
        <w:t>Accord européen</w:t>
      </w:r>
      <w:r>
        <w:rPr>
          <w:b/>
          <w:bCs/>
          <w:lang w:val="fr-FR"/>
        </w:rPr>
        <w:br/>
        <w:t xml:space="preserve">relatif au transport international des marchandises dangereuses </w:t>
      </w:r>
      <w:r>
        <w:rPr>
          <w:b/>
          <w:bCs/>
          <w:lang w:val="fr-FR"/>
        </w:rPr>
        <w:br/>
        <w:t xml:space="preserve">par voies de navigation intérieures (ADN) </w:t>
      </w:r>
      <w:r>
        <w:rPr>
          <w:b/>
          <w:bCs/>
          <w:lang w:val="fr-FR"/>
        </w:rPr>
        <w:br/>
        <w:t>(Comité de sécurité de l</w:t>
      </w:r>
      <w:r w:rsidR="004E7A97">
        <w:rPr>
          <w:b/>
          <w:bCs/>
          <w:lang w:val="fr-FR"/>
        </w:rPr>
        <w:t>’</w:t>
      </w:r>
      <w:r>
        <w:rPr>
          <w:b/>
          <w:bCs/>
          <w:lang w:val="fr-FR"/>
        </w:rPr>
        <w:t>ADN</w:t>
      </w:r>
      <w:r>
        <w:rPr>
          <w:lang w:val="fr-FR"/>
        </w:rPr>
        <w:t>)</w:t>
      </w:r>
    </w:p>
    <w:p w14:paraId="1CEEB4CE" w14:textId="77777777" w:rsidR="00D02C62" w:rsidRPr="00692C3A" w:rsidRDefault="00D02C62" w:rsidP="00D02C62">
      <w:pPr>
        <w:spacing w:before="120"/>
        <w:rPr>
          <w:b/>
          <w:lang w:val="fr-FR"/>
        </w:rPr>
      </w:pPr>
      <w:r>
        <w:rPr>
          <w:b/>
          <w:bCs/>
          <w:lang w:val="fr-FR"/>
        </w:rPr>
        <w:t>Quarante-troisième session</w:t>
      </w:r>
    </w:p>
    <w:p w14:paraId="0C9AFA10" w14:textId="77777777" w:rsidR="00D02C62" w:rsidRPr="00692C3A" w:rsidRDefault="00D02C62" w:rsidP="00D02C62">
      <w:pPr>
        <w:rPr>
          <w:lang w:val="fr-FR"/>
        </w:rPr>
      </w:pPr>
      <w:r>
        <w:rPr>
          <w:lang w:val="fr-FR"/>
        </w:rPr>
        <w:t>Genève, 22-26 janvier 2024</w:t>
      </w:r>
    </w:p>
    <w:p w14:paraId="3077E645" w14:textId="030F539D" w:rsidR="00D02C62" w:rsidRPr="00692C3A" w:rsidRDefault="00D02C62" w:rsidP="00D02C62">
      <w:pPr>
        <w:rPr>
          <w:lang w:val="fr-FR"/>
        </w:rPr>
      </w:pPr>
      <w:r>
        <w:rPr>
          <w:lang w:val="fr-FR"/>
        </w:rPr>
        <w:t>Point 5 b) de l</w:t>
      </w:r>
      <w:r w:rsidR="004E7A97">
        <w:rPr>
          <w:lang w:val="fr-FR"/>
        </w:rPr>
        <w:t>’</w:t>
      </w:r>
      <w:r>
        <w:rPr>
          <w:lang w:val="fr-FR"/>
        </w:rPr>
        <w:t>ordre du jour provisoire</w:t>
      </w:r>
    </w:p>
    <w:p w14:paraId="02C9B039" w14:textId="793D21B4" w:rsidR="00D02C62" w:rsidRDefault="00D02C62" w:rsidP="00D02C62">
      <w:pPr>
        <w:contextualSpacing/>
        <w:rPr>
          <w:b/>
          <w:bCs/>
          <w:lang w:val="fr-FR"/>
        </w:rPr>
      </w:pPr>
      <w:r>
        <w:rPr>
          <w:b/>
          <w:bCs/>
          <w:lang w:val="fr-FR"/>
        </w:rPr>
        <w:t>Propositions d</w:t>
      </w:r>
      <w:r w:rsidR="004E7A97">
        <w:rPr>
          <w:b/>
          <w:bCs/>
          <w:lang w:val="fr-FR"/>
        </w:rPr>
        <w:t>’</w:t>
      </w:r>
      <w:r>
        <w:rPr>
          <w:b/>
          <w:bCs/>
          <w:lang w:val="fr-FR"/>
        </w:rPr>
        <w:t>amendements au Règlement annexé à l</w:t>
      </w:r>
      <w:r w:rsidR="004E7A97">
        <w:rPr>
          <w:b/>
          <w:bCs/>
          <w:lang w:val="fr-FR"/>
        </w:rPr>
        <w:t>’</w:t>
      </w:r>
      <w:r>
        <w:rPr>
          <w:b/>
          <w:bCs/>
          <w:lang w:val="fr-FR"/>
        </w:rPr>
        <w:t>ADN :</w:t>
      </w:r>
    </w:p>
    <w:p w14:paraId="0E7A354E" w14:textId="77777777" w:rsidR="00D02C62" w:rsidRPr="00692C3A" w:rsidRDefault="00D02C62" w:rsidP="00D02C62">
      <w:pPr>
        <w:rPr>
          <w:b/>
          <w:lang w:val="fr-FR"/>
        </w:rPr>
      </w:pPr>
      <w:r>
        <w:rPr>
          <w:b/>
          <w:bCs/>
          <w:lang w:val="fr-FR"/>
        </w:rPr>
        <w:t>autres propositions</w:t>
      </w:r>
    </w:p>
    <w:p w14:paraId="015BA677" w14:textId="46656D46" w:rsidR="00D02C62" w:rsidRPr="00692C3A" w:rsidRDefault="00D02C62" w:rsidP="00D02C62">
      <w:pPr>
        <w:pStyle w:val="HChG"/>
        <w:rPr>
          <w:lang w:val="fr-FR"/>
        </w:rPr>
      </w:pPr>
      <w:r>
        <w:rPr>
          <w:lang w:val="fr-FR"/>
        </w:rPr>
        <w:tab/>
      </w:r>
      <w:r>
        <w:rPr>
          <w:lang w:val="fr-FR"/>
        </w:rPr>
        <w:tab/>
        <w:t>7.2.4.22 (ouverture d</w:t>
      </w:r>
      <w:r w:rsidR="004E7A97">
        <w:rPr>
          <w:lang w:val="fr-FR"/>
        </w:rPr>
        <w:t>’</w:t>
      </w:r>
      <w:r>
        <w:rPr>
          <w:lang w:val="fr-FR"/>
        </w:rPr>
        <w:t>orifices et ajout d</w:t>
      </w:r>
      <w:r w:rsidR="004E7A97">
        <w:rPr>
          <w:lang w:val="fr-FR"/>
        </w:rPr>
        <w:t>’</w:t>
      </w:r>
      <w:r>
        <w:rPr>
          <w:lang w:val="fr-FR"/>
        </w:rPr>
        <w:t>additifs supplémentaires)</w:t>
      </w:r>
    </w:p>
    <w:p w14:paraId="7CA0D3AC" w14:textId="240F39F4" w:rsidR="00F9573C" w:rsidRDefault="00D02C62" w:rsidP="00D02C62">
      <w:pPr>
        <w:pStyle w:val="H1G"/>
        <w:rPr>
          <w:b w:val="0"/>
          <w:bCs/>
          <w:sz w:val="20"/>
          <w:lang w:val="fr-FR"/>
        </w:rPr>
      </w:pPr>
      <w:r>
        <w:rPr>
          <w:lang w:val="fr-FR"/>
        </w:rPr>
        <w:tab/>
      </w:r>
      <w:r>
        <w:rPr>
          <w:lang w:val="fr-FR"/>
        </w:rPr>
        <w:tab/>
      </w:r>
      <w:r w:rsidRPr="00692C3A">
        <w:t xml:space="preserve">Communication de </w:t>
      </w:r>
      <w:proofErr w:type="spellStart"/>
      <w:r w:rsidRPr="00692C3A">
        <w:t>FuelsEurope</w:t>
      </w:r>
      <w:proofErr w:type="spellEnd"/>
      <w:r w:rsidRPr="00D02C62">
        <w:rPr>
          <w:rStyle w:val="Appelnotedebasdep"/>
          <w:b w:val="0"/>
          <w:bCs/>
          <w:sz w:val="20"/>
          <w:vertAlign w:val="baseline"/>
          <w:lang w:val="fr-FR"/>
        </w:rPr>
        <w:footnoteReference w:customMarkFollows="1" w:id="2"/>
        <w:t>*</w:t>
      </w:r>
      <w:r w:rsidRPr="00D02C62">
        <w:rPr>
          <w:b w:val="0"/>
          <w:position w:val="6"/>
          <w:sz w:val="20"/>
          <w:lang w:val="fr-FR"/>
        </w:rPr>
        <w:t>,</w:t>
      </w:r>
      <w:r>
        <w:rPr>
          <w:b w:val="0"/>
          <w:position w:val="6"/>
          <w:sz w:val="20"/>
          <w:lang w:val="fr-FR"/>
        </w:rPr>
        <w:t xml:space="preserve"> </w:t>
      </w:r>
      <w:r w:rsidRPr="00D02C62">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02C62" w14:paraId="0A951C86" w14:textId="77777777">
        <w:trPr>
          <w:jc w:val="center"/>
        </w:trPr>
        <w:tc>
          <w:tcPr>
            <w:tcW w:w="9637" w:type="dxa"/>
            <w:shd w:val="clear" w:color="auto" w:fill="auto"/>
          </w:tcPr>
          <w:p w14:paraId="0413E717" w14:textId="77777777" w:rsidR="00D02C62" w:rsidRDefault="00D02C62">
            <w:pPr>
              <w:spacing w:before="240" w:after="120"/>
              <w:ind w:left="255"/>
              <w:rPr>
                <w:i/>
                <w:sz w:val="24"/>
              </w:rPr>
            </w:pPr>
            <w:r>
              <w:rPr>
                <w:i/>
                <w:sz w:val="24"/>
              </w:rPr>
              <w:t>Résumé</w:t>
            </w:r>
          </w:p>
        </w:tc>
      </w:tr>
      <w:tr w:rsidR="00D02C62" w14:paraId="1D1F8C0F" w14:textId="77777777" w:rsidTr="004E7A97">
        <w:trPr>
          <w:jc w:val="center"/>
        </w:trPr>
        <w:tc>
          <w:tcPr>
            <w:tcW w:w="9637" w:type="dxa"/>
            <w:tcBorders>
              <w:bottom w:val="nil"/>
            </w:tcBorders>
            <w:shd w:val="clear" w:color="auto" w:fill="auto"/>
          </w:tcPr>
          <w:p w14:paraId="58577B01" w14:textId="7D8B6554" w:rsidR="00D02C62" w:rsidRPr="00692C3A" w:rsidRDefault="00D02C62" w:rsidP="00033B35">
            <w:pPr>
              <w:pStyle w:val="SingleTxtG"/>
              <w:spacing w:after="0"/>
              <w:ind w:left="3402" w:hanging="2268"/>
              <w:jc w:val="left"/>
              <w:rPr>
                <w:rStyle w:val="SingleTxtGChar"/>
                <w:bCs/>
                <w:lang w:val="fr-FR"/>
              </w:rPr>
            </w:pPr>
            <w:r w:rsidRPr="00D02C62">
              <w:rPr>
                <w:b/>
                <w:lang w:val="fr-FR"/>
              </w:rPr>
              <w:t>Documents connexes</w:t>
            </w:r>
            <w:r w:rsidRPr="00D02C62">
              <w:rPr>
                <w:lang w:val="fr-FR"/>
              </w:rPr>
              <w:t xml:space="preserve"> :</w:t>
            </w:r>
            <w:r w:rsidRPr="00D02C62">
              <w:rPr>
                <w:lang w:val="fr-FR"/>
              </w:rPr>
              <w:tab/>
              <w:t>Document informel INF.19 de la quarante et unième session</w:t>
            </w:r>
            <w:r>
              <w:rPr>
                <w:lang w:val="fr-FR"/>
              </w:rPr>
              <w:br/>
            </w:r>
            <w:r w:rsidRPr="00692C3A">
              <w:rPr>
                <w:rStyle w:val="SingleTxtGChar"/>
                <w:bCs/>
                <w:lang w:val="fr-FR"/>
              </w:rPr>
              <w:t>ECE/TRANS/WP.15/AC.2/84, par. 37 (rapport sur la quarante et unième session)</w:t>
            </w:r>
          </w:p>
          <w:p w14:paraId="2F16C95B" w14:textId="0B65C352" w:rsidR="00D02C62" w:rsidRPr="00692C3A" w:rsidRDefault="00D02C62" w:rsidP="00033B35">
            <w:pPr>
              <w:pStyle w:val="SingleTxtG"/>
              <w:spacing w:after="0"/>
              <w:ind w:left="3402"/>
              <w:jc w:val="left"/>
              <w:rPr>
                <w:rStyle w:val="SingleTxtGChar"/>
                <w:bCs/>
                <w:lang w:val="fr-FR"/>
              </w:rPr>
            </w:pPr>
            <w:r w:rsidRPr="00692C3A">
              <w:rPr>
                <w:rStyle w:val="SingleTxtGChar"/>
                <w:bCs/>
                <w:lang w:val="fr-FR"/>
              </w:rPr>
              <w:tab/>
              <w:t>ECE/TRANS/WP.15/AC.2/2023/47</w:t>
            </w:r>
          </w:p>
          <w:p w14:paraId="1837626E" w14:textId="32F7D533" w:rsidR="00D02C62" w:rsidRPr="00692C3A" w:rsidRDefault="00D02C62" w:rsidP="00033B35">
            <w:pPr>
              <w:pStyle w:val="SingleTxtG"/>
              <w:spacing w:after="0"/>
              <w:ind w:left="3402"/>
              <w:jc w:val="left"/>
              <w:rPr>
                <w:rStyle w:val="SingleTxtGChar"/>
                <w:bCs/>
                <w:lang w:val="fr-FR"/>
              </w:rPr>
            </w:pPr>
            <w:r w:rsidRPr="00692C3A">
              <w:rPr>
                <w:rStyle w:val="SingleTxtGChar"/>
                <w:bCs/>
                <w:lang w:val="fr-FR"/>
              </w:rPr>
              <w:tab/>
              <w:t>Document informel INF.32</w:t>
            </w:r>
            <w:r>
              <w:rPr>
                <w:rStyle w:val="SingleTxtGChar"/>
                <w:bCs/>
                <w:lang w:val="fr-FR"/>
              </w:rPr>
              <w:t xml:space="preserve"> </w:t>
            </w:r>
            <w:r w:rsidRPr="00692C3A">
              <w:rPr>
                <w:rStyle w:val="SingleTxtGChar"/>
                <w:bCs/>
                <w:lang w:val="fr-FR"/>
              </w:rPr>
              <w:t>de la quarante-deuxième session</w:t>
            </w:r>
          </w:p>
          <w:p w14:paraId="1573F8E1" w14:textId="23F7105F" w:rsidR="00D02C62" w:rsidRDefault="00D02C62" w:rsidP="00E97585">
            <w:pPr>
              <w:pStyle w:val="SingleTxtG"/>
              <w:ind w:left="3402"/>
              <w:jc w:val="left"/>
            </w:pPr>
            <w:r w:rsidRPr="00692C3A">
              <w:rPr>
                <w:rStyle w:val="SingleTxtGChar"/>
                <w:bCs/>
                <w:lang w:val="fr-FR"/>
              </w:rPr>
              <w:tab/>
              <w:t>ECE/TRANS/WP.15/AC.2/86, par. 24 (rapport sur la quarante</w:t>
            </w:r>
            <w:r>
              <w:rPr>
                <w:rStyle w:val="SingleTxtGChar"/>
                <w:bCs/>
                <w:lang w:val="fr-FR"/>
              </w:rPr>
              <w:noBreakHyphen/>
            </w:r>
            <w:r w:rsidRPr="00692C3A">
              <w:rPr>
                <w:rStyle w:val="SingleTxtGChar"/>
                <w:bCs/>
                <w:lang w:val="fr-FR"/>
              </w:rPr>
              <w:t>deuxième session)</w:t>
            </w:r>
          </w:p>
        </w:tc>
      </w:tr>
      <w:tr w:rsidR="00D02C62" w14:paraId="3B0DD951" w14:textId="77777777" w:rsidTr="004E7A97">
        <w:trPr>
          <w:jc w:val="center"/>
        </w:trPr>
        <w:tc>
          <w:tcPr>
            <w:tcW w:w="9637" w:type="dxa"/>
            <w:tcBorders>
              <w:top w:val="nil"/>
              <w:bottom w:val="nil"/>
            </w:tcBorders>
            <w:shd w:val="clear" w:color="auto" w:fill="auto"/>
          </w:tcPr>
          <w:p w14:paraId="2D80A384" w14:textId="02E3B49A" w:rsidR="00D02C62" w:rsidRPr="00692C3A" w:rsidRDefault="004E7A97" w:rsidP="00D02C62">
            <w:pPr>
              <w:pStyle w:val="SingleTxtG"/>
              <w:ind w:left="3402" w:hanging="2268"/>
              <w:rPr>
                <w:rStyle w:val="SingleTxtGChar"/>
                <w:b/>
                <w:bCs/>
                <w:lang w:val="fr-FR"/>
              </w:rPr>
            </w:pPr>
            <w:r w:rsidRPr="004E7A97">
              <w:rPr>
                <w:rStyle w:val="SingleTxtGChar"/>
                <w:b/>
                <w:lang w:val="fr-FR"/>
              </w:rPr>
              <w:t>Résumé analytique</w:t>
            </w:r>
            <w:r w:rsidRPr="00692C3A">
              <w:rPr>
                <w:rStyle w:val="SingleTxtGChar"/>
                <w:lang w:val="fr-FR"/>
              </w:rPr>
              <w:t> :</w:t>
            </w:r>
            <w:r w:rsidRPr="00692C3A">
              <w:rPr>
                <w:rStyle w:val="SingleTxtGChar"/>
                <w:bCs/>
                <w:lang w:val="fr-FR"/>
              </w:rPr>
              <w:tab/>
            </w:r>
            <w:r w:rsidRPr="00692C3A">
              <w:rPr>
                <w:rStyle w:val="SingleTxtGChar"/>
                <w:lang w:val="fr-FR"/>
              </w:rPr>
              <w:t xml:space="preserve">Le présent document contient un ensemble de propositions visant à répondre aux besoins des professionnels du secteur </w:t>
            </w:r>
            <w:r>
              <w:rPr>
                <w:rStyle w:val="SingleTxtGChar"/>
                <w:lang w:val="fr-FR"/>
              </w:rPr>
              <w:t>pour ce qui est d</w:t>
            </w:r>
            <w:r>
              <w:rPr>
                <w:rStyle w:val="SingleTxtGChar"/>
                <w:lang w:val="fr-FR"/>
              </w:rPr>
              <w:t>’</w:t>
            </w:r>
            <w:r>
              <w:rPr>
                <w:rStyle w:val="SingleTxtGChar"/>
                <w:lang w:val="fr-FR"/>
              </w:rPr>
              <w:t>autoriser</w:t>
            </w:r>
            <w:r w:rsidRPr="00692C3A">
              <w:rPr>
                <w:rStyle w:val="SingleTxtGChar"/>
                <w:lang w:val="fr-FR"/>
              </w:rPr>
              <w:t xml:space="preserve"> l</w:t>
            </w:r>
            <w:r>
              <w:rPr>
                <w:rStyle w:val="SingleTxtGChar"/>
                <w:lang w:val="fr-FR"/>
              </w:rPr>
              <w:t>’</w:t>
            </w:r>
            <w:r w:rsidRPr="00692C3A">
              <w:rPr>
                <w:rStyle w:val="SingleTxtGChar"/>
                <w:lang w:val="fr-FR"/>
              </w:rPr>
              <w:t>ajout</w:t>
            </w:r>
            <w:r>
              <w:rPr>
                <w:rStyle w:val="SingleTxtGChar"/>
                <w:lang w:val="fr-FR"/>
              </w:rPr>
              <w:t xml:space="preserve"> </w:t>
            </w:r>
            <w:r w:rsidRPr="00692C3A">
              <w:rPr>
                <w:rStyle w:val="SingleTxtGChar"/>
                <w:lang w:val="fr-FR"/>
              </w:rPr>
              <w:t>d</w:t>
            </w:r>
            <w:r>
              <w:rPr>
                <w:rStyle w:val="SingleTxtGChar"/>
                <w:lang w:val="fr-FR"/>
              </w:rPr>
              <w:t>’</w:t>
            </w:r>
            <w:r w:rsidRPr="00692C3A">
              <w:rPr>
                <w:rStyle w:val="SingleTxtGChar"/>
                <w:lang w:val="fr-FR"/>
              </w:rPr>
              <w:t>additifs supplémentaires à bord de bateaux-citernes de navigation intérieure selon des modalités et conditions bien définies.</w:t>
            </w:r>
            <w:r w:rsidRPr="00692C3A">
              <w:rPr>
                <w:rStyle w:val="SingleTxtGChar"/>
                <w:bCs/>
                <w:lang w:val="fr-FR"/>
              </w:rPr>
              <w:t xml:space="preserve"> </w:t>
            </w:r>
            <w:r>
              <w:rPr>
                <w:rStyle w:val="SingleTxtGChar"/>
                <w:lang w:val="fr-FR"/>
              </w:rPr>
              <w:t xml:space="preserve">Un tel </w:t>
            </w:r>
            <w:r w:rsidRPr="00692C3A">
              <w:rPr>
                <w:rStyle w:val="SingleTxtGChar"/>
                <w:lang w:val="fr-FR"/>
              </w:rPr>
              <w:t>ajout peut être nécessaire dans le cas où la concentration</w:t>
            </w:r>
            <w:r>
              <w:rPr>
                <w:rStyle w:val="SingleTxtGChar"/>
                <w:lang w:val="fr-FR"/>
              </w:rPr>
              <w:t xml:space="preserve"> </w:t>
            </w:r>
            <w:r w:rsidRPr="00692C3A">
              <w:rPr>
                <w:rStyle w:val="SingleTxtGChar"/>
                <w:lang w:val="fr-FR"/>
              </w:rPr>
              <w:t>d</w:t>
            </w:r>
            <w:r>
              <w:rPr>
                <w:rStyle w:val="SingleTxtGChar"/>
                <w:lang w:val="fr-FR"/>
              </w:rPr>
              <w:t>’</w:t>
            </w:r>
            <w:r w:rsidRPr="00692C3A">
              <w:rPr>
                <w:rStyle w:val="SingleTxtGChar"/>
                <w:lang w:val="fr-FR"/>
              </w:rPr>
              <w:t>addit</w:t>
            </w:r>
            <w:r>
              <w:rPr>
                <w:rStyle w:val="SingleTxtGChar"/>
                <w:lang w:val="fr-FR"/>
              </w:rPr>
              <w:t>ifs</w:t>
            </w:r>
            <w:r w:rsidRPr="00692C3A">
              <w:rPr>
                <w:rStyle w:val="SingleTxtGChar"/>
                <w:lang w:val="fr-FR"/>
              </w:rPr>
              <w:t xml:space="preserve"> dans le produit transporté à bord </w:t>
            </w:r>
            <w:r>
              <w:rPr>
                <w:rStyle w:val="SingleTxtGChar"/>
                <w:lang w:val="fr-FR"/>
              </w:rPr>
              <w:t>s</w:t>
            </w:r>
            <w:r>
              <w:rPr>
                <w:rStyle w:val="SingleTxtGChar"/>
                <w:lang w:val="fr-FR"/>
              </w:rPr>
              <w:t>’</w:t>
            </w:r>
            <w:r>
              <w:rPr>
                <w:rStyle w:val="SingleTxtGChar"/>
                <w:lang w:val="fr-FR"/>
              </w:rPr>
              <w:t>avère</w:t>
            </w:r>
            <w:r w:rsidRPr="00692C3A">
              <w:rPr>
                <w:rStyle w:val="SingleTxtGChar"/>
                <w:lang w:val="fr-FR"/>
              </w:rPr>
              <w:t xml:space="preserve"> trop faible.</w:t>
            </w:r>
            <w:r w:rsidRPr="00692C3A">
              <w:rPr>
                <w:rStyle w:val="SingleTxtGChar"/>
                <w:bCs/>
                <w:lang w:val="fr-FR"/>
              </w:rPr>
              <w:t xml:space="preserve"> </w:t>
            </w:r>
            <w:r>
              <w:rPr>
                <w:rStyle w:val="SingleTxtGChar"/>
                <w:lang w:val="fr-FR"/>
              </w:rPr>
              <w:t>L</w:t>
            </w:r>
            <w:r w:rsidRPr="00692C3A">
              <w:rPr>
                <w:rStyle w:val="SingleTxtGChar"/>
                <w:lang w:val="fr-FR"/>
              </w:rPr>
              <w:t xml:space="preserve">es propositions de révision </w:t>
            </w:r>
            <w:r>
              <w:rPr>
                <w:rStyle w:val="SingleTxtGChar"/>
                <w:lang w:val="fr-FR"/>
              </w:rPr>
              <w:t>intégrale</w:t>
            </w:r>
            <w:r w:rsidRPr="00692C3A">
              <w:rPr>
                <w:rStyle w:val="SingleTxtGChar"/>
                <w:lang w:val="fr-FR"/>
              </w:rPr>
              <w:t xml:space="preserve"> du 7.2.4.22</w:t>
            </w:r>
            <w:r>
              <w:rPr>
                <w:rStyle w:val="SingleTxtGChar"/>
                <w:lang w:val="fr-FR"/>
              </w:rPr>
              <w:t xml:space="preserve"> ne prévoient </w:t>
            </w:r>
            <w:r w:rsidRPr="00692C3A">
              <w:rPr>
                <w:rStyle w:val="SingleTxtGChar"/>
                <w:lang w:val="fr-FR"/>
              </w:rPr>
              <w:t>cette possibilité que pour les stabilisateurs, alors que le secteur est contraint de respecter un dosage suffisant d</w:t>
            </w:r>
            <w:r>
              <w:rPr>
                <w:rStyle w:val="SingleTxtGChar"/>
                <w:lang w:val="fr-FR"/>
              </w:rPr>
              <w:t>’</w:t>
            </w:r>
            <w:r w:rsidRPr="00692C3A">
              <w:rPr>
                <w:rStyle w:val="SingleTxtGChar"/>
                <w:lang w:val="fr-FR"/>
              </w:rPr>
              <w:t>autres additifs</w:t>
            </w:r>
            <w:r>
              <w:rPr>
                <w:rStyle w:val="SingleTxtGChar"/>
                <w:lang w:val="fr-FR"/>
              </w:rPr>
              <w:t xml:space="preserve"> </w:t>
            </w:r>
            <w:r w:rsidRPr="00692C3A">
              <w:rPr>
                <w:rStyle w:val="SingleTxtGChar"/>
                <w:lang w:val="fr-FR"/>
              </w:rPr>
              <w:t>dans les cargaisons</w:t>
            </w:r>
            <w:r>
              <w:rPr>
                <w:rStyle w:val="SingleTxtGChar"/>
                <w:lang w:val="fr-FR"/>
              </w:rPr>
              <w:t xml:space="preserve"> pour satisfaire aux prescriptions</w:t>
            </w:r>
            <w:r w:rsidRPr="00692C3A">
              <w:rPr>
                <w:rStyle w:val="SingleTxtGChar"/>
                <w:lang w:val="fr-FR"/>
              </w:rPr>
              <w:t xml:space="preserve"> découlant d</w:t>
            </w:r>
            <w:r>
              <w:rPr>
                <w:rStyle w:val="SingleTxtGChar"/>
                <w:lang w:val="fr-FR"/>
              </w:rPr>
              <w:t>’</w:t>
            </w:r>
            <w:r w:rsidRPr="00692C3A">
              <w:rPr>
                <w:rStyle w:val="SingleTxtGChar"/>
                <w:lang w:val="fr-FR"/>
              </w:rPr>
              <w:t>autres réglementations.</w:t>
            </w:r>
            <w:r w:rsidRPr="00692C3A">
              <w:rPr>
                <w:rStyle w:val="SingleTxtGChar"/>
                <w:bCs/>
                <w:lang w:val="fr-FR"/>
              </w:rPr>
              <w:t xml:space="preserve"> </w:t>
            </w:r>
            <w:r w:rsidRPr="00692C3A">
              <w:rPr>
                <w:rStyle w:val="SingleTxtGChar"/>
                <w:lang w:val="fr-FR"/>
              </w:rPr>
              <w:lastRenderedPageBreak/>
              <w:t>Autoriser l</w:t>
            </w:r>
            <w:r>
              <w:rPr>
                <w:rStyle w:val="SingleTxtGChar"/>
                <w:lang w:val="fr-FR"/>
              </w:rPr>
              <w:t>’</w:t>
            </w:r>
            <w:r w:rsidRPr="00692C3A">
              <w:rPr>
                <w:rStyle w:val="SingleTxtGChar"/>
                <w:lang w:val="fr-FR"/>
              </w:rPr>
              <w:t>ajout d</w:t>
            </w:r>
            <w:r>
              <w:rPr>
                <w:rStyle w:val="SingleTxtGChar"/>
                <w:lang w:val="fr-FR"/>
              </w:rPr>
              <w:t>’</w:t>
            </w:r>
            <w:r w:rsidRPr="00692C3A">
              <w:rPr>
                <w:rStyle w:val="SingleTxtGChar"/>
                <w:lang w:val="fr-FR"/>
              </w:rPr>
              <w:t xml:space="preserve">additifs supplémentaires permettrait de limiter </w:t>
            </w:r>
            <w:r>
              <w:rPr>
                <w:rStyle w:val="SingleTxtGChar"/>
                <w:lang w:val="fr-FR"/>
              </w:rPr>
              <w:t>au mieux</w:t>
            </w:r>
            <w:r w:rsidRPr="00692C3A">
              <w:rPr>
                <w:rStyle w:val="SingleTxtGChar"/>
                <w:lang w:val="fr-FR"/>
              </w:rPr>
              <w:t xml:space="preserve"> les risques liés aux opérations de déchargement</w:t>
            </w:r>
            <w:r>
              <w:rPr>
                <w:rStyle w:val="SingleTxtGChar"/>
                <w:lang w:val="fr-FR"/>
              </w:rPr>
              <w:t xml:space="preserve">, de </w:t>
            </w:r>
            <w:r w:rsidRPr="00692C3A">
              <w:rPr>
                <w:rStyle w:val="SingleTxtGChar"/>
                <w:lang w:val="fr-FR"/>
              </w:rPr>
              <w:t>chargement et de transport qui devraient autrement être réalisées, puisque la cargaison devrait être renvoyée à l</w:t>
            </w:r>
            <w:r>
              <w:rPr>
                <w:rStyle w:val="SingleTxtGChar"/>
                <w:lang w:val="fr-FR"/>
              </w:rPr>
              <w:t>’</w:t>
            </w:r>
            <w:r w:rsidRPr="00692C3A">
              <w:rPr>
                <w:rStyle w:val="SingleTxtGChar"/>
                <w:lang w:val="fr-FR"/>
              </w:rPr>
              <w:t>installation de chargement pour que la quantité d</w:t>
            </w:r>
            <w:r>
              <w:rPr>
                <w:rStyle w:val="SingleTxtGChar"/>
                <w:lang w:val="fr-FR"/>
              </w:rPr>
              <w:t>’</w:t>
            </w:r>
            <w:r w:rsidRPr="00692C3A">
              <w:rPr>
                <w:rStyle w:val="SingleTxtGChar"/>
                <w:lang w:val="fr-FR"/>
              </w:rPr>
              <w:t>additifs soit corrigée à terre.</w:t>
            </w:r>
          </w:p>
        </w:tc>
      </w:tr>
      <w:tr w:rsidR="004E7A97" w14:paraId="5914BBAE" w14:textId="77777777" w:rsidTr="004E7A97">
        <w:trPr>
          <w:jc w:val="center"/>
        </w:trPr>
        <w:tc>
          <w:tcPr>
            <w:tcW w:w="9637" w:type="dxa"/>
            <w:tcBorders>
              <w:top w:val="nil"/>
              <w:bottom w:val="nil"/>
            </w:tcBorders>
            <w:shd w:val="clear" w:color="auto" w:fill="auto"/>
          </w:tcPr>
          <w:p w14:paraId="169B2630" w14:textId="717B351E" w:rsidR="004E7A97" w:rsidRPr="004E7A97" w:rsidRDefault="004E7A97" w:rsidP="00D02C62">
            <w:pPr>
              <w:pStyle w:val="SingleTxtG"/>
              <w:ind w:left="3402" w:hanging="2268"/>
              <w:rPr>
                <w:rStyle w:val="SingleTxtGChar"/>
                <w:b/>
                <w:lang w:val="fr-FR"/>
              </w:rPr>
            </w:pPr>
            <w:r w:rsidRPr="00692C3A">
              <w:rPr>
                <w:rStyle w:val="SingleTxtGChar"/>
                <w:b/>
                <w:bCs/>
                <w:lang w:val="fr-FR"/>
              </w:rPr>
              <w:lastRenderedPageBreak/>
              <w:t>Mesures à prendre</w:t>
            </w:r>
            <w:r w:rsidRPr="00692C3A">
              <w:rPr>
                <w:rStyle w:val="SingleTxtGChar"/>
                <w:lang w:val="fr-FR"/>
              </w:rPr>
              <w:t xml:space="preserve"> :</w:t>
            </w:r>
            <w:r w:rsidRPr="00692C3A">
              <w:rPr>
                <w:rStyle w:val="SingleTxtGChar"/>
                <w:bCs/>
                <w:lang w:val="fr-FR"/>
              </w:rPr>
              <w:tab/>
            </w:r>
            <w:r>
              <w:rPr>
                <w:rStyle w:val="SingleTxtGChar"/>
                <w:bCs/>
                <w:lang w:val="fr-FR"/>
              </w:rPr>
              <w:t>Prévoir</w:t>
            </w:r>
            <w:r w:rsidRPr="00692C3A">
              <w:rPr>
                <w:rStyle w:val="SingleTxtGChar"/>
                <w:bCs/>
                <w:lang w:val="fr-FR"/>
              </w:rPr>
              <w:t xml:space="preserve"> la possibilité d</w:t>
            </w:r>
            <w:r>
              <w:rPr>
                <w:rStyle w:val="SingleTxtGChar"/>
                <w:bCs/>
                <w:lang w:val="fr-FR"/>
              </w:rPr>
              <w:t>’</w:t>
            </w:r>
            <w:r w:rsidRPr="00692C3A">
              <w:rPr>
                <w:rStyle w:val="SingleTxtGChar"/>
                <w:bCs/>
                <w:lang w:val="fr-FR"/>
              </w:rPr>
              <w:t>ajouter des additifs supplémentaires à bord d</w:t>
            </w:r>
            <w:r>
              <w:rPr>
                <w:rStyle w:val="SingleTxtGChar"/>
                <w:bCs/>
                <w:lang w:val="fr-FR"/>
              </w:rPr>
              <w:t xml:space="preserve">es </w:t>
            </w:r>
            <w:r w:rsidRPr="00692C3A">
              <w:rPr>
                <w:rStyle w:val="SingleTxtGChar"/>
                <w:bCs/>
                <w:lang w:val="fr-FR"/>
              </w:rPr>
              <w:t>bateau</w:t>
            </w:r>
            <w:r>
              <w:rPr>
                <w:rStyle w:val="SingleTxtGChar"/>
                <w:bCs/>
                <w:lang w:val="fr-FR"/>
              </w:rPr>
              <w:t>x</w:t>
            </w:r>
            <w:r w:rsidRPr="00692C3A">
              <w:rPr>
                <w:rStyle w:val="SingleTxtGChar"/>
                <w:bCs/>
                <w:lang w:val="fr-FR"/>
              </w:rPr>
              <w:t xml:space="preserve"> dans des circonstances clairement définies </w:t>
            </w:r>
            <w:r>
              <w:rPr>
                <w:rStyle w:val="SingleTxtGChar"/>
                <w:bCs/>
                <w:lang w:val="fr-FR"/>
              </w:rPr>
              <w:t xml:space="preserve">sur la base des </w:t>
            </w:r>
            <w:r w:rsidRPr="00692C3A">
              <w:rPr>
                <w:rStyle w:val="SingleTxtGChar"/>
                <w:bCs/>
                <w:lang w:val="fr-FR"/>
              </w:rPr>
              <w:t xml:space="preserve">propositions </w:t>
            </w:r>
            <w:r>
              <w:rPr>
                <w:rStyle w:val="SingleTxtGChar"/>
                <w:bCs/>
                <w:lang w:val="fr-FR"/>
              </w:rPr>
              <w:t xml:space="preserve">existantes </w:t>
            </w:r>
            <w:r w:rsidRPr="00692C3A">
              <w:rPr>
                <w:rStyle w:val="SingleTxtGChar"/>
                <w:bCs/>
                <w:lang w:val="fr-FR"/>
              </w:rPr>
              <w:t xml:space="preserve">et </w:t>
            </w:r>
            <w:r>
              <w:rPr>
                <w:rStyle w:val="SingleTxtGChar"/>
                <w:bCs/>
                <w:lang w:val="fr-FR"/>
              </w:rPr>
              <w:t xml:space="preserve">permettre de continuer à </w:t>
            </w:r>
            <w:r w:rsidRPr="00692C3A">
              <w:rPr>
                <w:rStyle w:val="SingleTxtGChar"/>
                <w:bCs/>
                <w:lang w:val="fr-FR"/>
              </w:rPr>
              <w:t xml:space="preserve">utiliser </w:t>
            </w:r>
            <w:r>
              <w:rPr>
                <w:rStyle w:val="SingleTxtGChar"/>
                <w:bCs/>
                <w:lang w:val="fr-FR"/>
              </w:rPr>
              <w:t xml:space="preserve">en toute sécurité </w:t>
            </w:r>
            <w:r w:rsidRPr="00692C3A">
              <w:rPr>
                <w:rStyle w:val="SingleTxtGChar"/>
                <w:bCs/>
                <w:lang w:val="fr-FR"/>
              </w:rPr>
              <w:t>les installations de dosage mobiles à bord des bateaux.</w:t>
            </w:r>
          </w:p>
        </w:tc>
      </w:tr>
      <w:tr w:rsidR="00D02C62" w14:paraId="44EFFD28" w14:textId="77777777" w:rsidTr="004E7A97">
        <w:trPr>
          <w:jc w:val="center"/>
        </w:trPr>
        <w:tc>
          <w:tcPr>
            <w:tcW w:w="9637" w:type="dxa"/>
            <w:tcBorders>
              <w:top w:val="nil"/>
            </w:tcBorders>
            <w:shd w:val="clear" w:color="auto" w:fill="auto"/>
          </w:tcPr>
          <w:p w14:paraId="5E4CD764" w14:textId="77777777" w:rsidR="00D02C62" w:rsidRDefault="00D02C62"/>
        </w:tc>
      </w:tr>
    </w:tbl>
    <w:p w14:paraId="7FE8D6A2" w14:textId="77777777" w:rsidR="004E7A97" w:rsidRPr="00692C3A" w:rsidRDefault="004E7A97" w:rsidP="004E7A97">
      <w:pPr>
        <w:pStyle w:val="HChG"/>
        <w:rPr>
          <w:lang w:val="fr-FR"/>
        </w:rPr>
      </w:pPr>
      <w:r>
        <w:rPr>
          <w:lang w:val="fr-FR"/>
        </w:rPr>
        <w:tab/>
      </w:r>
      <w:r>
        <w:rPr>
          <w:lang w:val="fr-FR"/>
        </w:rPr>
        <w:tab/>
      </w:r>
      <w:r>
        <w:rPr>
          <w:bCs/>
          <w:lang w:val="fr-FR"/>
        </w:rPr>
        <w:t>Introduction</w:t>
      </w:r>
    </w:p>
    <w:p w14:paraId="227EFF83" w14:textId="60C98AF5" w:rsidR="004E7A97" w:rsidRPr="00692C3A" w:rsidRDefault="004E7A97" w:rsidP="004E7A97">
      <w:pPr>
        <w:pStyle w:val="SingleTxtG"/>
        <w:rPr>
          <w:lang w:val="fr-FR"/>
        </w:rPr>
      </w:pPr>
      <w:r>
        <w:rPr>
          <w:lang w:val="fr-FR"/>
        </w:rPr>
        <w:t>1.</w:t>
      </w:r>
      <w:r>
        <w:rPr>
          <w:lang w:val="fr-FR"/>
        </w:rPr>
        <w:tab/>
        <w:t>À la session du Comité de sécurité de l</w:t>
      </w:r>
      <w:r>
        <w:rPr>
          <w:lang w:val="fr-FR"/>
        </w:rPr>
        <w:t>’</w:t>
      </w:r>
      <w:r>
        <w:rPr>
          <w:lang w:val="fr-FR"/>
        </w:rPr>
        <w:t>ADN tenue en août 2023, le représentant de l</w:t>
      </w:r>
      <w:r>
        <w:rPr>
          <w:lang w:val="fr-FR"/>
        </w:rPr>
        <w:t>’</w:t>
      </w:r>
      <w:r>
        <w:rPr>
          <w:lang w:val="fr-FR"/>
        </w:rPr>
        <w:t>Allemagne a proposé de faire le point sur les observations complémentaires reçues au sujet de l</w:t>
      </w:r>
      <w:r>
        <w:rPr>
          <w:lang w:val="fr-FR"/>
        </w:rPr>
        <w:t>’</w:t>
      </w:r>
      <w:r>
        <w:rPr>
          <w:lang w:val="fr-FR"/>
        </w:rPr>
        <w:t>ouverture d</w:t>
      </w:r>
      <w:r>
        <w:rPr>
          <w:lang w:val="fr-FR"/>
        </w:rPr>
        <w:t>’</w:t>
      </w:r>
      <w:r>
        <w:rPr>
          <w:lang w:val="fr-FR"/>
        </w:rPr>
        <w:t>orifices, en vue des discussions qui auraient lieu à la session de janvier 2024. Une liste des paragraphes concernés figure dans le rapport publié sous la cote ECE/TRANS/WP.15/AC.2/86.</w:t>
      </w:r>
    </w:p>
    <w:p w14:paraId="7D1D0566" w14:textId="19C45694" w:rsidR="004E7A97" w:rsidRPr="00692C3A" w:rsidRDefault="004E7A97" w:rsidP="004E7A97">
      <w:pPr>
        <w:pStyle w:val="SingleTxtG"/>
        <w:rPr>
          <w:lang w:val="fr-FR"/>
        </w:rPr>
      </w:pPr>
      <w:r>
        <w:rPr>
          <w:lang w:val="fr-FR"/>
        </w:rPr>
        <w:t>2.</w:t>
      </w:r>
      <w:r>
        <w:rPr>
          <w:lang w:val="fr-FR"/>
        </w:rPr>
        <w:tab/>
      </w:r>
      <w:proofErr w:type="spellStart"/>
      <w:r>
        <w:rPr>
          <w:lang w:val="fr-FR"/>
        </w:rPr>
        <w:t>FuelsEurope</w:t>
      </w:r>
      <w:proofErr w:type="spellEnd"/>
      <w:r>
        <w:rPr>
          <w:lang w:val="fr-FR"/>
        </w:rPr>
        <w:t xml:space="preserve"> salue les propositions figurant dans le document ECE/TRANS/WP.15/</w:t>
      </w:r>
      <w:r w:rsidR="00B52060">
        <w:rPr>
          <w:lang w:val="fr-FR"/>
        </w:rPr>
        <w:t xml:space="preserve"> </w:t>
      </w:r>
      <w:r>
        <w:rPr>
          <w:lang w:val="fr-FR"/>
        </w:rPr>
        <w:t>AC.2/2023/47. Cependant, le secteur a fait remarquer qu</w:t>
      </w:r>
      <w:r>
        <w:rPr>
          <w:lang w:val="fr-FR"/>
        </w:rPr>
        <w:t>’</w:t>
      </w:r>
      <w:r>
        <w:rPr>
          <w:lang w:val="fr-FR"/>
        </w:rPr>
        <w:t>elles ne tenaient pas pleinement compte des besoins des remplisseurs dans le déroulement opérationnel d</w:t>
      </w:r>
      <w:r>
        <w:rPr>
          <w:lang w:val="fr-FR"/>
        </w:rPr>
        <w:t>’</w:t>
      </w:r>
      <w:r>
        <w:rPr>
          <w:lang w:val="fr-FR"/>
        </w:rPr>
        <w:t>un transport de marchandises dangereuses liquides.</w:t>
      </w:r>
    </w:p>
    <w:p w14:paraId="5D651ED3" w14:textId="2EE4C773" w:rsidR="004E7A97" w:rsidRPr="00692C3A" w:rsidRDefault="004E7A97" w:rsidP="004E7A97">
      <w:pPr>
        <w:pStyle w:val="SingleTxtG"/>
        <w:rPr>
          <w:lang w:val="fr-FR"/>
        </w:rPr>
      </w:pPr>
      <w:r>
        <w:rPr>
          <w:lang w:val="fr-FR"/>
        </w:rPr>
        <w:t>3.</w:t>
      </w:r>
      <w:r>
        <w:rPr>
          <w:lang w:val="fr-FR"/>
        </w:rPr>
        <w:tab/>
        <w:t>Les besoins susmentionnés concernent l</w:t>
      </w:r>
      <w:r>
        <w:rPr>
          <w:lang w:val="fr-FR"/>
        </w:rPr>
        <w:t>’</w:t>
      </w:r>
      <w:r>
        <w:rPr>
          <w:lang w:val="fr-FR"/>
        </w:rPr>
        <w:t>ajout d</w:t>
      </w:r>
      <w:r>
        <w:rPr>
          <w:lang w:val="fr-FR"/>
        </w:rPr>
        <w:t>’</w:t>
      </w:r>
      <w:r>
        <w:rPr>
          <w:lang w:val="fr-FR"/>
        </w:rPr>
        <w:t xml:space="preserve">additifs supplémentaires à bord des bateaux-citernes de navigation intérieure. </w:t>
      </w:r>
      <w:proofErr w:type="spellStart"/>
      <w:r>
        <w:rPr>
          <w:lang w:val="fr-FR"/>
        </w:rPr>
        <w:t>FuelsEurope</w:t>
      </w:r>
      <w:proofErr w:type="spellEnd"/>
      <w:r>
        <w:rPr>
          <w:lang w:val="fr-FR"/>
        </w:rPr>
        <w:t xml:space="preserve"> soumet dans le présent document des propositions s</w:t>
      </w:r>
      <w:r>
        <w:rPr>
          <w:lang w:val="fr-FR"/>
        </w:rPr>
        <w:t>’</w:t>
      </w:r>
      <w:r>
        <w:rPr>
          <w:lang w:val="fr-FR"/>
        </w:rPr>
        <w:t>appuyant sur celles formulées dans le document ECE/TRANS/WP.15/</w:t>
      </w:r>
      <w:r w:rsidR="00B52060">
        <w:rPr>
          <w:lang w:val="fr-FR"/>
        </w:rPr>
        <w:t xml:space="preserve"> </w:t>
      </w:r>
      <w:r>
        <w:rPr>
          <w:lang w:val="fr-FR"/>
        </w:rPr>
        <w:t>AC.2/2023/47, afin de faciliter les débats et la comparaison des dispositions.</w:t>
      </w:r>
    </w:p>
    <w:p w14:paraId="0B5C7FC3" w14:textId="1EDD58F4" w:rsidR="004E7A97" w:rsidRPr="00692C3A" w:rsidRDefault="004E7A97" w:rsidP="004E7A97">
      <w:pPr>
        <w:pStyle w:val="SingleTxtG"/>
        <w:rPr>
          <w:lang w:val="fr-FR"/>
        </w:rPr>
      </w:pPr>
      <w:r>
        <w:rPr>
          <w:lang w:val="fr-FR"/>
        </w:rPr>
        <w:t>4.</w:t>
      </w:r>
      <w:r>
        <w:rPr>
          <w:lang w:val="fr-FR"/>
        </w:rPr>
        <w:tab/>
        <w:t>À l</w:t>
      </w:r>
      <w:r>
        <w:rPr>
          <w:lang w:val="fr-FR"/>
        </w:rPr>
        <w:t>’</w:t>
      </w:r>
      <w:r>
        <w:rPr>
          <w:lang w:val="fr-FR"/>
        </w:rPr>
        <w:t>instar de l</w:t>
      </w:r>
      <w:r>
        <w:rPr>
          <w:lang w:val="fr-FR"/>
        </w:rPr>
        <w:t>’</w:t>
      </w:r>
      <w:r>
        <w:rPr>
          <w:lang w:val="fr-FR"/>
        </w:rPr>
        <w:t>ajout de stabilisateur supplémentaire décrit dans la proposition de l</w:t>
      </w:r>
      <w:r>
        <w:rPr>
          <w:lang w:val="fr-FR"/>
        </w:rPr>
        <w:t>’</w:t>
      </w:r>
      <w:r>
        <w:rPr>
          <w:lang w:val="fr-FR"/>
        </w:rPr>
        <w:t>Allemagne, l</w:t>
      </w:r>
      <w:r>
        <w:rPr>
          <w:lang w:val="fr-FR"/>
        </w:rPr>
        <w:t>’</w:t>
      </w:r>
      <w:r>
        <w:rPr>
          <w:lang w:val="fr-FR"/>
        </w:rPr>
        <w:t>ajout d</w:t>
      </w:r>
      <w:r>
        <w:rPr>
          <w:lang w:val="fr-FR"/>
        </w:rPr>
        <w:t>’</w:t>
      </w:r>
      <w:r>
        <w:rPr>
          <w:lang w:val="fr-FR"/>
        </w:rPr>
        <w:t>autres additifs à bord peut également être effectué sans danger.</w:t>
      </w:r>
    </w:p>
    <w:p w14:paraId="769E2006" w14:textId="1056F756" w:rsidR="004E7A97" w:rsidRPr="00692C3A" w:rsidRDefault="004E7A97" w:rsidP="004E7A97">
      <w:pPr>
        <w:pStyle w:val="SingleTxtG"/>
        <w:rPr>
          <w:lang w:val="fr-FR"/>
        </w:rPr>
      </w:pPr>
      <w:r>
        <w:rPr>
          <w:lang w:val="fr-FR"/>
        </w:rPr>
        <w:t>5.</w:t>
      </w:r>
      <w:r>
        <w:rPr>
          <w:lang w:val="fr-FR"/>
        </w:rPr>
        <w:tab/>
        <w:t>Les propositions sont en parfait accord avec les principes de l</w:t>
      </w:r>
      <w:r>
        <w:rPr>
          <w:lang w:val="fr-FR"/>
        </w:rPr>
        <w:t>’</w:t>
      </w:r>
      <w:r>
        <w:rPr>
          <w:lang w:val="fr-FR"/>
        </w:rPr>
        <w:t>ADN, repris ci-dessous, tels que convenus entre les Parties contractantes, à savoir :</w:t>
      </w:r>
    </w:p>
    <w:p w14:paraId="3B029E2A" w14:textId="77777777" w:rsidR="004E7A97" w:rsidRPr="00692C3A" w:rsidRDefault="004E7A97" w:rsidP="004E7A9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b/>
          <w:sz w:val="22"/>
          <w:lang w:val="fr-FR"/>
        </w:rPr>
      </w:pPr>
      <w:r>
        <w:rPr>
          <w:lang w:val="fr-FR"/>
        </w:rPr>
        <w:t>« </w:t>
      </w:r>
      <w:r>
        <w:rPr>
          <w:b/>
          <w:bCs/>
          <w:lang w:val="fr-FR"/>
        </w:rPr>
        <w:t xml:space="preserve">ACCORD EUROPÉEN RELATIF AU TRANSPORT INTERNATIONAL </w:t>
      </w:r>
      <w:r>
        <w:rPr>
          <w:b/>
          <w:bCs/>
          <w:lang w:val="fr-FR"/>
        </w:rPr>
        <w:br/>
        <w:t xml:space="preserve">DES MARCHANDISES DANGEREUSES PAR VOIES </w:t>
      </w:r>
      <w:r>
        <w:rPr>
          <w:b/>
          <w:bCs/>
          <w:lang w:val="fr-FR"/>
        </w:rPr>
        <w:br/>
        <w:t>DE NAVIGATION INTÉRIEURES (ADN)</w:t>
      </w:r>
    </w:p>
    <w:p w14:paraId="6E8A6C00" w14:textId="77777777" w:rsidR="004E7A97" w:rsidRPr="00692C3A" w:rsidRDefault="004E7A97" w:rsidP="00033B35">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val="0"/>
        <w:kinsoku/>
        <w:overflowPunct/>
        <w:autoSpaceDE/>
        <w:autoSpaceDN/>
        <w:adjustRightInd/>
        <w:snapToGrid/>
        <w:spacing w:before="120" w:after="120"/>
        <w:ind w:left="1134" w:firstLine="567"/>
        <w:rPr>
          <w:b/>
          <w:sz w:val="22"/>
          <w:lang w:val="fr-FR"/>
        </w:rPr>
      </w:pPr>
      <w:r>
        <w:rPr>
          <w:b/>
          <w:bCs/>
          <w:lang w:val="fr-FR"/>
        </w:rPr>
        <w:t>LES PARTIES CONTRACTANTES,</w:t>
      </w:r>
    </w:p>
    <w:p w14:paraId="4F5E3768" w14:textId="0EA87368" w:rsidR="004E7A97" w:rsidRPr="004E7A97" w:rsidRDefault="004E7A97" w:rsidP="004E7A9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1134" w:right="1134" w:firstLine="567"/>
        <w:jc w:val="both"/>
        <w:rPr>
          <w:bCs/>
          <w:sz w:val="22"/>
          <w:szCs w:val="22"/>
          <w:lang w:val="fr-FR"/>
        </w:rPr>
      </w:pPr>
      <w:r w:rsidRPr="001C005C">
        <w:rPr>
          <w:b/>
          <w:bCs/>
          <w:sz w:val="22"/>
          <w:szCs w:val="22"/>
          <w:lang w:val="fr-FR"/>
        </w:rPr>
        <w:t>DÉSIREUSES</w:t>
      </w:r>
      <w:r w:rsidRPr="001C005C">
        <w:rPr>
          <w:sz w:val="22"/>
          <w:szCs w:val="22"/>
          <w:lang w:val="fr-FR"/>
        </w:rPr>
        <w:t xml:space="preserve"> d</w:t>
      </w:r>
      <w:r>
        <w:rPr>
          <w:sz w:val="22"/>
          <w:szCs w:val="22"/>
          <w:lang w:val="fr-FR"/>
        </w:rPr>
        <w:t>’</w:t>
      </w:r>
      <w:r w:rsidRPr="001C005C">
        <w:rPr>
          <w:sz w:val="22"/>
          <w:szCs w:val="22"/>
          <w:lang w:val="fr-FR"/>
        </w:rPr>
        <w:t>établir d</w:t>
      </w:r>
      <w:r>
        <w:rPr>
          <w:sz w:val="22"/>
          <w:szCs w:val="22"/>
          <w:lang w:val="fr-FR"/>
        </w:rPr>
        <w:t>’</w:t>
      </w:r>
      <w:r w:rsidRPr="001C005C">
        <w:rPr>
          <w:sz w:val="22"/>
          <w:szCs w:val="22"/>
          <w:lang w:val="fr-FR"/>
        </w:rPr>
        <w:t>un commun accord des principes et des règles uniformes aux fins :</w:t>
      </w:r>
    </w:p>
    <w:p w14:paraId="6C8070E9" w14:textId="565C87EA" w:rsidR="004E7A97" w:rsidRPr="001C005C" w:rsidRDefault="004E7A97" w:rsidP="00033B35">
      <w:pPr>
        <w:pStyle w:val="SingleTxtG"/>
        <w:ind w:firstLine="567"/>
        <w:rPr>
          <w:lang w:val="fr-FR"/>
        </w:rPr>
      </w:pPr>
      <w:r w:rsidRPr="001C005C">
        <w:rPr>
          <w:lang w:val="fr-FR"/>
        </w:rPr>
        <w:t>a)</w:t>
      </w:r>
      <w:r w:rsidRPr="001C005C">
        <w:rPr>
          <w:lang w:val="fr-FR"/>
        </w:rPr>
        <w:tab/>
        <w:t>d</w:t>
      </w:r>
      <w:r>
        <w:rPr>
          <w:lang w:val="fr-FR"/>
        </w:rPr>
        <w:t>’</w:t>
      </w:r>
      <w:r w:rsidRPr="001C005C">
        <w:rPr>
          <w:lang w:val="fr-FR"/>
        </w:rPr>
        <w:t>accroître la sécurité des transports internationaux des marchandises dangereuses par voies de navigation intérieures</w:t>
      </w:r>
      <w:r>
        <w:rPr>
          <w:lang w:val="fr-FR"/>
        </w:rPr>
        <w:t> </w:t>
      </w:r>
      <w:r w:rsidRPr="001C005C">
        <w:rPr>
          <w:lang w:val="fr-FR"/>
        </w:rPr>
        <w:t>;</w:t>
      </w:r>
    </w:p>
    <w:p w14:paraId="16789C93" w14:textId="3C59F716" w:rsidR="004E7A97" w:rsidRPr="001C005C" w:rsidRDefault="004E7A97" w:rsidP="00033B35">
      <w:pPr>
        <w:pStyle w:val="SingleTxtG"/>
        <w:ind w:firstLine="567"/>
        <w:rPr>
          <w:lang w:val="fr-FR"/>
        </w:rPr>
      </w:pPr>
      <w:r w:rsidRPr="001C005C">
        <w:rPr>
          <w:lang w:val="fr-FR"/>
        </w:rPr>
        <w:t>b)</w:t>
      </w:r>
      <w:r w:rsidRPr="001C005C">
        <w:rPr>
          <w:lang w:val="fr-FR"/>
        </w:rPr>
        <w:tab/>
        <w:t>de contribuer de manière efficace à la protection de l</w:t>
      </w:r>
      <w:r>
        <w:rPr>
          <w:lang w:val="fr-FR"/>
        </w:rPr>
        <w:t>’</w:t>
      </w:r>
      <w:r w:rsidRPr="001C005C">
        <w:rPr>
          <w:lang w:val="fr-FR"/>
        </w:rPr>
        <w:t>environnement, par la prévention de la pollution qui pourrait résulter d</w:t>
      </w:r>
      <w:r>
        <w:rPr>
          <w:lang w:val="fr-FR"/>
        </w:rPr>
        <w:t>’</w:t>
      </w:r>
      <w:r w:rsidRPr="001C005C">
        <w:rPr>
          <w:lang w:val="fr-FR"/>
        </w:rPr>
        <w:t>accidents et d</w:t>
      </w:r>
      <w:r>
        <w:rPr>
          <w:lang w:val="fr-FR"/>
        </w:rPr>
        <w:t>’</w:t>
      </w:r>
      <w:r w:rsidRPr="001C005C">
        <w:rPr>
          <w:lang w:val="fr-FR"/>
        </w:rPr>
        <w:t>incidents au cours de ces transports</w:t>
      </w:r>
      <w:r>
        <w:rPr>
          <w:lang w:val="fr-FR"/>
        </w:rPr>
        <w:t> </w:t>
      </w:r>
      <w:r w:rsidRPr="001C005C">
        <w:rPr>
          <w:lang w:val="fr-FR"/>
        </w:rPr>
        <w:t>; et</w:t>
      </w:r>
    </w:p>
    <w:p w14:paraId="2C1B65AE" w14:textId="640F95E0" w:rsidR="004E7A97" w:rsidRPr="001C005C" w:rsidRDefault="004E7A97" w:rsidP="00033B35">
      <w:pPr>
        <w:pStyle w:val="SingleTxtG"/>
        <w:ind w:firstLine="567"/>
        <w:rPr>
          <w:lang w:val="fr-FR"/>
        </w:rPr>
      </w:pPr>
      <w:r w:rsidRPr="001C005C">
        <w:rPr>
          <w:lang w:val="fr-FR"/>
        </w:rPr>
        <w:t>c)</w:t>
      </w:r>
      <w:r w:rsidRPr="001C005C">
        <w:rPr>
          <w:lang w:val="fr-FR"/>
        </w:rPr>
        <w:tab/>
        <w:t>de faciliter les opérations de transport et de promouvoir le commerce international</w:t>
      </w:r>
      <w:r w:rsidR="00F9025A">
        <w:rPr>
          <w:lang w:val="fr-FR"/>
        </w:rPr>
        <w:t>.</w:t>
      </w:r>
      <w:r w:rsidRPr="001C005C">
        <w:rPr>
          <w:lang w:val="fr-FR"/>
        </w:rPr>
        <w:t> ».</w:t>
      </w:r>
    </w:p>
    <w:p w14:paraId="3218997B" w14:textId="55664615" w:rsidR="004E7A97" w:rsidRPr="00692C3A" w:rsidRDefault="004E7A97" w:rsidP="004E7A97">
      <w:pPr>
        <w:pStyle w:val="HChG"/>
        <w:rPr>
          <w:lang w:val="fr-FR"/>
        </w:rPr>
      </w:pPr>
      <w:r>
        <w:rPr>
          <w:lang w:val="fr-FR"/>
        </w:rPr>
        <w:tab/>
        <w:t>I.</w:t>
      </w:r>
      <w:r>
        <w:rPr>
          <w:lang w:val="fr-FR"/>
        </w:rPr>
        <w:tab/>
        <w:t>Propositions visant à permettre l</w:t>
      </w:r>
      <w:r>
        <w:rPr>
          <w:lang w:val="fr-FR"/>
        </w:rPr>
        <w:t>’</w:t>
      </w:r>
      <w:r>
        <w:rPr>
          <w:lang w:val="fr-FR"/>
        </w:rPr>
        <w:t>ajout d</w:t>
      </w:r>
      <w:r>
        <w:rPr>
          <w:lang w:val="fr-FR"/>
        </w:rPr>
        <w:t>’</w:t>
      </w:r>
      <w:r>
        <w:rPr>
          <w:lang w:val="fr-FR"/>
        </w:rPr>
        <w:t>additifs supplémentaires</w:t>
      </w:r>
    </w:p>
    <w:p w14:paraId="74C4D248" w14:textId="7B6BDBB7" w:rsidR="004E7A97" w:rsidRPr="00692C3A" w:rsidRDefault="004E7A97" w:rsidP="004E7A97">
      <w:pPr>
        <w:pStyle w:val="SingleTxtG"/>
        <w:rPr>
          <w:lang w:val="fr-FR"/>
        </w:rPr>
      </w:pPr>
      <w:r>
        <w:rPr>
          <w:lang w:val="fr-FR"/>
        </w:rPr>
        <w:t>6.</w:t>
      </w:r>
      <w:r>
        <w:rPr>
          <w:lang w:val="fr-FR"/>
        </w:rPr>
        <w:tab/>
      </w:r>
      <w:proofErr w:type="spellStart"/>
      <w:r>
        <w:rPr>
          <w:lang w:val="fr-FR"/>
        </w:rPr>
        <w:t>FuelsEurope</w:t>
      </w:r>
      <w:proofErr w:type="spellEnd"/>
      <w:r>
        <w:rPr>
          <w:lang w:val="fr-FR"/>
        </w:rPr>
        <w:t xml:space="preserve"> propose de modifier le 7.2.4.22.1. Cette modification ayant une incidence sur d</w:t>
      </w:r>
      <w:r>
        <w:rPr>
          <w:lang w:val="fr-FR"/>
        </w:rPr>
        <w:t>’</w:t>
      </w:r>
      <w:r>
        <w:rPr>
          <w:lang w:val="fr-FR"/>
        </w:rPr>
        <w:t xml:space="preserve">autres dispositions, il est également tenu compte de ces dernières. Il est donc </w:t>
      </w:r>
      <w:r>
        <w:rPr>
          <w:lang w:val="fr-FR"/>
        </w:rPr>
        <w:lastRenderedPageBreak/>
        <w:t>proposé d</w:t>
      </w:r>
      <w:r>
        <w:rPr>
          <w:lang w:val="fr-FR"/>
        </w:rPr>
        <w:t>’</w:t>
      </w:r>
      <w:r>
        <w:rPr>
          <w:lang w:val="fr-FR"/>
        </w:rPr>
        <w:t>apporter des modifications au 7.2.4.22 (les modifications figurent en caractères</w:t>
      </w:r>
      <w:r>
        <w:rPr>
          <w:b/>
          <w:bCs/>
          <w:lang w:val="fr-FR"/>
        </w:rPr>
        <w:t xml:space="preserve"> </w:t>
      </w:r>
      <w:r>
        <w:rPr>
          <w:b/>
          <w:bCs/>
          <w:u w:val="single"/>
          <w:lang w:val="fr-FR"/>
        </w:rPr>
        <w:t>gras et soulignés</w:t>
      </w:r>
      <w:r>
        <w:rPr>
          <w:lang w:val="fr-FR"/>
        </w:rPr>
        <w:t xml:space="preserve"> pour les ajouts et </w:t>
      </w:r>
      <w:r>
        <w:rPr>
          <w:strike/>
          <w:lang w:val="fr-FR"/>
        </w:rPr>
        <w:t>biffés</w:t>
      </w:r>
      <w:r>
        <w:rPr>
          <w:lang w:val="fr-FR"/>
        </w:rPr>
        <w:t xml:space="preserve"> pour les suppressions).</w:t>
      </w:r>
    </w:p>
    <w:p w14:paraId="3DC402C0" w14:textId="655EE45A" w:rsidR="004E7A97" w:rsidRPr="001C005C" w:rsidRDefault="004E7A97" w:rsidP="004E7A97">
      <w:pPr>
        <w:pStyle w:val="SingleTxtG"/>
        <w:rPr>
          <w:lang w:val="fr-FR"/>
        </w:rPr>
      </w:pPr>
      <w:r>
        <w:rPr>
          <w:lang w:val="fr-FR"/>
        </w:rPr>
        <w:t>7.</w:t>
      </w:r>
      <w:r>
        <w:rPr>
          <w:lang w:val="fr-FR"/>
        </w:rPr>
        <w:tab/>
        <w:t>Modifier le 7.2.4.22 (« Ouverture d</w:t>
      </w:r>
      <w:r>
        <w:rPr>
          <w:lang w:val="fr-FR"/>
        </w:rPr>
        <w:t>’</w:t>
      </w:r>
      <w:r>
        <w:rPr>
          <w:lang w:val="fr-FR"/>
        </w:rPr>
        <w:t>orifices des citernes à cargaison (généralités) ») comme suit :</w:t>
      </w:r>
    </w:p>
    <w:p w14:paraId="23AA5D7D" w14:textId="77777777" w:rsidR="004E7A97" w:rsidRPr="00692C3A" w:rsidRDefault="004E7A97" w:rsidP="004E7A97">
      <w:pPr>
        <w:pStyle w:val="Bullet1G"/>
        <w:numPr>
          <w:ilvl w:val="0"/>
          <w:numId w:val="17"/>
        </w:numPr>
        <w:suppressAutoHyphens w:val="0"/>
        <w:kinsoku/>
        <w:overflowPunct/>
        <w:autoSpaceDE/>
        <w:autoSpaceDN/>
        <w:adjustRightInd/>
        <w:snapToGrid/>
        <w:rPr>
          <w:lang w:val="fr-FR"/>
        </w:rPr>
      </w:pPr>
      <w:r>
        <w:rPr>
          <w:lang w:val="fr-FR"/>
        </w:rPr>
        <w:t>7.2.4.22.1, ajouter un nouveau tiret libellé comme suit :</w:t>
      </w:r>
    </w:p>
    <w:p w14:paraId="59D140CD" w14:textId="3FCF5929" w:rsidR="004E7A97" w:rsidRPr="00692C3A" w:rsidRDefault="004E7A97" w:rsidP="004E7A97">
      <w:pPr>
        <w:pStyle w:val="SingleTxtG"/>
        <w:ind w:left="1701"/>
        <w:rPr>
          <w:b/>
          <w:bCs/>
          <w:u w:val="single"/>
          <w:lang w:val="fr-FR"/>
        </w:rPr>
      </w:pPr>
      <w:r w:rsidRPr="001C005C">
        <w:rPr>
          <w:lang w:val="fr-FR"/>
        </w:rPr>
        <w:t>« </w:t>
      </w:r>
      <w:r w:rsidRPr="007E3998">
        <w:rPr>
          <w:b/>
          <w:bCs/>
          <w:u w:val="single"/>
          <w:lang w:val="fr-FR"/>
        </w:rPr>
        <w:t>pour l</w:t>
      </w:r>
      <w:r>
        <w:rPr>
          <w:b/>
          <w:bCs/>
          <w:u w:val="single"/>
          <w:lang w:val="fr-FR"/>
        </w:rPr>
        <w:t>’</w:t>
      </w:r>
      <w:r w:rsidRPr="007E3998">
        <w:rPr>
          <w:b/>
          <w:bCs/>
          <w:u w:val="single"/>
          <w:lang w:val="fr-FR"/>
        </w:rPr>
        <w:t>ajout</w:t>
      </w:r>
      <w:r>
        <w:rPr>
          <w:b/>
          <w:bCs/>
          <w:u w:val="single"/>
          <w:lang w:val="fr-FR"/>
        </w:rPr>
        <w:t xml:space="preserve"> d</w:t>
      </w:r>
      <w:r>
        <w:rPr>
          <w:b/>
          <w:bCs/>
          <w:u w:val="single"/>
          <w:lang w:val="fr-FR"/>
        </w:rPr>
        <w:t>’</w:t>
      </w:r>
      <w:r>
        <w:rPr>
          <w:b/>
          <w:bCs/>
          <w:u w:val="single"/>
          <w:lang w:val="fr-FR"/>
        </w:rPr>
        <w:t>autres additifs dans des cas exceptionnels, après le chargement mais avant le début du voyage, ou après la fin du voyage mais avant le déchargement.</w:t>
      </w:r>
      <w:r w:rsidRPr="001C005C">
        <w:rPr>
          <w:lang w:val="fr-FR"/>
        </w:rPr>
        <w:t> »</w:t>
      </w:r>
      <w:r>
        <w:rPr>
          <w:lang w:val="fr-FR"/>
        </w:rPr>
        <w:t>.</w:t>
      </w:r>
    </w:p>
    <w:p w14:paraId="4BAFE1BF" w14:textId="64795BE0" w:rsidR="004E7A97" w:rsidRPr="00692C3A" w:rsidRDefault="004E7A97" w:rsidP="004E7A97">
      <w:pPr>
        <w:pStyle w:val="Bullet1G"/>
        <w:numPr>
          <w:ilvl w:val="0"/>
          <w:numId w:val="17"/>
        </w:numPr>
        <w:suppressAutoHyphens w:val="0"/>
        <w:kinsoku/>
        <w:overflowPunct/>
        <w:autoSpaceDE/>
        <w:autoSpaceDN/>
        <w:adjustRightInd/>
        <w:snapToGrid/>
        <w:rPr>
          <w:u w:val="single"/>
          <w:lang w:val="fr-FR"/>
        </w:rPr>
      </w:pPr>
      <w:r>
        <w:rPr>
          <w:lang w:val="fr-FR"/>
        </w:rPr>
        <w:t>7.2.4.22.6, lire :</w:t>
      </w:r>
      <w:r>
        <w:rPr>
          <w:lang w:val="fr-FR"/>
        </w:rPr>
        <w:tab/>
        <w:t>« Si la conduite d</w:t>
      </w:r>
      <w:r>
        <w:rPr>
          <w:lang w:val="fr-FR"/>
        </w:rPr>
        <w:t>’</w:t>
      </w:r>
      <w:r>
        <w:rPr>
          <w:lang w:val="fr-FR"/>
        </w:rPr>
        <w:t>évacuation de gaz est équipée d</w:t>
      </w:r>
      <w:r>
        <w:rPr>
          <w:lang w:val="fr-FR"/>
        </w:rPr>
        <w:t>’</w:t>
      </w:r>
      <w:r>
        <w:rPr>
          <w:lang w:val="fr-FR"/>
        </w:rPr>
        <w:t>un coupe</w:t>
      </w:r>
      <w:r w:rsidR="00F9025A">
        <w:rPr>
          <w:lang w:val="fr-FR"/>
        </w:rPr>
        <w:noBreakHyphen/>
      </w:r>
      <w:r>
        <w:rPr>
          <w:lang w:val="fr-FR"/>
        </w:rPr>
        <w:t>flammes au point de raccordement à la citerne à cargaison, conformément au 9.3.2.22.4 b)/9.3.3.22.4 d), le carter de ce coupe-flammes peut être ouvert à des fins de prise d</w:t>
      </w:r>
      <w:r>
        <w:rPr>
          <w:lang w:val="fr-FR"/>
        </w:rPr>
        <w:t>’</w:t>
      </w:r>
      <w:r>
        <w:rPr>
          <w:lang w:val="fr-FR"/>
        </w:rPr>
        <w:t>échantillons, d</w:t>
      </w:r>
      <w:r>
        <w:rPr>
          <w:lang w:val="fr-FR"/>
        </w:rPr>
        <w:t>’</w:t>
      </w:r>
      <w:r>
        <w:rPr>
          <w:lang w:val="fr-FR"/>
        </w:rPr>
        <w:t>inspection visuelle, de détermination du niveau de remplissage de la citerne ou d</w:t>
      </w:r>
      <w:r>
        <w:rPr>
          <w:lang w:val="fr-FR"/>
        </w:rPr>
        <w:t>’</w:t>
      </w:r>
      <w:r>
        <w:rPr>
          <w:lang w:val="fr-FR"/>
        </w:rPr>
        <w:t xml:space="preserve">ajout de stabilisateurs </w:t>
      </w:r>
      <w:r>
        <w:rPr>
          <w:b/>
          <w:bCs/>
          <w:u w:val="single"/>
          <w:lang w:val="fr-FR"/>
        </w:rPr>
        <w:t>ou d</w:t>
      </w:r>
      <w:r>
        <w:rPr>
          <w:b/>
          <w:bCs/>
          <w:u w:val="single"/>
          <w:lang w:val="fr-FR"/>
        </w:rPr>
        <w:t>’</w:t>
      </w:r>
      <w:r>
        <w:rPr>
          <w:b/>
          <w:bCs/>
          <w:u w:val="single"/>
          <w:lang w:val="fr-FR"/>
        </w:rPr>
        <w:t>autres additifs</w:t>
      </w:r>
      <w:r>
        <w:rPr>
          <w:lang w:val="fr-FR"/>
        </w:rPr>
        <w:t xml:space="preserve"> après le chargement. ».</w:t>
      </w:r>
    </w:p>
    <w:p w14:paraId="35743E18" w14:textId="4D305F02" w:rsidR="004E7A97" w:rsidRPr="00692C3A" w:rsidRDefault="004E7A97" w:rsidP="004E7A97">
      <w:pPr>
        <w:pStyle w:val="Bullet1G"/>
        <w:numPr>
          <w:ilvl w:val="0"/>
          <w:numId w:val="17"/>
        </w:numPr>
        <w:suppressAutoHyphens w:val="0"/>
        <w:kinsoku/>
        <w:overflowPunct/>
        <w:autoSpaceDE/>
        <w:autoSpaceDN/>
        <w:adjustRightInd/>
        <w:snapToGrid/>
        <w:rPr>
          <w:lang w:val="fr-FR"/>
        </w:rPr>
      </w:pPr>
      <w:r>
        <w:rPr>
          <w:lang w:val="fr-FR"/>
        </w:rPr>
        <w:t>7.2.4.22.11, lire :</w:t>
      </w:r>
      <w:r>
        <w:rPr>
          <w:lang w:val="fr-FR"/>
        </w:rPr>
        <w:tab/>
        <w:t>« En cas d</w:t>
      </w:r>
      <w:r>
        <w:rPr>
          <w:lang w:val="fr-FR"/>
        </w:rPr>
        <w:t>’</w:t>
      </w:r>
      <w:r>
        <w:rPr>
          <w:lang w:val="fr-FR"/>
        </w:rPr>
        <w:t>opération d</w:t>
      </w:r>
      <w:r>
        <w:rPr>
          <w:lang w:val="fr-FR"/>
        </w:rPr>
        <w:t>’</w:t>
      </w:r>
      <w:r>
        <w:rPr>
          <w:lang w:val="fr-FR"/>
        </w:rPr>
        <w:t>inspection visuelle, de détermination du niveau de remplissage, de mesure de gaz ou d</w:t>
      </w:r>
      <w:r>
        <w:rPr>
          <w:lang w:val="fr-FR"/>
        </w:rPr>
        <w:t>’</w:t>
      </w:r>
      <w:r>
        <w:rPr>
          <w:lang w:val="fr-FR"/>
        </w:rPr>
        <w:t xml:space="preserve">ajout de stabilisateurs </w:t>
      </w:r>
      <w:r>
        <w:rPr>
          <w:b/>
          <w:bCs/>
          <w:u w:val="single"/>
          <w:lang w:val="fr-FR"/>
        </w:rPr>
        <w:t>ou d</w:t>
      </w:r>
      <w:r>
        <w:rPr>
          <w:b/>
          <w:bCs/>
          <w:u w:val="single"/>
          <w:lang w:val="fr-FR"/>
        </w:rPr>
        <w:t>’</w:t>
      </w:r>
      <w:r>
        <w:rPr>
          <w:b/>
          <w:bCs/>
          <w:u w:val="single"/>
          <w:lang w:val="fr-FR"/>
        </w:rPr>
        <w:t>autres additifs</w:t>
      </w:r>
      <w:r>
        <w:rPr>
          <w:lang w:val="fr-FR"/>
        </w:rPr>
        <w:t xml:space="preserve"> après le chargement, les dispositions du 7.2.4.16.8 s</w:t>
      </w:r>
      <w:r>
        <w:rPr>
          <w:lang w:val="fr-FR"/>
        </w:rPr>
        <w:t>’</w:t>
      </w:r>
      <w:r>
        <w:rPr>
          <w:lang w:val="fr-FR"/>
        </w:rPr>
        <w:t>appliquent. ».</w:t>
      </w:r>
    </w:p>
    <w:p w14:paraId="477EF32A" w14:textId="77777777" w:rsidR="004E7A97" w:rsidRPr="00BA6991" w:rsidRDefault="004E7A97" w:rsidP="004E7A97">
      <w:pPr>
        <w:pStyle w:val="SingleTxtG"/>
      </w:pPr>
      <w:r>
        <w:rPr>
          <w:lang w:val="fr-FR"/>
        </w:rPr>
        <w:t>8.</w:t>
      </w:r>
      <w:r>
        <w:rPr>
          <w:lang w:val="fr-FR"/>
        </w:rPr>
        <w:tab/>
        <w:t xml:space="preserve">Modifier le 7.2.4.23 comme suit : </w:t>
      </w:r>
    </w:p>
    <w:p w14:paraId="6C4360EE" w14:textId="602CD911" w:rsidR="004E7A97" w:rsidRPr="00692C3A" w:rsidRDefault="004E7A97" w:rsidP="004E7A97">
      <w:pPr>
        <w:pStyle w:val="Bullet1G"/>
        <w:numPr>
          <w:ilvl w:val="0"/>
          <w:numId w:val="17"/>
        </w:numPr>
        <w:suppressAutoHyphens w:val="0"/>
        <w:kinsoku/>
        <w:overflowPunct/>
        <w:autoSpaceDE/>
        <w:autoSpaceDN/>
        <w:adjustRightInd/>
        <w:snapToGrid/>
        <w:rPr>
          <w:lang w:val="fr-FR"/>
        </w:rPr>
      </w:pPr>
      <w:r>
        <w:rPr>
          <w:lang w:val="fr-FR"/>
        </w:rPr>
        <w:t>7.2.4.23.1.1, lire :</w:t>
      </w:r>
      <w:r>
        <w:rPr>
          <w:lang w:val="fr-FR"/>
        </w:rPr>
        <w:tab/>
        <w:t>« Les citernes à cargaison déchargées ne peuvent être ouvertes à des fins d</w:t>
      </w:r>
      <w:r>
        <w:rPr>
          <w:lang w:val="fr-FR"/>
        </w:rPr>
        <w:t>’</w:t>
      </w:r>
      <w:r>
        <w:rPr>
          <w:lang w:val="fr-FR"/>
        </w:rPr>
        <w:t>inspection visuelle que pour vérifier qu</w:t>
      </w:r>
      <w:r>
        <w:rPr>
          <w:lang w:val="fr-FR"/>
        </w:rPr>
        <w:t>’</w:t>
      </w:r>
      <w:r>
        <w:rPr>
          <w:lang w:val="fr-FR"/>
        </w:rPr>
        <w:t>elles sont vides et/ou propres et uniquement lorsque le bateau n</w:t>
      </w:r>
      <w:r>
        <w:rPr>
          <w:lang w:val="fr-FR"/>
        </w:rPr>
        <w:t>’</w:t>
      </w:r>
      <w:r>
        <w:rPr>
          <w:lang w:val="fr-FR"/>
        </w:rPr>
        <w:t>est pas relié à l</w:t>
      </w:r>
      <w:r>
        <w:rPr>
          <w:lang w:val="fr-FR"/>
        </w:rPr>
        <w:t>’</w:t>
      </w:r>
      <w:r>
        <w:rPr>
          <w:lang w:val="fr-FR"/>
        </w:rPr>
        <w:t>installation à terre</w:t>
      </w:r>
      <w:r>
        <w:rPr>
          <w:b/>
          <w:bCs/>
          <w:u w:val="single"/>
          <w:lang w:val="fr-FR"/>
        </w:rPr>
        <w:t xml:space="preserve"> ou si les dispositifs de vannage du bateau et de l</w:t>
      </w:r>
      <w:r>
        <w:rPr>
          <w:b/>
          <w:bCs/>
          <w:u w:val="single"/>
          <w:lang w:val="fr-FR"/>
        </w:rPr>
        <w:t>’</w:t>
      </w:r>
      <w:r>
        <w:rPr>
          <w:b/>
          <w:bCs/>
          <w:u w:val="single"/>
          <w:lang w:val="fr-FR"/>
        </w:rPr>
        <w:t>installation à terre sont fermés</w:t>
      </w:r>
      <w:r>
        <w:rPr>
          <w:lang w:val="fr-FR"/>
        </w:rPr>
        <w:t>. ».</w:t>
      </w:r>
    </w:p>
    <w:p w14:paraId="6FEA8005" w14:textId="47859FF3" w:rsidR="004E7A97" w:rsidRPr="00692C3A" w:rsidRDefault="004E7A97" w:rsidP="004E7A97">
      <w:pPr>
        <w:pStyle w:val="Bullet1G"/>
        <w:numPr>
          <w:ilvl w:val="0"/>
          <w:numId w:val="17"/>
        </w:numPr>
        <w:suppressAutoHyphens w:val="0"/>
        <w:kinsoku/>
        <w:overflowPunct/>
        <w:autoSpaceDE/>
        <w:autoSpaceDN/>
        <w:adjustRightInd/>
        <w:snapToGrid/>
        <w:rPr>
          <w:rFonts w:eastAsia="SimSun"/>
          <w:lang w:val="fr-FR"/>
        </w:rPr>
      </w:pPr>
      <w:r>
        <w:rPr>
          <w:lang w:val="fr-FR"/>
        </w:rPr>
        <w:t>7.2.4.23.2, lire :</w:t>
      </w:r>
      <w:r>
        <w:rPr>
          <w:lang w:val="fr-FR"/>
        </w:rPr>
        <w:tab/>
        <w:t>« Prise d</w:t>
      </w:r>
      <w:r>
        <w:rPr>
          <w:lang w:val="fr-FR"/>
        </w:rPr>
        <w:t>’</w:t>
      </w:r>
      <w:r>
        <w:rPr>
          <w:lang w:val="fr-FR"/>
        </w:rPr>
        <w:t xml:space="preserve">échantillons, détermination du niveau de remplissage, ajout de stabilisateurs </w:t>
      </w:r>
      <w:r>
        <w:rPr>
          <w:b/>
          <w:bCs/>
          <w:u w:val="single"/>
          <w:lang w:val="fr-FR"/>
        </w:rPr>
        <w:t>ou d</w:t>
      </w:r>
      <w:r>
        <w:rPr>
          <w:b/>
          <w:bCs/>
          <w:u w:val="single"/>
          <w:lang w:val="fr-FR"/>
        </w:rPr>
        <w:t>’</w:t>
      </w:r>
      <w:r>
        <w:rPr>
          <w:b/>
          <w:bCs/>
          <w:u w:val="single"/>
          <w:lang w:val="fr-FR"/>
        </w:rPr>
        <w:t>autres additifs</w:t>
      </w:r>
      <w:r w:rsidRPr="00F9025A">
        <w:rPr>
          <w:lang w:val="fr-FR"/>
        </w:rPr>
        <w:t xml:space="preserve"> </w:t>
      </w:r>
      <w:r>
        <w:rPr>
          <w:lang w:val="fr-FR"/>
        </w:rPr>
        <w:t>et mesures de gaz »</w:t>
      </w:r>
    </w:p>
    <w:p w14:paraId="123E3FDF" w14:textId="4C98F6A2" w:rsidR="004E7A97" w:rsidRPr="00692C3A" w:rsidRDefault="004E7A97" w:rsidP="004E7A97">
      <w:pPr>
        <w:pStyle w:val="Bullet1G"/>
        <w:numPr>
          <w:ilvl w:val="0"/>
          <w:numId w:val="17"/>
        </w:numPr>
        <w:suppressAutoHyphens w:val="0"/>
        <w:kinsoku/>
        <w:overflowPunct/>
        <w:autoSpaceDE/>
        <w:autoSpaceDN/>
        <w:adjustRightInd/>
        <w:snapToGrid/>
        <w:rPr>
          <w:rFonts w:eastAsia="SimSun"/>
          <w:lang w:val="fr-FR"/>
        </w:rPr>
      </w:pPr>
      <w:r>
        <w:rPr>
          <w:lang w:val="fr-FR"/>
        </w:rPr>
        <w:t>7.2.4.23.2.4, lire :</w:t>
      </w:r>
      <w:r>
        <w:rPr>
          <w:lang w:val="fr-FR"/>
        </w:rPr>
        <w:tab/>
        <w:t>« Une citerne à cargaison ne peut être ouverte à des fins de prise d</w:t>
      </w:r>
      <w:r>
        <w:rPr>
          <w:lang w:val="fr-FR"/>
        </w:rPr>
        <w:t>’</w:t>
      </w:r>
      <w:r>
        <w:rPr>
          <w:lang w:val="fr-FR"/>
        </w:rPr>
        <w:t>échantillons que lorsque le bateau n</w:t>
      </w:r>
      <w:r>
        <w:rPr>
          <w:lang w:val="fr-FR"/>
        </w:rPr>
        <w:t>’</w:t>
      </w:r>
      <w:r>
        <w:rPr>
          <w:lang w:val="fr-FR"/>
        </w:rPr>
        <w:t>est pas relié à l</w:t>
      </w:r>
      <w:r>
        <w:rPr>
          <w:lang w:val="fr-FR"/>
        </w:rPr>
        <w:t>’</w:t>
      </w:r>
      <w:r>
        <w:rPr>
          <w:lang w:val="fr-FR"/>
        </w:rPr>
        <w:t>installation à terre</w:t>
      </w:r>
      <w:r w:rsidRPr="00F9025A">
        <w:rPr>
          <w:lang w:val="fr-FR"/>
        </w:rPr>
        <w:t xml:space="preserve"> </w:t>
      </w:r>
      <w:r>
        <w:rPr>
          <w:b/>
          <w:bCs/>
          <w:u w:val="single"/>
          <w:lang w:val="fr-FR"/>
        </w:rPr>
        <w:t>ou si les dispositifs de vannage du bateau et de l</w:t>
      </w:r>
      <w:r>
        <w:rPr>
          <w:b/>
          <w:bCs/>
          <w:u w:val="single"/>
          <w:lang w:val="fr-FR"/>
        </w:rPr>
        <w:t>’</w:t>
      </w:r>
      <w:r>
        <w:rPr>
          <w:b/>
          <w:bCs/>
          <w:u w:val="single"/>
          <w:lang w:val="fr-FR"/>
        </w:rPr>
        <w:t>installation à terre sont fermés</w:t>
      </w:r>
      <w:r>
        <w:rPr>
          <w:lang w:val="fr-FR"/>
        </w:rPr>
        <w:t>. Pendant le chargement, les échantillons au premier pied peuvent également être prélevés lorsque le bateau est relié à l</w:t>
      </w:r>
      <w:r>
        <w:rPr>
          <w:lang w:val="fr-FR"/>
        </w:rPr>
        <w:t>’</w:t>
      </w:r>
      <w:r>
        <w:rPr>
          <w:lang w:val="fr-FR"/>
        </w:rPr>
        <w:t>installation à terre à condition que les dispositifs de vannage dont sont équipés le bateau et l</w:t>
      </w:r>
      <w:r>
        <w:rPr>
          <w:lang w:val="fr-FR"/>
        </w:rPr>
        <w:t>’</w:t>
      </w:r>
      <w:r>
        <w:rPr>
          <w:lang w:val="fr-FR"/>
        </w:rPr>
        <w:t>installation à terre soient fermés. ».</w:t>
      </w:r>
    </w:p>
    <w:p w14:paraId="792511D2" w14:textId="2E0E0678" w:rsidR="004E7A97" w:rsidRPr="00692C3A" w:rsidRDefault="004E7A97" w:rsidP="004E7A97">
      <w:pPr>
        <w:pStyle w:val="Bullet1G"/>
        <w:numPr>
          <w:ilvl w:val="0"/>
          <w:numId w:val="17"/>
        </w:numPr>
        <w:suppressAutoHyphens w:val="0"/>
        <w:kinsoku/>
        <w:overflowPunct/>
        <w:autoSpaceDE/>
        <w:autoSpaceDN/>
        <w:adjustRightInd/>
        <w:snapToGrid/>
        <w:rPr>
          <w:rFonts w:eastAsia="SimSun"/>
          <w:lang w:val="fr-FR"/>
        </w:rPr>
      </w:pPr>
      <w:r>
        <w:rPr>
          <w:lang w:val="fr-FR"/>
        </w:rPr>
        <w:t>Le 7.2.4.23.2.6 devient le 7.2.4.23.2.6.1. Ajouter les nouveaux 7.2.4.23.2.6 et 7.2.4.23.2.6.2, libellés comme suit :</w:t>
      </w:r>
    </w:p>
    <w:p w14:paraId="1E298DE4" w14:textId="154387AD" w:rsidR="004E7A97" w:rsidRPr="00692C3A" w:rsidRDefault="004E7A97" w:rsidP="004E7A97">
      <w:pPr>
        <w:pStyle w:val="SingleTxtG"/>
        <w:ind w:left="1701"/>
        <w:rPr>
          <w:rFonts w:eastAsia="SimSun"/>
          <w:b/>
          <w:bCs/>
          <w:u w:val="single"/>
          <w:lang w:val="fr-FR"/>
        </w:rPr>
      </w:pPr>
      <w:r>
        <w:rPr>
          <w:lang w:val="fr-FR"/>
        </w:rPr>
        <w:t>« </w:t>
      </w:r>
      <w:r>
        <w:rPr>
          <w:b/>
          <w:bCs/>
          <w:u w:val="single"/>
          <w:lang w:val="fr-FR"/>
        </w:rPr>
        <w:t>7.2.4.23.</w:t>
      </w:r>
      <w:r w:rsidRPr="0050735B">
        <w:rPr>
          <w:b/>
          <w:bCs/>
          <w:u w:val="single"/>
          <w:lang w:val="fr-FR"/>
        </w:rPr>
        <w:t>2.6</w:t>
      </w:r>
      <w:r w:rsidRPr="0050735B">
        <w:rPr>
          <w:u w:val="single"/>
          <w:lang w:val="fr-FR"/>
        </w:rPr>
        <w:t xml:space="preserve"> </w:t>
      </w:r>
      <w:r w:rsidRPr="0050735B">
        <w:rPr>
          <w:u w:val="single"/>
          <w:lang w:val="fr-FR"/>
        </w:rPr>
        <w:tab/>
      </w:r>
      <w:r>
        <w:rPr>
          <w:b/>
          <w:bCs/>
          <w:u w:val="single"/>
          <w:lang w:val="fr-FR"/>
        </w:rPr>
        <w:t>Ajout de stabilisateurs ou d</w:t>
      </w:r>
      <w:r>
        <w:rPr>
          <w:b/>
          <w:bCs/>
          <w:u w:val="single"/>
          <w:lang w:val="fr-FR"/>
        </w:rPr>
        <w:t>’</w:t>
      </w:r>
      <w:r>
        <w:rPr>
          <w:b/>
          <w:bCs/>
          <w:u w:val="single"/>
          <w:lang w:val="fr-FR"/>
        </w:rPr>
        <w:t>autres additifs dans des cas exceptionnels</w:t>
      </w:r>
    </w:p>
    <w:p w14:paraId="3B352D2F" w14:textId="1EC68CB9" w:rsidR="004E7A97" w:rsidRPr="00692C3A" w:rsidRDefault="004E7A97" w:rsidP="004E7A97">
      <w:pPr>
        <w:pStyle w:val="SingleTxtG"/>
        <w:ind w:left="1701"/>
        <w:rPr>
          <w:rFonts w:eastAsia="SimSun"/>
          <w:lang w:val="fr-FR"/>
        </w:rPr>
      </w:pPr>
      <w:bookmarkStart w:id="0" w:name="_Hlk148623908"/>
      <w:r>
        <w:rPr>
          <w:lang w:val="fr-FR"/>
        </w:rPr>
        <w:t>7.2.4.23.2.6</w:t>
      </w:r>
      <w:r w:rsidRPr="0050735B">
        <w:rPr>
          <w:b/>
          <w:bCs/>
          <w:u w:val="single"/>
          <w:lang w:val="fr-FR"/>
        </w:rPr>
        <w:t>.1</w:t>
      </w:r>
      <w:r>
        <w:rPr>
          <w:lang w:val="fr-FR"/>
        </w:rPr>
        <w:tab/>
        <w:t>Si une prolongation imprévue de la durée de navigation nécessite d</w:t>
      </w:r>
      <w:r>
        <w:rPr>
          <w:lang w:val="fr-FR"/>
        </w:rPr>
        <w:t>’</w:t>
      </w:r>
      <w:r>
        <w:rPr>
          <w:lang w:val="fr-FR"/>
        </w:rPr>
        <w:t>ajouter du stabilisateur supplémentaire dans une ou plusieurs citernes à cargaison pendant le transport, cela n</w:t>
      </w:r>
      <w:r>
        <w:rPr>
          <w:lang w:val="fr-FR"/>
        </w:rPr>
        <w:t>’</w:t>
      </w:r>
      <w:r>
        <w:rPr>
          <w:lang w:val="fr-FR"/>
        </w:rPr>
        <w:t>est autorisé qu</w:t>
      </w:r>
      <w:r>
        <w:rPr>
          <w:lang w:val="fr-FR"/>
        </w:rPr>
        <w:t>’</w:t>
      </w:r>
      <w:r>
        <w:rPr>
          <w:lang w:val="fr-FR"/>
        </w:rPr>
        <w:t>à travers l</w:t>
      </w:r>
      <w:r>
        <w:rPr>
          <w:lang w:val="fr-FR"/>
        </w:rPr>
        <w:t>’</w:t>
      </w:r>
      <w:r>
        <w:rPr>
          <w:lang w:val="fr-FR"/>
        </w:rPr>
        <w:t>orifice de prise d</w:t>
      </w:r>
      <w:r>
        <w:rPr>
          <w:lang w:val="fr-FR"/>
        </w:rPr>
        <w:t>’</w:t>
      </w:r>
      <w:r>
        <w:rPr>
          <w:lang w:val="fr-FR"/>
        </w:rPr>
        <w:t>échantillons.</w:t>
      </w:r>
      <w:r w:rsidRPr="0050735B">
        <w:rPr>
          <w:lang w:val="fr-FR"/>
        </w:rPr>
        <w:t xml:space="preserve"> </w:t>
      </w:r>
      <w:r>
        <w:rPr>
          <w:lang w:val="fr-FR"/>
        </w:rPr>
        <w:t>Toute charge électrostatique doit être évitée.</w:t>
      </w:r>
      <w:bookmarkEnd w:id="0"/>
    </w:p>
    <w:p w14:paraId="02133740" w14:textId="3F0E263E" w:rsidR="004E7A97" w:rsidRPr="00692C3A" w:rsidRDefault="004E7A97" w:rsidP="004E7A97">
      <w:pPr>
        <w:pStyle w:val="SingleTxtG"/>
        <w:ind w:left="1701"/>
        <w:rPr>
          <w:rFonts w:eastAsia="SimSun"/>
          <w:lang w:val="fr-FR"/>
        </w:rPr>
      </w:pPr>
      <w:r>
        <w:rPr>
          <w:b/>
          <w:bCs/>
          <w:u w:val="single"/>
          <w:lang w:val="fr-FR"/>
        </w:rPr>
        <w:t>7.2.4.23.2.6.2</w:t>
      </w:r>
      <w:r w:rsidRPr="0042267F">
        <w:rPr>
          <w:u w:val="single"/>
          <w:lang w:val="fr-FR"/>
        </w:rPr>
        <w:tab/>
      </w:r>
      <w:r>
        <w:rPr>
          <w:b/>
          <w:bCs/>
          <w:u w:val="single"/>
          <w:lang w:val="fr-FR"/>
        </w:rPr>
        <w:t>Si les données de mesure indiquent un dosage dans la cargaison inférieur à celui légalement prescrit et qu</w:t>
      </w:r>
      <w:r>
        <w:rPr>
          <w:b/>
          <w:bCs/>
          <w:u w:val="single"/>
          <w:lang w:val="fr-FR"/>
        </w:rPr>
        <w:t>’</w:t>
      </w:r>
      <w:r>
        <w:rPr>
          <w:b/>
          <w:bCs/>
          <w:u w:val="single"/>
          <w:lang w:val="fr-FR"/>
        </w:rPr>
        <w:t>il est donc nécessaire d</w:t>
      </w:r>
      <w:r>
        <w:rPr>
          <w:b/>
          <w:bCs/>
          <w:u w:val="single"/>
          <w:lang w:val="fr-FR"/>
        </w:rPr>
        <w:t>’</w:t>
      </w:r>
      <w:r>
        <w:rPr>
          <w:b/>
          <w:bCs/>
          <w:u w:val="single"/>
          <w:lang w:val="fr-FR"/>
        </w:rPr>
        <w:t>ajouter un additif supplémentaire dans une ou plusieurs citernes à cargaison pendant le transport, cela n</w:t>
      </w:r>
      <w:r>
        <w:rPr>
          <w:b/>
          <w:bCs/>
          <w:u w:val="single"/>
          <w:lang w:val="fr-FR"/>
        </w:rPr>
        <w:t>’</w:t>
      </w:r>
      <w:r>
        <w:rPr>
          <w:b/>
          <w:bCs/>
          <w:u w:val="single"/>
          <w:lang w:val="fr-FR"/>
        </w:rPr>
        <w:t>est autorisé qu</w:t>
      </w:r>
      <w:r>
        <w:rPr>
          <w:b/>
          <w:bCs/>
          <w:u w:val="single"/>
          <w:lang w:val="fr-FR"/>
        </w:rPr>
        <w:t>’</w:t>
      </w:r>
      <w:r>
        <w:rPr>
          <w:b/>
          <w:bCs/>
          <w:u w:val="single"/>
          <w:lang w:val="fr-FR"/>
        </w:rPr>
        <w:t>à travers l</w:t>
      </w:r>
      <w:r>
        <w:rPr>
          <w:b/>
          <w:bCs/>
          <w:u w:val="single"/>
          <w:lang w:val="fr-FR"/>
        </w:rPr>
        <w:t>’</w:t>
      </w:r>
      <w:r>
        <w:rPr>
          <w:b/>
          <w:bCs/>
          <w:u w:val="single"/>
          <w:lang w:val="fr-FR"/>
        </w:rPr>
        <w:t>orifice de prise d</w:t>
      </w:r>
      <w:r>
        <w:rPr>
          <w:b/>
          <w:bCs/>
          <w:u w:val="single"/>
          <w:lang w:val="fr-FR"/>
        </w:rPr>
        <w:t>’</w:t>
      </w:r>
      <w:r>
        <w:rPr>
          <w:b/>
          <w:bCs/>
          <w:u w:val="single"/>
          <w:lang w:val="fr-FR"/>
        </w:rPr>
        <w:t>échantillon</w:t>
      </w:r>
      <w:r w:rsidRPr="0050735B">
        <w:rPr>
          <w:b/>
          <w:bCs/>
          <w:u w:val="single"/>
          <w:lang w:val="fr-FR"/>
        </w:rPr>
        <w:t>s. Toute charge électrostatique doit être évitée.</w:t>
      </w:r>
      <w:r w:rsidRPr="0050735B">
        <w:rPr>
          <w:b/>
          <w:bCs/>
          <w:lang w:val="fr-FR"/>
        </w:rPr>
        <w:t> </w:t>
      </w:r>
      <w:r w:rsidRPr="0050735B">
        <w:rPr>
          <w:lang w:val="fr-FR"/>
        </w:rPr>
        <w:t>».</w:t>
      </w:r>
    </w:p>
    <w:p w14:paraId="363B3731" w14:textId="2EF9C31B" w:rsidR="004E7A97" w:rsidRPr="00692C3A" w:rsidRDefault="004E7A97" w:rsidP="004E7A97">
      <w:pPr>
        <w:pStyle w:val="SingleTxtG"/>
        <w:rPr>
          <w:lang w:val="fr-FR"/>
        </w:rPr>
      </w:pPr>
      <w:r>
        <w:rPr>
          <w:lang w:val="fr-FR"/>
        </w:rPr>
        <w:t>9.</w:t>
      </w:r>
      <w:r>
        <w:rPr>
          <w:lang w:val="fr-FR"/>
        </w:rPr>
        <w:tab/>
        <w:t>La modification qu</w:t>
      </w:r>
      <w:r>
        <w:rPr>
          <w:lang w:val="fr-FR"/>
        </w:rPr>
        <w:t>’</w:t>
      </w:r>
      <w:r>
        <w:rPr>
          <w:lang w:val="fr-FR"/>
        </w:rPr>
        <w:t>il est proposé d</w:t>
      </w:r>
      <w:r>
        <w:rPr>
          <w:lang w:val="fr-FR"/>
        </w:rPr>
        <w:t>’</w:t>
      </w:r>
      <w:r>
        <w:rPr>
          <w:lang w:val="fr-FR"/>
        </w:rPr>
        <w:t>apporter au 7.2.4.22.11 entraîne une modification du deuxième paragraphe du 7.2.4.16.8, qui doit se lire comme suit :</w:t>
      </w:r>
    </w:p>
    <w:p w14:paraId="18C11B56" w14:textId="77777777" w:rsidR="004E7A97" w:rsidRPr="00692C3A" w:rsidRDefault="004E7A97" w:rsidP="004E7A97">
      <w:pPr>
        <w:pStyle w:val="SingleTxtG"/>
        <w:ind w:left="1701"/>
        <w:rPr>
          <w:lang w:val="fr-FR"/>
        </w:rPr>
      </w:pPr>
      <w:r>
        <w:rPr>
          <w:lang w:val="fr-FR"/>
        </w:rPr>
        <w:t>« 7.2.4.16.8 […]</w:t>
      </w:r>
    </w:p>
    <w:p w14:paraId="43427621" w14:textId="3063D9A2" w:rsidR="004E7A97" w:rsidRPr="00692C3A" w:rsidRDefault="004E7A97" w:rsidP="004E7A97">
      <w:pPr>
        <w:pStyle w:val="SingleTxtG"/>
        <w:ind w:left="1701"/>
        <w:rPr>
          <w:lang w:val="fr-FR"/>
        </w:rPr>
      </w:pPr>
      <w:r>
        <w:rPr>
          <w:lang w:val="fr-FR"/>
        </w:rPr>
        <w:t>Les personnes qui connectent ou déconnectent les tuyauteries de chargement et de déchargement ou les conduites d</w:t>
      </w:r>
      <w:r>
        <w:rPr>
          <w:lang w:val="fr-FR"/>
        </w:rPr>
        <w:t>’</w:t>
      </w:r>
      <w:r>
        <w:rPr>
          <w:lang w:val="fr-FR"/>
        </w:rPr>
        <w:t>évacuation de gaz ou effectuent une détente des citernes à cargaison, une prise d</w:t>
      </w:r>
      <w:r>
        <w:rPr>
          <w:lang w:val="fr-FR"/>
        </w:rPr>
        <w:t>’</w:t>
      </w:r>
      <w:r>
        <w:rPr>
          <w:lang w:val="fr-FR"/>
        </w:rPr>
        <w:t>échantillons</w:t>
      </w:r>
      <w:r>
        <w:rPr>
          <w:b/>
          <w:bCs/>
          <w:u w:val="single"/>
          <w:lang w:val="fr-FR"/>
        </w:rPr>
        <w:t>, un ajout d</w:t>
      </w:r>
      <w:r>
        <w:rPr>
          <w:b/>
          <w:bCs/>
          <w:u w:val="single"/>
          <w:lang w:val="fr-FR"/>
        </w:rPr>
        <w:t>’</w:t>
      </w:r>
      <w:r>
        <w:rPr>
          <w:b/>
          <w:bCs/>
          <w:u w:val="single"/>
          <w:lang w:val="fr-FR"/>
        </w:rPr>
        <w:t>additifs (voir 7.2.4.22)</w:t>
      </w:r>
      <w:r>
        <w:rPr>
          <w:lang w:val="fr-FR"/>
        </w:rPr>
        <w:t xml:space="preserve"> ou un jaugeage ou nettoient ou remplacent l</w:t>
      </w:r>
      <w:r>
        <w:rPr>
          <w:lang w:val="fr-FR"/>
        </w:rPr>
        <w:t>’</w:t>
      </w:r>
      <w:r>
        <w:rPr>
          <w:lang w:val="fr-FR"/>
        </w:rPr>
        <w:t>élément coupe-flammes (voir 7.2.4.22) [...]. ».</w:t>
      </w:r>
    </w:p>
    <w:p w14:paraId="67BA9931" w14:textId="34073A7D" w:rsidR="004E7A97" w:rsidRPr="00692C3A" w:rsidRDefault="004E7A97" w:rsidP="004E7A97">
      <w:pPr>
        <w:pStyle w:val="SingleTxtG"/>
        <w:rPr>
          <w:lang w:val="fr-FR"/>
        </w:rPr>
      </w:pPr>
      <w:r>
        <w:rPr>
          <w:lang w:val="fr-FR"/>
        </w:rPr>
        <w:lastRenderedPageBreak/>
        <w:t>10.</w:t>
      </w:r>
      <w:r>
        <w:rPr>
          <w:lang w:val="fr-FR"/>
        </w:rPr>
        <w:tab/>
        <w:t>Étant donné que l</w:t>
      </w:r>
      <w:r>
        <w:rPr>
          <w:lang w:val="fr-FR"/>
        </w:rPr>
        <w:t>’</w:t>
      </w:r>
      <w:r>
        <w:rPr>
          <w:lang w:val="fr-FR"/>
        </w:rPr>
        <w:t>ajout d</w:t>
      </w:r>
      <w:r>
        <w:rPr>
          <w:lang w:val="fr-FR"/>
        </w:rPr>
        <w:t>’</w:t>
      </w:r>
      <w:r>
        <w:rPr>
          <w:lang w:val="fr-FR"/>
        </w:rPr>
        <w:t>additifs supplémentaires à bord nécessite que des colis entrent dans la zone de cargaison pendant une courte durée, il est proposé d</w:t>
      </w:r>
      <w:r>
        <w:rPr>
          <w:lang w:val="fr-FR"/>
        </w:rPr>
        <w:t>’</w:t>
      </w:r>
      <w:r>
        <w:rPr>
          <w:lang w:val="fr-FR"/>
        </w:rPr>
        <w:t>ajouter un nouveau 7.2.4.1.5 précisant les conditions à remplir, libellé comme suit :</w:t>
      </w:r>
    </w:p>
    <w:p w14:paraId="7C93D865" w14:textId="041FCD83" w:rsidR="004E7A97" w:rsidRPr="007D0B19" w:rsidRDefault="004E7A97" w:rsidP="004E7A97">
      <w:pPr>
        <w:pStyle w:val="SingleTxtG"/>
        <w:ind w:left="1701"/>
        <w:rPr>
          <w:u w:val="single"/>
          <w:lang w:val="fr-FR"/>
        </w:rPr>
      </w:pPr>
      <w:r w:rsidRPr="0050735B">
        <w:rPr>
          <w:lang w:val="fr-FR"/>
        </w:rPr>
        <w:t>« </w:t>
      </w:r>
      <w:r>
        <w:rPr>
          <w:b/>
          <w:bCs/>
          <w:u w:val="single"/>
          <w:lang w:val="fr-FR"/>
        </w:rPr>
        <w:t>7.2.4.1.5</w:t>
      </w:r>
      <w:r w:rsidRPr="0050735B">
        <w:rPr>
          <w:b/>
          <w:bCs/>
          <w:u w:val="single"/>
          <w:lang w:val="fr-FR"/>
        </w:rPr>
        <w:tab/>
      </w:r>
      <w:r>
        <w:rPr>
          <w:b/>
          <w:bCs/>
          <w:u w:val="single"/>
          <w:lang w:val="fr-FR"/>
        </w:rPr>
        <w:t>La présence</w:t>
      </w:r>
      <w:r w:rsidRPr="0050735B">
        <w:rPr>
          <w:b/>
          <w:bCs/>
          <w:u w:val="single"/>
          <w:lang w:val="fr-FR"/>
        </w:rPr>
        <w:t xml:space="preserve"> de colis contenant des additifs est autorisée dans la zone de</w:t>
      </w:r>
      <w:r>
        <w:rPr>
          <w:u w:val="single"/>
          <w:lang w:val="fr-FR"/>
        </w:rPr>
        <w:t xml:space="preserve"> </w:t>
      </w:r>
      <w:r w:rsidRPr="0050735B">
        <w:rPr>
          <w:b/>
          <w:bCs/>
          <w:u w:val="single"/>
          <w:lang w:val="fr-FR"/>
        </w:rPr>
        <w:t>cargaison</w:t>
      </w:r>
      <w:r>
        <w:rPr>
          <w:b/>
          <w:bCs/>
          <w:u w:val="single"/>
          <w:lang w:val="fr-FR"/>
        </w:rPr>
        <w:t xml:space="preserve"> à bord du bateau</w:t>
      </w:r>
      <w:r w:rsidRPr="0050735B">
        <w:rPr>
          <w:b/>
          <w:bCs/>
          <w:u w:val="single"/>
          <w:lang w:val="fr-FR"/>
        </w:rPr>
        <w:t xml:space="preserve"> </w:t>
      </w:r>
      <w:r>
        <w:rPr>
          <w:b/>
          <w:bCs/>
          <w:u w:val="single"/>
          <w:lang w:val="fr-FR"/>
        </w:rPr>
        <w:t>aux seules fins de l</w:t>
      </w:r>
      <w:r>
        <w:rPr>
          <w:b/>
          <w:bCs/>
          <w:u w:val="single"/>
          <w:lang w:val="fr-FR"/>
        </w:rPr>
        <w:t>’</w:t>
      </w:r>
      <w:r>
        <w:rPr>
          <w:b/>
          <w:bCs/>
          <w:u w:val="single"/>
          <w:lang w:val="fr-FR"/>
        </w:rPr>
        <w:t>ajout d</w:t>
      </w:r>
      <w:r>
        <w:rPr>
          <w:b/>
          <w:bCs/>
          <w:u w:val="single"/>
          <w:lang w:val="fr-FR"/>
        </w:rPr>
        <w:t>’</w:t>
      </w:r>
      <w:r>
        <w:rPr>
          <w:b/>
          <w:bCs/>
          <w:u w:val="single"/>
          <w:lang w:val="fr-FR"/>
        </w:rPr>
        <w:t>additifs (voir</w:t>
      </w:r>
      <w:r w:rsidR="007D0B19">
        <w:rPr>
          <w:b/>
          <w:bCs/>
          <w:u w:val="single"/>
          <w:lang w:val="fr-FR"/>
        </w:rPr>
        <w:t> </w:t>
      </w:r>
      <w:r>
        <w:rPr>
          <w:b/>
          <w:bCs/>
          <w:u w:val="single"/>
          <w:lang w:val="fr-FR"/>
        </w:rPr>
        <w:t>7.2.4.22) et uniquement pour la durée nécessaire à cet ajout</w:t>
      </w:r>
      <w:r w:rsidRPr="001C4EDF">
        <w:rPr>
          <w:b/>
          <w:bCs/>
          <w:u w:val="single"/>
          <w:lang w:val="fr-FR"/>
        </w:rPr>
        <w:t xml:space="preserve">. </w:t>
      </w:r>
      <w:r>
        <w:rPr>
          <w:b/>
          <w:bCs/>
          <w:u w:val="single"/>
          <w:lang w:val="fr-FR"/>
        </w:rPr>
        <w:t>Cette opération doit avoir lieu après la fin du chargement et avant que le bateau ne commence son voyage, ou après qu</w:t>
      </w:r>
      <w:r>
        <w:rPr>
          <w:b/>
          <w:bCs/>
          <w:u w:val="single"/>
          <w:lang w:val="fr-FR"/>
        </w:rPr>
        <w:t>’</w:t>
      </w:r>
      <w:r>
        <w:rPr>
          <w:b/>
          <w:bCs/>
          <w:u w:val="single"/>
          <w:lang w:val="fr-FR"/>
        </w:rPr>
        <w:t>il a terminé son voyage et avant le début du déchargement</w:t>
      </w:r>
      <w:r w:rsidRPr="001C4EDF">
        <w:rPr>
          <w:b/>
          <w:bCs/>
          <w:u w:val="single"/>
          <w:lang w:val="fr-FR"/>
        </w:rPr>
        <w:t>.</w:t>
      </w:r>
      <w:r w:rsidRPr="001C4EDF">
        <w:rPr>
          <w:u w:val="single"/>
          <w:lang w:val="fr-FR"/>
        </w:rPr>
        <w:t xml:space="preserve"> </w:t>
      </w:r>
      <w:r w:rsidRPr="001C4EDF">
        <w:rPr>
          <w:b/>
          <w:bCs/>
          <w:u w:val="single"/>
          <w:lang w:val="fr-FR"/>
        </w:rPr>
        <w:t>I</w:t>
      </w:r>
      <w:r>
        <w:rPr>
          <w:b/>
          <w:bCs/>
          <w:u w:val="single"/>
          <w:lang w:val="fr-FR"/>
        </w:rPr>
        <w:t>l doit être tenu compte des dispositions du 7.2.4.22.</w:t>
      </w:r>
      <w:r w:rsidRPr="001C4EDF">
        <w:rPr>
          <w:u w:val="single"/>
          <w:lang w:val="fr-FR"/>
        </w:rPr>
        <w:t xml:space="preserve"> </w:t>
      </w:r>
      <w:r>
        <w:rPr>
          <w:b/>
          <w:bCs/>
          <w:u w:val="single"/>
          <w:lang w:val="fr-FR"/>
        </w:rPr>
        <w:t>Le nombre de colis ne doit pas dépasser ... et leur poids total ne doit pas dépasser ... kg.</w:t>
      </w:r>
      <w:r w:rsidRPr="001C4EDF">
        <w:rPr>
          <w:u w:val="single"/>
          <w:lang w:val="fr-FR"/>
        </w:rPr>
        <w:t xml:space="preserve"> </w:t>
      </w:r>
      <w:r>
        <w:rPr>
          <w:b/>
          <w:bCs/>
          <w:u w:val="single"/>
          <w:lang w:val="fr-FR"/>
        </w:rPr>
        <w:t>Le poids d</w:t>
      </w:r>
      <w:r>
        <w:rPr>
          <w:b/>
          <w:bCs/>
          <w:u w:val="single"/>
          <w:lang w:val="fr-FR"/>
        </w:rPr>
        <w:t>’</w:t>
      </w:r>
      <w:r>
        <w:rPr>
          <w:b/>
          <w:bCs/>
          <w:u w:val="single"/>
          <w:lang w:val="fr-FR"/>
        </w:rPr>
        <w:t>un colis est limité à ...</w:t>
      </w:r>
      <w:r w:rsidRPr="001C4EDF">
        <w:rPr>
          <w:u w:val="single"/>
          <w:lang w:val="fr-FR"/>
        </w:rPr>
        <w:t xml:space="preserve"> </w:t>
      </w:r>
      <w:r>
        <w:rPr>
          <w:b/>
          <w:bCs/>
          <w:u w:val="single"/>
          <w:lang w:val="fr-FR"/>
        </w:rPr>
        <w:t>kg.</w:t>
      </w:r>
      <w:r>
        <w:rPr>
          <w:lang w:val="fr-FR"/>
        </w:rPr>
        <w:t> ».</w:t>
      </w:r>
    </w:p>
    <w:p w14:paraId="4EE19499" w14:textId="77777777" w:rsidR="004E7A97" w:rsidRPr="00692C3A" w:rsidRDefault="004E7A97" w:rsidP="004E7A97">
      <w:pPr>
        <w:pStyle w:val="HChG"/>
        <w:rPr>
          <w:lang w:val="fr-FR"/>
        </w:rPr>
      </w:pPr>
      <w:r>
        <w:rPr>
          <w:bCs/>
          <w:lang w:val="fr-FR"/>
        </w:rPr>
        <w:tab/>
        <w:t>II.</w:t>
      </w:r>
      <w:r>
        <w:rPr>
          <w:lang w:val="fr-FR"/>
        </w:rPr>
        <w:tab/>
      </w:r>
      <w:r>
        <w:rPr>
          <w:bCs/>
          <w:lang w:val="fr-FR"/>
        </w:rPr>
        <w:t>Justification</w:t>
      </w:r>
    </w:p>
    <w:p w14:paraId="3F0E9FCD" w14:textId="77777777" w:rsidR="004E7A97" w:rsidRPr="00692C3A" w:rsidRDefault="004E7A97" w:rsidP="004E7A97">
      <w:pPr>
        <w:pStyle w:val="SingleTxtG"/>
        <w:rPr>
          <w:lang w:val="fr-FR"/>
        </w:rPr>
      </w:pPr>
      <w:r>
        <w:rPr>
          <w:lang w:val="fr-FR"/>
        </w:rPr>
        <w:t>11.</w:t>
      </w:r>
      <w:r>
        <w:rPr>
          <w:lang w:val="fr-FR"/>
        </w:rPr>
        <w:tab/>
        <w:t>Les additifs sont généralement très onéreux et leur dosage doit être conforme à diverses réglementations, par exemple en matière de fiscalité et de normes militaires. Il existe souvent un dosage minimal et un dosage maximal, qui varient selon les produits.</w:t>
      </w:r>
    </w:p>
    <w:p w14:paraId="2F155CBB" w14:textId="470C6695" w:rsidR="004E7A97" w:rsidRPr="00692C3A" w:rsidRDefault="004E7A97" w:rsidP="004E7A97">
      <w:pPr>
        <w:pStyle w:val="SingleTxtG"/>
        <w:rPr>
          <w:lang w:val="fr-FR"/>
        </w:rPr>
      </w:pPr>
      <w:r>
        <w:rPr>
          <w:lang w:val="fr-FR"/>
        </w:rPr>
        <w:t>12.</w:t>
      </w:r>
      <w:r>
        <w:rPr>
          <w:lang w:val="fr-FR"/>
        </w:rPr>
        <w:tab/>
        <w:t>Parfois, la dose d</w:t>
      </w:r>
      <w:r>
        <w:rPr>
          <w:lang w:val="fr-FR"/>
        </w:rPr>
        <w:t>’</w:t>
      </w:r>
      <w:r>
        <w:rPr>
          <w:lang w:val="fr-FR"/>
        </w:rPr>
        <w:t>additifs ajoutée à la cargaison peut s</w:t>
      </w:r>
      <w:r>
        <w:rPr>
          <w:lang w:val="fr-FR"/>
        </w:rPr>
        <w:t>’</w:t>
      </w:r>
      <w:r>
        <w:rPr>
          <w:lang w:val="fr-FR"/>
        </w:rPr>
        <w:t>avérer trop faible. Les présentes propositions visent à remédier à cette situation, toujours dans le respect des règles de sécurité.</w:t>
      </w:r>
    </w:p>
    <w:p w14:paraId="619342EE" w14:textId="545A293D" w:rsidR="004E7A97" w:rsidRPr="00162DA5" w:rsidRDefault="004E7A97" w:rsidP="004E7A97">
      <w:pPr>
        <w:pStyle w:val="SingleTxtG"/>
        <w:rPr>
          <w:lang w:val="fr-FR"/>
        </w:rPr>
      </w:pPr>
      <w:r>
        <w:rPr>
          <w:lang w:val="fr-FR"/>
        </w:rPr>
        <w:t>13.</w:t>
      </w:r>
      <w:r>
        <w:rPr>
          <w:lang w:val="fr-FR"/>
        </w:rPr>
        <w:tab/>
        <w:t>On trouvera ci-après quelques exemples de cas dans lesquels il existe des prescriptions de dosage découlant de la réglementation en matière de sécurité des transports ou d</w:t>
      </w:r>
      <w:r>
        <w:rPr>
          <w:lang w:val="fr-FR"/>
        </w:rPr>
        <w:t>’</w:t>
      </w:r>
      <w:r>
        <w:rPr>
          <w:lang w:val="fr-FR"/>
        </w:rPr>
        <w:t>autres règles et réglementations.</w:t>
      </w:r>
    </w:p>
    <w:p w14:paraId="697B8BDC" w14:textId="77777777" w:rsidR="004E7A97" w:rsidRPr="00BA6991" w:rsidRDefault="004E7A97" w:rsidP="004E7A97">
      <w:pPr>
        <w:pStyle w:val="Bullet1G"/>
        <w:numPr>
          <w:ilvl w:val="0"/>
          <w:numId w:val="17"/>
        </w:numPr>
        <w:suppressAutoHyphens w:val="0"/>
        <w:kinsoku/>
        <w:overflowPunct/>
        <w:autoSpaceDE/>
        <w:autoSpaceDN/>
        <w:adjustRightInd/>
        <w:snapToGrid/>
      </w:pPr>
      <w:r>
        <w:rPr>
          <w:lang w:val="fr-FR"/>
        </w:rPr>
        <w:t>Fiscalité :</w:t>
      </w:r>
    </w:p>
    <w:p w14:paraId="43B16A3D" w14:textId="054B976A" w:rsidR="004E7A97" w:rsidRPr="00692C3A" w:rsidRDefault="004E7A97" w:rsidP="004E7A97">
      <w:pPr>
        <w:pStyle w:val="Bullet2G"/>
        <w:numPr>
          <w:ilvl w:val="0"/>
          <w:numId w:val="18"/>
        </w:numPr>
        <w:suppressAutoHyphens w:val="0"/>
        <w:kinsoku/>
        <w:overflowPunct/>
        <w:autoSpaceDE/>
        <w:autoSpaceDN/>
        <w:adjustRightInd/>
        <w:snapToGrid/>
        <w:rPr>
          <w:lang w:val="fr-FR"/>
        </w:rPr>
      </w:pPr>
      <w:r>
        <w:rPr>
          <w:lang w:val="fr-FR"/>
        </w:rPr>
        <w:t>Marqueurs prévus par la législation fiscale, qui exonèrent les produits contenant ces marqueurs des droits d</w:t>
      </w:r>
      <w:r>
        <w:rPr>
          <w:lang w:val="fr-FR"/>
        </w:rPr>
        <w:t>’</w:t>
      </w:r>
      <w:r>
        <w:rPr>
          <w:lang w:val="fr-FR"/>
        </w:rPr>
        <w:t>accise et de douane ;</w:t>
      </w:r>
    </w:p>
    <w:p w14:paraId="08456E8B" w14:textId="5CDECD75" w:rsidR="004E7A97" w:rsidRPr="001C4EDF" w:rsidRDefault="004E7A97" w:rsidP="004E7A97">
      <w:pPr>
        <w:pStyle w:val="Bullet1G"/>
        <w:numPr>
          <w:ilvl w:val="0"/>
          <w:numId w:val="17"/>
        </w:numPr>
        <w:suppressAutoHyphens w:val="0"/>
        <w:kinsoku/>
        <w:overflowPunct/>
        <w:autoSpaceDE/>
        <w:autoSpaceDN/>
        <w:adjustRightInd/>
        <w:snapToGrid/>
        <w:rPr>
          <w:lang w:val="fr-FR"/>
        </w:rPr>
      </w:pPr>
      <w:r>
        <w:rPr>
          <w:lang w:val="fr-FR"/>
        </w:rPr>
        <w:t>Sécurité d</w:t>
      </w:r>
      <w:r>
        <w:rPr>
          <w:lang w:val="fr-FR"/>
        </w:rPr>
        <w:t>’</w:t>
      </w:r>
      <w:r>
        <w:rPr>
          <w:lang w:val="fr-FR"/>
        </w:rPr>
        <w:t>utilisation des produits :</w:t>
      </w:r>
    </w:p>
    <w:p w14:paraId="6AAE8FCD" w14:textId="53846A4E" w:rsidR="004E7A97" w:rsidRPr="00692C3A" w:rsidRDefault="004E7A97" w:rsidP="004E7A97">
      <w:pPr>
        <w:pStyle w:val="Bullet2G"/>
        <w:numPr>
          <w:ilvl w:val="0"/>
          <w:numId w:val="18"/>
        </w:numPr>
        <w:suppressAutoHyphens w:val="0"/>
        <w:kinsoku/>
        <w:overflowPunct/>
        <w:autoSpaceDE/>
        <w:autoSpaceDN/>
        <w:adjustRightInd/>
        <w:snapToGrid/>
        <w:rPr>
          <w:lang w:val="fr-FR"/>
        </w:rPr>
      </w:pPr>
      <w:r>
        <w:rPr>
          <w:lang w:val="fr-FR"/>
        </w:rPr>
        <w:t>Additifs destinés à améliorer la conductivité du produit, conformément à la législation (dans le cas d</w:t>
      </w:r>
      <w:r>
        <w:rPr>
          <w:lang w:val="fr-FR"/>
        </w:rPr>
        <w:t>’</w:t>
      </w:r>
      <w:r>
        <w:rPr>
          <w:lang w:val="fr-FR"/>
        </w:rPr>
        <w:t>un carburéacteur alimentant les moteurs à réaction, qui constitue un accumulateur de charges statiques et peut être dangereux dans un réservoir) ;</w:t>
      </w:r>
    </w:p>
    <w:p w14:paraId="45CFAC59" w14:textId="011D9E42" w:rsidR="004E7A97" w:rsidRPr="00692C3A" w:rsidRDefault="004E7A97" w:rsidP="004E7A97">
      <w:pPr>
        <w:pStyle w:val="Bullet2G"/>
        <w:numPr>
          <w:ilvl w:val="0"/>
          <w:numId w:val="18"/>
        </w:numPr>
        <w:suppressAutoHyphens w:val="0"/>
        <w:kinsoku/>
        <w:overflowPunct/>
        <w:autoSpaceDE/>
        <w:autoSpaceDN/>
        <w:adjustRightInd/>
        <w:snapToGrid/>
        <w:rPr>
          <w:lang w:val="fr-FR"/>
        </w:rPr>
      </w:pPr>
      <w:r>
        <w:rPr>
          <w:lang w:val="fr-FR"/>
        </w:rPr>
        <w:t>Additifs de performance pour les carburants, conformément aux exigences du domaine militaire, et stabilisateurs (dans le cas d</w:t>
      </w:r>
      <w:r>
        <w:rPr>
          <w:lang w:val="fr-FR"/>
        </w:rPr>
        <w:t>’</w:t>
      </w:r>
      <w:r>
        <w:rPr>
          <w:lang w:val="fr-FR"/>
        </w:rPr>
        <w:t>un carburéacteur alimentant des avions de chasse) ;</w:t>
      </w:r>
    </w:p>
    <w:p w14:paraId="4B13BC5B" w14:textId="77777777" w:rsidR="004E7A97" w:rsidRPr="00692C3A" w:rsidRDefault="004E7A97" w:rsidP="004E7A97">
      <w:pPr>
        <w:pStyle w:val="Bullet1G"/>
        <w:numPr>
          <w:ilvl w:val="0"/>
          <w:numId w:val="17"/>
        </w:numPr>
        <w:suppressAutoHyphens w:val="0"/>
        <w:kinsoku/>
        <w:overflowPunct/>
        <w:autoSpaceDE/>
        <w:autoSpaceDN/>
        <w:adjustRightInd/>
        <w:snapToGrid/>
        <w:rPr>
          <w:lang w:val="fr-FR"/>
        </w:rPr>
      </w:pPr>
      <w:r>
        <w:rPr>
          <w:lang w:val="fr-FR"/>
        </w:rPr>
        <w:t>Sécurité du transport des produits :</w:t>
      </w:r>
    </w:p>
    <w:p w14:paraId="4F2DC9B9" w14:textId="41963925" w:rsidR="004E7A97" w:rsidRPr="00692C3A" w:rsidRDefault="004E7A97" w:rsidP="004E7A97">
      <w:pPr>
        <w:pStyle w:val="Bullet2G"/>
        <w:numPr>
          <w:ilvl w:val="0"/>
          <w:numId w:val="18"/>
        </w:numPr>
        <w:suppressAutoHyphens w:val="0"/>
        <w:kinsoku/>
        <w:overflowPunct/>
        <w:autoSpaceDE/>
        <w:autoSpaceDN/>
        <w:adjustRightInd/>
        <w:snapToGrid/>
        <w:rPr>
          <w:lang w:val="fr-FR"/>
        </w:rPr>
      </w:pPr>
      <w:r>
        <w:rPr>
          <w:lang w:val="fr-FR"/>
        </w:rPr>
        <w:t>Additifs destinés à empêcher l</w:t>
      </w:r>
      <w:r>
        <w:rPr>
          <w:lang w:val="fr-FR"/>
        </w:rPr>
        <w:t>’</w:t>
      </w:r>
      <w:r>
        <w:rPr>
          <w:lang w:val="fr-FR"/>
        </w:rPr>
        <w:t>hydrogène sulfuré (H</w:t>
      </w:r>
      <w:r>
        <w:rPr>
          <w:vertAlign w:val="subscript"/>
          <w:lang w:val="fr-FR"/>
        </w:rPr>
        <w:t>2</w:t>
      </w:r>
      <w:r>
        <w:rPr>
          <w:lang w:val="fr-FR"/>
        </w:rPr>
        <w:t>S) présent dans les produits à l</w:t>
      </w:r>
      <w:r>
        <w:rPr>
          <w:lang w:val="fr-FR"/>
        </w:rPr>
        <w:t>’</w:t>
      </w:r>
      <w:r>
        <w:rPr>
          <w:lang w:val="fr-FR"/>
        </w:rPr>
        <w:t>état liquide de se changer en vapeur, ce qui pourrait entraîner des risques pour la santé des travailleurs.</w:t>
      </w:r>
    </w:p>
    <w:p w14:paraId="2AA08FCE" w14:textId="38BA724B" w:rsidR="004E7A97" w:rsidRPr="00692C3A" w:rsidRDefault="004E7A97" w:rsidP="004E7A97">
      <w:pPr>
        <w:pStyle w:val="SingleTxtG"/>
        <w:rPr>
          <w:lang w:val="fr-FR"/>
        </w:rPr>
      </w:pPr>
      <w:r>
        <w:rPr>
          <w:lang w:val="fr-FR"/>
        </w:rPr>
        <w:t>14.</w:t>
      </w:r>
      <w:r>
        <w:rPr>
          <w:lang w:val="fr-FR"/>
        </w:rPr>
        <w:tab/>
        <w:t>Il existe aujourd</w:t>
      </w:r>
      <w:r>
        <w:rPr>
          <w:lang w:val="fr-FR"/>
        </w:rPr>
        <w:t>’</w:t>
      </w:r>
      <w:r>
        <w:rPr>
          <w:lang w:val="fr-FR"/>
        </w:rPr>
        <w:t>hui sur le marché des systèmes mobiles dont l</w:t>
      </w:r>
      <w:r>
        <w:rPr>
          <w:lang w:val="fr-FR"/>
        </w:rPr>
        <w:t>’</w:t>
      </w:r>
      <w:r>
        <w:rPr>
          <w:lang w:val="fr-FR"/>
        </w:rPr>
        <w:t xml:space="preserve">utilisation à bord des bateaux-citernes de navigation intérieure est sans danger. Le personnel expérimenté des prestataires de services, tels que les </w:t>
      </w:r>
      <w:r w:rsidRPr="00736CEC">
        <w:rPr>
          <w:lang w:val="fr-FR"/>
        </w:rPr>
        <w:t>inspecteurs</w:t>
      </w:r>
      <w:r>
        <w:rPr>
          <w:lang w:val="fr-FR"/>
        </w:rPr>
        <w:t xml:space="preserve"> ou les fournisseurs d</w:t>
      </w:r>
      <w:r>
        <w:rPr>
          <w:lang w:val="fr-FR"/>
        </w:rPr>
        <w:t>’</w:t>
      </w:r>
      <w:r>
        <w:rPr>
          <w:lang w:val="fr-FR"/>
        </w:rPr>
        <w:t>additifs, les utilise en toute sécurité.</w:t>
      </w:r>
    </w:p>
    <w:p w14:paraId="6CB9A441" w14:textId="1C17E15F" w:rsidR="004E7A97" w:rsidRPr="00692C3A" w:rsidRDefault="004E7A97" w:rsidP="004E7A97">
      <w:pPr>
        <w:pStyle w:val="SingleTxtG"/>
        <w:rPr>
          <w:lang w:val="fr-FR"/>
        </w:rPr>
      </w:pPr>
      <w:r>
        <w:rPr>
          <w:lang w:val="fr-FR"/>
        </w:rPr>
        <w:t>15.</w:t>
      </w:r>
      <w:r>
        <w:rPr>
          <w:lang w:val="fr-FR"/>
        </w:rPr>
        <w:tab/>
        <w:t>Il convient de distinguer l</w:t>
      </w:r>
      <w:r>
        <w:rPr>
          <w:lang w:val="fr-FR"/>
        </w:rPr>
        <w:t>’</w:t>
      </w:r>
      <w:r>
        <w:rPr>
          <w:lang w:val="fr-FR"/>
        </w:rPr>
        <w:t>ajout d</w:t>
      </w:r>
      <w:r>
        <w:rPr>
          <w:lang w:val="fr-FR"/>
        </w:rPr>
        <w:t>’</w:t>
      </w:r>
      <w:r>
        <w:rPr>
          <w:lang w:val="fr-FR"/>
        </w:rPr>
        <w:t xml:space="preserve">additifs du mélange de cargaison effectué à bord ou du </w:t>
      </w:r>
      <w:proofErr w:type="spellStart"/>
      <w:r>
        <w:rPr>
          <w:lang w:val="fr-FR"/>
        </w:rPr>
        <w:t>cochargement</w:t>
      </w:r>
      <w:proofErr w:type="spellEnd"/>
      <w:r w:rsidRPr="001D458C">
        <w:rPr>
          <w:lang w:val="fr-FR"/>
        </w:rPr>
        <w:t xml:space="preserve">, </w:t>
      </w:r>
      <w:r>
        <w:rPr>
          <w:lang w:val="fr-FR"/>
        </w:rPr>
        <w:t>compte tenu des volumes d</w:t>
      </w:r>
      <w:r>
        <w:rPr>
          <w:lang w:val="fr-FR"/>
        </w:rPr>
        <w:t>’</w:t>
      </w:r>
      <w:r>
        <w:rPr>
          <w:lang w:val="fr-FR"/>
        </w:rPr>
        <w:t>additifs relativement faibles par rapport à la taille de la cargaison. De manière analogue, le chargement d</w:t>
      </w:r>
      <w:r>
        <w:rPr>
          <w:lang w:val="fr-FR"/>
        </w:rPr>
        <w:t>’</w:t>
      </w:r>
      <w:r>
        <w:rPr>
          <w:lang w:val="fr-FR"/>
        </w:rPr>
        <w:t>un produit relevant du No</w:t>
      </w:r>
      <w:r w:rsidR="003E30AE">
        <w:rPr>
          <w:lang w:val="fr-FR"/>
        </w:rPr>
        <w:t> </w:t>
      </w:r>
      <w:r>
        <w:rPr>
          <w:lang w:val="fr-FR"/>
        </w:rPr>
        <w:t>ONU</w:t>
      </w:r>
      <w:r w:rsidR="003E30AE">
        <w:rPr>
          <w:lang w:val="fr-FR"/>
        </w:rPr>
        <w:t> </w:t>
      </w:r>
      <w:r>
        <w:rPr>
          <w:lang w:val="fr-FR"/>
        </w:rPr>
        <w:t>X dans une citerne à cargaison vide et non nettoyée qui contenait une cargaison relevant du No</w:t>
      </w:r>
      <w:r w:rsidR="003E30AE">
        <w:rPr>
          <w:lang w:val="fr-FR"/>
        </w:rPr>
        <w:t> </w:t>
      </w:r>
      <w:r>
        <w:rPr>
          <w:lang w:val="fr-FR"/>
        </w:rPr>
        <w:t>ONU</w:t>
      </w:r>
      <w:r w:rsidR="003E30AE">
        <w:rPr>
          <w:lang w:val="fr-FR"/>
        </w:rPr>
        <w:t> </w:t>
      </w:r>
      <w:r>
        <w:rPr>
          <w:lang w:val="fr-FR"/>
        </w:rPr>
        <w:t>Y est autorisé à condition que ces produits ne réagissent pas dangereusement entre eux. Les additifs sont toujours compatibles avec la cargaison et ne modifient pas le classement du produit auquel ils sont ajoutés.</w:t>
      </w:r>
    </w:p>
    <w:p w14:paraId="28DF4A53" w14:textId="75716172" w:rsidR="004E7A97" w:rsidRPr="00692C3A" w:rsidRDefault="004E7A97" w:rsidP="004E7A97">
      <w:pPr>
        <w:pStyle w:val="SingleTxtG"/>
        <w:rPr>
          <w:lang w:val="fr-FR"/>
        </w:rPr>
      </w:pPr>
      <w:r>
        <w:rPr>
          <w:lang w:val="fr-FR"/>
        </w:rPr>
        <w:t>16.</w:t>
      </w:r>
      <w:r>
        <w:rPr>
          <w:lang w:val="fr-FR"/>
        </w:rPr>
        <w:tab/>
        <w:t>Si aucun système de mélange en continu ou de dosage n</w:t>
      </w:r>
      <w:r>
        <w:rPr>
          <w:lang w:val="fr-FR"/>
        </w:rPr>
        <w:t>’</w:t>
      </w:r>
      <w:r>
        <w:rPr>
          <w:lang w:val="fr-FR"/>
        </w:rPr>
        <w:t>est disponible, des additifs doivent pouvoir être ajoutés à la cargaison</w:t>
      </w:r>
      <w:r w:rsidRPr="00FB4009">
        <w:rPr>
          <w:lang w:val="fr-FR"/>
        </w:rPr>
        <w:t xml:space="preserve"> </w:t>
      </w:r>
      <w:r>
        <w:rPr>
          <w:lang w:val="fr-FR"/>
        </w:rPr>
        <w:t>sans danger, c</w:t>
      </w:r>
      <w:r>
        <w:rPr>
          <w:lang w:val="fr-FR"/>
        </w:rPr>
        <w:t>’</w:t>
      </w:r>
      <w:r>
        <w:rPr>
          <w:lang w:val="fr-FR"/>
        </w:rPr>
        <w:t>est-à-dire au moyen d</w:t>
      </w:r>
      <w:r>
        <w:rPr>
          <w:lang w:val="fr-FR"/>
        </w:rPr>
        <w:t>’</w:t>
      </w:r>
      <w:r>
        <w:rPr>
          <w:lang w:val="fr-FR"/>
        </w:rPr>
        <w:t xml:space="preserve">un système de dosage mobile connecté à la </w:t>
      </w:r>
      <w:r w:rsidRPr="00692C3A">
        <w:rPr>
          <w:lang w:val="fr-FR"/>
        </w:rPr>
        <w:t>traverse de chargement ou</w:t>
      </w:r>
      <w:r>
        <w:rPr>
          <w:lang w:val="fr-FR"/>
        </w:rPr>
        <w:t xml:space="preserve"> au</w:t>
      </w:r>
      <w:r w:rsidRPr="00692C3A">
        <w:rPr>
          <w:lang w:val="fr-FR"/>
        </w:rPr>
        <w:t xml:space="preserve"> collecteur de déchargement</w:t>
      </w:r>
      <w:r>
        <w:rPr>
          <w:lang w:val="fr-FR"/>
        </w:rPr>
        <w:t xml:space="preserve"> du </w:t>
      </w:r>
      <w:r>
        <w:rPr>
          <w:lang w:val="fr-FR"/>
        </w:rPr>
        <w:lastRenderedPageBreak/>
        <w:t>bateau. Le recours à ces systèmes de dosage est considéré comme une option plus sûre que l</w:t>
      </w:r>
      <w:r>
        <w:rPr>
          <w:lang w:val="fr-FR"/>
        </w:rPr>
        <w:t>’</w:t>
      </w:r>
      <w:r>
        <w:rPr>
          <w:lang w:val="fr-FR"/>
        </w:rPr>
        <w:t>ouverture d</w:t>
      </w:r>
      <w:r>
        <w:rPr>
          <w:lang w:val="fr-FR"/>
        </w:rPr>
        <w:t>’</w:t>
      </w:r>
      <w:r>
        <w:rPr>
          <w:lang w:val="fr-FR"/>
        </w:rPr>
        <w:t>orifices des citernes à cargaison. Il en va de même pour l</w:t>
      </w:r>
      <w:r>
        <w:rPr>
          <w:lang w:val="fr-FR"/>
        </w:rPr>
        <w:t>’</w:t>
      </w:r>
      <w:r>
        <w:rPr>
          <w:lang w:val="fr-FR"/>
        </w:rPr>
        <w:t>ajout de stabilisateurs.</w:t>
      </w:r>
    </w:p>
    <w:p w14:paraId="19331D9C" w14:textId="77777777" w:rsidR="004E7A97" w:rsidRPr="00692C3A" w:rsidRDefault="004E7A97" w:rsidP="004E7A97">
      <w:pPr>
        <w:pStyle w:val="HChG"/>
        <w:rPr>
          <w:lang w:val="fr-FR"/>
        </w:rPr>
      </w:pPr>
      <w:r>
        <w:rPr>
          <w:bCs/>
          <w:lang w:val="fr-FR"/>
        </w:rPr>
        <w:tab/>
        <w:t>III.</w:t>
      </w:r>
      <w:r>
        <w:rPr>
          <w:lang w:val="fr-FR"/>
        </w:rPr>
        <w:tab/>
      </w:r>
      <w:r>
        <w:rPr>
          <w:bCs/>
          <w:lang w:val="fr-FR"/>
        </w:rPr>
        <w:t>Conclusion</w:t>
      </w:r>
    </w:p>
    <w:p w14:paraId="590399C6" w14:textId="40953027" w:rsidR="004E7A97" w:rsidRPr="00692C3A" w:rsidRDefault="004E7A97" w:rsidP="004E7A97">
      <w:pPr>
        <w:pStyle w:val="SingleTxtG"/>
        <w:rPr>
          <w:lang w:val="fr-FR"/>
        </w:rPr>
      </w:pPr>
      <w:r>
        <w:rPr>
          <w:lang w:val="fr-FR"/>
        </w:rPr>
        <w:t>17.</w:t>
      </w:r>
      <w:r>
        <w:rPr>
          <w:lang w:val="fr-FR"/>
        </w:rPr>
        <w:tab/>
        <w:t>Les modifications qu</w:t>
      </w:r>
      <w:r>
        <w:rPr>
          <w:lang w:val="fr-FR"/>
        </w:rPr>
        <w:t>’</w:t>
      </w:r>
      <w:r>
        <w:rPr>
          <w:lang w:val="fr-FR"/>
        </w:rPr>
        <w:t>il est proposé d</w:t>
      </w:r>
      <w:r>
        <w:rPr>
          <w:lang w:val="fr-FR"/>
        </w:rPr>
        <w:t>’</w:t>
      </w:r>
      <w:r>
        <w:rPr>
          <w:lang w:val="fr-FR"/>
        </w:rPr>
        <w:t>apporter permettraient de corriger sans danger le dosage d</w:t>
      </w:r>
      <w:r>
        <w:rPr>
          <w:lang w:val="fr-FR"/>
        </w:rPr>
        <w:t>’</w:t>
      </w:r>
      <w:r>
        <w:rPr>
          <w:lang w:val="fr-FR"/>
        </w:rPr>
        <w:t xml:space="preserve">additifs de la cargaison à bord du bateau. </w:t>
      </w:r>
      <w:proofErr w:type="spellStart"/>
      <w:r>
        <w:rPr>
          <w:lang w:val="fr-FR"/>
        </w:rPr>
        <w:t>FuelsEurope</w:t>
      </w:r>
      <w:proofErr w:type="spellEnd"/>
      <w:r>
        <w:rPr>
          <w:lang w:val="fr-FR"/>
        </w:rPr>
        <w:t xml:space="preserve"> fournit des précisions en ce qui concerne le mélange de cargaison effectué à bord (par. 15), la présence de colis dans la zone de cargaison (par. 10) et l</w:t>
      </w:r>
      <w:r>
        <w:rPr>
          <w:lang w:val="fr-FR"/>
        </w:rPr>
        <w:t>’</w:t>
      </w:r>
      <w:r>
        <w:rPr>
          <w:lang w:val="fr-FR"/>
        </w:rPr>
        <w:t>utilisation de systèmes mobiles en toute sécurité (par. 14 et 16).</w:t>
      </w:r>
    </w:p>
    <w:p w14:paraId="7A2F324B" w14:textId="7E4B4071" w:rsidR="004E7A97" w:rsidRPr="00692C3A" w:rsidRDefault="004E7A97" w:rsidP="004E7A97">
      <w:pPr>
        <w:pStyle w:val="SingleTxtG"/>
        <w:rPr>
          <w:lang w:val="fr-FR"/>
        </w:rPr>
      </w:pPr>
      <w:r>
        <w:rPr>
          <w:lang w:val="fr-FR"/>
        </w:rPr>
        <w:t>18.</w:t>
      </w:r>
      <w:r>
        <w:rPr>
          <w:lang w:val="fr-FR"/>
        </w:rPr>
        <w:tab/>
        <w:t>Les solutions décrites rendraient inutile une opération de transport supplémentaire et complète (retour à l</w:t>
      </w:r>
      <w:r>
        <w:rPr>
          <w:lang w:val="fr-FR"/>
        </w:rPr>
        <w:t>’</w:t>
      </w:r>
      <w:r>
        <w:rPr>
          <w:lang w:val="fr-FR"/>
        </w:rPr>
        <w:t>installation, déchargement de toute la cargaison, nouvel ajout d</w:t>
      </w:r>
      <w:r>
        <w:rPr>
          <w:lang w:val="fr-FR"/>
        </w:rPr>
        <w:t>’</w:t>
      </w:r>
      <w:r>
        <w:rPr>
          <w:lang w:val="fr-FR"/>
        </w:rPr>
        <w:t>additif, chargement de toute la cargaison, nouveau trajet jusqu</w:t>
      </w:r>
      <w:r>
        <w:rPr>
          <w:lang w:val="fr-FR"/>
        </w:rPr>
        <w:t>’</w:t>
      </w:r>
      <w:r>
        <w:rPr>
          <w:lang w:val="fr-FR"/>
        </w:rPr>
        <w:t>à l</w:t>
      </w:r>
      <w:r>
        <w:rPr>
          <w:lang w:val="fr-FR"/>
        </w:rPr>
        <w:t>’</w:t>
      </w:r>
      <w:r>
        <w:rPr>
          <w:lang w:val="fr-FR"/>
        </w:rPr>
        <w:t>installation de déchargement). La proposition s</w:t>
      </w:r>
      <w:r>
        <w:rPr>
          <w:lang w:val="fr-FR"/>
        </w:rPr>
        <w:t>’</w:t>
      </w:r>
      <w:r>
        <w:rPr>
          <w:lang w:val="fr-FR"/>
        </w:rPr>
        <w:t>appuie sur l</w:t>
      </w:r>
      <w:r>
        <w:rPr>
          <w:lang w:val="fr-FR"/>
        </w:rPr>
        <w:t>’</w:t>
      </w:r>
      <w:r>
        <w:rPr>
          <w:lang w:val="fr-FR"/>
        </w:rPr>
        <w:t>idée qu</w:t>
      </w:r>
      <w:r>
        <w:rPr>
          <w:lang w:val="fr-FR"/>
        </w:rPr>
        <w:t>’</w:t>
      </w:r>
      <w:r>
        <w:rPr>
          <w:lang w:val="fr-FR"/>
        </w:rPr>
        <w:t>un nombre restreint de manipulations réduit les risques.</w:t>
      </w:r>
    </w:p>
    <w:p w14:paraId="7FA960A0" w14:textId="77777777" w:rsidR="004E7A97" w:rsidRPr="00692C3A" w:rsidRDefault="004E7A97" w:rsidP="004E7A97">
      <w:pPr>
        <w:pStyle w:val="HChG"/>
        <w:rPr>
          <w:lang w:val="fr-FR"/>
        </w:rPr>
      </w:pPr>
      <w:r>
        <w:rPr>
          <w:bCs/>
          <w:lang w:val="fr-FR"/>
        </w:rPr>
        <w:tab/>
        <w:t>IV.</w:t>
      </w:r>
      <w:r>
        <w:rPr>
          <w:lang w:val="fr-FR"/>
        </w:rPr>
        <w:tab/>
      </w:r>
      <w:r>
        <w:rPr>
          <w:bCs/>
          <w:lang w:val="fr-FR"/>
        </w:rPr>
        <w:t>Lien avec les objectifs de développement durable</w:t>
      </w:r>
    </w:p>
    <w:p w14:paraId="1FECE438" w14:textId="308B1931" w:rsidR="004E7A97" w:rsidRPr="00692C3A" w:rsidRDefault="004E7A97" w:rsidP="004E7A97">
      <w:pPr>
        <w:pStyle w:val="SingleTxtG"/>
        <w:rPr>
          <w:lang w:val="fr-FR"/>
        </w:rPr>
      </w:pPr>
      <w:r>
        <w:rPr>
          <w:lang w:val="fr-FR"/>
        </w:rPr>
        <w:t>19.</w:t>
      </w:r>
      <w:r>
        <w:rPr>
          <w:lang w:val="fr-FR"/>
        </w:rPr>
        <w:tab/>
        <w:t>On peut considérer que les nouvelles connaissances en matière de manutention des matières (dangereuses) et leur prise en compte aux fins de la sécurité de la manutention, du stockage et du transport de ces matières s</w:t>
      </w:r>
      <w:r>
        <w:rPr>
          <w:lang w:val="fr-FR"/>
        </w:rPr>
        <w:t>’</w:t>
      </w:r>
      <w:r>
        <w:rPr>
          <w:lang w:val="fr-FR"/>
        </w:rPr>
        <w:t>inscrivent dans le cadre de l</w:t>
      </w:r>
      <w:r>
        <w:rPr>
          <w:lang w:val="fr-FR"/>
        </w:rPr>
        <w:t>’</w:t>
      </w:r>
      <w:r>
        <w:rPr>
          <w:lang w:val="fr-FR"/>
        </w:rPr>
        <w:t xml:space="preserve">objectif de développement durable </w:t>
      </w:r>
      <w:r w:rsidR="00033B35" w:rsidRPr="00033B35">
        <w:rPr>
          <w:rFonts w:eastAsia="MS Mincho"/>
          <w:szCs w:val="22"/>
          <w:lang w:val="fr-FR"/>
        </w:rPr>
        <w:t>n</w:t>
      </w:r>
      <w:r w:rsidR="00033B35" w:rsidRPr="00033B35">
        <w:rPr>
          <w:rFonts w:eastAsia="MS Mincho"/>
          <w:szCs w:val="22"/>
          <w:vertAlign w:val="superscript"/>
          <w:lang w:val="fr-FR"/>
        </w:rPr>
        <w:t>o</w:t>
      </w:r>
      <w:r w:rsidR="00033B35">
        <w:rPr>
          <w:lang w:val="fr-FR"/>
        </w:rPr>
        <w:t> </w:t>
      </w:r>
      <w:r>
        <w:rPr>
          <w:lang w:val="fr-FR"/>
        </w:rPr>
        <w:t xml:space="preserve">3 (Bonne santé et bien-être </w:t>
      </w:r>
      <w:r w:rsidR="005D244E">
        <w:rPr>
          <w:lang w:val="fr-FR"/>
        </w:rPr>
        <w:t>−</w:t>
      </w:r>
      <w:r>
        <w:rPr>
          <w:lang w:val="fr-FR"/>
        </w:rPr>
        <w:t xml:space="preserve"> Réduction des risques sanitaires liés aux matières dangereuses).</w:t>
      </w:r>
    </w:p>
    <w:p w14:paraId="5DFC0931" w14:textId="6E62430D" w:rsidR="004E7A97" w:rsidRPr="00692C3A" w:rsidRDefault="004E7A97" w:rsidP="004E7A97">
      <w:pPr>
        <w:pStyle w:val="SingleTxtG"/>
        <w:rPr>
          <w:lang w:val="fr-FR"/>
        </w:rPr>
      </w:pPr>
      <w:r>
        <w:rPr>
          <w:lang w:val="fr-FR"/>
        </w:rPr>
        <w:t>20.</w:t>
      </w:r>
      <w:r>
        <w:rPr>
          <w:lang w:val="fr-FR"/>
        </w:rPr>
        <w:tab/>
        <w:t>Étant donné que cette question relève en outre du transport durable, un lien peut également être établi avec l</w:t>
      </w:r>
      <w:r>
        <w:rPr>
          <w:lang w:val="fr-FR"/>
        </w:rPr>
        <w:t>’</w:t>
      </w:r>
      <w:r>
        <w:rPr>
          <w:lang w:val="fr-FR"/>
        </w:rPr>
        <w:t xml:space="preserve">objectif de développement durable </w:t>
      </w:r>
      <w:r w:rsidR="00033B35" w:rsidRPr="00033B35">
        <w:rPr>
          <w:rFonts w:eastAsia="MS Mincho"/>
          <w:szCs w:val="22"/>
          <w:lang w:val="fr-FR"/>
        </w:rPr>
        <w:t>n</w:t>
      </w:r>
      <w:r w:rsidR="00033B35" w:rsidRPr="00033B35">
        <w:rPr>
          <w:rFonts w:eastAsia="MS Mincho"/>
          <w:szCs w:val="22"/>
          <w:vertAlign w:val="superscript"/>
          <w:lang w:val="fr-FR"/>
        </w:rPr>
        <w:t>o</w:t>
      </w:r>
      <w:r w:rsidR="00033B35">
        <w:rPr>
          <w:lang w:val="fr-FR"/>
        </w:rPr>
        <w:t> </w:t>
      </w:r>
      <w:r>
        <w:rPr>
          <w:lang w:val="fr-FR"/>
        </w:rPr>
        <w:t>11.</w:t>
      </w:r>
    </w:p>
    <w:p w14:paraId="28F97644" w14:textId="77777777" w:rsidR="004E7A97" w:rsidRPr="00692C3A" w:rsidRDefault="004E7A97" w:rsidP="004E7A97">
      <w:pPr>
        <w:pStyle w:val="HChG"/>
        <w:rPr>
          <w:lang w:val="fr-FR"/>
        </w:rPr>
      </w:pPr>
      <w:r>
        <w:rPr>
          <w:bCs/>
          <w:lang w:val="fr-FR"/>
        </w:rPr>
        <w:tab/>
        <w:t>V.</w:t>
      </w:r>
      <w:r>
        <w:rPr>
          <w:lang w:val="fr-FR"/>
        </w:rPr>
        <w:tab/>
      </w:r>
      <w:r>
        <w:rPr>
          <w:bCs/>
          <w:lang w:val="fr-FR"/>
        </w:rPr>
        <w:t>Mesures à prendre</w:t>
      </w:r>
    </w:p>
    <w:p w14:paraId="053AE3E7" w14:textId="491C4DA2" w:rsidR="004E7A97" w:rsidRPr="00692C3A" w:rsidRDefault="004E7A97" w:rsidP="004E7A97">
      <w:pPr>
        <w:pStyle w:val="SingleTxtG"/>
        <w:rPr>
          <w:lang w:val="fr-FR"/>
        </w:rPr>
      </w:pPr>
      <w:r>
        <w:rPr>
          <w:lang w:val="fr-FR"/>
        </w:rPr>
        <w:t>21.</w:t>
      </w:r>
      <w:r>
        <w:rPr>
          <w:lang w:val="fr-FR"/>
        </w:rPr>
        <w:tab/>
      </w:r>
      <w:proofErr w:type="spellStart"/>
      <w:r>
        <w:rPr>
          <w:lang w:val="fr-FR"/>
        </w:rPr>
        <w:t>FuelsEurope</w:t>
      </w:r>
      <w:proofErr w:type="spellEnd"/>
      <w:r>
        <w:rPr>
          <w:lang w:val="fr-FR"/>
        </w:rPr>
        <w:t xml:space="preserve"> invite donc le Comité de sécurité à examiner les propositions figurant aux paragraphes</w:t>
      </w:r>
      <w:r w:rsidR="00D75C41">
        <w:rPr>
          <w:lang w:val="fr-FR"/>
        </w:rPr>
        <w:t> </w:t>
      </w:r>
      <w:r>
        <w:rPr>
          <w:lang w:val="fr-FR"/>
        </w:rPr>
        <w:t>7, 8, 9 et 10, en tenant compte de la justification fournie, et à prendre les mesures qui lui semblent appropriées, pour entrée en vigueur le 1</w:t>
      </w:r>
      <w:r>
        <w:rPr>
          <w:vertAlign w:val="superscript"/>
          <w:lang w:val="fr-FR"/>
        </w:rPr>
        <w:t>er</w:t>
      </w:r>
      <w:r w:rsidR="00033B35">
        <w:rPr>
          <w:lang w:val="fr-FR"/>
        </w:rPr>
        <w:t> </w:t>
      </w:r>
      <w:r>
        <w:rPr>
          <w:lang w:val="fr-FR"/>
        </w:rPr>
        <w:t>janvier 2025.</w:t>
      </w:r>
    </w:p>
    <w:p w14:paraId="0281108E" w14:textId="3F45B630" w:rsidR="00D02C62" w:rsidRDefault="004E7A97" w:rsidP="004E7A97">
      <w:pPr>
        <w:pStyle w:val="SingleTxtG"/>
        <w:rPr>
          <w:lang w:val="fr-FR"/>
        </w:rPr>
      </w:pPr>
      <w:r>
        <w:rPr>
          <w:lang w:val="fr-FR"/>
        </w:rPr>
        <w:t>22.</w:t>
      </w:r>
      <w:r>
        <w:rPr>
          <w:lang w:val="fr-FR"/>
        </w:rPr>
        <w:tab/>
        <w:t>Le Comité de sécurité est également invité à formuler un avis et à se prononcer sur les déclarations faites aux paragraphes 14, 15 et 16.</w:t>
      </w:r>
    </w:p>
    <w:p w14:paraId="751BC97D" w14:textId="7C67184F" w:rsidR="004E7A97" w:rsidRPr="004E7A97" w:rsidRDefault="004E7A97" w:rsidP="004E7A9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E7A97" w:rsidRPr="004E7A97" w:rsidSect="00D02C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15CC" w14:textId="77777777" w:rsidR="00AE7AEA" w:rsidRDefault="00AE7AEA" w:rsidP="00F95C08">
      <w:pPr>
        <w:spacing w:line="240" w:lineRule="auto"/>
      </w:pPr>
    </w:p>
  </w:endnote>
  <w:endnote w:type="continuationSeparator" w:id="0">
    <w:p w14:paraId="49E44A12" w14:textId="77777777" w:rsidR="00AE7AEA" w:rsidRPr="00AC3823" w:rsidRDefault="00AE7AEA" w:rsidP="00AC3823">
      <w:pPr>
        <w:pStyle w:val="Pieddepage"/>
      </w:pPr>
    </w:p>
  </w:endnote>
  <w:endnote w:type="continuationNotice" w:id="1">
    <w:p w14:paraId="04916398" w14:textId="77777777" w:rsidR="00AE7AEA" w:rsidRDefault="00AE7A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C82" w14:textId="09C09A29" w:rsidR="00D02C62" w:rsidRPr="00D02C62" w:rsidRDefault="00D02C62" w:rsidP="00D02C62">
    <w:pPr>
      <w:pStyle w:val="Pieddepage"/>
      <w:tabs>
        <w:tab w:val="right" w:pos="9638"/>
      </w:tabs>
    </w:pPr>
    <w:r w:rsidRPr="00D02C62">
      <w:rPr>
        <w:b/>
        <w:sz w:val="18"/>
      </w:rPr>
      <w:fldChar w:fldCharType="begin"/>
    </w:r>
    <w:r w:rsidRPr="00D02C62">
      <w:rPr>
        <w:b/>
        <w:sz w:val="18"/>
      </w:rPr>
      <w:instrText xml:space="preserve"> PAGE  \* MERGEFORMAT </w:instrText>
    </w:r>
    <w:r w:rsidRPr="00D02C62">
      <w:rPr>
        <w:b/>
        <w:sz w:val="18"/>
      </w:rPr>
      <w:fldChar w:fldCharType="separate"/>
    </w:r>
    <w:r w:rsidRPr="00D02C62">
      <w:rPr>
        <w:b/>
        <w:noProof/>
        <w:sz w:val="18"/>
      </w:rPr>
      <w:t>2</w:t>
    </w:r>
    <w:r w:rsidRPr="00D02C62">
      <w:rPr>
        <w:b/>
        <w:sz w:val="18"/>
      </w:rPr>
      <w:fldChar w:fldCharType="end"/>
    </w:r>
    <w:r>
      <w:rPr>
        <w:b/>
        <w:sz w:val="18"/>
      </w:rPr>
      <w:tab/>
    </w:r>
    <w:r>
      <w:t>GE.23-21982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67E9" w14:textId="2D76AE41" w:rsidR="00D02C62" w:rsidRPr="00D02C62" w:rsidRDefault="00D02C62" w:rsidP="00D02C62">
    <w:pPr>
      <w:pStyle w:val="Pieddepage"/>
      <w:tabs>
        <w:tab w:val="right" w:pos="9638"/>
      </w:tabs>
      <w:rPr>
        <w:b/>
        <w:sz w:val="18"/>
      </w:rPr>
    </w:pPr>
    <w:r>
      <w:t>GE.23-21982</w:t>
    </w:r>
    <w:r>
      <w:tab/>
    </w:r>
    <w:r w:rsidRPr="00D02C62">
      <w:rPr>
        <w:b/>
        <w:sz w:val="18"/>
      </w:rPr>
      <w:fldChar w:fldCharType="begin"/>
    </w:r>
    <w:r w:rsidRPr="00D02C62">
      <w:rPr>
        <w:b/>
        <w:sz w:val="18"/>
      </w:rPr>
      <w:instrText xml:space="preserve"> PAGE  \* MERGEFORMAT </w:instrText>
    </w:r>
    <w:r w:rsidRPr="00D02C62">
      <w:rPr>
        <w:b/>
        <w:sz w:val="18"/>
      </w:rPr>
      <w:fldChar w:fldCharType="separate"/>
    </w:r>
    <w:r w:rsidRPr="00D02C62">
      <w:rPr>
        <w:b/>
        <w:noProof/>
        <w:sz w:val="18"/>
      </w:rPr>
      <w:t>3</w:t>
    </w:r>
    <w:r w:rsidRPr="00D02C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7062" w14:textId="1EB28333" w:rsidR="007F20FA" w:rsidRPr="00D02C62" w:rsidRDefault="00D02C62" w:rsidP="00D02C6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B4EFA1" wp14:editId="7119AE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23-21982  (F)</w:t>
    </w:r>
    <w:r>
      <w:rPr>
        <w:noProof/>
        <w:sz w:val="20"/>
      </w:rPr>
      <w:drawing>
        <wp:anchor distT="0" distB="0" distL="114300" distR="114300" simplePos="0" relativeHeight="251660288" behindDoc="0" locked="0" layoutInCell="1" allowOverlap="1" wp14:anchorId="3E1B24E7" wp14:editId="140B8793">
          <wp:simplePos x="0" y="0"/>
          <wp:positionH relativeFrom="margin">
            <wp:posOffset>5489575</wp:posOffset>
          </wp:positionH>
          <wp:positionV relativeFrom="margin">
            <wp:posOffset>8891905</wp:posOffset>
          </wp:positionV>
          <wp:extent cx="638175" cy="638175"/>
          <wp:effectExtent l="0" t="0" r="9525" b="9525"/>
          <wp:wrapNone/>
          <wp:docPr id="630624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231123    231123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8531" w14:textId="77777777" w:rsidR="00AE7AEA" w:rsidRPr="00AC3823" w:rsidRDefault="00AE7AEA" w:rsidP="00AC3823">
      <w:pPr>
        <w:pStyle w:val="Pieddepage"/>
        <w:tabs>
          <w:tab w:val="right" w:pos="2155"/>
        </w:tabs>
        <w:spacing w:after="80" w:line="240" w:lineRule="atLeast"/>
        <w:ind w:left="680"/>
        <w:rPr>
          <w:u w:val="single"/>
        </w:rPr>
      </w:pPr>
      <w:r>
        <w:rPr>
          <w:u w:val="single"/>
        </w:rPr>
        <w:tab/>
      </w:r>
    </w:p>
  </w:footnote>
  <w:footnote w:type="continuationSeparator" w:id="0">
    <w:p w14:paraId="751A1A6C" w14:textId="77777777" w:rsidR="00AE7AEA" w:rsidRPr="00AC3823" w:rsidRDefault="00AE7AEA" w:rsidP="00AC3823">
      <w:pPr>
        <w:pStyle w:val="Pieddepage"/>
        <w:tabs>
          <w:tab w:val="right" w:pos="2155"/>
        </w:tabs>
        <w:spacing w:after="80" w:line="240" w:lineRule="atLeast"/>
        <w:ind w:left="680"/>
        <w:rPr>
          <w:u w:val="single"/>
        </w:rPr>
      </w:pPr>
      <w:r>
        <w:rPr>
          <w:u w:val="single"/>
        </w:rPr>
        <w:tab/>
      </w:r>
    </w:p>
  </w:footnote>
  <w:footnote w:type="continuationNotice" w:id="1">
    <w:p w14:paraId="64C709DA" w14:textId="77777777" w:rsidR="00AE7AEA" w:rsidRPr="00AC3823" w:rsidRDefault="00AE7AEA">
      <w:pPr>
        <w:spacing w:line="240" w:lineRule="auto"/>
        <w:rPr>
          <w:sz w:val="2"/>
          <w:szCs w:val="2"/>
        </w:rPr>
      </w:pPr>
    </w:p>
  </w:footnote>
  <w:footnote w:id="2">
    <w:p w14:paraId="14261615" w14:textId="75633F62" w:rsidR="00D02C62" w:rsidRPr="00692C3A" w:rsidRDefault="00D02C62" w:rsidP="00D02C62">
      <w:pPr>
        <w:pStyle w:val="Notedebasdepage"/>
        <w:rPr>
          <w:lang w:val="fr-FR"/>
        </w:rPr>
      </w:pPr>
      <w:r>
        <w:rPr>
          <w:lang w:val="fr-FR"/>
        </w:rPr>
        <w:tab/>
      </w:r>
      <w:r w:rsidRPr="004E7A97">
        <w:rPr>
          <w:sz w:val="20"/>
          <w:lang w:val="fr-FR"/>
        </w:rPr>
        <w:t>*</w:t>
      </w:r>
      <w:r>
        <w:rPr>
          <w:lang w:val="fr-FR"/>
        </w:rPr>
        <w:tab/>
        <w:t>Diffusée en allemand par la Commission centrale pour la navigation du Rhin sous la cote CCNR</w:t>
      </w:r>
      <w:r w:rsidR="004E7A97">
        <w:rPr>
          <w:lang w:val="fr-FR"/>
        </w:rPr>
        <w:noBreakHyphen/>
      </w:r>
      <w:r>
        <w:rPr>
          <w:lang w:val="fr-FR"/>
        </w:rPr>
        <w:t>ZKR/ADN/WP.15/AC.2/2024/20.</w:t>
      </w:r>
    </w:p>
  </w:footnote>
  <w:footnote w:id="3">
    <w:p w14:paraId="1429E010" w14:textId="77777777" w:rsidR="00D02C62" w:rsidRPr="00404A27" w:rsidRDefault="00D02C62" w:rsidP="00D02C62">
      <w:pPr>
        <w:pStyle w:val="Notedebasdepage"/>
      </w:pPr>
      <w:r>
        <w:rPr>
          <w:lang w:val="fr-FR"/>
        </w:rPr>
        <w:tab/>
      </w:r>
      <w:r w:rsidRPr="004E7A97">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2439" w14:textId="6C438B33" w:rsidR="00D02C62" w:rsidRPr="00D02C62" w:rsidRDefault="00D02C62">
    <w:pPr>
      <w:pStyle w:val="En-tte"/>
    </w:pPr>
    <w:fldSimple w:instr=" TITLE  \* MERGEFORMAT ">
      <w:r w:rsidR="00067B1D">
        <w:t>ECE/TRANS/WP.15/AC.2/2024/20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F222" w14:textId="13D8C394" w:rsidR="00D02C62" w:rsidRPr="00D02C62" w:rsidRDefault="00D02C62" w:rsidP="00D02C62">
    <w:pPr>
      <w:pStyle w:val="En-tte"/>
      <w:jc w:val="right"/>
    </w:pPr>
    <w:fldSimple w:instr=" TITLE  \* MERGEFORMAT ">
      <w:r w:rsidR="00067B1D">
        <w:t>ECE/TRANS/WP.15/AC.2/2024/20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pStyle w:val="Level1"/>
      <w:lvlText w:val="%1."/>
      <w:lvlJc w:val="left"/>
      <w:pPr>
        <w:tabs>
          <w:tab w:val="num" w:pos="566"/>
        </w:tabs>
        <w:ind w:left="566" w:hanging="56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4497841">
    <w:abstractNumId w:val="14"/>
  </w:num>
  <w:num w:numId="2" w16cid:durableId="1338535596">
    <w:abstractNumId w:val="12"/>
  </w:num>
  <w:num w:numId="3" w16cid:durableId="1034697837">
    <w:abstractNumId w:val="11"/>
  </w:num>
  <w:num w:numId="4" w16cid:durableId="2067365163">
    <w:abstractNumId w:val="8"/>
  </w:num>
  <w:num w:numId="5" w16cid:durableId="1718965861">
    <w:abstractNumId w:val="3"/>
  </w:num>
  <w:num w:numId="6" w16cid:durableId="70589178">
    <w:abstractNumId w:val="2"/>
  </w:num>
  <w:num w:numId="7" w16cid:durableId="1799519858">
    <w:abstractNumId w:val="1"/>
  </w:num>
  <w:num w:numId="8" w16cid:durableId="1957174858">
    <w:abstractNumId w:val="0"/>
  </w:num>
  <w:num w:numId="9" w16cid:durableId="1662856480">
    <w:abstractNumId w:val="9"/>
  </w:num>
  <w:num w:numId="10" w16cid:durableId="1905214338">
    <w:abstractNumId w:val="7"/>
  </w:num>
  <w:num w:numId="11" w16cid:durableId="847214160">
    <w:abstractNumId w:val="6"/>
  </w:num>
  <w:num w:numId="12" w16cid:durableId="1469281020">
    <w:abstractNumId w:val="5"/>
  </w:num>
  <w:num w:numId="13" w16cid:durableId="1555120235">
    <w:abstractNumId w:val="4"/>
  </w:num>
  <w:num w:numId="14" w16cid:durableId="1411804209">
    <w:abstractNumId w:val="14"/>
  </w:num>
  <w:num w:numId="15" w16cid:durableId="969553115">
    <w:abstractNumId w:val="12"/>
  </w:num>
  <w:num w:numId="16" w16cid:durableId="918636690">
    <w:abstractNumId w:val="11"/>
  </w:num>
  <w:num w:numId="17" w16cid:durableId="43140023">
    <w:abstractNumId w:val="13"/>
  </w:num>
  <w:num w:numId="18" w16cid:durableId="1670134983">
    <w:abstractNumId w:val="15"/>
  </w:num>
  <w:num w:numId="19" w16cid:durableId="1922912189">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70412327">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454985348">
    <w:abstractNumId w:val="1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EA"/>
    <w:rsid w:val="00017F94"/>
    <w:rsid w:val="00023842"/>
    <w:rsid w:val="000334F9"/>
    <w:rsid w:val="00033B35"/>
    <w:rsid w:val="00045FEB"/>
    <w:rsid w:val="00067B1D"/>
    <w:rsid w:val="0007796D"/>
    <w:rsid w:val="000B7790"/>
    <w:rsid w:val="00111F2F"/>
    <w:rsid w:val="0014365E"/>
    <w:rsid w:val="00143C66"/>
    <w:rsid w:val="00162DA5"/>
    <w:rsid w:val="00176178"/>
    <w:rsid w:val="001F525A"/>
    <w:rsid w:val="00201148"/>
    <w:rsid w:val="002110A6"/>
    <w:rsid w:val="00223272"/>
    <w:rsid w:val="0024779E"/>
    <w:rsid w:val="00257168"/>
    <w:rsid w:val="002744B8"/>
    <w:rsid w:val="002832AC"/>
    <w:rsid w:val="002D7C93"/>
    <w:rsid w:val="00305801"/>
    <w:rsid w:val="003916DE"/>
    <w:rsid w:val="003E30AE"/>
    <w:rsid w:val="00421996"/>
    <w:rsid w:val="00441C3B"/>
    <w:rsid w:val="00446FE5"/>
    <w:rsid w:val="00452396"/>
    <w:rsid w:val="00477EB2"/>
    <w:rsid w:val="004837D8"/>
    <w:rsid w:val="004E2EED"/>
    <w:rsid w:val="004E468C"/>
    <w:rsid w:val="004E7A97"/>
    <w:rsid w:val="005505B7"/>
    <w:rsid w:val="00552023"/>
    <w:rsid w:val="00573BE5"/>
    <w:rsid w:val="00586ED3"/>
    <w:rsid w:val="00596AA9"/>
    <w:rsid w:val="005D244E"/>
    <w:rsid w:val="0071601D"/>
    <w:rsid w:val="007A62E6"/>
    <w:rsid w:val="007D0B19"/>
    <w:rsid w:val="007F20FA"/>
    <w:rsid w:val="0080684C"/>
    <w:rsid w:val="00871C75"/>
    <w:rsid w:val="008776DC"/>
    <w:rsid w:val="008D5EF9"/>
    <w:rsid w:val="009446C0"/>
    <w:rsid w:val="009705C8"/>
    <w:rsid w:val="009C1CF4"/>
    <w:rsid w:val="009F6B74"/>
    <w:rsid w:val="00A3029F"/>
    <w:rsid w:val="00A30353"/>
    <w:rsid w:val="00AC3823"/>
    <w:rsid w:val="00AE323C"/>
    <w:rsid w:val="00AE7AEA"/>
    <w:rsid w:val="00AF0CB5"/>
    <w:rsid w:val="00B00181"/>
    <w:rsid w:val="00B00B0D"/>
    <w:rsid w:val="00B15DCD"/>
    <w:rsid w:val="00B45F2E"/>
    <w:rsid w:val="00B52060"/>
    <w:rsid w:val="00B765F7"/>
    <w:rsid w:val="00B77993"/>
    <w:rsid w:val="00BA0CA9"/>
    <w:rsid w:val="00BA5C2F"/>
    <w:rsid w:val="00C02897"/>
    <w:rsid w:val="00C057F5"/>
    <w:rsid w:val="00C97039"/>
    <w:rsid w:val="00D02C62"/>
    <w:rsid w:val="00D3439C"/>
    <w:rsid w:val="00D75C41"/>
    <w:rsid w:val="00D7622E"/>
    <w:rsid w:val="00DB1831"/>
    <w:rsid w:val="00DD3BFD"/>
    <w:rsid w:val="00DF6678"/>
    <w:rsid w:val="00E0299A"/>
    <w:rsid w:val="00E85C74"/>
    <w:rsid w:val="00E97585"/>
    <w:rsid w:val="00EA6547"/>
    <w:rsid w:val="00ED7237"/>
    <w:rsid w:val="00EF2E22"/>
    <w:rsid w:val="00F35BAF"/>
    <w:rsid w:val="00F660DF"/>
    <w:rsid w:val="00F9025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A1701"/>
  <w15:docId w15:val="{5BC9F191-EC70-4C9D-B7EB-0E4E74DE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02C62"/>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D02C62"/>
    <w:pPr>
      <w:kinsoku/>
      <w:overflowPunct/>
      <w:autoSpaceDE/>
      <w:autoSpaceDN/>
      <w:adjustRightInd/>
      <w:snapToGrid/>
      <w:ind w:left="720"/>
      <w:contextualSpacing/>
    </w:pPr>
    <w:rPr>
      <w:rFonts w:eastAsia="Times New Roman"/>
      <w:lang w:val="en-GB" w:eastAsia="fr-FR"/>
    </w:rPr>
  </w:style>
  <w:style w:type="paragraph" w:customStyle="1" w:styleId="Level1">
    <w:name w:val="Level 1"/>
    <w:basedOn w:val="Normal"/>
    <w:rsid w:val="004E7A97"/>
    <w:pPr>
      <w:widowControl w:val="0"/>
      <w:numPr>
        <w:numId w:val="19"/>
      </w:numPr>
      <w:suppressAutoHyphens w:val="0"/>
      <w:kinsoku/>
      <w:overflowPunct/>
      <w:autoSpaceDE/>
      <w:autoSpaceDN/>
      <w:adjustRightInd/>
      <w:snapToGrid/>
      <w:spacing w:line="240" w:lineRule="auto"/>
      <w:outlineLvl w:val="0"/>
    </w:pPr>
    <w:rPr>
      <w:rFonts w:eastAsia="Times New Roman"/>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60BAE-C3A7-40A3-BA97-109B758AA654}"/>
</file>

<file path=customXml/itemProps2.xml><?xml version="1.0" encoding="utf-8"?>
<ds:datastoreItem xmlns:ds="http://schemas.openxmlformats.org/officeDocument/2006/customXml" ds:itemID="{6B44BE68-D2A7-4E4E-B8BC-0982DB020A1A}"/>
</file>

<file path=docProps/app.xml><?xml version="1.0" encoding="utf-8"?>
<Properties xmlns="http://schemas.openxmlformats.org/officeDocument/2006/extended-properties" xmlns:vt="http://schemas.openxmlformats.org/officeDocument/2006/docPropsVTypes">
  <Template>ECE_TRANS.dotm</Template>
  <TotalTime>8</TotalTime>
  <Pages>5</Pages>
  <Words>1714</Words>
  <Characters>11998</Characters>
  <Application>Microsoft Office Word</Application>
  <DocSecurity>0</DocSecurity>
  <Lines>999</Lines>
  <Paragraphs>548</Paragraphs>
  <ScaleCrop>false</ScaleCrop>
  <HeadingPairs>
    <vt:vector size="2" baseType="variant">
      <vt:variant>
        <vt:lpstr>Titre</vt:lpstr>
      </vt:variant>
      <vt:variant>
        <vt:i4>1</vt:i4>
      </vt:variant>
    </vt:vector>
  </HeadingPairs>
  <TitlesOfParts>
    <vt:vector size="1" baseType="lpstr">
      <vt:lpstr>ECE/TRANS/WP.15/AC.2/2024/20</vt:lpstr>
    </vt:vector>
  </TitlesOfParts>
  <Company>DCM</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ECE/TRANS/WP.15/AC.2/2024/20</dc:title>
  <dc:subject/>
  <dc:creator>Corinne ROBERT</dc:creator>
  <cp:keywords/>
  <cp:lastModifiedBy>Corinne Robert</cp:lastModifiedBy>
  <cp:revision>2</cp:revision>
  <cp:lastPrinted>2023-11-23T09:29:00Z</cp:lastPrinted>
  <dcterms:created xsi:type="dcterms:W3CDTF">2023-11-23T09:53:00Z</dcterms:created>
  <dcterms:modified xsi:type="dcterms:W3CDTF">2023-11-23T09:53:00Z</dcterms:modified>
</cp:coreProperties>
</file>