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9EBA10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1537BA" w14:textId="77777777" w:rsidR="00F35BAF" w:rsidRPr="00DB58B5" w:rsidRDefault="00F35BAF" w:rsidP="006A1D8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07BEE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335FB7" w14:textId="73891161" w:rsidR="00F35BAF" w:rsidRPr="00DB58B5" w:rsidRDefault="006A1D88" w:rsidP="006A1D88">
            <w:pPr>
              <w:jc w:val="right"/>
            </w:pPr>
            <w:r w:rsidRPr="006A1D88">
              <w:rPr>
                <w:sz w:val="40"/>
              </w:rPr>
              <w:t>ECE</w:t>
            </w:r>
            <w:r>
              <w:t>/TRANS/WP.15/AC.2/2024/10</w:t>
            </w:r>
          </w:p>
        </w:tc>
      </w:tr>
      <w:tr w:rsidR="00F35BAF" w:rsidRPr="00DB58B5" w14:paraId="1D0F0C2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8CA60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78A1EA" wp14:editId="3FE859B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CA9F1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77EF9B" w14:textId="77777777" w:rsidR="00F35BAF" w:rsidRDefault="006A1D8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8FC315B" w14:textId="77777777" w:rsidR="006A1D88" w:rsidRDefault="006A1D88" w:rsidP="006A1D88">
            <w:pPr>
              <w:spacing w:line="240" w:lineRule="exact"/>
            </w:pPr>
            <w:r>
              <w:t>9 novembre 2023</w:t>
            </w:r>
          </w:p>
          <w:p w14:paraId="6D311BB5" w14:textId="77777777" w:rsidR="006A1D88" w:rsidRDefault="006A1D88" w:rsidP="006A1D88">
            <w:pPr>
              <w:spacing w:line="240" w:lineRule="exact"/>
            </w:pPr>
            <w:r>
              <w:t>Français</w:t>
            </w:r>
          </w:p>
          <w:p w14:paraId="4545AD1D" w14:textId="0C131ED4" w:rsidR="006A1D88" w:rsidRPr="00DB58B5" w:rsidRDefault="006A1D88" w:rsidP="006A1D88">
            <w:pPr>
              <w:spacing w:line="240" w:lineRule="exact"/>
            </w:pPr>
            <w:r>
              <w:t>Original : anglais</w:t>
            </w:r>
          </w:p>
        </w:tc>
      </w:tr>
    </w:tbl>
    <w:p w14:paraId="6550F24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D6A7E2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C19FD4C" w14:textId="39A750C6" w:rsidR="00F126B6" w:rsidRPr="00F126B6" w:rsidRDefault="00F126B6" w:rsidP="00F126B6">
      <w:pPr>
        <w:spacing w:before="120"/>
        <w:rPr>
          <w:b/>
          <w:bCs/>
          <w:sz w:val="24"/>
          <w:szCs w:val="24"/>
          <w:lang w:val="fr-FR"/>
        </w:rPr>
      </w:pPr>
      <w:r w:rsidRPr="00F126B6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7C171164" w14:textId="6F0CF074" w:rsidR="00F126B6" w:rsidRPr="000B0A25" w:rsidRDefault="00F126B6" w:rsidP="00F126B6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 xml:space="preserve">Réunion commune d’experts du Règlement annexé à l’Accord européen </w:t>
      </w:r>
      <w:r w:rsidR="000B0A25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relatif au transport international des marchandises dangereuses par voies </w:t>
      </w:r>
      <w:r w:rsidR="000B0A25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de navigation intérieures </w:t>
      </w:r>
      <w:r w:rsidR="00916016">
        <w:rPr>
          <w:b/>
          <w:bCs/>
          <w:lang w:val="fr-FR"/>
        </w:rPr>
        <w:t xml:space="preserve">(ADN) </w:t>
      </w:r>
      <w:r>
        <w:rPr>
          <w:b/>
          <w:bCs/>
          <w:lang w:val="fr-FR"/>
        </w:rPr>
        <w:t>(Comité de sécurité de l’ADN)</w:t>
      </w:r>
    </w:p>
    <w:p w14:paraId="1C031FCB" w14:textId="77777777" w:rsidR="00F126B6" w:rsidRPr="003C1A22" w:rsidRDefault="00F126B6" w:rsidP="00F126B6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Quarante-troisième session</w:t>
      </w:r>
    </w:p>
    <w:p w14:paraId="3EE768F7" w14:textId="77777777" w:rsidR="00F126B6" w:rsidRPr="003C1A22" w:rsidRDefault="00F126B6" w:rsidP="00F126B6">
      <w:pPr>
        <w:rPr>
          <w:lang w:val="fr-FR"/>
        </w:rPr>
      </w:pPr>
      <w:r>
        <w:rPr>
          <w:lang w:val="fr-FR"/>
        </w:rPr>
        <w:t>Genève, 22-26 janvier 2024</w:t>
      </w:r>
    </w:p>
    <w:p w14:paraId="4EB2AABD" w14:textId="77777777" w:rsidR="00F126B6" w:rsidRPr="003C1A22" w:rsidRDefault="00F126B6" w:rsidP="00F126B6">
      <w:pPr>
        <w:rPr>
          <w:lang w:val="fr-FR"/>
        </w:rPr>
      </w:pPr>
      <w:r>
        <w:rPr>
          <w:lang w:val="fr-FR"/>
        </w:rPr>
        <w:t>Point 5 b) de l’ordre du jour provisoire</w:t>
      </w:r>
    </w:p>
    <w:p w14:paraId="374CFACA" w14:textId="6DB57224" w:rsidR="00F126B6" w:rsidRPr="003C1A22" w:rsidRDefault="00F126B6" w:rsidP="00F126B6">
      <w:pPr>
        <w:contextualSpacing/>
        <w:rPr>
          <w:b/>
          <w:lang w:val="fr-FR"/>
        </w:rPr>
      </w:pPr>
      <w:r>
        <w:rPr>
          <w:b/>
          <w:bCs/>
          <w:lang w:val="fr-FR"/>
        </w:rPr>
        <w:t>Propositions d’amendements au Règlement annexé à l’ADN</w:t>
      </w:r>
      <w:r w:rsidR="000B0A25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1F3DE0F7" w14:textId="77777777" w:rsidR="00F126B6" w:rsidRPr="003C1A22" w:rsidRDefault="00F126B6" w:rsidP="00F126B6">
      <w:pPr>
        <w:contextualSpacing/>
        <w:rPr>
          <w:b/>
          <w:bCs/>
          <w:lang w:val="fr-FR"/>
        </w:rPr>
      </w:pPr>
      <w:r>
        <w:rPr>
          <w:b/>
          <w:bCs/>
          <w:lang w:val="fr-FR"/>
        </w:rPr>
        <w:t>autres propositions</w:t>
      </w:r>
    </w:p>
    <w:p w14:paraId="23EC2572" w14:textId="2BB3FAD5" w:rsidR="00F126B6" w:rsidRPr="003C1A22" w:rsidRDefault="00F126B6" w:rsidP="002430F9">
      <w:pPr>
        <w:pStyle w:val="HChG"/>
        <w:rPr>
          <w:color w:val="000000" w:themeColor="text1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nouvelle rubrique pour le No</w:t>
      </w:r>
      <w:r w:rsidR="000B0A25">
        <w:rPr>
          <w:lang w:val="fr-FR"/>
        </w:rPr>
        <w:t> </w:t>
      </w:r>
      <w:r>
        <w:rPr>
          <w:lang w:val="fr-FR"/>
        </w:rPr>
        <w:t>ONU 1300 (SUCCÉDANÉ D’ESSENCE DE TÉRÉBENTHINE</w:t>
      </w:r>
      <w:r w:rsidR="005D57E8">
        <w:rPr>
          <w:lang w:val="fr-FR"/>
        </w:rPr>
        <w:t xml:space="preserve"> </w:t>
      </w:r>
      <w:r w:rsidR="005D57E8">
        <w:rPr>
          <w:lang w:val="fr-FR"/>
        </w:rPr>
        <w:br/>
      </w:r>
      <w:r>
        <w:rPr>
          <w:lang w:val="fr-FR"/>
        </w:rPr>
        <w:t>dans le tableau C</w:t>
      </w:r>
    </w:p>
    <w:p w14:paraId="3565455B" w14:textId="0B475E64" w:rsidR="00F126B6" w:rsidRPr="003C1A22" w:rsidRDefault="00F126B6" w:rsidP="002430F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Chemical </w:t>
      </w:r>
      <w:proofErr w:type="spellStart"/>
      <w:r>
        <w:rPr>
          <w:lang w:val="fr-FR"/>
        </w:rPr>
        <w:t>Industry</w:t>
      </w:r>
      <w:proofErr w:type="spellEnd"/>
      <w:r>
        <w:rPr>
          <w:lang w:val="fr-FR"/>
        </w:rPr>
        <w:t xml:space="preserve"> Council (</w:t>
      </w:r>
      <w:proofErr w:type="spellStart"/>
      <w:r>
        <w:rPr>
          <w:lang w:val="fr-FR"/>
        </w:rPr>
        <w:t>Cefic</w:t>
      </w:r>
      <w:proofErr w:type="spellEnd"/>
      <w:r>
        <w:rPr>
          <w:lang w:val="fr-FR"/>
        </w:rPr>
        <w:t>)</w:t>
      </w:r>
      <w:r w:rsidRPr="002430F9">
        <w:rPr>
          <w:rStyle w:val="Appelnotedebasdep"/>
          <w:b w:val="0"/>
          <w:bCs/>
          <w:szCs w:val="18"/>
          <w:vertAlign w:val="baseline"/>
          <w:lang w:val="fr-FR"/>
        </w:rPr>
        <w:footnoteReference w:customMarkFollows="1" w:id="2"/>
        <w:t>*</w:t>
      </w:r>
      <w:r w:rsidRPr="002430F9">
        <w:rPr>
          <w:b w:val="0"/>
          <w:bCs/>
          <w:sz w:val="18"/>
          <w:szCs w:val="18"/>
          <w:vertAlign w:val="superscript"/>
          <w:lang w:val="fr-FR"/>
        </w:rPr>
        <w:t>,</w:t>
      </w:r>
      <w:r w:rsidR="002430F9">
        <w:rPr>
          <w:b w:val="0"/>
          <w:bCs/>
          <w:szCs w:val="18"/>
          <w:lang w:val="fr-FR"/>
        </w:rPr>
        <w:t xml:space="preserve"> </w:t>
      </w:r>
      <w:r w:rsidRPr="002430F9">
        <w:rPr>
          <w:rStyle w:val="Appelnotedebasdep"/>
          <w:b w:val="0"/>
          <w:bCs/>
          <w:szCs w:val="18"/>
          <w:vertAlign w:val="baseline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</w:p>
    <w:p w14:paraId="09227DB7" w14:textId="77777777" w:rsidR="00F126B6" w:rsidRPr="003C1A22" w:rsidRDefault="00F126B6" w:rsidP="0044248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0B3D9E2A" w14:textId="77777777" w:rsidR="00F126B6" w:rsidRPr="003C1A22" w:rsidRDefault="00F126B6" w:rsidP="00442489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Il n’y a pas d’interstice de sécurité indiqué pour l’essence de térébenthine dans la base de données officielle (</w:t>
      </w:r>
      <w:proofErr w:type="spellStart"/>
      <w:r>
        <w:rPr>
          <w:lang w:val="fr-FR"/>
        </w:rPr>
        <w:t>Chemsafe</w:t>
      </w:r>
      <w:proofErr w:type="spellEnd"/>
      <w:r>
        <w:rPr>
          <w:lang w:val="fr-FR"/>
        </w:rPr>
        <w:t xml:space="preserve">) du </w:t>
      </w:r>
      <w:proofErr w:type="spellStart"/>
      <w:r>
        <w:rPr>
          <w:lang w:val="fr-FR"/>
        </w:rPr>
        <w:t>Physikalisch-Technische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Bundesanstalt</w:t>
      </w:r>
      <w:proofErr w:type="spellEnd"/>
      <w:r>
        <w:rPr>
          <w:lang w:val="fr-FR"/>
        </w:rPr>
        <w:t xml:space="preserve"> (PTB) et du </w:t>
      </w:r>
      <w:proofErr w:type="spellStart"/>
      <w:r>
        <w:rPr>
          <w:lang w:val="fr-FR"/>
        </w:rPr>
        <w:t>Bundesanstalt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Materialforschung</w:t>
      </w:r>
      <w:proofErr w:type="spellEnd"/>
      <w:r>
        <w:rPr>
          <w:lang w:val="fr-FR"/>
        </w:rPr>
        <w:t xml:space="preserve"> (BAM). C’est pourquoi il a été demandé au PTB de déterminer l’interstice maximal de sécurité (MESG) de cette matière. </w:t>
      </w:r>
    </w:p>
    <w:p w14:paraId="55E96C13" w14:textId="77777777" w:rsidR="00F126B6" w:rsidRPr="003C1A22" w:rsidRDefault="00F126B6" w:rsidP="0044248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</w:t>
      </w:r>
    </w:p>
    <w:p w14:paraId="76E4054B" w14:textId="217F7D4F" w:rsidR="00F126B6" w:rsidRPr="003C1A22" w:rsidRDefault="00F126B6" w:rsidP="00442489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Au vu des résultats des essais (reproduits à l’annexe du présent document), selon lesquels la valeur de l’interstice maximal de sécurité est égale à 0,91</w:t>
      </w:r>
      <w:r w:rsidR="00C262AF">
        <w:rPr>
          <w:lang w:val="fr-FR"/>
        </w:rPr>
        <w:t> </w:t>
      </w:r>
      <w:r>
        <w:rPr>
          <w:lang w:val="fr-FR"/>
        </w:rPr>
        <w:t xml:space="preserve">mm, le </w:t>
      </w:r>
      <w:proofErr w:type="spellStart"/>
      <w:r>
        <w:rPr>
          <w:lang w:val="fr-FR"/>
        </w:rPr>
        <w:t>Cefic</w:t>
      </w:r>
      <w:proofErr w:type="spellEnd"/>
      <w:r>
        <w:rPr>
          <w:lang w:val="fr-FR"/>
        </w:rPr>
        <w:t xml:space="preserve"> propose d’inclure une nouvelle rubrique pour le No ONU 1300 (SUCCÉDANÉ D’ESSENCE DE TÉRÉBENTHINE) dans le tableau C du chapitre 3.2 de l’ADN, en indiquant le groupe d’explosion II B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(II B3) dans la colonne 16 et la remarque 44 dans la colonne 20. </w:t>
      </w:r>
    </w:p>
    <w:p w14:paraId="24ABF9C5" w14:textId="77777777" w:rsidR="00F126B6" w:rsidRPr="003C1A22" w:rsidRDefault="00F126B6" w:rsidP="00442489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Si le Comité de sécurité de l’ADN en convient, la Belgique et les Pays-Bas souhaiteraient pouvoir conclure un accord multilatéral en attendant l’entrée en vigueur de l’édition 2025 de l’ADN.</w:t>
      </w:r>
    </w:p>
    <w:p w14:paraId="7499C737" w14:textId="77777777" w:rsidR="00F126B6" w:rsidRPr="003C1A22" w:rsidRDefault="00F126B6" w:rsidP="00F126B6">
      <w:pPr>
        <w:rPr>
          <w:lang w:val="fr-FR"/>
        </w:rPr>
      </w:pPr>
      <w:r w:rsidRPr="003C1A22">
        <w:rPr>
          <w:lang w:val="fr-FR"/>
        </w:rPr>
        <w:br w:type="page"/>
      </w:r>
    </w:p>
    <w:p w14:paraId="4A7C8237" w14:textId="77777777" w:rsidR="00F126B6" w:rsidRDefault="00F126B6" w:rsidP="00F126B6">
      <w:pPr>
        <w:pStyle w:val="HChG"/>
      </w:pPr>
      <w:r>
        <w:rPr>
          <w:bCs/>
          <w:lang w:val="fr-FR"/>
        </w:rPr>
        <w:lastRenderedPageBreak/>
        <w:t>Annexe</w:t>
      </w:r>
    </w:p>
    <w:p w14:paraId="259C4DED" w14:textId="4FA9D067" w:rsidR="00F126B6" w:rsidRDefault="00F126B6" w:rsidP="006C4A3D">
      <w:pPr>
        <w:pStyle w:val="SingleTxtG"/>
        <w:ind w:right="567"/>
        <w:jc w:val="right"/>
      </w:pPr>
      <w:r>
        <w:rPr>
          <w:lang w:val="fr-FR"/>
        </w:rPr>
        <w:t>[</w:t>
      </w:r>
      <w:r w:rsidRPr="00F126B6">
        <w:rPr>
          <w:i/>
          <w:iCs/>
          <w:lang w:val="fr-FR"/>
        </w:rPr>
        <w:t>A</w:t>
      </w:r>
      <w:r w:rsidRPr="00F126B6">
        <w:rPr>
          <w:i/>
          <w:iCs/>
          <w:lang w:val="fr-FR"/>
        </w:rPr>
        <w:t xml:space="preserve">nglais/allemand </w:t>
      </w:r>
      <w:r w:rsidR="008D2AB0">
        <w:rPr>
          <w:i/>
          <w:iCs/>
          <w:lang w:val="fr-FR"/>
        </w:rPr>
        <w:t>seulement</w:t>
      </w:r>
      <w:r>
        <w:rPr>
          <w:lang w:val="fr-FR"/>
        </w:rPr>
        <w:t>]</w:t>
      </w:r>
    </w:p>
    <w:p w14:paraId="14F3BE10" w14:textId="60EDF5B9" w:rsidR="005D57E8" w:rsidRDefault="005D57E8" w:rsidP="006C4A3D">
      <w:pPr>
        <w:jc w:val="center"/>
      </w:pPr>
      <w:r>
        <w:rPr>
          <w:noProof/>
        </w:rPr>
        <w:drawing>
          <wp:inline distT="0" distB="0" distL="0" distR="0" wp14:anchorId="32E60A3B" wp14:editId="3E2348DC">
            <wp:extent cx="5600700" cy="8005725"/>
            <wp:effectExtent l="0" t="0" r="0" b="0"/>
            <wp:docPr id="1242914621" name="Picture 1" descr="A document with a black and white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14621" name="Picture 1" descr="A document with a black and white imag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2"/>
                    <a:stretch/>
                  </pic:blipFill>
                  <pic:spPr bwMode="auto">
                    <a:xfrm>
                      <a:off x="0" y="0"/>
                      <a:ext cx="5600700" cy="80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8AA60" w14:textId="77777777" w:rsidR="005D57E8" w:rsidRDefault="005D57E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64D1D53A" w14:textId="44E0DF08" w:rsidR="00F9573C" w:rsidRDefault="00147931" w:rsidP="006C4A3D">
      <w:pPr>
        <w:ind w:left="-28" w:right="21"/>
      </w:pPr>
      <w:r>
        <w:rPr>
          <w:noProof/>
        </w:rPr>
        <w:lastRenderedPageBreak/>
        <w:drawing>
          <wp:inline distT="0" distB="0" distL="0" distR="0" wp14:anchorId="3A91F636" wp14:editId="1CAD7151">
            <wp:extent cx="6120130" cy="8765266"/>
            <wp:effectExtent l="57150" t="57150" r="52070" b="55245"/>
            <wp:docPr id="11404641" name="Picture 2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641" name="Picture 2" descr="A paper with text on i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6526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01D90F00" w14:textId="7F212559" w:rsidR="00147931" w:rsidRDefault="0014793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6112340E" w14:textId="4EFE52FB" w:rsidR="00147931" w:rsidRPr="00147931" w:rsidRDefault="00147931" w:rsidP="00147931">
      <w:pPr>
        <w:pStyle w:val="SingleTxtG"/>
        <w:spacing w:after="0"/>
        <w:ind w:left="0" w:right="0"/>
        <w:rPr>
          <w:sz w:val="10"/>
          <w:szCs w:val="10"/>
          <w:u w:val="single"/>
        </w:rPr>
      </w:pPr>
      <w:r>
        <w:rPr>
          <w:noProof/>
        </w:rPr>
        <w:lastRenderedPageBreak/>
        <w:drawing>
          <wp:inline distT="0" distB="0" distL="0" distR="0" wp14:anchorId="53FE115C" wp14:editId="54ECCB9D">
            <wp:extent cx="6090743" cy="8724900"/>
            <wp:effectExtent l="0" t="0" r="5715" b="0"/>
            <wp:docPr id="1399895071" name="Picture 3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95071" name="Picture 3" descr="A document with text on i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790" cy="873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C9EF" w14:textId="218B22A2" w:rsidR="00147931" w:rsidRPr="00147931" w:rsidRDefault="00147931" w:rsidP="001479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7931" w:rsidRPr="00147931" w:rsidSect="006A1D8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D2AB" w14:textId="77777777" w:rsidR="00F04719" w:rsidRDefault="00F04719" w:rsidP="00F95C08">
      <w:pPr>
        <w:spacing w:line="240" w:lineRule="auto"/>
      </w:pPr>
    </w:p>
  </w:endnote>
  <w:endnote w:type="continuationSeparator" w:id="0">
    <w:p w14:paraId="7ADD6E72" w14:textId="77777777" w:rsidR="00F04719" w:rsidRPr="00AC3823" w:rsidRDefault="00F04719" w:rsidP="00AC3823">
      <w:pPr>
        <w:pStyle w:val="Pieddepage"/>
      </w:pPr>
    </w:p>
  </w:endnote>
  <w:endnote w:type="continuationNotice" w:id="1">
    <w:p w14:paraId="708F1ABA" w14:textId="77777777" w:rsidR="00F04719" w:rsidRDefault="00F047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6ED0" w14:textId="74F7BA79" w:rsidR="006A1D88" w:rsidRPr="006A1D88" w:rsidRDefault="006A1D88" w:rsidP="006A1D88">
    <w:pPr>
      <w:pStyle w:val="Pieddepage"/>
      <w:tabs>
        <w:tab w:val="right" w:pos="9638"/>
      </w:tabs>
    </w:pPr>
    <w:r w:rsidRPr="006A1D88">
      <w:rPr>
        <w:b/>
        <w:sz w:val="18"/>
      </w:rPr>
      <w:fldChar w:fldCharType="begin"/>
    </w:r>
    <w:r w:rsidRPr="006A1D88">
      <w:rPr>
        <w:b/>
        <w:sz w:val="18"/>
      </w:rPr>
      <w:instrText xml:space="preserve"> PAGE  \* MERGEFORMAT </w:instrText>
    </w:r>
    <w:r w:rsidRPr="006A1D88">
      <w:rPr>
        <w:b/>
        <w:sz w:val="18"/>
      </w:rPr>
      <w:fldChar w:fldCharType="separate"/>
    </w:r>
    <w:r w:rsidRPr="006A1D88">
      <w:rPr>
        <w:b/>
        <w:noProof/>
        <w:sz w:val="18"/>
      </w:rPr>
      <w:t>2</w:t>
    </w:r>
    <w:r w:rsidRPr="006A1D88">
      <w:rPr>
        <w:b/>
        <w:sz w:val="18"/>
      </w:rPr>
      <w:fldChar w:fldCharType="end"/>
    </w:r>
    <w:r>
      <w:rPr>
        <w:b/>
        <w:sz w:val="18"/>
      </w:rPr>
      <w:tab/>
    </w:r>
    <w:r>
      <w:t>GE.23-21759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B3A2" w14:textId="26159A39" w:rsidR="006A1D88" w:rsidRPr="006A1D88" w:rsidRDefault="006A1D88" w:rsidP="006A1D88">
    <w:pPr>
      <w:pStyle w:val="Pieddepage"/>
      <w:tabs>
        <w:tab w:val="right" w:pos="9638"/>
      </w:tabs>
      <w:rPr>
        <w:b/>
        <w:sz w:val="18"/>
      </w:rPr>
    </w:pPr>
    <w:r>
      <w:t>GE.23-21759</w:t>
    </w:r>
    <w:r>
      <w:tab/>
    </w:r>
    <w:r w:rsidRPr="006A1D88">
      <w:rPr>
        <w:b/>
        <w:sz w:val="18"/>
      </w:rPr>
      <w:fldChar w:fldCharType="begin"/>
    </w:r>
    <w:r w:rsidRPr="006A1D88">
      <w:rPr>
        <w:b/>
        <w:sz w:val="18"/>
      </w:rPr>
      <w:instrText xml:space="preserve"> PAGE  \* MERGEFORMAT </w:instrText>
    </w:r>
    <w:r w:rsidRPr="006A1D88">
      <w:rPr>
        <w:b/>
        <w:sz w:val="18"/>
      </w:rPr>
      <w:fldChar w:fldCharType="separate"/>
    </w:r>
    <w:r w:rsidRPr="006A1D88">
      <w:rPr>
        <w:b/>
        <w:noProof/>
        <w:sz w:val="18"/>
      </w:rPr>
      <w:t>3</w:t>
    </w:r>
    <w:r w:rsidRPr="006A1D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2F17" w14:textId="47E1010A" w:rsidR="007F20FA" w:rsidRPr="006A1D88" w:rsidRDefault="006A1D88" w:rsidP="006A1D8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220B4CE" wp14:editId="31C611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23-21759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2836EF" wp14:editId="75D3C65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131123    141123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79F2" w14:textId="77777777" w:rsidR="00F04719" w:rsidRPr="00AC3823" w:rsidRDefault="00F0471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5C9483" w14:textId="77777777" w:rsidR="00F04719" w:rsidRPr="00AC3823" w:rsidRDefault="00F0471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C60FBB" w14:textId="77777777" w:rsidR="00F04719" w:rsidRPr="00AC3823" w:rsidRDefault="00F04719">
      <w:pPr>
        <w:spacing w:line="240" w:lineRule="auto"/>
        <w:rPr>
          <w:sz w:val="2"/>
          <w:szCs w:val="2"/>
        </w:rPr>
      </w:pPr>
    </w:p>
  </w:footnote>
  <w:footnote w:id="2">
    <w:p w14:paraId="78663DAF" w14:textId="43F6FDDB" w:rsidR="00F126B6" w:rsidRPr="003C1A22" w:rsidRDefault="00F126B6" w:rsidP="00F126B6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F126B6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 w:rsidR="00582E6C">
        <w:rPr>
          <w:lang w:val="fr-FR"/>
        </w:rPr>
        <w:noBreakHyphen/>
      </w:r>
      <w:r>
        <w:rPr>
          <w:lang w:val="fr-FR"/>
        </w:rPr>
        <w:t>ZKR/ADN/WP.15/AC.2/2024/10.</w:t>
      </w:r>
    </w:p>
  </w:footnote>
  <w:footnote w:id="3">
    <w:p w14:paraId="05595272" w14:textId="77777777" w:rsidR="00F126B6" w:rsidRPr="00A25E75" w:rsidRDefault="00F126B6" w:rsidP="00F126B6">
      <w:pPr>
        <w:pStyle w:val="Notedebasdepage"/>
        <w:rPr>
          <w:szCs w:val="18"/>
        </w:rPr>
      </w:pPr>
      <w:r>
        <w:rPr>
          <w:lang w:val="fr-FR"/>
        </w:rPr>
        <w:tab/>
      </w:r>
      <w:r w:rsidRPr="00F126B6">
        <w:rPr>
          <w:sz w:val="20"/>
          <w:lang w:val="fr-FR"/>
        </w:rPr>
        <w:t>**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39A" w14:textId="14B3D887" w:rsidR="006A1D88" w:rsidRPr="006A1D88" w:rsidRDefault="006A1D88">
    <w:pPr>
      <w:pStyle w:val="En-tte"/>
    </w:pPr>
    <w:fldSimple w:instr=" TITLE  \* MERGEFORMAT ">
      <w:r>
        <w:t>ECE/TRANS/WP.15/AC.2/2024/10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52ED" w14:textId="52F1135E" w:rsidR="006A1D88" w:rsidRPr="006A1D88" w:rsidRDefault="006A1D88" w:rsidP="006A1D88">
    <w:pPr>
      <w:pStyle w:val="En-tte"/>
      <w:jc w:val="right"/>
    </w:pPr>
    <w:fldSimple w:instr=" TITLE  \* MERGEFORMAT ">
      <w:r>
        <w:t>ECE/TRANS/WP.15/AC.2/2024/10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95713216">
    <w:abstractNumId w:val="12"/>
  </w:num>
  <w:num w:numId="2" w16cid:durableId="834880239">
    <w:abstractNumId w:val="11"/>
  </w:num>
  <w:num w:numId="3" w16cid:durableId="572013578">
    <w:abstractNumId w:val="10"/>
  </w:num>
  <w:num w:numId="4" w16cid:durableId="575630519">
    <w:abstractNumId w:val="8"/>
  </w:num>
  <w:num w:numId="5" w16cid:durableId="1193836211">
    <w:abstractNumId w:val="3"/>
  </w:num>
  <w:num w:numId="6" w16cid:durableId="1589533075">
    <w:abstractNumId w:val="2"/>
  </w:num>
  <w:num w:numId="7" w16cid:durableId="1880897184">
    <w:abstractNumId w:val="1"/>
  </w:num>
  <w:num w:numId="8" w16cid:durableId="74859279">
    <w:abstractNumId w:val="0"/>
  </w:num>
  <w:num w:numId="9" w16cid:durableId="1251354118">
    <w:abstractNumId w:val="9"/>
  </w:num>
  <w:num w:numId="10" w16cid:durableId="1674259067">
    <w:abstractNumId w:val="7"/>
  </w:num>
  <w:num w:numId="11" w16cid:durableId="1013259855">
    <w:abstractNumId w:val="6"/>
  </w:num>
  <w:num w:numId="12" w16cid:durableId="1288125257">
    <w:abstractNumId w:val="5"/>
  </w:num>
  <w:num w:numId="13" w16cid:durableId="1291783538">
    <w:abstractNumId w:val="4"/>
  </w:num>
  <w:num w:numId="14" w16cid:durableId="971406258">
    <w:abstractNumId w:val="12"/>
  </w:num>
  <w:num w:numId="15" w16cid:durableId="1917468844">
    <w:abstractNumId w:val="11"/>
  </w:num>
  <w:num w:numId="16" w16cid:durableId="665741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19"/>
    <w:rsid w:val="00017F94"/>
    <w:rsid w:val="00023842"/>
    <w:rsid w:val="000334F9"/>
    <w:rsid w:val="00045FEB"/>
    <w:rsid w:val="0007796D"/>
    <w:rsid w:val="000B0A25"/>
    <w:rsid w:val="000B7790"/>
    <w:rsid w:val="00111F2F"/>
    <w:rsid w:val="0014365E"/>
    <w:rsid w:val="00143C66"/>
    <w:rsid w:val="00147931"/>
    <w:rsid w:val="00176178"/>
    <w:rsid w:val="001F525A"/>
    <w:rsid w:val="00201148"/>
    <w:rsid w:val="00223272"/>
    <w:rsid w:val="002430F9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2489"/>
    <w:rsid w:val="00446FE5"/>
    <w:rsid w:val="00452396"/>
    <w:rsid w:val="00477EB2"/>
    <w:rsid w:val="004837D8"/>
    <w:rsid w:val="004E2EED"/>
    <w:rsid w:val="004E468C"/>
    <w:rsid w:val="005505B7"/>
    <w:rsid w:val="00573BE5"/>
    <w:rsid w:val="00582E6C"/>
    <w:rsid w:val="00586ED3"/>
    <w:rsid w:val="00596AA9"/>
    <w:rsid w:val="005D57E8"/>
    <w:rsid w:val="006A1D88"/>
    <w:rsid w:val="006C4A3D"/>
    <w:rsid w:val="0071601D"/>
    <w:rsid w:val="007A62E6"/>
    <w:rsid w:val="007F20FA"/>
    <w:rsid w:val="0080684C"/>
    <w:rsid w:val="00871C75"/>
    <w:rsid w:val="008776DC"/>
    <w:rsid w:val="008D2AB0"/>
    <w:rsid w:val="008D5EF9"/>
    <w:rsid w:val="00916016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62AF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04719"/>
    <w:rsid w:val="00F126B6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0B3015"/>
  <w15:docId w15:val="{F51CC36C-E072-402F-AECA-FA69F289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F126B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7</TotalTime>
  <Pages>4</Pages>
  <Words>231</Words>
  <Characters>1623</Characters>
  <Application>Microsoft Office Word</Application>
  <DocSecurity>0</DocSecurity>
  <Lines>135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ECE/TRANS/WP.15/AC.2/2024/10</vt:lpstr>
    </vt:vector>
  </TitlesOfParts>
  <Company>DCM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ECE/TRANS/WP.15/AC.2/2024/10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2023-11-14T14:21:00Z</dcterms:created>
  <dcterms:modified xsi:type="dcterms:W3CDTF">2023-11-14T14:21:00Z</dcterms:modified>
</cp:coreProperties>
</file>