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7E538" w14:textId="447FAC80" w:rsidR="00C655EB" w:rsidRPr="00C65CD8" w:rsidRDefault="00C655EB" w:rsidP="00C655EB">
      <w:pPr>
        <w:suppressAutoHyphens/>
        <w:snapToGrid w:val="0"/>
        <w:spacing w:after="0"/>
        <w:ind w:left="5387" w:right="-286"/>
        <w:outlineLvl w:val="0"/>
        <w:rPr>
          <w:rFonts w:ascii="Arial" w:eastAsia="Arial" w:hAnsi="Arial" w:cs="Arial"/>
          <w:bCs/>
          <w:sz w:val="20"/>
          <w:szCs w:val="24"/>
          <w:lang w:val="en-US" w:eastAsia="de-DE"/>
        </w:rPr>
      </w:pPr>
      <w:r w:rsidRPr="00C65CD8">
        <w:rPr>
          <w:rFonts w:ascii="Arial" w:eastAsia="Arial" w:hAnsi="Arial" w:cs="Arial"/>
          <w:bCs/>
          <w:noProof/>
          <w:sz w:val="20"/>
          <w:szCs w:val="24"/>
          <w:lang w:val="en-US" w:eastAsia="de-DE"/>
        </w:rPr>
        <w:drawing>
          <wp:anchor distT="0" distB="0" distL="114300" distR="114300" simplePos="0" relativeHeight="251659264" behindDoc="0" locked="0" layoutInCell="1" allowOverlap="1" wp14:anchorId="4D067C0D" wp14:editId="0CD1E71A">
            <wp:simplePos x="0" y="0"/>
            <wp:positionH relativeFrom="column">
              <wp:posOffset>0</wp:posOffset>
            </wp:positionH>
            <wp:positionV relativeFrom="paragraph">
              <wp:posOffset>-68580</wp:posOffset>
            </wp:positionV>
            <wp:extent cx="1713865" cy="604520"/>
            <wp:effectExtent l="0" t="0" r="635" b="5080"/>
            <wp:wrapNone/>
            <wp:docPr id="703151637" name="Image 703151637" descr="Une image contenant texte, Police, symbol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3151637" name="Image 703151637" descr="Une image contenant texte, Police, symbole, logo&#10;&#10;Description générée automatiqu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C65CD8">
        <w:rPr>
          <w:rFonts w:ascii="Arial" w:eastAsia="Arial" w:hAnsi="Arial" w:cs="Arial"/>
          <w:bCs/>
          <w:sz w:val="20"/>
          <w:szCs w:val="24"/>
          <w:lang w:val="en-US" w:eastAsia="de-DE"/>
        </w:rPr>
        <w:t>CCNR-ZKR/ADN/WP.15/AC.2/2024/</w:t>
      </w:r>
      <w:r w:rsidR="007C4F7D">
        <w:rPr>
          <w:rFonts w:ascii="Arial" w:eastAsia="Arial" w:hAnsi="Arial" w:cs="Arial"/>
          <w:bCs/>
          <w:sz w:val="20"/>
          <w:szCs w:val="24"/>
          <w:lang w:val="en-US" w:eastAsia="de-DE"/>
        </w:rPr>
        <w:t>8</w:t>
      </w:r>
    </w:p>
    <w:p w14:paraId="5281491E" w14:textId="77777777" w:rsidR="00C655EB" w:rsidRPr="00C65CD8" w:rsidRDefault="00C655EB" w:rsidP="00C655EB">
      <w:pPr>
        <w:tabs>
          <w:tab w:val="left" w:pos="5670"/>
        </w:tabs>
        <w:snapToGrid w:val="0"/>
        <w:spacing w:after="0"/>
        <w:ind w:left="5387"/>
        <w:rPr>
          <w:rFonts w:ascii="Arial" w:hAnsi="Arial" w:cs="Arial"/>
          <w:sz w:val="16"/>
          <w:szCs w:val="24"/>
          <w:lang w:val="de-DE" w:eastAsia="de-DE"/>
        </w:rPr>
      </w:pPr>
      <w:r w:rsidRPr="00C65CD8">
        <w:rPr>
          <w:rFonts w:ascii="Arial" w:hAnsi="Arial" w:cs="Arial"/>
          <w:sz w:val="16"/>
          <w:szCs w:val="24"/>
          <w:lang w:val="de-DE" w:eastAsia="de-DE"/>
        </w:rPr>
        <w:t>Allgemeine Verteilung</w:t>
      </w:r>
    </w:p>
    <w:p w14:paraId="44DEF172" w14:textId="3F9D98A2" w:rsidR="00C655EB" w:rsidRPr="00C65CD8" w:rsidRDefault="00F76EF0" w:rsidP="00C655EB">
      <w:pPr>
        <w:tabs>
          <w:tab w:val="right" w:pos="3856"/>
          <w:tab w:val="left" w:pos="5670"/>
        </w:tabs>
        <w:snapToGrid w:val="0"/>
        <w:spacing w:after="0"/>
        <w:ind w:left="5387"/>
        <w:rPr>
          <w:rFonts w:ascii="Arial" w:hAnsi="Arial" w:cs="Arial"/>
          <w:sz w:val="20"/>
          <w:szCs w:val="24"/>
          <w:lang w:val="de-DE" w:eastAsia="de-DE"/>
        </w:rPr>
      </w:pPr>
      <w:r>
        <w:rPr>
          <w:rFonts w:ascii="Arial" w:eastAsia="Arial" w:hAnsi="Arial" w:cs="Arial"/>
          <w:sz w:val="20"/>
          <w:szCs w:val="24"/>
          <w:lang w:val="de-DE" w:eastAsia="de-DE"/>
        </w:rPr>
        <w:t>3. November</w:t>
      </w:r>
      <w:r w:rsidR="00C655EB" w:rsidRPr="00C65CD8">
        <w:rPr>
          <w:rFonts w:ascii="Arial" w:eastAsia="Arial" w:hAnsi="Arial" w:cs="Arial"/>
          <w:sz w:val="20"/>
          <w:szCs w:val="24"/>
          <w:lang w:val="de-DE" w:eastAsia="de-DE"/>
        </w:rPr>
        <w:t xml:space="preserve"> 2023</w:t>
      </w:r>
    </w:p>
    <w:p w14:paraId="37E18253" w14:textId="77777777" w:rsidR="00C655EB" w:rsidRPr="00C65CD8" w:rsidRDefault="00C655EB" w:rsidP="00C655EB">
      <w:pPr>
        <w:tabs>
          <w:tab w:val="right" w:pos="3856"/>
          <w:tab w:val="left" w:pos="5670"/>
        </w:tabs>
        <w:snapToGrid w:val="0"/>
        <w:spacing w:after="0"/>
        <w:ind w:left="5387" w:right="565"/>
        <w:rPr>
          <w:rFonts w:ascii="Arial" w:eastAsia="Arial" w:hAnsi="Arial" w:cs="Arial"/>
          <w:sz w:val="16"/>
          <w:szCs w:val="24"/>
          <w:lang w:val="de-DE" w:eastAsia="de-DE"/>
        </w:rPr>
      </w:pPr>
      <w:proofErr w:type="spellStart"/>
      <w:r w:rsidRPr="00C65CD8">
        <w:rPr>
          <w:rFonts w:ascii="Arial" w:eastAsia="Arial" w:hAnsi="Arial" w:cs="Arial"/>
          <w:sz w:val="16"/>
          <w:szCs w:val="24"/>
          <w:lang w:val="de-DE" w:eastAsia="de-DE"/>
        </w:rPr>
        <w:t>Or</w:t>
      </w:r>
      <w:proofErr w:type="spellEnd"/>
      <w:r w:rsidRPr="00C65CD8">
        <w:rPr>
          <w:rFonts w:ascii="Arial" w:eastAsia="Arial" w:hAnsi="Arial" w:cs="Arial"/>
          <w:sz w:val="16"/>
          <w:szCs w:val="24"/>
          <w:lang w:val="de-DE" w:eastAsia="de-DE"/>
        </w:rPr>
        <w:t>. DEUTSCH</w:t>
      </w:r>
    </w:p>
    <w:p w14:paraId="615170CF" w14:textId="77777777" w:rsidR="00C655EB" w:rsidRPr="00C65CD8" w:rsidRDefault="00C655EB" w:rsidP="00C655EB">
      <w:pPr>
        <w:snapToGrid w:val="0"/>
        <w:spacing w:after="0"/>
        <w:rPr>
          <w:rFonts w:ascii="Arial" w:hAnsi="Arial" w:cs="Arial"/>
          <w:sz w:val="16"/>
          <w:szCs w:val="24"/>
          <w:lang w:val="de-DE" w:eastAsia="de-DE"/>
        </w:rPr>
      </w:pPr>
    </w:p>
    <w:p w14:paraId="0C619A0E" w14:textId="77777777" w:rsidR="00C655EB" w:rsidRPr="00C65CD8" w:rsidRDefault="00C655EB" w:rsidP="00C655EB">
      <w:pPr>
        <w:tabs>
          <w:tab w:val="left" w:pos="2977"/>
        </w:tabs>
        <w:snapToGrid w:val="0"/>
        <w:spacing w:after="0"/>
        <w:ind w:left="3958"/>
        <w:rPr>
          <w:rFonts w:ascii="Arial" w:hAnsi="Arial"/>
          <w:sz w:val="16"/>
          <w:lang w:val="de-DE" w:eastAsia="fr-FR"/>
        </w:rPr>
      </w:pPr>
      <w:r w:rsidRPr="00C65CD8">
        <w:rPr>
          <w:rFonts w:ascii="Arial" w:hAnsi="Arial"/>
          <w:sz w:val="16"/>
          <w:lang w:val="de-DE" w:eastAsia="fr-FR"/>
        </w:rPr>
        <w:t xml:space="preserve">GEMEINSAME EXPERTENTAGUNG FÜR DIE DEM ÜBEREINKOMMEN ÜBER DIE INTERNATIONALE BEFÖRDERUNG VON GEFÄHRLICHEN GÜTERN AUF </w:t>
      </w:r>
      <w:r w:rsidRPr="00C65CD8">
        <w:rPr>
          <w:rFonts w:ascii="Arial" w:eastAsia="Calibri" w:hAnsi="Arial"/>
          <w:sz w:val="16"/>
          <w:lang w:val="de-DE" w:eastAsia="fr-FR"/>
        </w:rPr>
        <w:t xml:space="preserve">BINNENWASSERSTRAẞEN (ADN) </w:t>
      </w:r>
      <w:r w:rsidRPr="00C65CD8">
        <w:rPr>
          <w:rFonts w:ascii="Arial" w:hAnsi="Arial"/>
          <w:sz w:val="16"/>
          <w:lang w:val="de-DE" w:eastAsia="fr-FR"/>
        </w:rPr>
        <w:t>BEIGEFÜGTE VERORDNUNG (SICHERHEITSAUSSCHUSS)</w:t>
      </w:r>
    </w:p>
    <w:p w14:paraId="175FD14C" w14:textId="77777777" w:rsidR="00C655EB" w:rsidRPr="00C65CD8" w:rsidRDefault="00C655EB" w:rsidP="00C655EB">
      <w:pPr>
        <w:tabs>
          <w:tab w:val="left" w:pos="2977"/>
        </w:tabs>
        <w:snapToGrid w:val="0"/>
        <w:spacing w:after="0"/>
        <w:ind w:left="3960"/>
        <w:rPr>
          <w:rFonts w:ascii="Arial" w:hAnsi="Arial"/>
          <w:sz w:val="16"/>
          <w:szCs w:val="24"/>
          <w:lang w:val="de-DE" w:eastAsia="fr-FR"/>
        </w:rPr>
      </w:pPr>
      <w:r w:rsidRPr="00C65CD8">
        <w:rPr>
          <w:rFonts w:ascii="Arial" w:hAnsi="Arial"/>
          <w:sz w:val="16"/>
          <w:szCs w:val="24"/>
          <w:lang w:val="de-DE" w:eastAsia="fr-FR"/>
        </w:rPr>
        <w:t>(43. Tagung, Genf, 22. – 26. Januar 2024)</w:t>
      </w:r>
    </w:p>
    <w:p w14:paraId="51ED0BA7" w14:textId="2BCEAD34" w:rsidR="00C655EB" w:rsidRPr="00C65CD8" w:rsidRDefault="00C655EB" w:rsidP="00C655EB">
      <w:pPr>
        <w:tabs>
          <w:tab w:val="left" w:pos="2977"/>
        </w:tabs>
        <w:snapToGrid w:val="0"/>
        <w:spacing w:after="0"/>
        <w:ind w:left="3960"/>
        <w:rPr>
          <w:rFonts w:ascii="Arial" w:hAnsi="Arial" w:cs="Arial"/>
          <w:sz w:val="16"/>
          <w:szCs w:val="16"/>
          <w:lang w:val="de-DE"/>
        </w:rPr>
      </w:pPr>
      <w:r w:rsidRPr="00C65CD8">
        <w:rPr>
          <w:rFonts w:ascii="Arial" w:hAnsi="Arial" w:cs="Arial"/>
          <w:sz w:val="16"/>
          <w:szCs w:val="16"/>
          <w:lang w:val="de-DE"/>
        </w:rPr>
        <w:t xml:space="preserve">Punkt </w:t>
      </w:r>
      <w:r w:rsidR="00F76EF0">
        <w:rPr>
          <w:rFonts w:ascii="Arial" w:hAnsi="Arial" w:cs="Arial"/>
          <w:sz w:val="16"/>
          <w:szCs w:val="16"/>
          <w:lang w:val="de-DE"/>
        </w:rPr>
        <w:t>6</w:t>
      </w:r>
      <w:r w:rsidRPr="00C65CD8">
        <w:rPr>
          <w:rFonts w:ascii="Arial" w:hAnsi="Arial" w:cs="Arial"/>
          <w:sz w:val="16"/>
          <w:szCs w:val="16"/>
          <w:lang w:val="de-DE"/>
        </w:rPr>
        <w:t>) zur vorläufigen Tagesordnung</w:t>
      </w:r>
    </w:p>
    <w:p w14:paraId="0DE4E49B" w14:textId="77777777" w:rsidR="00C655EB" w:rsidRPr="00C65CD8" w:rsidRDefault="00C655EB" w:rsidP="00C655EB">
      <w:pPr>
        <w:widowControl w:val="0"/>
        <w:tabs>
          <w:tab w:val="left" w:pos="2977"/>
        </w:tabs>
        <w:overflowPunct w:val="0"/>
        <w:autoSpaceDE w:val="0"/>
        <w:autoSpaceDN w:val="0"/>
        <w:adjustRightInd w:val="0"/>
        <w:spacing w:after="0"/>
        <w:ind w:left="3960" w:firstLine="9"/>
        <w:jc w:val="both"/>
        <w:textAlignment w:val="baseline"/>
        <w:rPr>
          <w:rFonts w:ascii="Arial" w:hAnsi="Arial" w:cs="Arial"/>
          <w:b/>
          <w:sz w:val="16"/>
          <w:szCs w:val="16"/>
          <w:lang w:val="de-DE"/>
        </w:rPr>
      </w:pPr>
      <w:r w:rsidRPr="00C655EB">
        <w:rPr>
          <w:rFonts w:ascii="Arial" w:hAnsi="Arial" w:cs="Arial"/>
          <w:b/>
          <w:sz w:val="16"/>
          <w:szCs w:val="16"/>
          <w:lang w:val="de-DE"/>
        </w:rPr>
        <w:t>Berichte informeller Arbeitsgruppen</w:t>
      </w:r>
    </w:p>
    <w:p w14:paraId="2122C71B" w14:textId="77777777" w:rsidR="00C655EB" w:rsidRPr="00C65CD8" w:rsidRDefault="00C655EB" w:rsidP="00C655EB">
      <w:pPr>
        <w:suppressAutoHyphens/>
        <w:spacing w:after="0" w:line="240" w:lineRule="atLeast"/>
        <w:rPr>
          <w:snapToGrid w:val="0"/>
          <w:sz w:val="20"/>
          <w:lang w:val="de-DE" w:eastAsia="fr-FR"/>
        </w:rPr>
      </w:pPr>
    </w:p>
    <w:p w14:paraId="4E3D2482" w14:textId="77777777" w:rsidR="00C655EB" w:rsidRPr="00C65CD8" w:rsidRDefault="00C655EB" w:rsidP="00C655EB">
      <w:pPr>
        <w:suppressAutoHyphens/>
        <w:spacing w:after="0" w:line="240" w:lineRule="atLeast"/>
        <w:rPr>
          <w:snapToGrid w:val="0"/>
          <w:sz w:val="20"/>
          <w:lang w:val="de-DE" w:eastAsia="fr-FR"/>
        </w:rPr>
      </w:pPr>
    </w:p>
    <w:p w14:paraId="1AAE76EE" w14:textId="77777777" w:rsidR="00C655EB" w:rsidRPr="00C65CD8" w:rsidRDefault="00C655EB" w:rsidP="00C655EB">
      <w:pPr>
        <w:tabs>
          <w:tab w:val="right" w:pos="851"/>
        </w:tabs>
        <w:suppressAutoHyphens/>
        <w:spacing w:after="0" w:line="240" w:lineRule="atLeast"/>
        <w:ind w:left="1134" w:right="1134" w:hanging="1134"/>
        <w:jc w:val="both"/>
        <w:rPr>
          <w:b/>
          <w:bCs/>
          <w:snapToGrid w:val="0"/>
          <w:sz w:val="28"/>
          <w:szCs w:val="24"/>
          <w:lang w:val="de-DE" w:eastAsia="fr-FR"/>
        </w:rPr>
      </w:pPr>
      <w:r w:rsidRPr="00C65CD8">
        <w:rPr>
          <w:b/>
          <w:bCs/>
          <w:snapToGrid w:val="0"/>
          <w:sz w:val="28"/>
          <w:szCs w:val="24"/>
          <w:lang w:val="de-DE" w:eastAsia="fr-FR"/>
        </w:rPr>
        <w:tab/>
      </w:r>
      <w:r w:rsidRPr="00C65CD8">
        <w:rPr>
          <w:b/>
          <w:bCs/>
          <w:snapToGrid w:val="0"/>
          <w:sz w:val="28"/>
          <w:szCs w:val="24"/>
          <w:lang w:val="de-DE" w:eastAsia="fr-FR"/>
        </w:rPr>
        <w:tab/>
      </w:r>
      <w:r w:rsidRPr="00C655EB">
        <w:rPr>
          <w:b/>
          <w:bCs/>
          <w:snapToGrid w:val="0"/>
          <w:sz w:val="28"/>
          <w:szCs w:val="24"/>
          <w:lang w:val="de-DE"/>
        </w:rPr>
        <w:t xml:space="preserve">Entwurf - </w:t>
      </w:r>
      <w:r w:rsidRPr="00C655EB">
        <w:rPr>
          <w:b/>
          <w:bCs/>
          <w:snapToGrid w:val="0"/>
          <w:sz w:val="28"/>
          <w:szCs w:val="24"/>
          <w:lang w:val="de-DE" w:eastAsia="fr-FR"/>
        </w:rPr>
        <w:t>Bericht über die 13. Sitzung der Informellen Arbeitsgruppe „Stoffe“</w:t>
      </w:r>
    </w:p>
    <w:p w14:paraId="32154AEC" w14:textId="77777777" w:rsidR="00C655EB" w:rsidRPr="00C65CD8" w:rsidRDefault="00C655EB" w:rsidP="00C655EB">
      <w:pPr>
        <w:suppressAutoHyphens/>
        <w:spacing w:after="0" w:line="240" w:lineRule="atLeast"/>
        <w:rPr>
          <w:snapToGrid w:val="0"/>
          <w:sz w:val="20"/>
          <w:lang w:val="de-DE" w:eastAsia="fr-FR"/>
        </w:rPr>
      </w:pPr>
    </w:p>
    <w:p w14:paraId="75E81DFE" w14:textId="77777777" w:rsidR="00C655EB" w:rsidRPr="00C65CD8" w:rsidRDefault="00C655EB" w:rsidP="00C655EB">
      <w:pPr>
        <w:keepNext/>
        <w:keepLines/>
        <w:suppressAutoHyphens/>
        <w:snapToGrid w:val="0"/>
        <w:spacing w:after="0" w:line="240" w:lineRule="atLeast"/>
        <w:ind w:left="1134" w:right="567"/>
        <w:rPr>
          <w:b/>
          <w:sz w:val="18"/>
          <w:vertAlign w:val="superscript"/>
          <w:lang w:val="de-DE" w:eastAsia="fr-FR"/>
        </w:rPr>
      </w:pPr>
      <w:r w:rsidRPr="00C65CD8">
        <w:rPr>
          <w:b/>
          <w:lang w:val="de-DE" w:eastAsia="fr-FR"/>
        </w:rPr>
        <w:t xml:space="preserve">Eingereicht </w:t>
      </w:r>
      <w:r w:rsidRPr="00C655EB">
        <w:rPr>
          <w:b/>
          <w:lang w:val="de-DE"/>
        </w:rPr>
        <w:t>durch die Zentralkommission für die Rheinschifffahrt (ZKR)</w:t>
      </w:r>
      <w:r w:rsidRPr="00C65CD8">
        <w:rPr>
          <w:sz w:val="20"/>
          <w:lang w:val="de-DE"/>
        </w:rPr>
        <w:footnoteReference w:customMarkFollows="1" w:id="2"/>
        <w:t>*</w:t>
      </w:r>
      <w:r w:rsidRPr="00C65CD8">
        <w:rPr>
          <w:sz w:val="20"/>
          <w:vertAlign w:val="superscript"/>
          <w:lang w:val="de-DE"/>
        </w:rPr>
        <w:t xml:space="preserve">, </w:t>
      </w:r>
      <w:r w:rsidRPr="00C65CD8">
        <w:rPr>
          <w:sz w:val="20"/>
          <w:lang w:val="de-DE"/>
        </w:rPr>
        <w:footnoteReference w:customMarkFollows="1" w:id="3"/>
        <w:t>**</w:t>
      </w:r>
    </w:p>
    <w:p w14:paraId="64D38671" w14:textId="77777777" w:rsidR="00C655EB" w:rsidRPr="00C655EB" w:rsidRDefault="00C655EB" w:rsidP="00C655EB">
      <w:pPr>
        <w:spacing w:after="0" w:line="360" w:lineRule="auto"/>
        <w:ind w:right="566"/>
        <w:rPr>
          <w:sz w:val="20"/>
          <w:lang w:val="de-DE"/>
        </w:rPr>
      </w:pPr>
    </w:p>
    <w:p w14:paraId="21D98FEB" w14:textId="77777777" w:rsidR="00C655EB" w:rsidRPr="00C655EB" w:rsidRDefault="00C655EB" w:rsidP="00C655EB">
      <w:pPr>
        <w:autoSpaceDE w:val="0"/>
        <w:autoSpaceDN w:val="0"/>
        <w:adjustRightInd w:val="0"/>
        <w:spacing w:after="0"/>
        <w:ind w:right="566"/>
        <w:rPr>
          <w:b/>
          <w:szCs w:val="24"/>
          <w:lang w:val="de-DE"/>
        </w:rPr>
      </w:pPr>
      <w:r w:rsidRPr="00C655EB">
        <w:rPr>
          <w:b/>
          <w:szCs w:val="24"/>
          <w:lang w:val="de-DE"/>
        </w:rPr>
        <w:t>Einleitung</w:t>
      </w:r>
    </w:p>
    <w:p w14:paraId="3272EF4E" w14:textId="77777777" w:rsidR="00C655EB" w:rsidRPr="00C655EB" w:rsidRDefault="00C655EB" w:rsidP="00C655EB">
      <w:pPr>
        <w:autoSpaceDE w:val="0"/>
        <w:autoSpaceDN w:val="0"/>
        <w:adjustRightInd w:val="0"/>
        <w:spacing w:after="0"/>
        <w:ind w:right="566"/>
        <w:rPr>
          <w:sz w:val="20"/>
          <w:lang w:val="de-DE"/>
        </w:rPr>
      </w:pPr>
    </w:p>
    <w:p w14:paraId="7E53615E" w14:textId="77777777" w:rsidR="00C655EB" w:rsidRPr="00C655EB" w:rsidRDefault="00C655EB" w:rsidP="00C655EB">
      <w:pPr>
        <w:spacing w:after="0"/>
        <w:ind w:right="566"/>
        <w:jc w:val="both"/>
        <w:rPr>
          <w:sz w:val="20"/>
          <w:lang w:val="de-DE"/>
        </w:rPr>
      </w:pPr>
      <w:r w:rsidRPr="00C655EB">
        <w:rPr>
          <w:sz w:val="20"/>
          <w:lang w:val="de-DE"/>
        </w:rPr>
        <w:t>1.</w:t>
      </w:r>
      <w:r w:rsidRPr="00C655EB">
        <w:rPr>
          <w:sz w:val="20"/>
          <w:lang w:val="de-DE"/>
        </w:rPr>
        <w:tab/>
        <w:t>Die dreizehnte Sitzung der Informellen Arbeitsgruppe „Stoffe“ fand am 13. und 14. September 2023 in Berlin auf Einladung der Zentralkommission für Rheinschifffahrt (ZKR) statt.</w:t>
      </w:r>
    </w:p>
    <w:p w14:paraId="5FCB51C7" w14:textId="77777777" w:rsidR="00C655EB" w:rsidRPr="00C655EB" w:rsidRDefault="00C655EB" w:rsidP="00C655EB">
      <w:pPr>
        <w:spacing w:after="0"/>
        <w:ind w:right="566"/>
        <w:jc w:val="both"/>
        <w:rPr>
          <w:sz w:val="20"/>
          <w:lang w:val="de-DE"/>
        </w:rPr>
      </w:pPr>
    </w:p>
    <w:p w14:paraId="160D183C" w14:textId="77777777" w:rsidR="00C655EB" w:rsidRPr="00C655EB" w:rsidRDefault="00C655EB" w:rsidP="00C655EB">
      <w:pPr>
        <w:spacing w:after="0"/>
        <w:ind w:right="566"/>
        <w:jc w:val="both"/>
        <w:rPr>
          <w:sz w:val="20"/>
          <w:lang w:val="de-DE"/>
        </w:rPr>
      </w:pPr>
      <w:r w:rsidRPr="00C655EB">
        <w:rPr>
          <w:sz w:val="20"/>
          <w:lang w:val="de-DE"/>
        </w:rPr>
        <w:t>2.</w:t>
      </w:r>
      <w:r w:rsidRPr="00C655EB">
        <w:rPr>
          <w:sz w:val="20"/>
          <w:lang w:val="de-DE"/>
        </w:rPr>
        <w:tab/>
        <w:t xml:space="preserve">An der Sitzung nahmen Vertreter von Deutschland, von Luxemburg, von den Niederlanden, von der Europäischen Binnenschifffahrts-Union bzw. der European Skipper Organisation (EBU/ESO), von </w:t>
      </w:r>
      <w:proofErr w:type="spellStart"/>
      <w:r w:rsidRPr="00C655EB">
        <w:rPr>
          <w:sz w:val="20"/>
          <w:lang w:val="de-DE"/>
        </w:rPr>
        <w:t>FuelsEurope</w:t>
      </w:r>
      <w:proofErr w:type="spellEnd"/>
      <w:r w:rsidRPr="00C655EB">
        <w:rPr>
          <w:sz w:val="20"/>
          <w:lang w:val="de-DE"/>
        </w:rPr>
        <w:t xml:space="preserve"> und von den anerkannten Klassifikationsgesellschaften teil. Vom Europäischen Rat der Chemischen Industrieverbände (CEFIC) lagen im Vorfeld schriftliche Aussagen und Hinweise zu den geplanten Tagesordnungspunkten vor. Herr Krischok (Deutschland) führte den Vorsitz.</w:t>
      </w:r>
    </w:p>
    <w:p w14:paraId="0F678094" w14:textId="77777777" w:rsidR="00C655EB" w:rsidRPr="00C655EB" w:rsidRDefault="00C655EB" w:rsidP="00C655EB">
      <w:pPr>
        <w:spacing w:after="0"/>
        <w:ind w:right="566"/>
        <w:jc w:val="both"/>
        <w:rPr>
          <w:color w:val="000000"/>
          <w:sz w:val="20"/>
          <w:lang w:val="de-DE"/>
        </w:rPr>
      </w:pPr>
    </w:p>
    <w:p w14:paraId="10BC6BE2" w14:textId="77777777" w:rsidR="00C655EB" w:rsidRPr="00C655EB" w:rsidRDefault="00C655EB" w:rsidP="00C655EB">
      <w:pPr>
        <w:spacing w:after="0"/>
        <w:ind w:right="566"/>
        <w:jc w:val="both"/>
        <w:rPr>
          <w:b/>
          <w:szCs w:val="24"/>
          <w:lang w:val="de-DE"/>
        </w:rPr>
      </w:pPr>
    </w:p>
    <w:p w14:paraId="278386D5" w14:textId="77777777" w:rsidR="00C655EB" w:rsidRPr="00C655EB" w:rsidRDefault="00C655EB" w:rsidP="00C655EB">
      <w:pPr>
        <w:spacing w:after="0"/>
        <w:ind w:right="566"/>
        <w:jc w:val="both"/>
        <w:rPr>
          <w:b/>
          <w:szCs w:val="24"/>
          <w:lang w:val="de-DE"/>
        </w:rPr>
      </w:pPr>
      <w:r w:rsidRPr="00C655EB">
        <w:rPr>
          <w:b/>
          <w:szCs w:val="24"/>
          <w:lang w:val="de-DE"/>
        </w:rPr>
        <w:t>Ergebnisse</w:t>
      </w:r>
    </w:p>
    <w:p w14:paraId="7BD86906" w14:textId="77777777" w:rsidR="00C655EB" w:rsidRPr="00C655EB" w:rsidRDefault="00C655EB" w:rsidP="00C655EB">
      <w:pPr>
        <w:spacing w:after="0"/>
        <w:ind w:right="566"/>
        <w:jc w:val="both"/>
        <w:rPr>
          <w:sz w:val="20"/>
          <w:lang w:val="de-DE"/>
        </w:rPr>
      </w:pPr>
    </w:p>
    <w:p w14:paraId="38420E9B" w14:textId="0DD077C0" w:rsidR="00C655EB" w:rsidRPr="00C655EB" w:rsidRDefault="00C655EB" w:rsidP="00C655EB">
      <w:pPr>
        <w:spacing w:after="0"/>
        <w:ind w:right="566"/>
        <w:jc w:val="both"/>
        <w:rPr>
          <w:sz w:val="20"/>
          <w:lang w:val="de-DE"/>
        </w:rPr>
      </w:pPr>
      <w:r w:rsidRPr="00C655EB">
        <w:rPr>
          <w:sz w:val="20"/>
          <w:lang w:val="de-DE"/>
        </w:rPr>
        <w:t xml:space="preserve">3. </w:t>
      </w:r>
      <w:r w:rsidRPr="00C655EB">
        <w:rPr>
          <w:sz w:val="20"/>
          <w:lang w:val="de-DE"/>
        </w:rPr>
        <w:tab/>
        <w:t xml:space="preserve">Entsprechend dem Mandat des </w:t>
      </w:r>
      <w:r w:rsidR="00C47D8F">
        <w:rPr>
          <w:sz w:val="20"/>
          <w:lang w:val="de-DE"/>
        </w:rPr>
        <w:t>ADN-</w:t>
      </w:r>
      <w:r w:rsidRPr="00C655EB">
        <w:rPr>
          <w:sz w:val="20"/>
          <w:lang w:val="de-DE"/>
        </w:rPr>
        <w:t>Sicherheitsausschusses befasste sich die Gruppe mit folgenden Themen:</w:t>
      </w:r>
    </w:p>
    <w:p w14:paraId="59371ADC" w14:textId="77777777" w:rsidR="00C655EB" w:rsidRPr="00C655EB" w:rsidRDefault="00C655EB" w:rsidP="00C655EB">
      <w:pPr>
        <w:spacing w:after="0"/>
        <w:rPr>
          <w:b/>
          <w:sz w:val="20"/>
          <w:lang w:val="de-DE"/>
        </w:rPr>
      </w:pPr>
    </w:p>
    <w:p w14:paraId="320E5FDC" w14:textId="77777777" w:rsidR="00C655EB" w:rsidRPr="00C655EB" w:rsidRDefault="00C655EB" w:rsidP="00C655EB">
      <w:pPr>
        <w:spacing w:after="0"/>
        <w:rPr>
          <w:sz w:val="20"/>
          <w:lang w:val="de-DE"/>
        </w:rPr>
      </w:pPr>
    </w:p>
    <w:p w14:paraId="6C805103" w14:textId="77777777" w:rsidR="00C655EB" w:rsidRPr="00C655EB" w:rsidRDefault="00C655EB" w:rsidP="00C655EB">
      <w:pPr>
        <w:spacing w:after="0"/>
        <w:ind w:right="566"/>
        <w:jc w:val="both"/>
        <w:rPr>
          <w:b/>
          <w:sz w:val="20"/>
          <w:lang w:val="de-DE"/>
        </w:rPr>
      </w:pPr>
      <w:r w:rsidRPr="00C655EB">
        <w:rPr>
          <w:b/>
          <w:sz w:val="20"/>
          <w:lang w:val="de-DE"/>
        </w:rPr>
        <w:t>A.</w:t>
      </w:r>
      <w:r w:rsidRPr="00C655EB">
        <w:rPr>
          <w:b/>
          <w:sz w:val="20"/>
          <w:lang w:val="de-DE"/>
        </w:rPr>
        <w:tab/>
        <w:t>Kalibrieren von Gasspüranlagen auf n-Hexan und Gasspürgeräte</w:t>
      </w:r>
    </w:p>
    <w:p w14:paraId="11B0D4FB" w14:textId="77777777" w:rsidR="00C655EB" w:rsidRPr="00C655EB" w:rsidRDefault="00C655EB" w:rsidP="00C655EB">
      <w:pPr>
        <w:spacing w:after="0"/>
        <w:ind w:right="566"/>
        <w:jc w:val="both"/>
        <w:rPr>
          <w:sz w:val="20"/>
          <w:lang w:val="de-DE"/>
        </w:rPr>
      </w:pPr>
    </w:p>
    <w:p w14:paraId="47E76272" w14:textId="77777777" w:rsidR="00C655EB" w:rsidRPr="00C655EB" w:rsidRDefault="00C655EB" w:rsidP="00C655EB">
      <w:pPr>
        <w:spacing w:after="0"/>
        <w:ind w:right="566"/>
        <w:jc w:val="both"/>
        <w:rPr>
          <w:sz w:val="20"/>
          <w:lang w:val="de-DE"/>
        </w:rPr>
      </w:pPr>
      <w:r w:rsidRPr="00C655EB">
        <w:rPr>
          <w:sz w:val="20"/>
          <w:lang w:val="de-DE"/>
        </w:rPr>
        <w:t>4.</w:t>
      </w:r>
      <w:r w:rsidRPr="00C655EB">
        <w:rPr>
          <w:sz w:val="20"/>
          <w:lang w:val="de-DE"/>
        </w:rPr>
        <w:tab/>
        <w:t>Als Fazit der 12. Sitzung der Informellen Arbeitsgruppe wurde festgehalten, dass die Gruppe den Vorschlag, auf die Forderung nach der Kalibrierung mit einem eventuell in der Schiffsstoffliste vorhandenen „kritischeren Stoff“ zu verzichten und die Anforderungen zur Temperaturklasse für stationäre Gasspüranlagen von T6 auf T4 zu reduzieren, unterstützt. In einem inzwischen stattgefundenen Austausch mit der Physikalisch Technische Bundesanstalt (PTB) wurden diese Positionen bestätigt.</w:t>
      </w:r>
    </w:p>
    <w:p w14:paraId="12B89146" w14:textId="77777777" w:rsidR="00C655EB" w:rsidRPr="00C655EB" w:rsidRDefault="00C655EB" w:rsidP="00C655EB">
      <w:pPr>
        <w:spacing w:after="0"/>
        <w:ind w:right="566"/>
        <w:jc w:val="both"/>
        <w:rPr>
          <w:sz w:val="20"/>
          <w:lang w:val="de-DE"/>
        </w:rPr>
      </w:pPr>
    </w:p>
    <w:p w14:paraId="4DA9E672" w14:textId="77777777" w:rsidR="00C655EB" w:rsidRPr="00C655EB" w:rsidRDefault="00C655EB" w:rsidP="00C655EB">
      <w:pPr>
        <w:spacing w:after="0"/>
        <w:ind w:right="566"/>
        <w:jc w:val="both"/>
        <w:rPr>
          <w:sz w:val="20"/>
          <w:lang w:val="de-DE"/>
        </w:rPr>
      </w:pPr>
      <w:r w:rsidRPr="00C655EB">
        <w:rPr>
          <w:sz w:val="20"/>
          <w:lang w:val="de-DE"/>
        </w:rPr>
        <w:t>5.</w:t>
      </w:r>
      <w:r w:rsidRPr="00C655EB">
        <w:rPr>
          <w:sz w:val="20"/>
          <w:lang w:val="de-DE"/>
        </w:rPr>
        <w:tab/>
        <w:t>In einer weiteren Diskussion wurde festgestellt, dass nicht für alle Sensoren eine Kalibrierung mit n</w:t>
      </w:r>
      <w:r w:rsidRPr="00C655EB">
        <w:rPr>
          <w:sz w:val="20"/>
          <w:lang w:val="de-DE"/>
        </w:rPr>
        <w:noBreakHyphen/>
        <w:t>Hexan oder Methan möglich ist. Die Gruppe hält es daher auch vor dem Hintergrund der hohen Sicherheitsmargen im ADN für möglich und zweckmäßig, in den Vorschriften des ADN als Anforderung für Gasspüranlagen und Gasspürgeräte aufzunehmen, dass die Kalibrierung der Geräte auch mit den von den jeweiligen Herstellern vorgeschriebenen Gasen erfolgen kann.</w:t>
      </w:r>
    </w:p>
    <w:p w14:paraId="09FA9037" w14:textId="77777777" w:rsidR="00C655EB" w:rsidRPr="00C655EB" w:rsidRDefault="00C655EB" w:rsidP="00C655EB">
      <w:pPr>
        <w:spacing w:after="0"/>
        <w:ind w:right="566"/>
        <w:jc w:val="both"/>
        <w:rPr>
          <w:sz w:val="20"/>
          <w:lang w:val="de-DE"/>
        </w:rPr>
      </w:pPr>
    </w:p>
    <w:p w14:paraId="6C7B3790" w14:textId="77777777" w:rsidR="00C655EB" w:rsidRPr="00C655EB" w:rsidRDefault="00C655EB" w:rsidP="00C655EB">
      <w:pPr>
        <w:spacing w:after="0"/>
        <w:ind w:right="566"/>
        <w:jc w:val="both"/>
        <w:rPr>
          <w:sz w:val="20"/>
          <w:lang w:val="de-DE"/>
        </w:rPr>
      </w:pPr>
      <w:r w:rsidRPr="00C655EB">
        <w:rPr>
          <w:sz w:val="20"/>
          <w:lang w:val="de-DE"/>
        </w:rPr>
        <w:lastRenderedPageBreak/>
        <w:t>6.</w:t>
      </w:r>
      <w:r w:rsidRPr="00C655EB">
        <w:rPr>
          <w:sz w:val="20"/>
          <w:lang w:val="de-DE"/>
        </w:rPr>
        <w:tab/>
        <w:t>Die Informelle Arbeitsgruppe schlägt deshalb für die Definitionen der Gasspüranlage und des Gasspürgeräts in 1.2.1 folgende Änderungen vor (Änderungen sind fett hervorgehoben, Streichungen sind gestrichen und Ergänzungen unterstrichen dargestellt):</w:t>
      </w:r>
    </w:p>
    <w:p w14:paraId="4E0F883F" w14:textId="77777777" w:rsidR="00C655EB" w:rsidRPr="00C655EB" w:rsidRDefault="00C655EB" w:rsidP="00C655EB">
      <w:pPr>
        <w:spacing w:after="0"/>
        <w:ind w:right="566"/>
        <w:jc w:val="both"/>
        <w:rPr>
          <w:sz w:val="20"/>
          <w:lang w:val="de-DE"/>
        </w:rPr>
      </w:pPr>
    </w:p>
    <w:p w14:paraId="44EAB952" w14:textId="77777777" w:rsidR="00C655EB" w:rsidRPr="00C655EB" w:rsidRDefault="00C655EB" w:rsidP="00C655EB">
      <w:pPr>
        <w:spacing w:after="0"/>
        <w:ind w:right="566"/>
        <w:jc w:val="both"/>
        <w:rPr>
          <w:sz w:val="20"/>
          <w:lang w:val="de-DE"/>
        </w:rPr>
      </w:pPr>
    </w:p>
    <w:p w14:paraId="7BD44FDC" w14:textId="77777777" w:rsidR="00C655EB" w:rsidRPr="00C655EB" w:rsidRDefault="00C655EB" w:rsidP="00C655EB">
      <w:pPr>
        <w:spacing w:after="0"/>
        <w:ind w:right="566"/>
        <w:jc w:val="both"/>
        <w:rPr>
          <w:b/>
          <w:bCs/>
          <w:sz w:val="20"/>
          <w:u w:val="single"/>
          <w:lang w:val="de-DE"/>
        </w:rPr>
      </w:pPr>
      <w:r w:rsidRPr="00C655EB">
        <w:rPr>
          <w:b/>
          <w:bCs/>
          <w:sz w:val="20"/>
          <w:u w:val="single"/>
          <w:lang w:val="de-DE"/>
        </w:rPr>
        <w:t>Vorschlag 1:</w:t>
      </w:r>
    </w:p>
    <w:p w14:paraId="1B08994B" w14:textId="77777777" w:rsidR="00C655EB" w:rsidRPr="00C655EB" w:rsidRDefault="00C655EB" w:rsidP="00C655EB">
      <w:pPr>
        <w:spacing w:after="0"/>
        <w:ind w:right="566"/>
        <w:jc w:val="both"/>
        <w:rPr>
          <w:sz w:val="20"/>
          <w:lang w:val="de-DE"/>
        </w:rPr>
      </w:pPr>
    </w:p>
    <w:p w14:paraId="33ED9B27" w14:textId="080C5AAC" w:rsidR="00C655EB" w:rsidRPr="00C655EB" w:rsidRDefault="00C47D8F" w:rsidP="00C655EB">
      <w:pPr>
        <w:spacing w:after="0"/>
        <w:ind w:right="566"/>
        <w:jc w:val="both"/>
        <w:rPr>
          <w:bCs/>
          <w:sz w:val="20"/>
          <w:lang w:val="de-DE"/>
        </w:rPr>
      </w:pPr>
      <w:r>
        <w:rPr>
          <w:b/>
          <w:bCs/>
          <w:i/>
          <w:iCs/>
          <w:sz w:val="20"/>
          <w:lang w:val="de-DE"/>
        </w:rPr>
        <w:t>„</w:t>
      </w:r>
      <w:r w:rsidR="00C655EB" w:rsidRPr="00C47D8F">
        <w:rPr>
          <w:b/>
          <w:bCs/>
          <w:i/>
          <w:iCs/>
          <w:sz w:val="20"/>
          <w:lang w:val="de-DE"/>
        </w:rPr>
        <w:t>Gasspüranlage</w:t>
      </w:r>
      <w:r w:rsidR="00C655EB" w:rsidRPr="00C655EB">
        <w:rPr>
          <w:b/>
          <w:bCs/>
          <w:sz w:val="20"/>
          <w:lang w:val="de-DE"/>
        </w:rPr>
        <w:t>:</w:t>
      </w:r>
      <w:r w:rsidR="00C655EB" w:rsidRPr="00C655EB">
        <w:rPr>
          <w:bCs/>
          <w:sz w:val="20"/>
          <w:lang w:val="de-DE"/>
        </w:rPr>
        <w:t xml:space="preserve"> Eine dauerhaft stationär arbeitende Messeinrichtung mit direkt messenden Sensoren, mit der rechtzeitig bedeutsame Konzentrationen brennbarer Gase </w:t>
      </w:r>
      <w:r w:rsidR="00C655EB" w:rsidRPr="00C655EB">
        <w:rPr>
          <w:b/>
          <w:bCs/>
          <w:sz w:val="20"/>
          <w:u w:val="single"/>
          <w:lang w:val="de-DE"/>
        </w:rPr>
        <w:t xml:space="preserve">aus der Ladung </w:t>
      </w:r>
      <w:r w:rsidR="00C655EB" w:rsidRPr="00C655EB">
        <w:rPr>
          <w:bCs/>
          <w:sz w:val="20"/>
          <w:lang w:val="de-DE"/>
        </w:rPr>
        <w:t xml:space="preserve">unterhalb ihrer UEG gemessen werden können und bei Überschreiten eines Grenzwertes ein Alarm ausgelöst werden kann. Sie muss </w:t>
      </w:r>
      <w:r w:rsidR="00C655EB" w:rsidRPr="00C655EB">
        <w:rPr>
          <w:b/>
          <w:bCs/>
          <w:strike/>
          <w:sz w:val="20"/>
          <w:lang w:val="de-DE"/>
        </w:rPr>
        <w:t>zumindest</w:t>
      </w:r>
      <w:r w:rsidR="00C655EB" w:rsidRPr="00C655EB">
        <w:rPr>
          <w:bCs/>
          <w:sz w:val="20"/>
          <w:lang w:val="de-DE"/>
        </w:rPr>
        <w:t xml:space="preserve"> auf n-Hexan </w:t>
      </w:r>
      <w:r w:rsidR="00C655EB" w:rsidRPr="00C655EB">
        <w:rPr>
          <w:b/>
          <w:bCs/>
          <w:sz w:val="20"/>
          <w:u w:val="single"/>
          <w:lang w:val="de-DE"/>
        </w:rPr>
        <w:t xml:space="preserve">oder ein </w:t>
      </w:r>
      <w:bookmarkStart w:id="0" w:name="_Hlk145654338"/>
      <w:r w:rsidR="00C655EB" w:rsidRPr="00C655EB">
        <w:rPr>
          <w:b/>
          <w:bCs/>
          <w:sz w:val="20"/>
          <w:u w:val="single"/>
          <w:lang w:val="de-DE"/>
        </w:rPr>
        <w:t>vom Hersteller der Anlage vorgeschriebenes Gas</w:t>
      </w:r>
      <w:bookmarkEnd w:id="0"/>
      <w:r w:rsidR="00C655EB" w:rsidRPr="00C655EB">
        <w:rPr>
          <w:b/>
          <w:bCs/>
          <w:sz w:val="20"/>
          <w:u w:val="single"/>
          <w:lang w:val="de-DE"/>
        </w:rPr>
        <w:t xml:space="preserve"> </w:t>
      </w:r>
      <w:r w:rsidR="00C655EB" w:rsidRPr="00C655EB">
        <w:rPr>
          <w:bCs/>
          <w:sz w:val="20"/>
          <w:lang w:val="de-DE"/>
        </w:rPr>
        <w:t xml:space="preserve">kalibriert sein. Die Ansprechschwelle der Sensoren beträgt höchstens 10 % der UEG von n-Hexan </w:t>
      </w:r>
      <w:bookmarkStart w:id="1" w:name="_Hlk145656404"/>
      <w:r w:rsidR="00C655EB" w:rsidRPr="00C655EB">
        <w:rPr>
          <w:b/>
          <w:bCs/>
          <w:sz w:val="20"/>
          <w:u w:val="single"/>
          <w:lang w:val="de-DE"/>
        </w:rPr>
        <w:t>oder des vom Hersteller der Anlage vorgeschriebenen Kalibriergases</w:t>
      </w:r>
      <w:bookmarkEnd w:id="1"/>
      <w:r w:rsidR="00C655EB" w:rsidRPr="00C655EB">
        <w:rPr>
          <w:bCs/>
          <w:sz w:val="20"/>
          <w:lang w:val="de-DE"/>
        </w:rPr>
        <w:t>.</w:t>
      </w:r>
    </w:p>
    <w:p w14:paraId="5C6D53E9" w14:textId="52EFB501" w:rsidR="00FF3028" w:rsidRDefault="00FF3028" w:rsidP="00A65B36">
      <w:pPr>
        <w:widowControl w:val="0"/>
        <w:overflowPunct w:val="0"/>
        <w:autoSpaceDE w:val="0"/>
        <w:autoSpaceDN w:val="0"/>
        <w:adjustRightInd w:val="0"/>
        <w:spacing w:before="180" w:after="0" w:line="240" w:lineRule="atLeast"/>
        <w:ind w:right="566"/>
        <w:jc w:val="both"/>
        <w:textAlignment w:val="baseline"/>
        <w:rPr>
          <w:sz w:val="20"/>
          <w:lang w:val="de-DE"/>
        </w:rPr>
      </w:pPr>
      <w:r w:rsidRPr="00FF3028">
        <w:rPr>
          <w:color w:val="000000"/>
          <w:sz w:val="20"/>
          <w:lang w:val="de-DE" w:eastAsia="fr-FR"/>
        </w:rPr>
        <w:t>Sie muss nach IEC/EN</w:t>
      </w:r>
      <w:r w:rsidR="00A65B36" w:rsidRPr="00A65B36">
        <w:rPr>
          <w:color w:val="000000"/>
          <w:sz w:val="20"/>
          <w:vertAlign w:val="superscript"/>
          <w:lang w:val="de-DE" w:eastAsia="fr-FR"/>
        </w:rPr>
        <w:t>6)</w:t>
      </w:r>
      <w:r w:rsidRPr="00FF3028">
        <w:rPr>
          <w:color w:val="000000"/>
          <w:sz w:val="20"/>
          <w:lang w:val="de-DE" w:eastAsia="fr-FR"/>
        </w:rPr>
        <w:t xml:space="preserve"> 60079-29-1:2016 und bei elektronisch arbeitenden Anlagen zusätzlich nach EN 50271:2010 oder EN 50271:2018 geprüft sein. Wenn sie in explosionsgefährdeten Bereichen eingesetzt wird, muss sie zusätzlich die Anforderungen für den Einsatz in der jeweiligen Zone erfüllen und es muss nachgewiesen sein, dass sie den anwendbaren Anforderungen entspricht (z.B. Konformitätsbewertungsverfahren nach Richtlinie 2014/34/EU</w:t>
      </w:r>
      <w:r w:rsidRPr="00FF3028">
        <w:rPr>
          <w:color w:val="000000"/>
          <w:position w:val="6"/>
          <w:sz w:val="20"/>
          <w:vertAlign w:val="superscript"/>
          <w:lang w:val="de-DE" w:eastAsia="fr-FR"/>
        </w:rPr>
        <w:footnoteReference w:customMarkFollows="1" w:id="4"/>
        <w:t>3</w:t>
      </w:r>
      <w:r w:rsidR="00A65B36">
        <w:rPr>
          <w:color w:val="000000"/>
          <w:position w:val="6"/>
          <w:sz w:val="20"/>
          <w:vertAlign w:val="superscript"/>
          <w:lang w:val="de-DE" w:eastAsia="fr-FR"/>
        </w:rPr>
        <w:t>)</w:t>
      </w:r>
      <w:r w:rsidRPr="00FF3028">
        <w:rPr>
          <w:color w:val="000000"/>
          <w:sz w:val="20"/>
          <w:vertAlign w:val="superscript"/>
          <w:lang w:val="de-DE" w:eastAsia="fr-FR"/>
        </w:rPr>
        <w:t>,</w:t>
      </w:r>
      <w:r w:rsidRPr="00FF3028">
        <w:rPr>
          <w:color w:val="000000"/>
          <w:sz w:val="20"/>
          <w:lang w:val="de-DE" w:eastAsia="fr-FR"/>
        </w:rPr>
        <w:t xml:space="preserve"> </w:t>
      </w:r>
      <w:proofErr w:type="spellStart"/>
      <w:r w:rsidRPr="00FF3028">
        <w:rPr>
          <w:color w:val="000000"/>
          <w:sz w:val="20"/>
          <w:lang w:val="de-DE" w:eastAsia="fr-FR"/>
        </w:rPr>
        <w:t>IECEx</w:t>
      </w:r>
      <w:proofErr w:type="spellEnd"/>
      <w:r w:rsidRPr="00FF3028">
        <w:rPr>
          <w:color w:val="000000"/>
          <w:sz w:val="20"/>
          <w:lang w:val="de-DE" w:eastAsia="fr-FR"/>
        </w:rPr>
        <w:t>-System</w:t>
      </w:r>
      <w:r w:rsidRPr="00FF3028">
        <w:rPr>
          <w:color w:val="000000"/>
          <w:position w:val="6"/>
          <w:sz w:val="20"/>
          <w:vertAlign w:val="superscript"/>
          <w:lang w:val="de-DE" w:eastAsia="fr-FR"/>
        </w:rPr>
        <w:footnoteReference w:customMarkFollows="1" w:id="5"/>
        <w:t>4</w:t>
      </w:r>
      <w:r w:rsidR="00A65B36">
        <w:rPr>
          <w:color w:val="000000"/>
          <w:position w:val="6"/>
          <w:sz w:val="20"/>
          <w:vertAlign w:val="superscript"/>
          <w:lang w:val="de-DE" w:eastAsia="fr-FR"/>
        </w:rPr>
        <w:t>)</w:t>
      </w:r>
      <w:r w:rsidRPr="00FF3028">
        <w:rPr>
          <w:color w:val="000000"/>
          <w:sz w:val="20"/>
          <w:lang w:val="de-DE" w:eastAsia="fr-FR"/>
        </w:rPr>
        <w:t>,</w:t>
      </w:r>
      <w:r w:rsidRPr="00FF3028">
        <w:rPr>
          <w:color w:val="000000"/>
          <w:sz w:val="20"/>
          <w:vertAlign w:val="superscript"/>
          <w:lang w:val="de-DE" w:eastAsia="fr-FR"/>
        </w:rPr>
        <w:t xml:space="preserve"> </w:t>
      </w:r>
      <w:r w:rsidRPr="00FF3028">
        <w:rPr>
          <w:color w:val="000000"/>
          <w:sz w:val="20"/>
          <w:lang w:val="de-DE" w:eastAsia="fr-FR"/>
        </w:rPr>
        <w:t>oder ECE/Trade/391</w:t>
      </w:r>
      <w:r w:rsidRPr="00FF3028">
        <w:rPr>
          <w:color w:val="000000"/>
          <w:position w:val="6"/>
          <w:sz w:val="20"/>
          <w:vertAlign w:val="superscript"/>
          <w:lang w:val="de-DE" w:eastAsia="fr-FR"/>
        </w:rPr>
        <w:footnoteReference w:customMarkFollows="1" w:id="6"/>
        <w:t>5</w:t>
      </w:r>
      <w:r w:rsidR="00A65B36">
        <w:rPr>
          <w:color w:val="000000"/>
          <w:position w:val="6"/>
          <w:sz w:val="20"/>
          <w:vertAlign w:val="superscript"/>
          <w:lang w:val="de-DE" w:eastAsia="fr-FR"/>
        </w:rPr>
        <w:t>)</w:t>
      </w:r>
      <w:r w:rsidRPr="00FF3028">
        <w:rPr>
          <w:color w:val="000000"/>
          <w:sz w:val="20"/>
          <w:vertAlign w:val="superscript"/>
          <w:lang w:val="de-DE" w:eastAsia="fr-FR"/>
        </w:rPr>
        <w:t xml:space="preserve"> </w:t>
      </w:r>
      <w:r w:rsidRPr="00FF3028">
        <w:rPr>
          <w:color w:val="000000"/>
          <w:sz w:val="20"/>
          <w:lang w:val="de-DE" w:eastAsia="fr-FR"/>
        </w:rPr>
        <w:t>oder mindestens gleichwertig).</w:t>
      </w:r>
      <w:r>
        <w:rPr>
          <w:color w:val="000000"/>
          <w:sz w:val="20"/>
          <w:lang w:val="de-DE" w:eastAsia="fr-FR"/>
        </w:rPr>
        <w:t>“</w:t>
      </w:r>
    </w:p>
    <w:p w14:paraId="0BBD6CDC" w14:textId="77777777" w:rsidR="00C655EB" w:rsidRPr="00C655EB" w:rsidRDefault="00C655EB" w:rsidP="00C655EB">
      <w:pPr>
        <w:spacing w:after="0"/>
        <w:ind w:right="566"/>
        <w:jc w:val="both"/>
        <w:rPr>
          <w:sz w:val="20"/>
          <w:lang w:val="de-DE"/>
        </w:rPr>
      </w:pPr>
    </w:p>
    <w:p w14:paraId="7D05FA34" w14:textId="77777777" w:rsidR="00C655EB" w:rsidRPr="00C655EB" w:rsidRDefault="00C655EB" w:rsidP="00C655EB">
      <w:pPr>
        <w:spacing w:after="0"/>
        <w:ind w:right="566"/>
        <w:jc w:val="both"/>
        <w:rPr>
          <w:sz w:val="20"/>
          <w:lang w:val="de-DE"/>
        </w:rPr>
      </w:pPr>
    </w:p>
    <w:p w14:paraId="695C8543" w14:textId="77777777" w:rsidR="00C655EB" w:rsidRPr="00C655EB" w:rsidRDefault="00C655EB" w:rsidP="00C655EB">
      <w:pPr>
        <w:spacing w:after="0"/>
        <w:ind w:right="566"/>
        <w:jc w:val="both"/>
        <w:rPr>
          <w:b/>
          <w:bCs/>
          <w:sz w:val="20"/>
          <w:u w:val="single"/>
          <w:lang w:val="de-DE"/>
        </w:rPr>
      </w:pPr>
      <w:r w:rsidRPr="00C655EB">
        <w:rPr>
          <w:b/>
          <w:bCs/>
          <w:sz w:val="20"/>
          <w:u w:val="single"/>
          <w:lang w:val="de-DE"/>
        </w:rPr>
        <w:t>Vorschlag 2:</w:t>
      </w:r>
    </w:p>
    <w:p w14:paraId="1D715C98" w14:textId="77777777" w:rsidR="00C655EB" w:rsidRPr="00C655EB" w:rsidRDefault="00C655EB" w:rsidP="00C655EB">
      <w:pPr>
        <w:spacing w:after="0"/>
        <w:ind w:right="566"/>
        <w:jc w:val="both"/>
        <w:rPr>
          <w:sz w:val="20"/>
          <w:lang w:val="de-DE"/>
        </w:rPr>
      </w:pPr>
    </w:p>
    <w:p w14:paraId="20F9F35C" w14:textId="591189E0" w:rsidR="00C655EB" w:rsidRPr="00C655EB" w:rsidRDefault="00C47D8F" w:rsidP="00C655EB">
      <w:pPr>
        <w:spacing w:after="0"/>
        <w:ind w:right="566"/>
        <w:jc w:val="both"/>
        <w:rPr>
          <w:bCs/>
          <w:sz w:val="20"/>
          <w:lang w:val="de-DE"/>
        </w:rPr>
      </w:pPr>
      <w:r>
        <w:rPr>
          <w:b/>
          <w:bCs/>
          <w:sz w:val="20"/>
          <w:lang w:val="de-DE"/>
        </w:rPr>
        <w:t>„</w:t>
      </w:r>
      <w:r w:rsidR="00C655EB" w:rsidRPr="00C47D8F">
        <w:rPr>
          <w:b/>
          <w:bCs/>
          <w:i/>
          <w:iCs/>
          <w:sz w:val="20"/>
          <w:lang w:val="de-DE"/>
        </w:rPr>
        <w:t>Gasspürgerät</w:t>
      </w:r>
      <w:r w:rsidR="00C655EB" w:rsidRPr="00C655EB">
        <w:rPr>
          <w:b/>
          <w:bCs/>
          <w:sz w:val="20"/>
          <w:lang w:val="de-DE"/>
        </w:rPr>
        <w:t xml:space="preserve">: </w:t>
      </w:r>
      <w:r w:rsidR="00C655EB" w:rsidRPr="00C655EB">
        <w:rPr>
          <w:bCs/>
          <w:sz w:val="20"/>
          <w:lang w:val="de-DE"/>
        </w:rPr>
        <w:t>Ein tragbares Gerät, mit dem bedeutsame Konzentrationen brennbarer Gase unterhalb der UEG gemessen werden können und welches die Konzentration dieser Gase eindeutig anzeigt. Gasspürgeräte können sowohl als Einzelmessgeräte als auch als Kombinationsmessgeräte zur Messung von brennbaren Gasen und Sauerstoff ausgeführt sein. Das Gerät muss so beschaffen sein, dass auch Messungen möglich sind, ohne die zu prüfenden Räume zu betreten.</w:t>
      </w:r>
    </w:p>
    <w:p w14:paraId="1928C948" w14:textId="3985C2E8" w:rsidR="00FF3028" w:rsidRPr="00FF3028" w:rsidRDefault="00C655EB" w:rsidP="00FF3028">
      <w:pPr>
        <w:spacing w:after="0"/>
        <w:ind w:right="566"/>
        <w:jc w:val="both"/>
        <w:rPr>
          <w:bCs/>
          <w:iCs/>
          <w:color w:val="000000"/>
          <w:sz w:val="20"/>
          <w:lang w:val="de-DE" w:eastAsia="fr-FR"/>
        </w:rPr>
      </w:pPr>
      <w:r w:rsidRPr="00C655EB">
        <w:rPr>
          <w:sz w:val="20"/>
          <w:lang w:val="de-DE"/>
        </w:rPr>
        <w:t xml:space="preserve">Die Ansprechschwelle der Sensoren beträgt höchstens 5 % der UEG </w:t>
      </w:r>
      <w:r w:rsidRPr="00C655EB">
        <w:rPr>
          <w:b/>
          <w:strike/>
          <w:sz w:val="20"/>
          <w:lang w:val="de-DE"/>
        </w:rPr>
        <w:t>des kritischsten Stoffes der Schiffsstoffliste bei Tankschiffen bzw. der Ladung bei Trockengüterschiffen</w:t>
      </w:r>
      <w:r w:rsidRPr="00C655EB">
        <w:rPr>
          <w:b/>
          <w:sz w:val="20"/>
          <w:u w:val="single"/>
          <w:lang w:val="de-DE"/>
        </w:rPr>
        <w:t xml:space="preserve"> von Methan oder eines vom Hersteller des Geräts vorgeschriebenen Gases</w:t>
      </w:r>
      <w:r w:rsidRPr="00C655EB">
        <w:rPr>
          <w:sz w:val="20"/>
          <w:lang w:val="de-DE"/>
        </w:rPr>
        <w:t xml:space="preserve">. </w:t>
      </w:r>
      <w:r w:rsidR="00FF3028" w:rsidRPr="00FF3028">
        <w:rPr>
          <w:bCs/>
          <w:iCs/>
          <w:color w:val="000000"/>
          <w:sz w:val="20"/>
          <w:lang w:val="de-DE" w:eastAsia="fr-FR"/>
        </w:rPr>
        <w:t>Das Gasspürgerät muss nach IEC/EN</w:t>
      </w:r>
      <w:r w:rsidR="00FF3028" w:rsidRPr="00FF3028">
        <w:rPr>
          <w:bCs/>
          <w:iCs/>
          <w:color w:val="000000"/>
          <w:sz w:val="20"/>
          <w:vertAlign w:val="superscript"/>
          <w:lang w:val="de-DE" w:eastAsia="fr-FR"/>
        </w:rPr>
        <w:t>6)</w:t>
      </w:r>
      <w:r w:rsidR="00FF3028" w:rsidRPr="00FF3028">
        <w:rPr>
          <w:bCs/>
          <w:iCs/>
          <w:color w:val="000000"/>
          <w:sz w:val="20"/>
          <w:lang w:val="de-DE" w:eastAsia="fr-FR"/>
        </w:rPr>
        <w:t xml:space="preserve"> 60079-29-1:2016, geprüft sein. Wenn es in explosionsgefährdeten Bereichen eingesetzt wird, muss es zusätzlich die Anforderungen für den Einsatz in der jeweiligen Zone erfüllen und es muss nachgewiesen sein, dass es den anwendbaren Anforderungen entspricht (z.B. Konformitätsbewertungsverfahren nach Richtlinie 2014/34/EU</w:t>
      </w:r>
      <w:r w:rsidR="00FF3028" w:rsidRPr="00FF3028">
        <w:rPr>
          <w:bCs/>
          <w:iCs/>
          <w:color w:val="000000"/>
          <w:sz w:val="20"/>
          <w:vertAlign w:val="superscript"/>
          <w:lang w:val="de-DE" w:eastAsia="fr-FR"/>
        </w:rPr>
        <w:t>3)</w:t>
      </w:r>
      <w:r w:rsidR="00FF3028" w:rsidRPr="00FF3028">
        <w:rPr>
          <w:bCs/>
          <w:iCs/>
          <w:color w:val="000000"/>
          <w:sz w:val="20"/>
          <w:lang w:val="de-DE" w:eastAsia="fr-FR"/>
        </w:rPr>
        <w:t>, IECEx-System</w:t>
      </w:r>
      <w:r w:rsidR="00FF3028" w:rsidRPr="00FF3028">
        <w:rPr>
          <w:bCs/>
          <w:iCs/>
          <w:color w:val="000000"/>
          <w:sz w:val="20"/>
          <w:vertAlign w:val="superscript"/>
          <w:lang w:val="de-DE" w:eastAsia="fr-FR"/>
        </w:rPr>
        <w:t xml:space="preserve">4) </w:t>
      </w:r>
      <w:r w:rsidR="00FF3028" w:rsidRPr="00FF3028">
        <w:rPr>
          <w:bCs/>
          <w:iCs/>
          <w:color w:val="000000"/>
          <w:sz w:val="20"/>
          <w:lang w:val="de-DE" w:eastAsia="fr-FR"/>
        </w:rPr>
        <w:t>oder ECE Trade 391</w:t>
      </w:r>
      <w:r w:rsidR="00FF3028" w:rsidRPr="00FF3028">
        <w:rPr>
          <w:bCs/>
          <w:iCs/>
          <w:color w:val="000000"/>
          <w:sz w:val="20"/>
          <w:vertAlign w:val="superscript"/>
          <w:lang w:val="de-DE" w:eastAsia="fr-FR"/>
        </w:rPr>
        <w:t xml:space="preserve">5) </w:t>
      </w:r>
      <w:r w:rsidR="00FF3028" w:rsidRPr="00FF3028">
        <w:rPr>
          <w:bCs/>
          <w:iCs/>
          <w:color w:val="000000"/>
          <w:sz w:val="20"/>
          <w:lang w:val="de-DE" w:eastAsia="fr-FR"/>
        </w:rPr>
        <w:t>oder mindestens gleichwertig).</w:t>
      </w:r>
      <w:r w:rsidR="00FF3028">
        <w:rPr>
          <w:bCs/>
          <w:iCs/>
          <w:color w:val="000000"/>
          <w:sz w:val="20"/>
          <w:lang w:val="de-DE" w:eastAsia="fr-FR"/>
        </w:rPr>
        <w:t>“</w:t>
      </w:r>
    </w:p>
    <w:p w14:paraId="48C12C96" w14:textId="77777777" w:rsidR="00FF3028" w:rsidRDefault="00FF3028" w:rsidP="00C655EB">
      <w:pPr>
        <w:spacing w:after="0"/>
        <w:ind w:right="566"/>
        <w:jc w:val="both"/>
        <w:rPr>
          <w:sz w:val="20"/>
          <w:lang w:val="de-DE"/>
        </w:rPr>
      </w:pPr>
    </w:p>
    <w:p w14:paraId="495D3E38" w14:textId="77777777" w:rsidR="00FF3028" w:rsidRPr="00C655EB" w:rsidRDefault="00FF3028" w:rsidP="00C655EB">
      <w:pPr>
        <w:spacing w:after="0"/>
        <w:ind w:right="566"/>
        <w:jc w:val="both"/>
        <w:rPr>
          <w:sz w:val="20"/>
          <w:lang w:val="de-DE"/>
        </w:rPr>
      </w:pPr>
    </w:p>
    <w:p w14:paraId="57997161" w14:textId="77777777" w:rsidR="00C655EB" w:rsidRPr="00C655EB" w:rsidRDefault="00C655EB" w:rsidP="00C655EB">
      <w:pPr>
        <w:spacing w:after="0"/>
        <w:ind w:right="566"/>
        <w:jc w:val="both"/>
        <w:rPr>
          <w:sz w:val="20"/>
          <w:lang w:val="de-DE"/>
        </w:rPr>
      </w:pPr>
      <w:r w:rsidRPr="00C655EB">
        <w:rPr>
          <w:sz w:val="20"/>
          <w:lang w:val="de-DE"/>
        </w:rPr>
        <w:t>7.</w:t>
      </w:r>
      <w:r w:rsidRPr="00C655EB">
        <w:rPr>
          <w:sz w:val="20"/>
          <w:lang w:val="de-DE"/>
        </w:rPr>
        <w:tab/>
        <w:t>In der Konsequenz sollte die Anforderung an die Schiffe in 7.2.2.6 (Gasspüranlage) gestrichen und die Anforderungen im zweiten Absatz von 7.2.3.51.7 (Elektrische und nichtelektrische Anlagen und Geräte) sowie im zweiten Absatz von 9.3.x.17.6 (Pumpenraum unter Deck) angepasst werden.</w:t>
      </w:r>
    </w:p>
    <w:p w14:paraId="349F6AFC" w14:textId="77777777" w:rsidR="00C655EB" w:rsidRPr="00C655EB" w:rsidRDefault="00C655EB" w:rsidP="00C655EB">
      <w:pPr>
        <w:spacing w:after="0"/>
        <w:ind w:right="566"/>
        <w:jc w:val="both"/>
        <w:rPr>
          <w:sz w:val="20"/>
          <w:lang w:val="de-DE"/>
        </w:rPr>
      </w:pPr>
    </w:p>
    <w:p w14:paraId="62D809BB" w14:textId="77777777" w:rsidR="00C655EB" w:rsidRPr="00C655EB" w:rsidRDefault="00C655EB" w:rsidP="00C655EB">
      <w:pPr>
        <w:spacing w:after="0"/>
        <w:ind w:right="566"/>
        <w:jc w:val="both"/>
        <w:rPr>
          <w:sz w:val="20"/>
          <w:lang w:val="de-DE"/>
        </w:rPr>
      </w:pPr>
    </w:p>
    <w:p w14:paraId="14FA3004" w14:textId="77777777" w:rsidR="00C655EB" w:rsidRPr="00C655EB" w:rsidRDefault="00C655EB" w:rsidP="00C655EB">
      <w:pPr>
        <w:spacing w:after="0"/>
        <w:ind w:right="566"/>
        <w:jc w:val="both"/>
        <w:rPr>
          <w:b/>
          <w:bCs/>
          <w:sz w:val="20"/>
          <w:u w:val="single"/>
          <w:lang w:val="de-DE"/>
        </w:rPr>
      </w:pPr>
      <w:r w:rsidRPr="00C655EB">
        <w:rPr>
          <w:b/>
          <w:bCs/>
          <w:sz w:val="20"/>
          <w:u w:val="single"/>
          <w:lang w:val="de-DE"/>
        </w:rPr>
        <w:t>Vorschlag 3:</w:t>
      </w:r>
    </w:p>
    <w:p w14:paraId="5D10BE34" w14:textId="77777777" w:rsidR="00C655EB" w:rsidRPr="00C655EB" w:rsidRDefault="00C655EB" w:rsidP="00C655EB">
      <w:pPr>
        <w:spacing w:after="0"/>
        <w:ind w:right="566"/>
        <w:jc w:val="both"/>
        <w:rPr>
          <w:sz w:val="20"/>
          <w:lang w:val="de-DE"/>
        </w:rPr>
      </w:pPr>
    </w:p>
    <w:p w14:paraId="665DA5EF" w14:textId="3281D424" w:rsidR="00C655EB" w:rsidRPr="00C655EB" w:rsidRDefault="00C47D8F" w:rsidP="00C655EB">
      <w:pPr>
        <w:spacing w:after="0"/>
        <w:ind w:left="1134" w:right="566" w:hanging="1134"/>
        <w:jc w:val="both"/>
        <w:rPr>
          <w:b/>
          <w:bCs/>
          <w:strike/>
          <w:sz w:val="20"/>
          <w:lang w:val="de-DE"/>
        </w:rPr>
      </w:pPr>
      <w:r>
        <w:rPr>
          <w:b/>
          <w:bCs/>
          <w:sz w:val="20"/>
          <w:lang w:val="de-DE"/>
        </w:rPr>
        <w:t>„</w:t>
      </w:r>
      <w:r w:rsidR="00C655EB" w:rsidRPr="00C655EB">
        <w:rPr>
          <w:b/>
          <w:bCs/>
          <w:sz w:val="20"/>
          <w:lang w:val="de-DE"/>
        </w:rPr>
        <w:t>7.2.2.6</w:t>
      </w:r>
      <w:r w:rsidR="00C655EB" w:rsidRPr="00C655EB">
        <w:rPr>
          <w:b/>
          <w:bCs/>
          <w:sz w:val="20"/>
          <w:lang w:val="de-DE"/>
        </w:rPr>
        <w:tab/>
      </w:r>
      <w:r w:rsidR="00C655EB" w:rsidRPr="00C655EB">
        <w:rPr>
          <w:b/>
          <w:bCs/>
          <w:strike/>
          <w:sz w:val="20"/>
          <w:lang w:val="de-DE"/>
        </w:rPr>
        <w:t>Gasspüranlagen</w:t>
      </w:r>
      <w:r w:rsidR="00C655EB" w:rsidRPr="00C655EB">
        <w:rPr>
          <w:b/>
          <w:bCs/>
          <w:strike/>
          <w:sz w:val="20"/>
          <w:lang w:val="de-DE"/>
        </w:rPr>
        <w:br/>
      </w:r>
      <w:r w:rsidR="00C655EB" w:rsidRPr="00C655EB">
        <w:rPr>
          <w:b/>
          <w:bCs/>
          <w:strike/>
          <w:sz w:val="20"/>
          <w:lang w:val="de-DE"/>
        </w:rPr>
        <w:br/>
      </w:r>
      <w:proofErr w:type="gramStart"/>
      <w:r w:rsidR="00C655EB" w:rsidRPr="00C655EB">
        <w:rPr>
          <w:b/>
          <w:bCs/>
          <w:strike/>
          <w:sz w:val="20"/>
          <w:lang w:val="de-DE"/>
        </w:rPr>
        <w:t>Enthält</w:t>
      </w:r>
      <w:proofErr w:type="gramEnd"/>
      <w:r w:rsidR="00C655EB" w:rsidRPr="00C655EB">
        <w:rPr>
          <w:b/>
          <w:bCs/>
          <w:strike/>
          <w:sz w:val="20"/>
          <w:lang w:val="de-DE"/>
        </w:rPr>
        <w:t xml:space="preserve"> die Schiffsstoffliste nach Absatz 1.16.1.2.5 Stoffe, für die n-Hexan nicht als repräsentativ gelten kann, muss die Gasspüranlage zusätzlich bezüglich der kritischsten UEG der zur Beförderung im Schiff zugelassenen Stoffe kalibriert sein.</w:t>
      </w:r>
    </w:p>
    <w:p w14:paraId="31B3A1E2" w14:textId="3FE15D58" w:rsidR="00C655EB" w:rsidRPr="00C655EB" w:rsidRDefault="00C655EB" w:rsidP="00C655EB">
      <w:pPr>
        <w:spacing w:after="0"/>
        <w:ind w:left="1134" w:right="566"/>
        <w:jc w:val="both"/>
        <w:rPr>
          <w:b/>
          <w:bCs/>
          <w:sz w:val="20"/>
          <w:u w:val="single"/>
          <w:lang w:val="de-DE"/>
        </w:rPr>
      </w:pPr>
      <w:r w:rsidRPr="00C655EB">
        <w:rPr>
          <w:b/>
          <w:bCs/>
          <w:sz w:val="20"/>
          <w:u w:val="single"/>
          <w:lang w:val="de-DE"/>
        </w:rPr>
        <w:br/>
        <w:t>(bleibt offen)</w:t>
      </w:r>
      <w:r w:rsidR="00C47D8F">
        <w:rPr>
          <w:b/>
          <w:bCs/>
          <w:sz w:val="20"/>
          <w:u w:val="single"/>
          <w:lang w:val="de-DE"/>
        </w:rPr>
        <w:t>“</w:t>
      </w:r>
    </w:p>
    <w:p w14:paraId="2A2D98CA" w14:textId="77777777" w:rsidR="00577F01" w:rsidRDefault="00577F01">
      <w:pPr>
        <w:spacing w:after="0"/>
        <w:rPr>
          <w:b/>
          <w:bCs/>
          <w:sz w:val="20"/>
          <w:u w:val="single"/>
          <w:lang w:val="de-DE"/>
        </w:rPr>
      </w:pPr>
      <w:r>
        <w:rPr>
          <w:b/>
          <w:bCs/>
          <w:sz w:val="20"/>
          <w:u w:val="single"/>
          <w:lang w:val="de-DE"/>
        </w:rPr>
        <w:br w:type="page"/>
      </w:r>
    </w:p>
    <w:p w14:paraId="772816BF" w14:textId="0E8F4A99" w:rsidR="00C655EB" w:rsidRPr="00C655EB" w:rsidRDefault="00C655EB" w:rsidP="00C655EB">
      <w:pPr>
        <w:spacing w:after="0"/>
        <w:rPr>
          <w:b/>
          <w:bCs/>
          <w:sz w:val="20"/>
          <w:u w:val="single"/>
          <w:lang w:val="de-DE"/>
        </w:rPr>
      </w:pPr>
      <w:r w:rsidRPr="00C655EB">
        <w:rPr>
          <w:b/>
          <w:bCs/>
          <w:sz w:val="20"/>
          <w:u w:val="single"/>
          <w:lang w:val="de-DE"/>
        </w:rPr>
        <w:lastRenderedPageBreak/>
        <w:t>Vorschlag 4:</w:t>
      </w:r>
    </w:p>
    <w:p w14:paraId="57FD9E1D" w14:textId="77777777" w:rsidR="00C655EB" w:rsidRPr="00C655EB" w:rsidRDefault="00C655EB" w:rsidP="00C655EB">
      <w:pPr>
        <w:spacing w:after="0"/>
        <w:rPr>
          <w:sz w:val="20"/>
          <w:lang w:val="de-DE"/>
        </w:rPr>
      </w:pPr>
    </w:p>
    <w:p w14:paraId="37A79AC6" w14:textId="6174E21D" w:rsidR="00C655EB" w:rsidRPr="00C655EB" w:rsidRDefault="00C47D8F" w:rsidP="00C655EB">
      <w:pPr>
        <w:spacing w:after="0"/>
        <w:ind w:right="566"/>
        <w:jc w:val="both"/>
        <w:rPr>
          <w:bCs/>
          <w:sz w:val="20"/>
          <w:lang w:val="de-DE"/>
        </w:rPr>
      </w:pPr>
      <w:r>
        <w:rPr>
          <w:b/>
          <w:bCs/>
          <w:sz w:val="20"/>
          <w:lang w:val="de-DE"/>
        </w:rPr>
        <w:t>„</w:t>
      </w:r>
      <w:r w:rsidR="00C655EB" w:rsidRPr="00C655EB">
        <w:rPr>
          <w:b/>
          <w:bCs/>
          <w:sz w:val="20"/>
          <w:lang w:val="de-DE"/>
        </w:rPr>
        <w:t>7.2.3.51.7</w:t>
      </w:r>
      <w:r w:rsidR="00C655EB" w:rsidRPr="00C655EB">
        <w:rPr>
          <w:b/>
          <w:bCs/>
          <w:sz w:val="20"/>
          <w:lang w:val="de-DE"/>
        </w:rPr>
        <w:tab/>
      </w:r>
      <w:r w:rsidR="00C655EB" w:rsidRPr="00C655EB">
        <w:rPr>
          <w:bCs/>
          <w:sz w:val="20"/>
          <w:lang w:val="de-DE"/>
        </w:rPr>
        <w:t>…</w:t>
      </w:r>
    </w:p>
    <w:p w14:paraId="33E96869" w14:textId="77777777" w:rsidR="00C655EB" w:rsidRPr="00C655EB" w:rsidRDefault="00C655EB" w:rsidP="00C655EB">
      <w:pPr>
        <w:spacing w:after="0"/>
        <w:ind w:right="566"/>
        <w:jc w:val="both"/>
        <w:rPr>
          <w:sz w:val="20"/>
          <w:lang w:val="de-DE"/>
        </w:rPr>
      </w:pPr>
    </w:p>
    <w:p w14:paraId="1C574CC1" w14:textId="77777777" w:rsidR="00C655EB" w:rsidRPr="00C655EB" w:rsidRDefault="00C655EB" w:rsidP="00C655EB">
      <w:pPr>
        <w:spacing w:after="0"/>
        <w:ind w:left="1134" w:right="567"/>
        <w:jc w:val="both"/>
        <w:rPr>
          <w:sz w:val="20"/>
          <w:lang w:val="de-DE"/>
        </w:rPr>
      </w:pPr>
      <w:r w:rsidRPr="00C655EB">
        <w:rPr>
          <w:sz w:val="20"/>
          <w:lang w:val="de-DE"/>
        </w:rPr>
        <w:t>oder</w:t>
      </w:r>
    </w:p>
    <w:p w14:paraId="5C283BF6" w14:textId="29B15ED4" w:rsidR="00C655EB" w:rsidRPr="00C655EB" w:rsidRDefault="00C655EB" w:rsidP="00C655EB">
      <w:pPr>
        <w:spacing w:after="0"/>
        <w:ind w:left="1701" w:right="567" w:hanging="567"/>
        <w:jc w:val="both"/>
        <w:rPr>
          <w:sz w:val="20"/>
          <w:lang w:val="de-DE"/>
        </w:rPr>
      </w:pPr>
      <w:r w:rsidRPr="00C655EB">
        <w:rPr>
          <w:sz w:val="20"/>
          <w:lang w:val="de-DE"/>
        </w:rPr>
        <w:t>-</w:t>
      </w:r>
      <w:r w:rsidRPr="00C655EB">
        <w:rPr>
          <w:sz w:val="20"/>
          <w:lang w:val="de-DE"/>
        </w:rPr>
        <w:tab/>
        <w:t xml:space="preserve">im Steuerhaus, in den Wohnungen und Betriebsräumen außerhalb des Bereichs der Ladung </w:t>
      </w:r>
      <w:r w:rsidRPr="00C655EB">
        <w:rPr>
          <w:b/>
          <w:strike/>
          <w:sz w:val="20"/>
          <w:lang w:val="de-DE"/>
        </w:rPr>
        <w:t xml:space="preserve">10 % der UEG der Ladung oder </w:t>
      </w:r>
      <w:r w:rsidRPr="00C655EB">
        <w:rPr>
          <w:sz w:val="20"/>
          <w:lang w:val="de-DE"/>
        </w:rPr>
        <w:t xml:space="preserve">10 % der UEG n-Hexan </w:t>
      </w:r>
      <w:r w:rsidRPr="00C655EB">
        <w:rPr>
          <w:b/>
          <w:sz w:val="20"/>
          <w:u w:val="single"/>
          <w:lang w:val="de-DE"/>
        </w:rPr>
        <w:t>oder des vom Hersteller vorgeschriebenen Kalibriergases</w:t>
      </w:r>
      <w:r w:rsidRPr="00C655EB">
        <w:rPr>
          <w:sz w:val="20"/>
          <w:lang w:val="de-DE"/>
        </w:rPr>
        <w:t xml:space="preserve"> unterschritten sind</w:t>
      </w:r>
      <w:r w:rsidRPr="00C655EB">
        <w:rPr>
          <w:b/>
          <w:sz w:val="20"/>
          <w:u w:val="single"/>
          <w:lang w:val="de-DE"/>
        </w:rPr>
        <w:t>.</w:t>
      </w:r>
      <w:r w:rsidRPr="00C655EB">
        <w:rPr>
          <w:b/>
          <w:strike/>
          <w:sz w:val="20"/>
          <w:lang w:val="de-DE"/>
        </w:rPr>
        <w:t>, je nachdem welche UEG die kritischere ist.</w:t>
      </w:r>
      <w:r w:rsidR="00C47D8F">
        <w:rPr>
          <w:b/>
          <w:strike/>
          <w:sz w:val="20"/>
          <w:lang w:val="de-DE"/>
        </w:rPr>
        <w:t>“</w:t>
      </w:r>
    </w:p>
    <w:p w14:paraId="45CE7CC1" w14:textId="77777777" w:rsidR="00C47D8F" w:rsidRDefault="00C47D8F" w:rsidP="00C47D8F">
      <w:pPr>
        <w:pStyle w:val="Notedebasdepage"/>
        <w:spacing w:after="0"/>
        <w:ind w:left="567" w:right="566"/>
        <w:rPr>
          <w:i/>
          <w:iCs/>
          <w:sz w:val="20"/>
          <w:lang w:val="de-DE"/>
        </w:rPr>
      </w:pPr>
    </w:p>
    <w:p w14:paraId="66A5E396" w14:textId="18C4827C" w:rsidR="00C47D8F" w:rsidRPr="00C47D8F" w:rsidRDefault="00C47D8F" w:rsidP="00C47D8F">
      <w:pPr>
        <w:pStyle w:val="Notedebasdepage"/>
        <w:ind w:left="567" w:right="566"/>
        <w:rPr>
          <w:i/>
          <w:iCs/>
          <w:sz w:val="20"/>
          <w:lang w:val="de-DE"/>
        </w:rPr>
      </w:pPr>
      <w:r w:rsidRPr="00C47D8F">
        <w:rPr>
          <w:i/>
          <w:iCs/>
          <w:sz w:val="20"/>
          <w:lang w:val="de-DE"/>
        </w:rPr>
        <w:t>[Anmerkung des ZKR-Sekretariats: Der ursprüngliche französische Text des ADN 2023 stimmt nicht mit der deutschen Fassung überein. Zusätzlich zu der vorgeschlagenen Änderung war eine weitere Korrektur erforderlich (Verwendung der negativen Form im Französischen).]</w:t>
      </w:r>
    </w:p>
    <w:p w14:paraId="7572E2E2" w14:textId="714792EC" w:rsidR="00C655EB" w:rsidRPr="00C655EB" w:rsidRDefault="00C47D8F" w:rsidP="00C47D8F">
      <w:pPr>
        <w:spacing w:after="0"/>
        <w:ind w:right="567"/>
        <w:jc w:val="both"/>
        <w:rPr>
          <w:sz w:val="20"/>
          <w:lang w:val="de-DE"/>
        </w:rPr>
      </w:pPr>
      <w:r>
        <w:rPr>
          <w:sz w:val="20"/>
          <w:lang w:val="de-DE"/>
        </w:rPr>
        <w:t>8.</w:t>
      </w:r>
      <w:r>
        <w:rPr>
          <w:sz w:val="20"/>
          <w:lang w:val="de-DE"/>
        </w:rPr>
        <w:tab/>
      </w:r>
      <w:r w:rsidR="00C655EB" w:rsidRPr="00C655EB">
        <w:rPr>
          <w:sz w:val="20"/>
          <w:lang w:val="de-DE"/>
        </w:rPr>
        <w:t>Die Messergebnisse müssen schriftlich festgehalten werden.</w:t>
      </w:r>
    </w:p>
    <w:p w14:paraId="5376EE90" w14:textId="77777777" w:rsidR="00C655EB" w:rsidRPr="00C655EB" w:rsidRDefault="00C655EB" w:rsidP="00C655EB">
      <w:pPr>
        <w:spacing w:after="0"/>
        <w:rPr>
          <w:sz w:val="20"/>
          <w:lang w:val="de-DE"/>
        </w:rPr>
      </w:pPr>
    </w:p>
    <w:p w14:paraId="14AAEAE6" w14:textId="77777777" w:rsidR="00C655EB" w:rsidRPr="00C655EB" w:rsidRDefault="00C655EB" w:rsidP="00C655EB">
      <w:pPr>
        <w:spacing w:after="0"/>
        <w:rPr>
          <w:sz w:val="20"/>
          <w:lang w:val="de-DE"/>
        </w:rPr>
      </w:pPr>
    </w:p>
    <w:p w14:paraId="7C023232" w14:textId="77777777" w:rsidR="00C655EB" w:rsidRPr="00C655EB" w:rsidRDefault="00C655EB" w:rsidP="00C655EB">
      <w:pPr>
        <w:spacing w:after="0"/>
        <w:ind w:right="566"/>
        <w:jc w:val="both"/>
        <w:rPr>
          <w:b/>
          <w:bCs/>
          <w:sz w:val="20"/>
          <w:u w:val="single"/>
          <w:lang w:val="de-DE"/>
        </w:rPr>
      </w:pPr>
      <w:r w:rsidRPr="00C655EB">
        <w:rPr>
          <w:b/>
          <w:bCs/>
          <w:sz w:val="20"/>
          <w:u w:val="single"/>
          <w:lang w:val="de-DE"/>
        </w:rPr>
        <w:t>Vorschlag 5:</w:t>
      </w:r>
    </w:p>
    <w:p w14:paraId="7B4CB4A7" w14:textId="77777777" w:rsidR="00C655EB" w:rsidRPr="00C655EB" w:rsidRDefault="00C655EB" w:rsidP="00C655EB">
      <w:pPr>
        <w:spacing w:after="0"/>
        <w:ind w:right="566"/>
        <w:jc w:val="both"/>
        <w:rPr>
          <w:sz w:val="20"/>
          <w:lang w:val="de-DE"/>
        </w:rPr>
      </w:pPr>
    </w:p>
    <w:p w14:paraId="48BB5AB0" w14:textId="67AC589A" w:rsidR="00C655EB" w:rsidRPr="00C655EB" w:rsidRDefault="00C47D8F" w:rsidP="00C655EB">
      <w:pPr>
        <w:spacing w:after="0"/>
        <w:ind w:right="566"/>
        <w:jc w:val="both"/>
        <w:rPr>
          <w:bCs/>
          <w:sz w:val="20"/>
          <w:lang w:val="de-DE"/>
        </w:rPr>
      </w:pPr>
      <w:bookmarkStart w:id="2" w:name="_Hlk145927858"/>
      <w:r>
        <w:rPr>
          <w:b/>
          <w:bCs/>
          <w:sz w:val="20"/>
          <w:lang w:val="de-DE"/>
        </w:rPr>
        <w:t>„</w:t>
      </w:r>
      <w:r w:rsidR="00C655EB" w:rsidRPr="00C655EB">
        <w:rPr>
          <w:b/>
          <w:bCs/>
          <w:sz w:val="20"/>
          <w:lang w:val="de-DE"/>
        </w:rPr>
        <w:t>9.3.x.17.6</w:t>
      </w:r>
      <w:r w:rsidR="00C655EB" w:rsidRPr="00C655EB">
        <w:rPr>
          <w:b/>
          <w:bCs/>
          <w:sz w:val="20"/>
          <w:lang w:val="de-DE"/>
        </w:rPr>
        <w:tab/>
      </w:r>
      <w:r w:rsidR="00C655EB" w:rsidRPr="00C655EB">
        <w:rPr>
          <w:bCs/>
          <w:sz w:val="20"/>
          <w:lang w:val="de-DE"/>
        </w:rPr>
        <w:t>…</w:t>
      </w:r>
    </w:p>
    <w:p w14:paraId="5692DAB1" w14:textId="77777777" w:rsidR="00C655EB" w:rsidRPr="00C655EB" w:rsidRDefault="00C655EB" w:rsidP="00C655EB">
      <w:pPr>
        <w:spacing w:after="0"/>
        <w:ind w:right="566"/>
        <w:jc w:val="both"/>
        <w:rPr>
          <w:sz w:val="20"/>
          <w:lang w:val="de-DE"/>
        </w:rPr>
      </w:pPr>
    </w:p>
    <w:p w14:paraId="5ADCA073" w14:textId="47B14554" w:rsidR="00C655EB" w:rsidRPr="00C655EB" w:rsidRDefault="00C655EB" w:rsidP="00C655EB">
      <w:pPr>
        <w:spacing w:after="0"/>
        <w:ind w:left="1134" w:right="567"/>
        <w:jc w:val="both"/>
        <w:rPr>
          <w:sz w:val="20"/>
          <w:lang w:val="de-DE"/>
        </w:rPr>
      </w:pPr>
      <w:r w:rsidRPr="00C655EB">
        <w:rPr>
          <w:sz w:val="20"/>
          <w:lang w:val="de-DE"/>
        </w:rPr>
        <w:t>Wenn die Schiffsstoffliste nach Absatz 1.16.1.2.5 Stoffe enthalten soll, für die nach Unterabschnitt 3.2.3.2 Tabelle C Spalte (17) Explosionsschutz gefordert ist, muss der Pumpenraum zusätzlich mit einer fest eingebauten Gasspüranlage versehen sein, welche die Anwesenheit entzündbarer Gase automatisch anzeigt und beim Erreichen einer Gaskonzentration von</w:t>
      </w:r>
      <w:r w:rsidRPr="00C655EB">
        <w:rPr>
          <w:b/>
          <w:strike/>
          <w:sz w:val="20"/>
          <w:lang w:val="de-DE"/>
        </w:rPr>
        <w:t xml:space="preserve"> 20 % der UEG der Ladung oder</w:t>
      </w:r>
      <w:r w:rsidRPr="00C655EB">
        <w:rPr>
          <w:sz w:val="20"/>
          <w:lang w:val="de-DE"/>
        </w:rPr>
        <w:t xml:space="preserve"> 20 % der UEG von n-Hexan </w:t>
      </w:r>
      <w:r w:rsidRPr="00C655EB">
        <w:rPr>
          <w:b/>
          <w:sz w:val="20"/>
          <w:u w:val="single"/>
          <w:lang w:val="de-DE"/>
        </w:rPr>
        <w:t xml:space="preserve">oder des vom Hersteller der Anlage vorgeschriebenen Kalibriergases </w:t>
      </w:r>
      <w:r w:rsidRPr="00C655EB">
        <w:rPr>
          <w:sz w:val="20"/>
          <w:lang w:val="de-DE"/>
        </w:rPr>
        <w:t>einen optischen und akustischen Alarm auslöst</w:t>
      </w:r>
      <w:r w:rsidRPr="00C655EB">
        <w:rPr>
          <w:b/>
          <w:sz w:val="20"/>
          <w:u w:val="single"/>
          <w:lang w:val="de-DE"/>
        </w:rPr>
        <w:t>.</w:t>
      </w:r>
      <w:r w:rsidRPr="00C655EB">
        <w:rPr>
          <w:b/>
          <w:strike/>
          <w:sz w:val="20"/>
          <w:lang w:val="de-DE"/>
        </w:rPr>
        <w:t>, je nachdem welche UEG die kritischere ist.</w:t>
      </w:r>
      <w:r w:rsidR="00C47D8F" w:rsidRPr="00C47D8F">
        <w:rPr>
          <w:b/>
          <w:sz w:val="20"/>
          <w:lang w:val="de-DE"/>
        </w:rPr>
        <w:t>“</w:t>
      </w:r>
    </w:p>
    <w:bookmarkEnd w:id="2"/>
    <w:p w14:paraId="5D04480C" w14:textId="77777777" w:rsidR="00C655EB" w:rsidRPr="00C655EB" w:rsidRDefault="00C655EB" w:rsidP="00C655EB">
      <w:pPr>
        <w:spacing w:after="0"/>
        <w:ind w:right="566"/>
        <w:jc w:val="both"/>
        <w:rPr>
          <w:sz w:val="20"/>
          <w:lang w:val="de-DE"/>
        </w:rPr>
      </w:pPr>
    </w:p>
    <w:p w14:paraId="04AEC777" w14:textId="77777777" w:rsidR="00C47D8F" w:rsidRPr="00C655EB" w:rsidRDefault="00C47D8F" w:rsidP="00C655EB">
      <w:pPr>
        <w:spacing w:after="0"/>
        <w:ind w:right="566"/>
        <w:jc w:val="both"/>
        <w:rPr>
          <w:sz w:val="20"/>
          <w:lang w:val="de-DE"/>
        </w:rPr>
      </w:pPr>
    </w:p>
    <w:p w14:paraId="08440D09" w14:textId="6051A3A2" w:rsidR="00C655EB" w:rsidRPr="00C655EB" w:rsidRDefault="00C47D8F" w:rsidP="00C655EB">
      <w:pPr>
        <w:spacing w:after="0"/>
        <w:ind w:right="566"/>
        <w:jc w:val="both"/>
        <w:rPr>
          <w:sz w:val="20"/>
          <w:lang w:val="de-DE"/>
        </w:rPr>
      </w:pPr>
      <w:r>
        <w:rPr>
          <w:sz w:val="20"/>
          <w:lang w:val="de-DE"/>
        </w:rPr>
        <w:t>9</w:t>
      </w:r>
      <w:r w:rsidR="00C655EB" w:rsidRPr="00C655EB">
        <w:rPr>
          <w:sz w:val="20"/>
          <w:lang w:val="de-DE"/>
        </w:rPr>
        <w:t>.</w:t>
      </w:r>
      <w:r w:rsidR="00C655EB" w:rsidRPr="00C655EB">
        <w:rPr>
          <w:sz w:val="20"/>
          <w:lang w:val="de-DE"/>
        </w:rPr>
        <w:tab/>
        <w:t>Außerdem empfiehlt die Informelle Arbeitsgruppe, die bisher für die Gasspüranlage geforderte Temperaturklasse T6 in T4 zu ändern.</w:t>
      </w:r>
    </w:p>
    <w:p w14:paraId="35B4C991" w14:textId="77777777" w:rsidR="00C655EB" w:rsidRPr="00C655EB" w:rsidRDefault="00C655EB" w:rsidP="00C655EB">
      <w:pPr>
        <w:spacing w:after="0"/>
        <w:ind w:right="566"/>
        <w:jc w:val="both"/>
        <w:rPr>
          <w:sz w:val="20"/>
          <w:lang w:val="de-DE"/>
        </w:rPr>
      </w:pPr>
    </w:p>
    <w:p w14:paraId="73A59B76" w14:textId="77777777" w:rsidR="00C655EB" w:rsidRPr="00C655EB" w:rsidRDefault="00C655EB" w:rsidP="00C655EB">
      <w:pPr>
        <w:spacing w:after="0"/>
        <w:ind w:right="566"/>
        <w:jc w:val="both"/>
        <w:rPr>
          <w:sz w:val="20"/>
          <w:lang w:val="de-DE"/>
        </w:rPr>
      </w:pPr>
    </w:p>
    <w:p w14:paraId="3349EB43" w14:textId="77777777" w:rsidR="00C655EB" w:rsidRPr="00C655EB" w:rsidRDefault="00C655EB" w:rsidP="00C655EB">
      <w:pPr>
        <w:spacing w:after="0"/>
        <w:ind w:right="566"/>
        <w:jc w:val="both"/>
        <w:rPr>
          <w:b/>
          <w:bCs/>
          <w:sz w:val="20"/>
          <w:u w:val="single"/>
          <w:lang w:val="de-DE"/>
        </w:rPr>
      </w:pPr>
      <w:r w:rsidRPr="00C655EB">
        <w:rPr>
          <w:b/>
          <w:bCs/>
          <w:sz w:val="20"/>
          <w:u w:val="single"/>
          <w:lang w:val="de-DE"/>
        </w:rPr>
        <w:t>Vorschlag 6:</w:t>
      </w:r>
    </w:p>
    <w:p w14:paraId="35D34AAC" w14:textId="77777777" w:rsidR="00C655EB" w:rsidRPr="00C655EB" w:rsidRDefault="00C655EB" w:rsidP="00C655EB">
      <w:pPr>
        <w:spacing w:after="0"/>
        <w:ind w:right="566"/>
        <w:jc w:val="both"/>
        <w:rPr>
          <w:sz w:val="20"/>
          <w:lang w:val="de-DE"/>
        </w:rPr>
      </w:pPr>
    </w:p>
    <w:p w14:paraId="05E48074" w14:textId="0B37C513" w:rsidR="00C655EB" w:rsidRPr="00C655EB" w:rsidRDefault="00C655EB" w:rsidP="00C655EB">
      <w:pPr>
        <w:spacing w:after="0"/>
        <w:ind w:right="566"/>
        <w:jc w:val="both"/>
        <w:rPr>
          <w:b/>
          <w:bCs/>
          <w:sz w:val="20"/>
          <w:lang w:val="de-DE"/>
        </w:rPr>
      </w:pPr>
      <w:r w:rsidRPr="00C655EB">
        <w:rPr>
          <w:b/>
          <w:bCs/>
          <w:sz w:val="20"/>
          <w:lang w:val="de-DE"/>
        </w:rPr>
        <w:t xml:space="preserve">9.1.0.12.3 / 9.3.x.12.4 </w:t>
      </w:r>
      <w:r w:rsidRPr="00C655EB">
        <w:rPr>
          <w:bCs/>
          <w:sz w:val="20"/>
          <w:lang w:val="de-DE"/>
        </w:rPr>
        <w:t xml:space="preserve">jeweils </w:t>
      </w:r>
      <w:r w:rsidRPr="00C655EB">
        <w:rPr>
          <w:b/>
          <w:bCs/>
          <w:sz w:val="20"/>
          <w:lang w:val="de-DE"/>
        </w:rPr>
        <w:t>Absatz b), Anforderung v), Bedingung 1</w:t>
      </w:r>
    </w:p>
    <w:p w14:paraId="2A209F0F" w14:textId="77777777" w:rsidR="00C655EB" w:rsidRPr="00C655EB" w:rsidRDefault="00C655EB" w:rsidP="00C655EB">
      <w:pPr>
        <w:spacing w:after="0"/>
        <w:ind w:right="566"/>
        <w:jc w:val="both"/>
        <w:rPr>
          <w:b/>
          <w:bCs/>
          <w:sz w:val="20"/>
          <w:lang w:val="de-DE"/>
        </w:rPr>
      </w:pPr>
    </w:p>
    <w:p w14:paraId="4082CFC7" w14:textId="7F430C27" w:rsidR="00C655EB" w:rsidRPr="00C655EB" w:rsidRDefault="00C47D8F" w:rsidP="00C655EB">
      <w:pPr>
        <w:spacing w:after="0"/>
        <w:ind w:left="2268" w:right="567" w:hanging="284"/>
        <w:jc w:val="both"/>
        <w:rPr>
          <w:sz w:val="20"/>
          <w:lang w:val="de-DE"/>
        </w:rPr>
      </w:pPr>
      <w:r>
        <w:rPr>
          <w:sz w:val="20"/>
          <w:lang w:val="de-DE"/>
        </w:rPr>
        <w:t>„</w:t>
      </w:r>
      <w:r w:rsidR="00C655EB" w:rsidRPr="00C655EB">
        <w:rPr>
          <w:sz w:val="20"/>
          <w:lang w:val="de-DE"/>
        </w:rPr>
        <w:t>1. sie ist mindestens für den Betrieb in Zone 1 Explosionsgruppe II C, Temperaturklasse T</w:t>
      </w:r>
      <w:r w:rsidR="00C655EB" w:rsidRPr="00C655EB">
        <w:rPr>
          <w:b/>
          <w:strike/>
          <w:sz w:val="20"/>
          <w:lang w:val="de-DE"/>
        </w:rPr>
        <w:t>6</w:t>
      </w:r>
      <w:r w:rsidR="00C655EB" w:rsidRPr="00C655EB">
        <w:rPr>
          <w:b/>
          <w:sz w:val="20"/>
          <w:u w:val="single"/>
          <w:lang w:val="de-DE"/>
        </w:rPr>
        <w:t>4</w:t>
      </w:r>
      <w:r w:rsidR="00C655EB" w:rsidRPr="00C655EB">
        <w:rPr>
          <w:sz w:val="20"/>
          <w:lang w:val="de-DE"/>
        </w:rPr>
        <w:t xml:space="preserve"> geeignet;</w:t>
      </w:r>
      <w:r>
        <w:rPr>
          <w:sz w:val="20"/>
          <w:lang w:val="de-DE"/>
        </w:rPr>
        <w:t>“</w:t>
      </w:r>
    </w:p>
    <w:p w14:paraId="767D113B" w14:textId="77777777" w:rsidR="00C655EB" w:rsidRPr="00C655EB" w:rsidRDefault="00C655EB" w:rsidP="00C655EB">
      <w:pPr>
        <w:spacing w:after="0"/>
        <w:ind w:right="566"/>
        <w:jc w:val="both"/>
        <w:rPr>
          <w:sz w:val="20"/>
          <w:lang w:val="de-DE"/>
        </w:rPr>
      </w:pPr>
    </w:p>
    <w:p w14:paraId="370B0756" w14:textId="77777777" w:rsidR="00C655EB" w:rsidRPr="00C655EB" w:rsidRDefault="00C655EB" w:rsidP="00C655EB">
      <w:pPr>
        <w:spacing w:after="0"/>
        <w:ind w:right="566"/>
        <w:jc w:val="both"/>
        <w:rPr>
          <w:sz w:val="20"/>
          <w:lang w:val="de-DE"/>
        </w:rPr>
      </w:pPr>
    </w:p>
    <w:p w14:paraId="3D252E4E" w14:textId="77777777" w:rsidR="00C655EB" w:rsidRPr="00C655EB" w:rsidRDefault="00C655EB" w:rsidP="00C655EB">
      <w:pPr>
        <w:spacing w:after="0"/>
        <w:ind w:right="566"/>
        <w:jc w:val="both"/>
        <w:rPr>
          <w:b/>
          <w:sz w:val="20"/>
          <w:lang w:val="de-DE"/>
        </w:rPr>
      </w:pPr>
      <w:r w:rsidRPr="00C655EB">
        <w:rPr>
          <w:b/>
          <w:sz w:val="20"/>
          <w:lang w:val="de-DE"/>
        </w:rPr>
        <w:t>B.</w:t>
      </w:r>
      <w:r w:rsidRPr="00C655EB">
        <w:rPr>
          <w:b/>
          <w:sz w:val="20"/>
          <w:lang w:val="de-DE"/>
        </w:rPr>
        <w:tab/>
        <w:t>Diskussion der Einträge in Tabelle C mit Bemerkung 44</w:t>
      </w:r>
    </w:p>
    <w:p w14:paraId="566E4BCA" w14:textId="77777777" w:rsidR="00C655EB" w:rsidRPr="00C655EB" w:rsidRDefault="00C655EB" w:rsidP="00C655EB">
      <w:pPr>
        <w:spacing w:after="0"/>
        <w:ind w:right="566"/>
        <w:jc w:val="both"/>
        <w:rPr>
          <w:sz w:val="20"/>
          <w:lang w:val="de-DE"/>
        </w:rPr>
      </w:pPr>
    </w:p>
    <w:p w14:paraId="605E5BF9" w14:textId="40D363FC" w:rsidR="00C655EB" w:rsidRPr="00C655EB" w:rsidRDefault="00C47D8F" w:rsidP="00C655EB">
      <w:pPr>
        <w:spacing w:after="0"/>
        <w:ind w:right="566"/>
        <w:jc w:val="both"/>
        <w:rPr>
          <w:sz w:val="20"/>
          <w:lang w:val="de-DE"/>
        </w:rPr>
      </w:pPr>
      <w:r>
        <w:rPr>
          <w:sz w:val="20"/>
          <w:lang w:val="de-DE"/>
        </w:rPr>
        <w:t>1</w:t>
      </w:r>
      <w:r w:rsidR="00FE060A">
        <w:rPr>
          <w:sz w:val="20"/>
          <w:lang w:val="de-DE"/>
        </w:rPr>
        <w:t>0</w:t>
      </w:r>
      <w:r w:rsidR="00C655EB" w:rsidRPr="00C655EB">
        <w:rPr>
          <w:sz w:val="20"/>
          <w:lang w:val="de-DE"/>
        </w:rPr>
        <w:t>.</w:t>
      </w:r>
      <w:r w:rsidR="00C655EB" w:rsidRPr="00C655EB">
        <w:rPr>
          <w:sz w:val="20"/>
          <w:lang w:val="de-DE"/>
        </w:rPr>
        <w:tab/>
        <w:t>In der Diskussion werden nochmals die Argumente, die für oder gegen Änderungen bei den Einträgen mit der Bemerkung 44 sprechen, abgewogen. Einerseits würde eine Reduzierung der Zeilenanzahl in Tabelle C zu einer Verbesserung der Übersichtlichkeit führen, andererseits müssen eine korrekte Zuordnung von Stoffen der Explosions-Untergruppe II B sowie eine möglichst einfache Korrelation zwischen der Tabelle C und den Schiffsstofflisten gewährleistet bleiben.</w:t>
      </w:r>
    </w:p>
    <w:p w14:paraId="1EFB4643" w14:textId="77777777" w:rsidR="00C655EB" w:rsidRPr="00C655EB" w:rsidRDefault="00C655EB" w:rsidP="00C655EB">
      <w:pPr>
        <w:spacing w:after="0"/>
        <w:ind w:right="566"/>
        <w:jc w:val="both"/>
        <w:rPr>
          <w:sz w:val="20"/>
          <w:lang w:val="de-DE"/>
        </w:rPr>
      </w:pPr>
    </w:p>
    <w:p w14:paraId="28C333E9" w14:textId="3A061399" w:rsidR="00C655EB" w:rsidRPr="00C655EB" w:rsidRDefault="00C655EB" w:rsidP="00C655EB">
      <w:pPr>
        <w:spacing w:after="0"/>
        <w:ind w:right="566"/>
        <w:jc w:val="both"/>
        <w:rPr>
          <w:sz w:val="20"/>
          <w:lang w:val="de-DE"/>
        </w:rPr>
      </w:pPr>
      <w:r w:rsidRPr="00C655EB">
        <w:rPr>
          <w:sz w:val="20"/>
          <w:lang w:val="de-DE"/>
        </w:rPr>
        <w:t>1</w:t>
      </w:r>
      <w:r w:rsidR="00C47D8F">
        <w:rPr>
          <w:sz w:val="20"/>
          <w:lang w:val="de-DE"/>
        </w:rPr>
        <w:t>1</w:t>
      </w:r>
      <w:r w:rsidRPr="00C655EB">
        <w:rPr>
          <w:sz w:val="20"/>
          <w:lang w:val="de-DE"/>
        </w:rPr>
        <w:t>.</w:t>
      </w:r>
      <w:r w:rsidRPr="00C655EB">
        <w:rPr>
          <w:sz w:val="20"/>
          <w:lang w:val="de-DE"/>
        </w:rPr>
        <w:tab/>
        <w:t>Es muss verhindert werden, dass Einträge für Stoffe mit der Explosions-Untergruppe II B in Spalte (16) der Tabelle C, in Schiffsstofflisten für Schiffe aufgenommen werden, die nur für die Explosions-Untergruppe II B3 ausgerüstet sind. Es wird berichtet, dass die neue „Schiffsstofflisten-Software“ der Klassifikationsgesellschaften genau diesen Leistungsparameter im Kontext mit der gegenwärtigen Vorschriftenlage präzise erfüllt.</w:t>
      </w:r>
    </w:p>
    <w:p w14:paraId="63AB34A1" w14:textId="77777777" w:rsidR="00C655EB" w:rsidRPr="00C655EB" w:rsidRDefault="00C655EB" w:rsidP="00C655EB">
      <w:pPr>
        <w:spacing w:after="0"/>
        <w:ind w:right="566"/>
        <w:jc w:val="both"/>
        <w:rPr>
          <w:sz w:val="20"/>
          <w:lang w:val="de-DE"/>
        </w:rPr>
      </w:pPr>
    </w:p>
    <w:p w14:paraId="3A0EED2A" w14:textId="0049A1B3" w:rsidR="00C655EB" w:rsidRPr="00C655EB" w:rsidRDefault="00C655EB" w:rsidP="00C655EB">
      <w:pPr>
        <w:spacing w:after="0"/>
        <w:ind w:right="566"/>
        <w:jc w:val="both"/>
        <w:rPr>
          <w:sz w:val="20"/>
          <w:lang w:val="de-DE"/>
        </w:rPr>
      </w:pPr>
      <w:r w:rsidRPr="00C655EB">
        <w:rPr>
          <w:sz w:val="20"/>
          <w:lang w:val="de-DE"/>
        </w:rPr>
        <w:t>1</w:t>
      </w:r>
      <w:r w:rsidR="00C47D8F">
        <w:rPr>
          <w:sz w:val="20"/>
          <w:lang w:val="de-DE"/>
        </w:rPr>
        <w:t>2</w:t>
      </w:r>
      <w:r w:rsidRPr="00C655EB">
        <w:rPr>
          <w:sz w:val="20"/>
          <w:lang w:val="de-DE"/>
        </w:rPr>
        <w:t>.</w:t>
      </w:r>
      <w:r w:rsidRPr="00C655EB">
        <w:rPr>
          <w:sz w:val="20"/>
          <w:lang w:val="de-DE"/>
        </w:rPr>
        <w:tab/>
        <w:t xml:space="preserve">Vor dem Hintergrund, dass die Klassifikationsgesellschaften das Thema abgeschlossen haben, kommt auch die Informelle Arbeitsgruppe „Stoffe“ zu dem Schluss, dass zurzeit keine Notwendigkeit für Vorschriftenänderungen gesehen wird und somit diese Problematik vorläufig nicht </w:t>
      </w:r>
      <w:proofErr w:type="gramStart"/>
      <w:r w:rsidRPr="00C655EB">
        <w:rPr>
          <w:sz w:val="20"/>
          <w:lang w:val="de-DE"/>
        </w:rPr>
        <w:t>weiter verfolgt</w:t>
      </w:r>
      <w:proofErr w:type="gramEnd"/>
      <w:r w:rsidRPr="00C655EB">
        <w:rPr>
          <w:sz w:val="20"/>
          <w:lang w:val="de-DE"/>
        </w:rPr>
        <w:t xml:space="preserve"> werden soll.</w:t>
      </w:r>
    </w:p>
    <w:p w14:paraId="69AD3494" w14:textId="23CD11BE" w:rsidR="00C655EB" w:rsidRDefault="00C655EB" w:rsidP="00C655EB">
      <w:pPr>
        <w:spacing w:after="0"/>
        <w:rPr>
          <w:sz w:val="20"/>
          <w:lang w:val="de-DE"/>
        </w:rPr>
      </w:pPr>
    </w:p>
    <w:p w14:paraId="47E42FC5" w14:textId="77777777" w:rsidR="00C47D8F" w:rsidRPr="00C655EB" w:rsidRDefault="00C47D8F" w:rsidP="00C655EB">
      <w:pPr>
        <w:spacing w:after="0"/>
        <w:rPr>
          <w:sz w:val="20"/>
          <w:lang w:val="de-DE"/>
        </w:rPr>
      </w:pPr>
    </w:p>
    <w:p w14:paraId="34C7072E" w14:textId="77777777" w:rsidR="00C655EB" w:rsidRPr="00C655EB" w:rsidRDefault="00C655EB" w:rsidP="00C655EB">
      <w:pPr>
        <w:spacing w:after="0"/>
        <w:ind w:left="567" w:right="567" w:hanging="567"/>
        <w:jc w:val="both"/>
        <w:rPr>
          <w:b/>
          <w:sz w:val="20"/>
          <w:lang w:val="de-DE"/>
        </w:rPr>
      </w:pPr>
      <w:r w:rsidRPr="00C655EB">
        <w:rPr>
          <w:b/>
          <w:sz w:val="20"/>
          <w:lang w:val="de-DE"/>
        </w:rPr>
        <w:t>C.</w:t>
      </w:r>
      <w:r w:rsidRPr="00C655EB">
        <w:rPr>
          <w:b/>
          <w:sz w:val="20"/>
          <w:lang w:val="de-DE"/>
        </w:rPr>
        <w:tab/>
        <w:t xml:space="preserve">Diskussion der Einträge in Tabelle C mit mehr als 10 % </w:t>
      </w:r>
      <w:proofErr w:type="spellStart"/>
      <w:r w:rsidRPr="00C655EB">
        <w:rPr>
          <w:b/>
          <w:sz w:val="20"/>
          <w:lang w:val="de-DE"/>
        </w:rPr>
        <w:t>Benzen</w:t>
      </w:r>
      <w:proofErr w:type="spellEnd"/>
      <w:r w:rsidRPr="00C655EB">
        <w:rPr>
          <w:b/>
          <w:sz w:val="20"/>
          <w:lang w:val="de-DE"/>
        </w:rPr>
        <w:t xml:space="preserve"> und der mit einem Stern gekennzeichneten Einträge</w:t>
      </w:r>
    </w:p>
    <w:p w14:paraId="526B3B63" w14:textId="77777777" w:rsidR="00C655EB" w:rsidRPr="00C655EB" w:rsidRDefault="00C655EB" w:rsidP="00C655EB">
      <w:pPr>
        <w:spacing w:after="0"/>
        <w:ind w:left="567" w:right="567" w:hanging="567"/>
        <w:jc w:val="both"/>
        <w:rPr>
          <w:bCs/>
          <w:sz w:val="20"/>
          <w:lang w:val="de-DE"/>
        </w:rPr>
      </w:pPr>
    </w:p>
    <w:p w14:paraId="76D23056" w14:textId="3FEC5522" w:rsidR="00C655EB" w:rsidRPr="00C655EB" w:rsidRDefault="00C655EB" w:rsidP="00C655EB">
      <w:pPr>
        <w:spacing w:after="0"/>
        <w:ind w:right="567"/>
        <w:jc w:val="both"/>
        <w:rPr>
          <w:bCs/>
          <w:sz w:val="20"/>
          <w:lang w:val="de-DE"/>
        </w:rPr>
      </w:pPr>
      <w:r w:rsidRPr="00C655EB">
        <w:rPr>
          <w:bCs/>
          <w:sz w:val="20"/>
          <w:lang w:val="de-DE"/>
        </w:rPr>
        <w:t>1</w:t>
      </w:r>
      <w:r w:rsidR="00C47D8F">
        <w:rPr>
          <w:bCs/>
          <w:sz w:val="20"/>
          <w:lang w:val="de-DE"/>
        </w:rPr>
        <w:t>3</w:t>
      </w:r>
      <w:r w:rsidRPr="00C655EB">
        <w:rPr>
          <w:bCs/>
          <w:sz w:val="20"/>
          <w:lang w:val="de-DE"/>
        </w:rPr>
        <w:t>.</w:t>
      </w:r>
      <w:r w:rsidRPr="00C655EB">
        <w:rPr>
          <w:bCs/>
          <w:sz w:val="20"/>
          <w:lang w:val="de-DE"/>
        </w:rPr>
        <w:tab/>
        <w:t>Bei dem seinerzeit von CEFIC vorgelegten Vorschlag für die Änderung der Schemata A, B und C aus dem Entscheidungsdiagramm 3.2.3.3 handelt es sich um eine veränderte Darstellung, ohne dabei die Inhalte der Schemata A, B und C zu verändern. Es gibt allerdings einige Ergänzungen. So wird im Vorschlag von CEFIC die Zündtemperatur als Kriterium integriert, eine Darstellung der Hierarchie für N-Schiffe nach Schema B ergänzt und eindeutig definiert, was unter „ja“ und „nein“ im Entscheidungsdiagramm zu verstehen ist.</w:t>
      </w:r>
    </w:p>
    <w:p w14:paraId="7895383E" w14:textId="77777777" w:rsidR="00C655EB" w:rsidRPr="00C655EB" w:rsidRDefault="00C655EB" w:rsidP="00C655EB">
      <w:pPr>
        <w:spacing w:after="0"/>
        <w:ind w:right="567"/>
        <w:rPr>
          <w:bCs/>
          <w:sz w:val="20"/>
          <w:lang w:val="de-DE"/>
        </w:rPr>
      </w:pPr>
    </w:p>
    <w:p w14:paraId="0F9B9D09" w14:textId="2DBE540A" w:rsidR="00C655EB" w:rsidRPr="00C655EB" w:rsidRDefault="00C655EB" w:rsidP="00C655EB">
      <w:pPr>
        <w:spacing w:after="0"/>
        <w:ind w:right="567"/>
        <w:jc w:val="both"/>
        <w:rPr>
          <w:bCs/>
          <w:sz w:val="20"/>
          <w:lang w:val="de-DE"/>
        </w:rPr>
      </w:pPr>
      <w:r w:rsidRPr="00C655EB">
        <w:rPr>
          <w:bCs/>
          <w:sz w:val="20"/>
          <w:lang w:val="de-DE"/>
        </w:rPr>
        <w:t>1</w:t>
      </w:r>
      <w:r w:rsidR="00C47D8F">
        <w:rPr>
          <w:bCs/>
          <w:sz w:val="20"/>
          <w:lang w:val="de-DE"/>
        </w:rPr>
        <w:t>4</w:t>
      </w:r>
      <w:r w:rsidRPr="00C655EB">
        <w:rPr>
          <w:bCs/>
          <w:sz w:val="20"/>
          <w:lang w:val="de-DE"/>
        </w:rPr>
        <w:t>.</w:t>
      </w:r>
      <w:r w:rsidRPr="00C655EB">
        <w:rPr>
          <w:bCs/>
          <w:sz w:val="20"/>
          <w:lang w:val="de-DE"/>
        </w:rPr>
        <w:tab/>
        <w:t>Inzwischen wurde aber auf der Grundlage von durch die niederländische Delegation vorgelegten Vorschlägen das Layout der Schemata A, B und C in eine klarere und besser verständliche Form gebracht. Vor diesem Hintergrund wird vorgeschlagen, mit CEFIC zu klären, ob die Notwendigkeit für weitere Klarstellungen noch gesehen wird. Außerdem wird noch der Hinweis gegeben, dass in 7.2.1.21 ebenfalls Vorschriften zur Hierarchie von Tankschiffen enthalten sind. Die Regelungen zur Hierarchie von Tankschiffen sollten nach Auffassung der Gruppe für eine bessere Übersichtlichkeit an einer Stelle in den Vorschriften zusammengefasst werden.</w:t>
      </w:r>
    </w:p>
    <w:p w14:paraId="5FE41525" w14:textId="77777777" w:rsidR="00C655EB" w:rsidRPr="00C655EB" w:rsidRDefault="00C655EB" w:rsidP="00C655EB">
      <w:pPr>
        <w:spacing w:after="0"/>
        <w:ind w:left="567" w:right="567" w:hanging="567"/>
        <w:jc w:val="both"/>
        <w:rPr>
          <w:bCs/>
          <w:sz w:val="20"/>
          <w:lang w:val="de-DE"/>
        </w:rPr>
      </w:pPr>
    </w:p>
    <w:p w14:paraId="4C0C1318" w14:textId="284A7BCC" w:rsidR="00C655EB" w:rsidRPr="00C655EB" w:rsidRDefault="00C655EB" w:rsidP="00C655EB">
      <w:pPr>
        <w:spacing w:after="0"/>
        <w:ind w:right="567"/>
        <w:jc w:val="both"/>
        <w:rPr>
          <w:bCs/>
          <w:sz w:val="20"/>
          <w:lang w:val="de-DE"/>
        </w:rPr>
      </w:pPr>
      <w:r w:rsidRPr="00C655EB">
        <w:rPr>
          <w:bCs/>
          <w:sz w:val="20"/>
          <w:lang w:val="de-DE"/>
        </w:rPr>
        <w:t>1</w:t>
      </w:r>
      <w:r w:rsidR="00C47D8F">
        <w:rPr>
          <w:bCs/>
          <w:sz w:val="20"/>
          <w:lang w:val="de-DE"/>
        </w:rPr>
        <w:t>5</w:t>
      </w:r>
      <w:r w:rsidRPr="00C655EB">
        <w:rPr>
          <w:bCs/>
          <w:sz w:val="20"/>
          <w:lang w:val="de-DE"/>
        </w:rPr>
        <w:t>.</w:t>
      </w:r>
      <w:r w:rsidRPr="00C655EB">
        <w:rPr>
          <w:bCs/>
          <w:sz w:val="20"/>
          <w:lang w:val="de-DE"/>
        </w:rPr>
        <w:tab/>
        <w:t>Es ist vorgesehen, die Diskussion zur Klärung der oben genannten Fragen in der nächsten Sitzung der Informellen Arbeitsgruppe fortzusetzen.</w:t>
      </w:r>
    </w:p>
    <w:p w14:paraId="064553B8" w14:textId="77777777" w:rsidR="00C655EB" w:rsidRPr="00C655EB" w:rsidRDefault="00C655EB" w:rsidP="00C655EB">
      <w:pPr>
        <w:spacing w:after="0"/>
        <w:ind w:left="567" w:right="567" w:hanging="567"/>
        <w:jc w:val="both"/>
        <w:rPr>
          <w:bCs/>
          <w:sz w:val="20"/>
          <w:lang w:val="de-DE"/>
        </w:rPr>
      </w:pPr>
    </w:p>
    <w:p w14:paraId="2CA95EB6" w14:textId="77777777" w:rsidR="00C655EB" w:rsidRPr="00C655EB" w:rsidRDefault="00C655EB" w:rsidP="00C655EB">
      <w:pPr>
        <w:spacing w:after="0"/>
        <w:rPr>
          <w:sz w:val="20"/>
          <w:lang w:val="de-DE"/>
        </w:rPr>
      </w:pPr>
    </w:p>
    <w:p w14:paraId="78A32DAD" w14:textId="77777777" w:rsidR="00C655EB" w:rsidRPr="00C655EB" w:rsidRDefault="00C655EB" w:rsidP="00C655EB">
      <w:pPr>
        <w:spacing w:after="0"/>
        <w:ind w:right="566"/>
        <w:jc w:val="both"/>
        <w:rPr>
          <w:b/>
          <w:sz w:val="20"/>
          <w:lang w:val="de-DE"/>
        </w:rPr>
      </w:pPr>
      <w:r w:rsidRPr="00C655EB">
        <w:rPr>
          <w:b/>
          <w:sz w:val="20"/>
          <w:lang w:val="de-DE"/>
        </w:rPr>
        <w:t>D.</w:t>
      </w:r>
      <w:r w:rsidRPr="00C655EB">
        <w:rPr>
          <w:b/>
          <w:sz w:val="20"/>
          <w:lang w:val="de-DE"/>
        </w:rPr>
        <w:tab/>
        <w:t>Fehlende Bemerkung 44 Tabelle C bei UN 2924, UN 1198, UN 1289, und UN 2276</w:t>
      </w:r>
    </w:p>
    <w:p w14:paraId="271C4394" w14:textId="77777777" w:rsidR="00C655EB" w:rsidRPr="00C655EB" w:rsidRDefault="00C655EB" w:rsidP="00C655EB">
      <w:pPr>
        <w:spacing w:after="0"/>
        <w:ind w:right="566"/>
        <w:jc w:val="both"/>
        <w:rPr>
          <w:b/>
          <w:sz w:val="20"/>
          <w:lang w:val="de-DE"/>
        </w:rPr>
      </w:pPr>
      <w:r w:rsidRPr="00C655EB">
        <w:rPr>
          <w:b/>
          <w:sz w:val="20"/>
          <w:lang w:val="de-DE"/>
        </w:rPr>
        <w:tab/>
        <w:t>und</w:t>
      </w:r>
    </w:p>
    <w:p w14:paraId="025956D1" w14:textId="77777777" w:rsidR="00C655EB" w:rsidRPr="00C655EB" w:rsidRDefault="00C655EB" w:rsidP="00C655EB">
      <w:pPr>
        <w:spacing w:after="0"/>
        <w:ind w:right="566"/>
        <w:jc w:val="both"/>
        <w:rPr>
          <w:b/>
          <w:sz w:val="20"/>
          <w:lang w:val="de-DE"/>
        </w:rPr>
      </w:pPr>
      <w:r w:rsidRPr="00C655EB">
        <w:rPr>
          <w:b/>
          <w:sz w:val="20"/>
          <w:lang w:val="de-DE"/>
        </w:rPr>
        <w:tab/>
        <w:t>Prüfung, ob Zuordnung der Bem. 34 nur Klasse 8 oder auch bei Nebengefahr ätzend</w:t>
      </w:r>
    </w:p>
    <w:p w14:paraId="38643F6E" w14:textId="77777777" w:rsidR="00C655EB" w:rsidRPr="00C655EB" w:rsidRDefault="00C655EB" w:rsidP="00C655EB">
      <w:pPr>
        <w:spacing w:after="0"/>
        <w:ind w:right="567"/>
        <w:jc w:val="both"/>
        <w:rPr>
          <w:bCs/>
          <w:sz w:val="20"/>
          <w:lang w:val="de-DE"/>
        </w:rPr>
      </w:pPr>
    </w:p>
    <w:p w14:paraId="78E23EF1" w14:textId="133DCC96" w:rsidR="00C655EB" w:rsidRPr="00C655EB" w:rsidRDefault="00C655EB" w:rsidP="00C655EB">
      <w:pPr>
        <w:spacing w:after="0"/>
        <w:ind w:right="567"/>
        <w:jc w:val="both"/>
        <w:rPr>
          <w:bCs/>
          <w:sz w:val="20"/>
          <w:lang w:val="de-DE"/>
        </w:rPr>
      </w:pPr>
      <w:r w:rsidRPr="00C655EB">
        <w:rPr>
          <w:bCs/>
          <w:sz w:val="20"/>
          <w:lang w:val="de-DE"/>
        </w:rPr>
        <w:t>1</w:t>
      </w:r>
      <w:r w:rsidR="00B85AF6">
        <w:rPr>
          <w:bCs/>
          <w:sz w:val="20"/>
          <w:lang w:val="de-DE"/>
        </w:rPr>
        <w:t>6</w:t>
      </w:r>
      <w:r w:rsidRPr="00C655EB">
        <w:rPr>
          <w:bCs/>
          <w:sz w:val="20"/>
          <w:lang w:val="de-DE"/>
        </w:rPr>
        <w:t>.</w:t>
      </w:r>
      <w:r w:rsidRPr="00C655EB">
        <w:rPr>
          <w:bCs/>
          <w:sz w:val="20"/>
          <w:lang w:val="de-DE"/>
        </w:rPr>
        <w:tab/>
        <w:t>Es wurde festgestellt, dass beim ersten Eintrag UN 2924 „ENTZÜNDBARER FLÜSSIGER STOFF, ÄTZEND, N.A.G.“, Verpackungsgruppe III, bei dem in der Spalte (16) die Explosionsuntergruppe „(II B)“ angegeben ist, in Spalte (20) die Bemerkung 44 gestrichen werden muss.</w:t>
      </w:r>
    </w:p>
    <w:p w14:paraId="1A95AE8C" w14:textId="77777777" w:rsidR="00C655EB" w:rsidRPr="00C655EB" w:rsidRDefault="00C655EB" w:rsidP="00C655EB">
      <w:pPr>
        <w:spacing w:after="0"/>
        <w:ind w:right="567"/>
        <w:jc w:val="both"/>
        <w:rPr>
          <w:bCs/>
          <w:sz w:val="20"/>
          <w:lang w:val="de-DE"/>
        </w:rPr>
      </w:pPr>
    </w:p>
    <w:p w14:paraId="7B55E23C" w14:textId="222F7995" w:rsidR="00C655EB" w:rsidRPr="00C655EB" w:rsidRDefault="00C655EB" w:rsidP="00C655EB">
      <w:pPr>
        <w:spacing w:after="0"/>
        <w:ind w:right="567"/>
        <w:jc w:val="both"/>
        <w:rPr>
          <w:bCs/>
          <w:sz w:val="20"/>
          <w:lang w:val="de-DE"/>
        </w:rPr>
      </w:pPr>
      <w:r w:rsidRPr="00C655EB">
        <w:rPr>
          <w:bCs/>
          <w:sz w:val="20"/>
          <w:lang w:val="de-DE"/>
        </w:rPr>
        <w:t>1</w:t>
      </w:r>
      <w:r w:rsidR="00B85AF6">
        <w:rPr>
          <w:bCs/>
          <w:sz w:val="20"/>
          <w:lang w:val="de-DE"/>
        </w:rPr>
        <w:t>7</w:t>
      </w:r>
      <w:r w:rsidRPr="00C655EB">
        <w:rPr>
          <w:bCs/>
          <w:sz w:val="20"/>
          <w:lang w:val="de-DE"/>
        </w:rPr>
        <w:t>.</w:t>
      </w:r>
      <w:r w:rsidRPr="00C655EB">
        <w:rPr>
          <w:bCs/>
          <w:sz w:val="20"/>
          <w:lang w:val="de-DE"/>
        </w:rPr>
        <w:tab/>
        <w:t xml:space="preserve">Es wurde klargestellt, dass die Bemerkung 34 für Stoffe einzutragen ist, die ätzende Eigenschaften haben (unabhängig ob als Haupt- oder Nebengefahr) und die in N-Schiffen befördert werden dürfen. </w:t>
      </w:r>
    </w:p>
    <w:p w14:paraId="28D50C89" w14:textId="5ABCF389" w:rsidR="00C655EB" w:rsidRPr="00C655EB" w:rsidRDefault="00C655EB" w:rsidP="00C655EB">
      <w:pPr>
        <w:spacing w:after="0"/>
        <w:ind w:right="567"/>
        <w:jc w:val="both"/>
        <w:rPr>
          <w:bCs/>
          <w:sz w:val="20"/>
          <w:lang w:val="de-DE"/>
        </w:rPr>
      </w:pPr>
      <w:r w:rsidRPr="00C655EB">
        <w:rPr>
          <w:bCs/>
          <w:sz w:val="20"/>
          <w:lang w:val="de-DE"/>
        </w:rPr>
        <w:t xml:space="preserve">Eine Überprüfung in der Tabelle C ergab, dass, über die in der 42. </w:t>
      </w:r>
      <w:r w:rsidR="00B85AF6">
        <w:rPr>
          <w:bCs/>
          <w:sz w:val="20"/>
          <w:lang w:val="de-DE"/>
        </w:rPr>
        <w:t>Sitzung des ADN-</w:t>
      </w:r>
      <w:r w:rsidRPr="00C655EB">
        <w:rPr>
          <w:bCs/>
          <w:sz w:val="20"/>
          <w:lang w:val="de-DE"/>
        </w:rPr>
        <w:t>Sicherheitsausschuss</w:t>
      </w:r>
      <w:r w:rsidR="00B85AF6">
        <w:rPr>
          <w:bCs/>
          <w:sz w:val="20"/>
          <w:lang w:val="de-DE"/>
        </w:rPr>
        <w:t>es</w:t>
      </w:r>
      <w:r w:rsidRPr="00C655EB">
        <w:rPr>
          <w:bCs/>
          <w:sz w:val="20"/>
          <w:lang w:val="de-DE"/>
        </w:rPr>
        <w:t xml:space="preserve"> bereits beschlossenen Ergänzungen mit der Bemerkung 34 für die UN-Nummern 1764 und 2430 (2 mal) hinaus, keine weiteren Einträge gefunden wurden, bei denen die Ergänzung der Bemerkung 34 erforderlich wäre.</w:t>
      </w:r>
    </w:p>
    <w:p w14:paraId="104EBD9D" w14:textId="77777777" w:rsidR="00C655EB" w:rsidRPr="00C655EB" w:rsidRDefault="00C655EB" w:rsidP="00C655EB">
      <w:pPr>
        <w:spacing w:after="0"/>
        <w:ind w:right="567"/>
        <w:jc w:val="both"/>
        <w:rPr>
          <w:bCs/>
          <w:sz w:val="20"/>
          <w:lang w:val="de-DE"/>
        </w:rPr>
      </w:pPr>
    </w:p>
    <w:p w14:paraId="37CCDB58" w14:textId="1E9E0591" w:rsidR="00C655EB" w:rsidRPr="00C655EB" w:rsidRDefault="00C655EB" w:rsidP="00C655EB">
      <w:pPr>
        <w:spacing w:after="0"/>
        <w:ind w:right="567"/>
        <w:jc w:val="both"/>
        <w:rPr>
          <w:bCs/>
          <w:sz w:val="20"/>
          <w:lang w:val="de-DE"/>
        </w:rPr>
      </w:pPr>
      <w:r w:rsidRPr="00C655EB">
        <w:rPr>
          <w:bCs/>
          <w:sz w:val="20"/>
          <w:lang w:val="de-DE"/>
        </w:rPr>
        <w:t>1</w:t>
      </w:r>
      <w:r w:rsidR="00B85AF6">
        <w:rPr>
          <w:bCs/>
          <w:sz w:val="20"/>
          <w:lang w:val="de-DE"/>
        </w:rPr>
        <w:t>8</w:t>
      </w:r>
      <w:r w:rsidRPr="00C655EB">
        <w:rPr>
          <w:bCs/>
          <w:sz w:val="20"/>
          <w:lang w:val="de-DE"/>
        </w:rPr>
        <w:t>.</w:t>
      </w:r>
      <w:r w:rsidRPr="00C655EB">
        <w:rPr>
          <w:bCs/>
          <w:sz w:val="20"/>
          <w:lang w:val="de-DE"/>
        </w:rPr>
        <w:tab/>
        <w:t xml:space="preserve">In Folge der oben genannten Klarstellung kam die Informelle Arbeitsgruppe auch zu dem Ergebnis, dass die in der 42. Sitzung des </w:t>
      </w:r>
      <w:r w:rsidR="00B85AF6">
        <w:rPr>
          <w:bCs/>
          <w:sz w:val="20"/>
          <w:lang w:val="de-DE"/>
        </w:rPr>
        <w:t>ADN-</w:t>
      </w:r>
      <w:r w:rsidRPr="00C655EB">
        <w:rPr>
          <w:bCs/>
          <w:sz w:val="20"/>
          <w:lang w:val="de-DE"/>
        </w:rPr>
        <w:t>Sicherheitsausschusses für die beiden Einträge der UN 2924 „ENTZÜNDBARER FLÜSSIGER STOFF, ÄTZEND, N.A.G.“, Verpackungsgruppe III beschlossene Streichung der Bemerkung 34 korrigiert werden sollte, das heißt, dass die Bemerkung 34 für die beiden genannten Einträge erhalten bleiben muss.</w:t>
      </w:r>
    </w:p>
    <w:p w14:paraId="4907985C" w14:textId="77777777" w:rsidR="00C655EB" w:rsidRDefault="00C655EB" w:rsidP="00C655EB">
      <w:pPr>
        <w:spacing w:after="0"/>
        <w:ind w:right="567"/>
        <w:jc w:val="both"/>
        <w:rPr>
          <w:bCs/>
          <w:sz w:val="20"/>
          <w:lang w:val="de-DE"/>
        </w:rPr>
      </w:pPr>
    </w:p>
    <w:p w14:paraId="0C477AF2" w14:textId="77777777" w:rsidR="00577F01" w:rsidRPr="00C655EB" w:rsidRDefault="00577F01" w:rsidP="00C655EB">
      <w:pPr>
        <w:spacing w:after="0"/>
        <w:ind w:right="567"/>
        <w:jc w:val="both"/>
        <w:rPr>
          <w:bCs/>
          <w:sz w:val="20"/>
          <w:lang w:val="de-DE"/>
        </w:rPr>
      </w:pPr>
    </w:p>
    <w:p w14:paraId="436CCFA6" w14:textId="77777777" w:rsidR="00C655EB" w:rsidRPr="00C655EB" w:rsidRDefault="00C655EB" w:rsidP="00C655EB">
      <w:pPr>
        <w:spacing w:after="0"/>
        <w:ind w:right="567"/>
        <w:jc w:val="both"/>
        <w:rPr>
          <w:b/>
          <w:sz w:val="20"/>
          <w:u w:val="single"/>
          <w:lang w:val="de-DE"/>
        </w:rPr>
      </w:pPr>
      <w:r w:rsidRPr="00C655EB">
        <w:rPr>
          <w:b/>
          <w:sz w:val="20"/>
          <w:u w:val="single"/>
          <w:lang w:val="de-DE"/>
        </w:rPr>
        <w:t>Vorschlag 7:</w:t>
      </w:r>
    </w:p>
    <w:p w14:paraId="4066DF0F" w14:textId="77777777" w:rsidR="00C655EB" w:rsidRPr="00C655EB" w:rsidRDefault="00C655EB" w:rsidP="00C655EB">
      <w:pPr>
        <w:spacing w:after="0"/>
        <w:ind w:right="567"/>
        <w:jc w:val="both"/>
        <w:rPr>
          <w:bCs/>
          <w:sz w:val="20"/>
          <w:lang w:val="de-DE"/>
        </w:rPr>
      </w:pPr>
    </w:p>
    <w:p w14:paraId="45880E6D" w14:textId="7538399C" w:rsidR="00C655EB" w:rsidRPr="00C655EB" w:rsidRDefault="00B85AF6" w:rsidP="00C655EB">
      <w:pPr>
        <w:spacing w:after="0"/>
        <w:ind w:right="567"/>
        <w:jc w:val="both"/>
        <w:rPr>
          <w:bCs/>
          <w:sz w:val="20"/>
          <w:lang w:val="de-DE"/>
        </w:rPr>
      </w:pPr>
      <w:r>
        <w:rPr>
          <w:bCs/>
          <w:sz w:val="20"/>
          <w:lang w:val="de-DE"/>
        </w:rPr>
        <w:t xml:space="preserve">19. </w:t>
      </w:r>
      <w:r>
        <w:rPr>
          <w:bCs/>
          <w:sz w:val="20"/>
          <w:lang w:val="de-DE"/>
        </w:rPr>
        <w:tab/>
      </w:r>
      <w:r w:rsidR="00C655EB" w:rsidRPr="00C655EB">
        <w:rPr>
          <w:bCs/>
          <w:sz w:val="20"/>
          <w:lang w:val="de-DE"/>
        </w:rPr>
        <w:t xml:space="preserve">Folgende, in der 42. Sitzung des </w:t>
      </w:r>
      <w:r>
        <w:rPr>
          <w:bCs/>
          <w:sz w:val="20"/>
          <w:lang w:val="de-DE"/>
        </w:rPr>
        <w:t>ADN-</w:t>
      </w:r>
      <w:r w:rsidR="00C655EB" w:rsidRPr="00C655EB">
        <w:rPr>
          <w:bCs/>
          <w:sz w:val="20"/>
          <w:lang w:val="de-DE"/>
        </w:rPr>
        <w:t>Sicherheitsausschusses beschlossenen Änderungen (CCNR-ZKR/ADN/WP.15/AC.2/84, Anlage 1, Kapitel 3.2, Tabelle C), ersatzlos streichen:</w:t>
      </w:r>
    </w:p>
    <w:p w14:paraId="0F9E4C7C" w14:textId="77777777" w:rsidR="00C655EB" w:rsidRPr="00C655EB" w:rsidRDefault="00C655EB" w:rsidP="00C655EB">
      <w:pPr>
        <w:spacing w:after="0"/>
        <w:ind w:right="567"/>
        <w:jc w:val="both"/>
        <w:rPr>
          <w:bCs/>
          <w:sz w:val="20"/>
          <w:lang w:val="de-DE"/>
        </w:rPr>
      </w:pPr>
    </w:p>
    <w:p w14:paraId="46E8DF34" w14:textId="77777777" w:rsidR="00C655EB" w:rsidRPr="00C655EB" w:rsidRDefault="00C655EB" w:rsidP="00C655EB">
      <w:pPr>
        <w:pStyle w:val="SingleTxtG"/>
        <w:rPr>
          <w:lang w:val="de-DE"/>
        </w:rPr>
      </w:pPr>
      <w:r w:rsidRPr="00C655EB">
        <w:rPr>
          <w:lang w:val="de-DE"/>
        </w:rPr>
        <w:t xml:space="preserve">„Bei der UN-Nr. 2924 „ENTZÜNDBARER FLÜSSIGER STOFF, ÄTZEND, N.A.G.“, erste Eintragung der Verpackungsgruppe III (ohne „(II B3)“), in Spalte (20), </w:t>
      </w:r>
      <w:bookmarkStart w:id="3" w:name="_Hlk127194231"/>
      <w:r w:rsidRPr="00C655EB">
        <w:rPr>
          <w:lang w:val="de-DE"/>
        </w:rPr>
        <w:t>streichen: „; 34“.</w:t>
      </w:r>
      <w:bookmarkEnd w:id="3"/>
    </w:p>
    <w:p w14:paraId="6EC7A388" w14:textId="77777777" w:rsidR="00C655EB" w:rsidRPr="00C655EB" w:rsidRDefault="00C655EB" w:rsidP="00C655EB">
      <w:pPr>
        <w:pStyle w:val="SingleTxtG"/>
        <w:rPr>
          <w:i/>
          <w:lang w:val="de-DE"/>
        </w:rPr>
      </w:pPr>
      <w:r w:rsidRPr="00C655EB">
        <w:rPr>
          <w:i/>
          <w:lang w:val="de-DE"/>
        </w:rPr>
        <w:t>(Referenzdokument: ECE/TRANS/WP.15/AC.2/2023/1)“</w:t>
      </w:r>
    </w:p>
    <w:p w14:paraId="7BD989D8" w14:textId="77777777" w:rsidR="00C655EB" w:rsidRPr="00C655EB" w:rsidRDefault="00C655EB" w:rsidP="00C655EB">
      <w:pPr>
        <w:pStyle w:val="SingleTxtG"/>
        <w:rPr>
          <w:iCs/>
          <w:lang w:val="de-DE"/>
        </w:rPr>
      </w:pPr>
      <w:r w:rsidRPr="00C655EB">
        <w:rPr>
          <w:iCs/>
          <w:lang w:val="de-DE"/>
        </w:rPr>
        <w:t>und</w:t>
      </w:r>
    </w:p>
    <w:p w14:paraId="638A23F8" w14:textId="77777777" w:rsidR="00C655EB" w:rsidRPr="00C655EB" w:rsidRDefault="00C655EB" w:rsidP="00C655EB">
      <w:pPr>
        <w:pStyle w:val="SingleTxtG"/>
        <w:rPr>
          <w:lang w:val="de-DE"/>
        </w:rPr>
      </w:pPr>
      <w:r w:rsidRPr="00C655EB">
        <w:rPr>
          <w:lang w:val="de-DE"/>
        </w:rPr>
        <w:t>„Bei der UN-Nr. 2924 „ENTZÜNDBARER FLÜSSIGER STOFF, ÄTZEND, N.A.G.“, zweite Eintragung der Verpackungsgruppe III (mit „(II B3)“), in Spalte (20), streichen: „; 34“.</w:t>
      </w:r>
    </w:p>
    <w:p w14:paraId="4592CEB7" w14:textId="0907077E" w:rsidR="00C655EB" w:rsidRPr="00C655EB" w:rsidRDefault="00C655EB" w:rsidP="00C655EB">
      <w:pPr>
        <w:pStyle w:val="SingleTxtG"/>
        <w:rPr>
          <w:i/>
          <w:lang w:val="de-DE"/>
        </w:rPr>
      </w:pPr>
      <w:r w:rsidRPr="00C655EB">
        <w:rPr>
          <w:i/>
          <w:lang w:val="de-DE"/>
        </w:rPr>
        <w:t>(Referenzdokument: ECE/TRANS/WP.15/AC.2/2023/1)“.</w:t>
      </w:r>
    </w:p>
    <w:p w14:paraId="2C11125B" w14:textId="3AC748DB" w:rsidR="00C655EB" w:rsidRPr="00C655EB" w:rsidRDefault="00B85AF6" w:rsidP="00C655EB">
      <w:pPr>
        <w:spacing w:after="0"/>
        <w:ind w:right="567"/>
        <w:jc w:val="both"/>
        <w:rPr>
          <w:bCs/>
          <w:sz w:val="20"/>
          <w:lang w:val="de-DE"/>
        </w:rPr>
      </w:pPr>
      <w:r>
        <w:rPr>
          <w:bCs/>
          <w:sz w:val="20"/>
          <w:lang w:val="de-DE"/>
        </w:rPr>
        <w:lastRenderedPageBreak/>
        <w:t>20</w:t>
      </w:r>
      <w:r w:rsidR="00C655EB" w:rsidRPr="00C655EB">
        <w:rPr>
          <w:bCs/>
          <w:sz w:val="20"/>
          <w:lang w:val="de-DE"/>
        </w:rPr>
        <w:t>.</w:t>
      </w:r>
      <w:r w:rsidR="00C655EB" w:rsidRPr="00C655EB">
        <w:rPr>
          <w:bCs/>
          <w:sz w:val="20"/>
          <w:lang w:val="de-DE"/>
        </w:rPr>
        <w:tab/>
        <w:t xml:space="preserve">Entsprechend dem in der 42. Sitzung des </w:t>
      </w:r>
      <w:r>
        <w:rPr>
          <w:bCs/>
          <w:sz w:val="20"/>
          <w:lang w:val="de-DE"/>
        </w:rPr>
        <w:t>ADN-</w:t>
      </w:r>
      <w:r w:rsidR="00C655EB" w:rsidRPr="00C655EB">
        <w:rPr>
          <w:bCs/>
          <w:sz w:val="20"/>
          <w:lang w:val="de-DE"/>
        </w:rPr>
        <w:t xml:space="preserve">Sicherheitsausschusses gegebenen Hinweis wurden durch die Informelle Arbeitsgruppe in Tabelle C auch die Eintragungen für UN 1198 FORMALDEHYDLÖSUNG, ENTZÜNDBAR, UN 1289 NATRIUMMETHYLAT, LÖSUNG in Alkohol und UN 2276 2-ETHYLHEXYLAMIN überprüft. </w:t>
      </w:r>
    </w:p>
    <w:p w14:paraId="25F9F8AA" w14:textId="77777777" w:rsidR="00C655EB" w:rsidRPr="00C655EB" w:rsidRDefault="00C655EB" w:rsidP="00C655EB">
      <w:pPr>
        <w:spacing w:after="0"/>
        <w:ind w:right="567"/>
        <w:jc w:val="both"/>
        <w:rPr>
          <w:bCs/>
          <w:sz w:val="20"/>
          <w:lang w:val="de-DE"/>
        </w:rPr>
      </w:pPr>
    </w:p>
    <w:p w14:paraId="01C54FCD" w14:textId="4A761BD4" w:rsidR="00C655EB" w:rsidRPr="00C655EB" w:rsidRDefault="00B85AF6" w:rsidP="00C655EB">
      <w:pPr>
        <w:spacing w:after="0"/>
        <w:ind w:right="567"/>
        <w:jc w:val="both"/>
        <w:rPr>
          <w:bCs/>
          <w:sz w:val="20"/>
          <w:lang w:val="de-DE"/>
        </w:rPr>
      </w:pPr>
      <w:r>
        <w:rPr>
          <w:bCs/>
          <w:sz w:val="20"/>
          <w:lang w:val="de-DE"/>
        </w:rPr>
        <w:t>21</w:t>
      </w:r>
      <w:r w:rsidR="00C655EB" w:rsidRPr="00C655EB">
        <w:rPr>
          <w:bCs/>
          <w:sz w:val="20"/>
          <w:lang w:val="de-DE"/>
        </w:rPr>
        <w:t>.</w:t>
      </w:r>
      <w:r w:rsidR="00C655EB" w:rsidRPr="00C655EB">
        <w:rPr>
          <w:bCs/>
          <w:sz w:val="20"/>
          <w:lang w:val="de-DE"/>
        </w:rPr>
        <w:tab/>
        <w:t>Bei allen drei Einträgen handelt es sich um Stoffe mit dem Klassifizierungscode FC in der Verpackungsgruppe III, die in einem N-Schiff befördert werden dürfen. Somit ist die Bemerkung 34 in Spalte (20) gerechtfertigt. Für UN 1198 ist die auf Daten basierende Explosionsgruppe II B und für UN 1289 und UN 2276 ist die Explosionsgruppe II A zugeordnet. Die Bemerkung 44 ist in diesen Fällen nicht erforderlich. Das bedeutet, dass nach Meinung der Informellen Arbeitsgruppe keine Vorschriftenänderung notwendig ist.</w:t>
      </w:r>
    </w:p>
    <w:p w14:paraId="09932E3D" w14:textId="77777777" w:rsidR="00C655EB" w:rsidRPr="00C655EB" w:rsidRDefault="00C655EB" w:rsidP="00C655EB">
      <w:pPr>
        <w:spacing w:after="0"/>
        <w:ind w:right="567"/>
        <w:jc w:val="both"/>
        <w:rPr>
          <w:bCs/>
          <w:sz w:val="20"/>
          <w:lang w:val="de-DE"/>
        </w:rPr>
      </w:pPr>
    </w:p>
    <w:p w14:paraId="6E618791" w14:textId="77777777" w:rsidR="00C655EB" w:rsidRPr="00C655EB" w:rsidRDefault="00C655EB" w:rsidP="00C655EB">
      <w:pPr>
        <w:spacing w:after="0"/>
        <w:ind w:right="567"/>
        <w:jc w:val="both"/>
        <w:rPr>
          <w:bCs/>
          <w:sz w:val="20"/>
          <w:lang w:val="de-DE"/>
        </w:rPr>
      </w:pPr>
    </w:p>
    <w:p w14:paraId="2E9AB95B" w14:textId="77777777" w:rsidR="00C655EB" w:rsidRPr="00C655EB" w:rsidRDefault="00C655EB" w:rsidP="00C655EB">
      <w:pPr>
        <w:spacing w:after="0"/>
        <w:ind w:right="567"/>
        <w:jc w:val="both"/>
        <w:rPr>
          <w:b/>
          <w:sz w:val="20"/>
          <w:lang w:val="de-DE"/>
        </w:rPr>
      </w:pPr>
      <w:r w:rsidRPr="00C655EB">
        <w:rPr>
          <w:b/>
          <w:sz w:val="20"/>
          <w:lang w:val="de-DE"/>
        </w:rPr>
        <w:t>E.</w:t>
      </w:r>
      <w:r w:rsidRPr="00C655EB">
        <w:rPr>
          <w:b/>
          <w:sz w:val="20"/>
          <w:lang w:val="de-DE"/>
        </w:rPr>
        <w:tab/>
        <w:t>Bemerkung 37, die in der Tabelle C nicht verwendet wird</w:t>
      </w:r>
    </w:p>
    <w:p w14:paraId="00C5B426" w14:textId="77777777" w:rsidR="00C655EB" w:rsidRPr="00C655EB" w:rsidRDefault="00C655EB" w:rsidP="00C655EB">
      <w:pPr>
        <w:spacing w:after="0"/>
        <w:ind w:right="567"/>
        <w:jc w:val="both"/>
        <w:rPr>
          <w:bCs/>
          <w:sz w:val="20"/>
          <w:lang w:val="de-DE"/>
        </w:rPr>
      </w:pPr>
    </w:p>
    <w:p w14:paraId="3B9CD259" w14:textId="75E84D25" w:rsidR="00C655EB" w:rsidRPr="00C655EB" w:rsidRDefault="00B85AF6" w:rsidP="00C655EB">
      <w:pPr>
        <w:spacing w:after="0"/>
        <w:ind w:right="567"/>
        <w:jc w:val="both"/>
        <w:rPr>
          <w:bCs/>
          <w:sz w:val="20"/>
          <w:lang w:val="de-DE"/>
        </w:rPr>
      </w:pPr>
      <w:r>
        <w:rPr>
          <w:bCs/>
          <w:sz w:val="20"/>
          <w:lang w:val="de-DE"/>
        </w:rPr>
        <w:t>22</w:t>
      </w:r>
      <w:r w:rsidR="00C655EB" w:rsidRPr="00C655EB">
        <w:rPr>
          <w:bCs/>
          <w:sz w:val="20"/>
          <w:lang w:val="de-DE"/>
        </w:rPr>
        <w:t>.</w:t>
      </w:r>
      <w:r w:rsidR="00C655EB" w:rsidRPr="00C655EB">
        <w:rPr>
          <w:bCs/>
          <w:sz w:val="20"/>
          <w:lang w:val="de-DE"/>
        </w:rPr>
        <w:tab/>
        <w:t>Seitens der anerkannten Klassifikationsgesellschaften liegen keine Aussagen vor, dass in Bezug auf die Bemerkung 37 Änderungen, sei es durch Streichung der Bemerkung oder durch Zuordnung zu Einträgen in der Tabelle C, für notwendig gehalten werden.</w:t>
      </w:r>
    </w:p>
    <w:p w14:paraId="0A3E712F" w14:textId="77777777" w:rsidR="00C655EB" w:rsidRPr="00C655EB" w:rsidRDefault="00C655EB" w:rsidP="00C655EB">
      <w:pPr>
        <w:spacing w:after="0"/>
        <w:ind w:right="567"/>
        <w:jc w:val="both"/>
        <w:rPr>
          <w:bCs/>
          <w:sz w:val="20"/>
          <w:lang w:val="de-DE"/>
        </w:rPr>
      </w:pPr>
    </w:p>
    <w:p w14:paraId="1888D6A4" w14:textId="14551FF5" w:rsidR="00C655EB" w:rsidRPr="00C655EB" w:rsidRDefault="00B85AF6" w:rsidP="00C655EB">
      <w:pPr>
        <w:spacing w:after="0"/>
        <w:ind w:right="567"/>
        <w:jc w:val="both"/>
        <w:rPr>
          <w:bCs/>
          <w:sz w:val="20"/>
          <w:lang w:val="de-DE"/>
        </w:rPr>
      </w:pPr>
      <w:r>
        <w:rPr>
          <w:bCs/>
          <w:sz w:val="20"/>
          <w:lang w:val="de-DE"/>
        </w:rPr>
        <w:t>23</w:t>
      </w:r>
      <w:r w:rsidR="00C655EB" w:rsidRPr="00C655EB">
        <w:rPr>
          <w:bCs/>
          <w:sz w:val="20"/>
          <w:lang w:val="de-DE"/>
        </w:rPr>
        <w:t>.</w:t>
      </w:r>
      <w:r w:rsidR="00C655EB" w:rsidRPr="00C655EB">
        <w:rPr>
          <w:bCs/>
          <w:sz w:val="20"/>
          <w:lang w:val="de-DE"/>
        </w:rPr>
        <w:tab/>
        <w:t>Auch die Informelle Arbeitsgruppe „Stoffe“ hält in der gegenwärtigen Situation eine Vorschriftenänderung für nicht erforderlich.</w:t>
      </w:r>
    </w:p>
    <w:p w14:paraId="549F1EC1" w14:textId="77777777" w:rsidR="00C655EB" w:rsidRPr="00C655EB" w:rsidRDefault="00C655EB" w:rsidP="00C655EB">
      <w:pPr>
        <w:spacing w:after="0"/>
        <w:ind w:right="567"/>
        <w:jc w:val="both"/>
        <w:rPr>
          <w:bCs/>
          <w:sz w:val="20"/>
          <w:lang w:val="de-DE"/>
        </w:rPr>
      </w:pPr>
    </w:p>
    <w:p w14:paraId="776BAF65" w14:textId="77777777" w:rsidR="00C655EB" w:rsidRPr="00C655EB" w:rsidRDefault="00C655EB" w:rsidP="00C655EB">
      <w:pPr>
        <w:spacing w:after="0"/>
        <w:ind w:right="567"/>
        <w:jc w:val="both"/>
        <w:rPr>
          <w:bCs/>
          <w:sz w:val="20"/>
          <w:lang w:val="de-DE"/>
        </w:rPr>
      </w:pPr>
    </w:p>
    <w:p w14:paraId="7934BB5C" w14:textId="77777777" w:rsidR="00C655EB" w:rsidRPr="00C655EB" w:rsidRDefault="00C655EB" w:rsidP="00C655EB">
      <w:pPr>
        <w:spacing w:after="0"/>
        <w:ind w:right="567"/>
        <w:jc w:val="both"/>
        <w:rPr>
          <w:b/>
          <w:sz w:val="20"/>
          <w:lang w:val="de-DE"/>
        </w:rPr>
      </w:pPr>
      <w:r w:rsidRPr="00C655EB">
        <w:rPr>
          <w:b/>
          <w:sz w:val="20"/>
          <w:lang w:val="de-DE"/>
        </w:rPr>
        <w:t>F.</w:t>
      </w:r>
      <w:r w:rsidRPr="00C655EB">
        <w:rPr>
          <w:b/>
          <w:sz w:val="20"/>
          <w:lang w:val="de-DE"/>
        </w:rPr>
        <w:tab/>
        <w:t>Harmonisierung der Explosionsgruppen zwischen dem IBC-Code und dem ADN</w:t>
      </w:r>
    </w:p>
    <w:p w14:paraId="7704BA6B" w14:textId="77777777" w:rsidR="00C655EB" w:rsidRPr="00C655EB" w:rsidRDefault="00C655EB" w:rsidP="00C655EB">
      <w:pPr>
        <w:spacing w:after="0"/>
        <w:ind w:right="567"/>
        <w:jc w:val="both"/>
        <w:rPr>
          <w:bCs/>
          <w:sz w:val="20"/>
          <w:lang w:val="de-DE"/>
        </w:rPr>
      </w:pPr>
    </w:p>
    <w:p w14:paraId="0B70A0C6" w14:textId="1CDC9E4B" w:rsidR="00C655EB" w:rsidRPr="00C655EB" w:rsidRDefault="00B85AF6" w:rsidP="00C655EB">
      <w:pPr>
        <w:spacing w:after="0"/>
        <w:ind w:right="567"/>
        <w:jc w:val="both"/>
        <w:rPr>
          <w:bCs/>
          <w:sz w:val="20"/>
          <w:lang w:val="de-DE"/>
        </w:rPr>
      </w:pPr>
      <w:r>
        <w:rPr>
          <w:bCs/>
          <w:sz w:val="20"/>
          <w:lang w:val="de-DE"/>
        </w:rPr>
        <w:t>24</w:t>
      </w:r>
      <w:r w:rsidR="00C655EB" w:rsidRPr="00C655EB">
        <w:rPr>
          <w:bCs/>
          <w:sz w:val="20"/>
          <w:lang w:val="de-DE"/>
        </w:rPr>
        <w:t>.</w:t>
      </w:r>
      <w:r w:rsidR="00C655EB" w:rsidRPr="00C655EB">
        <w:rPr>
          <w:bCs/>
          <w:sz w:val="20"/>
          <w:lang w:val="de-DE"/>
        </w:rPr>
        <w:tab/>
        <w:t xml:space="preserve">Nach einer nochmaligen Prüfung werden die in der 42. Sitzung des </w:t>
      </w:r>
      <w:r>
        <w:rPr>
          <w:bCs/>
          <w:sz w:val="20"/>
          <w:lang w:val="de-DE"/>
        </w:rPr>
        <w:t>ADN-</w:t>
      </w:r>
      <w:r w:rsidR="00C655EB" w:rsidRPr="00C655EB">
        <w:rPr>
          <w:bCs/>
          <w:sz w:val="20"/>
          <w:lang w:val="de-DE"/>
        </w:rPr>
        <w:t>Sicherheitsausschusses beschlossenen Änderungen für UN 1108, UN 1157, UN 2323, UN 2370 und UN 3079 (CCNR-ZKR/ADN/WP.15/AC.2/84, Anlage 1, Kapitel 3.2, Tabelle C) als korrekt bestätigt.</w:t>
      </w:r>
    </w:p>
    <w:p w14:paraId="7AD46FD1" w14:textId="77777777" w:rsidR="00C655EB" w:rsidRPr="00C655EB" w:rsidRDefault="00C655EB" w:rsidP="00C655EB">
      <w:pPr>
        <w:spacing w:after="0"/>
        <w:ind w:right="567"/>
        <w:jc w:val="both"/>
        <w:rPr>
          <w:bCs/>
          <w:sz w:val="20"/>
          <w:lang w:val="de-DE"/>
        </w:rPr>
      </w:pPr>
    </w:p>
    <w:p w14:paraId="42D2A55A" w14:textId="77777777" w:rsidR="00C655EB" w:rsidRPr="00C655EB" w:rsidRDefault="00C655EB" w:rsidP="00C655EB">
      <w:pPr>
        <w:spacing w:after="0"/>
        <w:ind w:right="566"/>
        <w:jc w:val="both"/>
        <w:rPr>
          <w:b/>
          <w:sz w:val="20"/>
          <w:u w:val="single"/>
          <w:lang w:val="de-DE"/>
        </w:rPr>
      </w:pPr>
    </w:p>
    <w:p w14:paraId="261E546D" w14:textId="77777777" w:rsidR="00C655EB" w:rsidRPr="00C655EB" w:rsidRDefault="00C655EB" w:rsidP="00C655EB">
      <w:pPr>
        <w:spacing w:after="0"/>
        <w:ind w:right="566"/>
        <w:jc w:val="both"/>
        <w:rPr>
          <w:b/>
          <w:sz w:val="20"/>
          <w:lang w:val="de-DE"/>
        </w:rPr>
      </w:pPr>
      <w:r w:rsidRPr="00C655EB">
        <w:rPr>
          <w:b/>
          <w:sz w:val="20"/>
          <w:lang w:val="de-DE"/>
        </w:rPr>
        <w:t>G.</w:t>
      </w:r>
      <w:r w:rsidRPr="00C655EB">
        <w:rPr>
          <w:b/>
          <w:sz w:val="20"/>
          <w:lang w:val="de-DE"/>
        </w:rPr>
        <w:tab/>
        <w:t>Änderung der Tabelle C Spalte (16) für UN-Nummer 2527</w:t>
      </w:r>
    </w:p>
    <w:p w14:paraId="74998E32" w14:textId="77777777" w:rsidR="00C655EB" w:rsidRPr="00C655EB" w:rsidRDefault="00C655EB" w:rsidP="00C655EB">
      <w:pPr>
        <w:spacing w:after="0"/>
        <w:ind w:right="567"/>
        <w:jc w:val="both"/>
        <w:rPr>
          <w:bCs/>
          <w:sz w:val="20"/>
          <w:lang w:val="de-DE"/>
        </w:rPr>
      </w:pPr>
    </w:p>
    <w:p w14:paraId="41F101A2" w14:textId="401DA0A6" w:rsidR="00C655EB" w:rsidRPr="00C655EB" w:rsidRDefault="00C655EB" w:rsidP="00C655EB">
      <w:pPr>
        <w:spacing w:after="0"/>
        <w:ind w:right="567"/>
        <w:jc w:val="both"/>
        <w:rPr>
          <w:bCs/>
          <w:sz w:val="20"/>
          <w:lang w:val="de-DE"/>
        </w:rPr>
      </w:pPr>
      <w:r w:rsidRPr="00C655EB">
        <w:rPr>
          <w:bCs/>
          <w:sz w:val="20"/>
          <w:lang w:val="de-DE"/>
        </w:rPr>
        <w:t>2</w:t>
      </w:r>
      <w:r w:rsidR="00B85AF6">
        <w:rPr>
          <w:bCs/>
          <w:sz w:val="20"/>
          <w:lang w:val="de-DE"/>
        </w:rPr>
        <w:t>5</w:t>
      </w:r>
      <w:r w:rsidRPr="00C655EB">
        <w:rPr>
          <w:bCs/>
          <w:sz w:val="20"/>
          <w:lang w:val="de-DE"/>
        </w:rPr>
        <w:t>.</w:t>
      </w:r>
      <w:r w:rsidRPr="00C655EB">
        <w:rPr>
          <w:bCs/>
          <w:sz w:val="20"/>
          <w:lang w:val="de-DE"/>
        </w:rPr>
        <w:tab/>
        <w:t xml:space="preserve">Auch die in der 42. Sitzung des </w:t>
      </w:r>
      <w:r w:rsidR="00B85AF6">
        <w:rPr>
          <w:bCs/>
          <w:sz w:val="20"/>
          <w:lang w:val="de-DE"/>
        </w:rPr>
        <w:t>ADN-</w:t>
      </w:r>
      <w:r w:rsidRPr="00C655EB">
        <w:rPr>
          <w:bCs/>
          <w:sz w:val="20"/>
          <w:lang w:val="de-DE"/>
        </w:rPr>
        <w:t>Sicherheitsausschusses beschlossene Änderung für UN 2527 (CCNR-ZKR/ADN/WP.15/AC.2/84, Anlage 1, Kapitel 3.2, Tabelle C) kann als korrekt bestätigt werden.</w:t>
      </w:r>
    </w:p>
    <w:p w14:paraId="55D88C3A" w14:textId="77777777" w:rsidR="00C655EB" w:rsidRPr="00C655EB" w:rsidRDefault="00C655EB" w:rsidP="00C655EB">
      <w:pPr>
        <w:spacing w:after="0"/>
        <w:ind w:right="567"/>
        <w:jc w:val="both"/>
        <w:rPr>
          <w:bCs/>
          <w:sz w:val="20"/>
          <w:lang w:val="de-DE"/>
        </w:rPr>
      </w:pPr>
    </w:p>
    <w:p w14:paraId="6F8867E1" w14:textId="77777777" w:rsidR="00C655EB" w:rsidRPr="00C655EB" w:rsidRDefault="00C655EB" w:rsidP="00C655EB">
      <w:pPr>
        <w:spacing w:after="0"/>
        <w:ind w:right="567"/>
        <w:jc w:val="both"/>
        <w:rPr>
          <w:bCs/>
          <w:sz w:val="20"/>
          <w:lang w:val="de-DE"/>
        </w:rPr>
      </w:pPr>
    </w:p>
    <w:p w14:paraId="5F0628A2" w14:textId="77777777" w:rsidR="00C655EB" w:rsidRPr="00C655EB" w:rsidRDefault="00C655EB" w:rsidP="00C655EB">
      <w:pPr>
        <w:spacing w:after="0"/>
        <w:ind w:right="567"/>
        <w:jc w:val="both"/>
        <w:rPr>
          <w:b/>
          <w:sz w:val="20"/>
          <w:lang w:val="de-DE"/>
        </w:rPr>
      </w:pPr>
      <w:r w:rsidRPr="00C655EB">
        <w:rPr>
          <w:b/>
          <w:sz w:val="20"/>
          <w:lang w:val="de-DE"/>
        </w:rPr>
        <w:t>H.</w:t>
      </w:r>
      <w:r w:rsidRPr="00C655EB">
        <w:rPr>
          <w:b/>
          <w:sz w:val="20"/>
          <w:lang w:val="de-DE"/>
        </w:rPr>
        <w:tab/>
        <w:t xml:space="preserve">Nicht messbare Stoffe, für die ein </w:t>
      </w:r>
      <w:proofErr w:type="spellStart"/>
      <w:r w:rsidRPr="00C655EB">
        <w:rPr>
          <w:b/>
          <w:sz w:val="20"/>
          <w:lang w:val="de-DE"/>
        </w:rPr>
        <w:t>Toximeter</w:t>
      </w:r>
      <w:proofErr w:type="spellEnd"/>
      <w:r w:rsidRPr="00C655EB">
        <w:rPr>
          <w:b/>
          <w:sz w:val="20"/>
          <w:lang w:val="de-DE"/>
        </w:rPr>
        <w:t xml:space="preserve"> gefordert wird</w:t>
      </w:r>
    </w:p>
    <w:p w14:paraId="0A51BF79" w14:textId="77777777" w:rsidR="00C655EB" w:rsidRPr="00C655EB" w:rsidRDefault="00C655EB" w:rsidP="00C655EB">
      <w:pPr>
        <w:spacing w:after="0"/>
        <w:ind w:right="567"/>
        <w:jc w:val="both"/>
        <w:rPr>
          <w:bCs/>
          <w:sz w:val="20"/>
          <w:lang w:val="de-DE"/>
        </w:rPr>
      </w:pPr>
    </w:p>
    <w:p w14:paraId="7D2B38A7" w14:textId="4DEC1F2E" w:rsidR="00C655EB" w:rsidRPr="00C655EB" w:rsidRDefault="00B85AF6" w:rsidP="00C655EB">
      <w:pPr>
        <w:spacing w:after="0"/>
        <w:ind w:right="567"/>
        <w:jc w:val="both"/>
        <w:rPr>
          <w:bCs/>
          <w:sz w:val="20"/>
          <w:lang w:val="de-DE"/>
        </w:rPr>
      </w:pPr>
      <w:r>
        <w:rPr>
          <w:bCs/>
          <w:sz w:val="20"/>
          <w:lang w:val="de-DE"/>
        </w:rPr>
        <w:t>26</w:t>
      </w:r>
      <w:r w:rsidR="00C655EB" w:rsidRPr="00C655EB">
        <w:rPr>
          <w:bCs/>
          <w:sz w:val="20"/>
          <w:lang w:val="de-DE"/>
        </w:rPr>
        <w:t>.</w:t>
      </w:r>
      <w:r w:rsidR="00C655EB" w:rsidRPr="00C655EB">
        <w:rPr>
          <w:bCs/>
          <w:sz w:val="20"/>
          <w:lang w:val="de-DE"/>
        </w:rPr>
        <w:tab/>
        <w:t>Die Informelle Arbeitsgruppe nimmt zur Kenntnis, dass seitens des Gewerbes auf Basis des von der Gruppe in der letzten Sitzung vorgeschlagenen stufenweisen Lösungsansatzes mit den Arbeiten für Änderungsvorschläge zur Erweiterung der Definition des Begriffs „</w:t>
      </w:r>
      <w:proofErr w:type="spellStart"/>
      <w:r w:rsidR="00C655EB" w:rsidRPr="00C655EB">
        <w:rPr>
          <w:bCs/>
          <w:sz w:val="20"/>
          <w:lang w:val="de-DE"/>
        </w:rPr>
        <w:t>Toximeter</w:t>
      </w:r>
      <w:proofErr w:type="spellEnd"/>
      <w:r w:rsidR="00C655EB" w:rsidRPr="00C655EB">
        <w:rPr>
          <w:bCs/>
          <w:sz w:val="20"/>
          <w:lang w:val="de-DE"/>
        </w:rPr>
        <w:t>“ begonnen wurde.</w:t>
      </w:r>
    </w:p>
    <w:p w14:paraId="7E296B9B" w14:textId="77777777" w:rsidR="00C655EB" w:rsidRPr="00C655EB" w:rsidRDefault="00C655EB" w:rsidP="00C655EB">
      <w:pPr>
        <w:spacing w:after="0"/>
        <w:ind w:right="567"/>
        <w:jc w:val="both"/>
        <w:rPr>
          <w:bCs/>
          <w:sz w:val="20"/>
          <w:lang w:val="de-DE"/>
        </w:rPr>
      </w:pPr>
    </w:p>
    <w:p w14:paraId="16120CC7" w14:textId="3CDDF84C" w:rsidR="00C655EB" w:rsidRPr="00C655EB" w:rsidRDefault="00C655EB" w:rsidP="00C655EB">
      <w:pPr>
        <w:spacing w:after="0"/>
        <w:ind w:right="567"/>
        <w:jc w:val="both"/>
        <w:rPr>
          <w:bCs/>
          <w:sz w:val="20"/>
          <w:lang w:val="de-DE"/>
        </w:rPr>
      </w:pPr>
      <w:r w:rsidRPr="00C655EB">
        <w:rPr>
          <w:bCs/>
          <w:sz w:val="20"/>
          <w:lang w:val="de-DE"/>
        </w:rPr>
        <w:t>2</w:t>
      </w:r>
      <w:r w:rsidR="00B85AF6">
        <w:rPr>
          <w:bCs/>
          <w:sz w:val="20"/>
          <w:lang w:val="de-DE"/>
        </w:rPr>
        <w:t>7</w:t>
      </w:r>
      <w:r w:rsidRPr="00C655EB">
        <w:rPr>
          <w:bCs/>
          <w:sz w:val="20"/>
          <w:lang w:val="de-DE"/>
        </w:rPr>
        <w:t>.</w:t>
      </w:r>
      <w:r w:rsidRPr="00C655EB">
        <w:rPr>
          <w:bCs/>
          <w:sz w:val="20"/>
          <w:lang w:val="de-DE"/>
        </w:rPr>
        <w:tab/>
        <w:t xml:space="preserve">In der Diskussion wird der Hinweis gegeben, dass in die operationalen Maßnahmen für Stoffe, die auch mit der durch die neue Definition erweiterten </w:t>
      </w:r>
      <w:proofErr w:type="spellStart"/>
      <w:r w:rsidRPr="00C655EB">
        <w:rPr>
          <w:bCs/>
          <w:sz w:val="20"/>
          <w:lang w:val="de-DE"/>
        </w:rPr>
        <w:t>Pallette</w:t>
      </w:r>
      <w:proofErr w:type="spellEnd"/>
      <w:r w:rsidRPr="00C655EB">
        <w:rPr>
          <w:bCs/>
          <w:sz w:val="20"/>
          <w:lang w:val="de-DE"/>
        </w:rPr>
        <w:t xml:space="preserve"> der zur Verfügung stehenden Messgeräte weder direkt noch indirekt nachgewiesen werden können, auch Berechnungen (in Analogie zur IMO) unter Verwendung der LC</w:t>
      </w:r>
      <w:r w:rsidRPr="00C655EB">
        <w:rPr>
          <w:bCs/>
          <w:sz w:val="20"/>
          <w:vertAlign w:val="subscript"/>
          <w:lang w:val="de-DE"/>
        </w:rPr>
        <w:t>50</w:t>
      </w:r>
      <w:r w:rsidRPr="00C655EB">
        <w:rPr>
          <w:bCs/>
          <w:sz w:val="20"/>
          <w:lang w:val="de-DE"/>
        </w:rPr>
        <w:t>-Werte und des Dampfdrucks zur Anwendung kommen könnten. Das heißt, es könnten Berechnungen angestellt werden, inwieweit die in Rede stehenden Stoffe in der Lage sind, gefährliche Konzentrationen an toxischen Dämpfen aufzubauen. Dieser Hinweis erfolgt allerdings vor dem Hintergrund, dass nach Meinung der Informellen Arbeitsgruppe Messungen immer den Berechnungen vorzuziehen sind.</w:t>
      </w:r>
    </w:p>
    <w:p w14:paraId="4D80DE52" w14:textId="77777777" w:rsidR="00C655EB" w:rsidRPr="00C655EB" w:rsidRDefault="00C655EB" w:rsidP="00C655EB">
      <w:pPr>
        <w:spacing w:after="0"/>
        <w:ind w:right="567"/>
        <w:jc w:val="both"/>
        <w:rPr>
          <w:bCs/>
          <w:sz w:val="20"/>
          <w:lang w:val="de-DE"/>
        </w:rPr>
      </w:pPr>
    </w:p>
    <w:p w14:paraId="63DDDA2F" w14:textId="665F1EA5" w:rsidR="00C655EB" w:rsidRPr="00C655EB" w:rsidRDefault="00B85AF6" w:rsidP="00C655EB">
      <w:pPr>
        <w:spacing w:after="0"/>
        <w:ind w:right="567"/>
        <w:jc w:val="both"/>
        <w:rPr>
          <w:bCs/>
          <w:sz w:val="20"/>
          <w:lang w:val="de-DE"/>
        </w:rPr>
      </w:pPr>
      <w:r>
        <w:rPr>
          <w:bCs/>
          <w:sz w:val="20"/>
          <w:lang w:val="de-DE"/>
        </w:rPr>
        <w:t>28</w:t>
      </w:r>
      <w:r w:rsidR="00C655EB" w:rsidRPr="00C655EB">
        <w:rPr>
          <w:bCs/>
          <w:sz w:val="20"/>
          <w:lang w:val="de-DE"/>
        </w:rPr>
        <w:t>.</w:t>
      </w:r>
      <w:r w:rsidR="00C655EB" w:rsidRPr="00C655EB">
        <w:rPr>
          <w:bCs/>
          <w:sz w:val="20"/>
          <w:lang w:val="de-DE"/>
        </w:rPr>
        <w:tab/>
        <w:t>Dieses Thema soll in der nächsten Sitzung der Informellen Arbeitsgruppe „Stoffe“ auf der Basis von Textvorschlägen weiter diskutiert werden.</w:t>
      </w:r>
    </w:p>
    <w:p w14:paraId="51083A94" w14:textId="2D445DB2" w:rsidR="00C655EB" w:rsidRDefault="00C655EB" w:rsidP="00C655EB">
      <w:pPr>
        <w:spacing w:after="0"/>
        <w:rPr>
          <w:bCs/>
          <w:sz w:val="20"/>
          <w:lang w:val="de-DE"/>
        </w:rPr>
      </w:pPr>
    </w:p>
    <w:p w14:paraId="3CC718C2" w14:textId="3D0DB181" w:rsidR="00577F01" w:rsidRDefault="00577F01">
      <w:pPr>
        <w:spacing w:after="0"/>
        <w:rPr>
          <w:bCs/>
          <w:sz w:val="20"/>
          <w:lang w:val="de-DE"/>
        </w:rPr>
      </w:pPr>
      <w:r>
        <w:rPr>
          <w:bCs/>
          <w:sz w:val="20"/>
          <w:lang w:val="de-DE"/>
        </w:rPr>
        <w:br w:type="page"/>
      </w:r>
    </w:p>
    <w:p w14:paraId="515F7256" w14:textId="77777777" w:rsidR="00577F01" w:rsidRPr="00C655EB" w:rsidRDefault="00577F01" w:rsidP="00C655EB">
      <w:pPr>
        <w:spacing w:after="0"/>
        <w:rPr>
          <w:bCs/>
          <w:sz w:val="20"/>
          <w:lang w:val="de-DE"/>
        </w:rPr>
      </w:pPr>
    </w:p>
    <w:p w14:paraId="43BC231F" w14:textId="77777777" w:rsidR="00C655EB" w:rsidRPr="00C655EB" w:rsidRDefault="00C655EB" w:rsidP="00C655EB">
      <w:pPr>
        <w:spacing w:after="0"/>
        <w:ind w:right="567"/>
        <w:jc w:val="both"/>
        <w:rPr>
          <w:b/>
          <w:sz w:val="20"/>
          <w:lang w:val="en-US"/>
        </w:rPr>
      </w:pPr>
      <w:r w:rsidRPr="00C655EB">
        <w:rPr>
          <w:b/>
          <w:sz w:val="20"/>
          <w:lang w:val="en-US"/>
        </w:rPr>
        <w:t>I.</w:t>
      </w:r>
      <w:r w:rsidRPr="00C655EB">
        <w:rPr>
          <w:b/>
          <w:sz w:val="20"/>
          <w:lang w:val="en-US"/>
        </w:rPr>
        <w:tab/>
        <w:t>Loading-on-Top – „</w:t>
      </w:r>
      <w:proofErr w:type="spellStart"/>
      <w:proofErr w:type="gramStart"/>
      <w:r w:rsidRPr="00C655EB">
        <w:rPr>
          <w:b/>
          <w:sz w:val="20"/>
          <w:lang w:val="en-US"/>
        </w:rPr>
        <w:t>Positivliste</w:t>
      </w:r>
      <w:proofErr w:type="spellEnd"/>
      <w:r w:rsidRPr="00C655EB">
        <w:rPr>
          <w:b/>
          <w:sz w:val="20"/>
          <w:lang w:val="en-US"/>
        </w:rPr>
        <w:t>“</w:t>
      </w:r>
      <w:proofErr w:type="gramEnd"/>
    </w:p>
    <w:p w14:paraId="239C308F" w14:textId="77777777" w:rsidR="00C655EB" w:rsidRPr="00C655EB" w:rsidRDefault="00C655EB" w:rsidP="00C655EB">
      <w:pPr>
        <w:spacing w:after="0"/>
        <w:ind w:right="567"/>
        <w:jc w:val="both"/>
        <w:rPr>
          <w:bCs/>
          <w:sz w:val="20"/>
          <w:lang w:val="en-US"/>
        </w:rPr>
      </w:pPr>
    </w:p>
    <w:p w14:paraId="39FF9EB0" w14:textId="5FE743A8" w:rsidR="00C655EB" w:rsidRPr="00C655EB" w:rsidRDefault="00B85AF6" w:rsidP="00C655EB">
      <w:pPr>
        <w:spacing w:after="0"/>
        <w:ind w:right="567"/>
        <w:jc w:val="both"/>
        <w:rPr>
          <w:bCs/>
          <w:sz w:val="20"/>
          <w:lang w:val="de-DE"/>
        </w:rPr>
      </w:pPr>
      <w:r>
        <w:rPr>
          <w:bCs/>
          <w:sz w:val="20"/>
          <w:lang w:val="de-DE"/>
        </w:rPr>
        <w:t>29</w:t>
      </w:r>
      <w:r w:rsidR="00C655EB" w:rsidRPr="00C655EB">
        <w:rPr>
          <w:bCs/>
          <w:sz w:val="20"/>
          <w:lang w:val="de-DE"/>
        </w:rPr>
        <w:t>.</w:t>
      </w:r>
      <w:r w:rsidR="00C655EB" w:rsidRPr="00C655EB">
        <w:rPr>
          <w:bCs/>
          <w:sz w:val="20"/>
          <w:lang w:val="de-DE"/>
        </w:rPr>
        <w:tab/>
        <w:t>Als Grundlage dient die durch den ADN-Sicherheitsausschuss getroffene Entscheidung, wonach nur das Zusammenladen von gleichen Gefahrgütern betrachtet werden soll. Die Informelle Arbeitsgruppe bekräftigt nochmals ihren grundsätzlichen Vorschlag, durch eine geeignete Definition des Begriffs „gleiche Ladung“ einen möglichst breiten systematischen Ansatz zu verfolgen, der sich hauptsächlich an den zu erreichenden Schutzzielen orientiert.</w:t>
      </w:r>
    </w:p>
    <w:p w14:paraId="1E779D62" w14:textId="77777777" w:rsidR="00C655EB" w:rsidRPr="00C655EB" w:rsidRDefault="00C655EB" w:rsidP="00C655EB">
      <w:pPr>
        <w:spacing w:after="0"/>
        <w:ind w:right="567"/>
        <w:jc w:val="both"/>
        <w:rPr>
          <w:bCs/>
          <w:sz w:val="20"/>
          <w:lang w:val="de-DE"/>
        </w:rPr>
      </w:pPr>
    </w:p>
    <w:p w14:paraId="6DDD6B1A" w14:textId="69CFDA98" w:rsidR="00C655EB" w:rsidRPr="00C655EB" w:rsidRDefault="00B85AF6" w:rsidP="00C655EB">
      <w:pPr>
        <w:spacing w:after="0"/>
        <w:ind w:right="567"/>
        <w:jc w:val="both"/>
        <w:rPr>
          <w:bCs/>
          <w:sz w:val="20"/>
          <w:lang w:val="de-DE"/>
        </w:rPr>
      </w:pPr>
      <w:r>
        <w:rPr>
          <w:bCs/>
          <w:sz w:val="20"/>
          <w:lang w:val="de-DE"/>
        </w:rPr>
        <w:t>30</w:t>
      </w:r>
      <w:r w:rsidR="00C655EB" w:rsidRPr="00C655EB">
        <w:rPr>
          <w:bCs/>
          <w:sz w:val="20"/>
          <w:lang w:val="de-DE"/>
        </w:rPr>
        <w:t>.</w:t>
      </w:r>
      <w:r w:rsidR="00C655EB" w:rsidRPr="00C655EB">
        <w:rPr>
          <w:bCs/>
          <w:sz w:val="20"/>
          <w:lang w:val="de-DE"/>
        </w:rPr>
        <w:tab/>
        <w:t>Die Informelle Arbeitsgruppe überprüft und bestätigt die Vorschläge für eine neue Definition „Gleiche Ladung“ in 1.2.1 und für eine neue Bemerkung „xx“ für Spalte (20) in der Tabelle C. Im Ergebnis dieser Diskussion kommt man darin überein, dass es sicherheitstechnisch sinnvoll ist, wenn die Chargen eines Gefahrguts, die aufeinander geladen werden sollen, von ein und demselben Absender stammen. Die Vorschläge für die Definition „Gleiche Ladung“ und für eine neue Bemerkung xx in Spalte (20) der Tabelle C werden entsprechend ergänzt.</w:t>
      </w:r>
    </w:p>
    <w:p w14:paraId="6262AE9E" w14:textId="77777777" w:rsidR="00C655EB" w:rsidRPr="00C655EB" w:rsidRDefault="00C655EB" w:rsidP="00C655EB">
      <w:pPr>
        <w:spacing w:after="0"/>
        <w:ind w:right="567"/>
        <w:jc w:val="both"/>
        <w:rPr>
          <w:bCs/>
          <w:sz w:val="20"/>
          <w:lang w:val="de-DE"/>
        </w:rPr>
      </w:pPr>
    </w:p>
    <w:p w14:paraId="7ED1CC12" w14:textId="66E042BF" w:rsidR="00C655EB" w:rsidRPr="00C655EB" w:rsidRDefault="00B85AF6" w:rsidP="00C655EB">
      <w:pPr>
        <w:spacing w:after="0"/>
        <w:ind w:right="567"/>
        <w:jc w:val="both"/>
        <w:rPr>
          <w:bCs/>
          <w:sz w:val="20"/>
          <w:lang w:val="de-DE"/>
        </w:rPr>
      </w:pPr>
      <w:r>
        <w:rPr>
          <w:bCs/>
          <w:sz w:val="20"/>
          <w:lang w:val="de-DE"/>
        </w:rPr>
        <w:t>31</w:t>
      </w:r>
      <w:r w:rsidR="00C655EB" w:rsidRPr="00C655EB">
        <w:rPr>
          <w:bCs/>
          <w:sz w:val="20"/>
          <w:lang w:val="de-DE"/>
        </w:rPr>
        <w:t>.</w:t>
      </w:r>
      <w:r w:rsidR="00C655EB" w:rsidRPr="00C655EB">
        <w:rPr>
          <w:bCs/>
          <w:sz w:val="20"/>
          <w:lang w:val="de-DE"/>
        </w:rPr>
        <w:tab/>
        <w:t>In Kapitel 1.2 „Begriffsbestimmungen und Maßeinheiten“, 1.2.1 „Begriffsbestimmungen“ unter dem Buchstaben G folgende Begriffsbestimmung einfügen:</w:t>
      </w:r>
    </w:p>
    <w:p w14:paraId="518EC53A" w14:textId="77777777" w:rsidR="00C655EB" w:rsidRPr="00C655EB" w:rsidRDefault="00C655EB" w:rsidP="00C655EB">
      <w:pPr>
        <w:spacing w:after="0"/>
        <w:ind w:right="567"/>
        <w:jc w:val="both"/>
        <w:rPr>
          <w:bCs/>
          <w:sz w:val="20"/>
          <w:lang w:val="de-DE"/>
        </w:rPr>
      </w:pPr>
    </w:p>
    <w:p w14:paraId="6D31111E" w14:textId="77777777" w:rsidR="00C655EB" w:rsidRPr="00C655EB" w:rsidRDefault="00C655EB" w:rsidP="00C655EB">
      <w:pPr>
        <w:spacing w:after="0"/>
        <w:ind w:right="567"/>
        <w:jc w:val="both"/>
        <w:rPr>
          <w:bCs/>
          <w:sz w:val="20"/>
          <w:lang w:val="de-DE"/>
        </w:rPr>
      </w:pPr>
      <w:r w:rsidRPr="00C655EB">
        <w:rPr>
          <w:bCs/>
          <w:sz w:val="20"/>
          <w:lang w:val="de-DE"/>
        </w:rPr>
        <w:t>„</w:t>
      </w:r>
      <w:r w:rsidRPr="00020C64">
        <w:rPr>
          <w:b/>
          <w:bCs/>
          <w:i/>
          <w:iCs/>
          <w:sz w:val="20"/>
          <w:lang w:val="de-DE"/>
        </w:rPr>
        <w:t>Gleiche Ladung</w:t>
      </w:r>
      <w:r w:rsidRPr="00C655EB">
        <w:rPr>
          <w:b/>
          <w:bCs/>
          <w:sz w:val="20"/>
          <w:lang w:val="de-DE"/>
        </w:rPr>
        <w:t>:</w:t>
      </w:r>
      <w:r w:rsidRPr="00C655EB">
        <w:rPr>
          <w:bCs/>
          <w:sz w:val="20"/>
          <w:lang w:val="de-DE"/>
        </w:rPr>
        <w:t xml:space="preserve"> zwei oder mehrere Chargen eines für die Beförderung in Tankschiffen zugelassenen Gefahrguts nur eines Absenders unter den Voraussetzungen, dass</w:t>
      </w:r>
    </w:p>
    <w:p w14:paraId="0E6A9DF1" w14:textId="77777777" w:rsidR="00C655EB" w:rsidRPr="00C655EB" w:rsidRDefault="00C655EB" w:rsidP="00C655EB">
      <w:pPr>
        <w:spacing w:after="0"/>
        <w:ind w:right="567"/>
        <w:jc w:val="both"/>
        <w:rPr>
          <w:bCs/>
          <w:sz w:val="20"/>
          <w:lang w:val="de-DE"/>
        </w:rPr>
      </w:pPr>
    </w:p>
    <w:p w14:paraId="2B39EBB6" w14:textId="77777777" w:rsidR="00C655EB" w:rsidRPr="00C655EB" w:rsidRDefault="00C655EB" w:rsidP="00C655EB">
      <w:pPr>
        <w:spacing w:after="0"/>
        <w:ind w:left="567" w:right="567" w:hanging="567"/>
        <w:jc w:val="both"/>
        <w:rPr>
          <w:bCs/>
          <w:sz w:val="20"/>
          <w:lang w:val="de-DE"/>
        </w:rPr>
      </w:pPr>
      <w:r w:rsidRPr="00C655EB">
        <w:rPr>
          <w:bCs/>
          <w:sz w:val="20"/>
          <w:lang w:val="de-DE"/>
        </w:rPr>
        <w:t>a)</w:t>
      </w:r>
      <w:r w:rsidRPr="00C655EB">
        <w:rPr>
          <w:bCs/>
          <w:sz w:val="20"/>
          <w:lang w:val="de-DE"/>
        </w:rPr>
        <w:tab/>
        <w:t>diese Chargen ein und derselben Eintragung in 3.2.3 Tabelle C „Verzeichnis der zur Beförderung in Tankschiffen zugelassenen gefährlichen Güter in numerischer Reihenfolge“ mit gleichen Verpackungsgruppen und gleichen Gefahren zugeordnet sind und die Zusammenladung dieser Chargen zu keinen Veränderungen in der Klassifizierung und in den Beförderungsbedingungen führt,</w:t>
      </w:r>
    </w:p>
    <w:p w14:paraId="681471B1" w14:textId="77777777" w:rsidR="00C655EB" w:rsidRPr="00C655EB" w:rsidRDefault="00C655EB" w:rsidP="00C655EB">
      <w:pPr>
        <w:spacing w:after="0"/>
        <w:ind w:left="567" w:right="567" w:hanging="567"/>
        <w:jc w:val="both"/>
        <w:rPr>
          <w:bCs/>
          <w:sz w:val="20"/>
          <w:lang w:val="de-DE"/>
        </w:rPr>
      </w:pPr>
    </w:p>
    <w:p w14:paraId="735A8590" w14:textId="77777777" w:rsidR="00C655EB" w:rsidRPr="00C655EB" w:rsidRDefault="00C655EB" w:rsidP="00C655EB">
      <w:pPr>
        <w:spacing w:after="0"/>
        <w:ind w:left="567" w:right="567" w:hanging="567"/>
        <w:jc w:val="both"/>
        <w:rPr>
          <w:bCs/>
          <w:sz w:val="20"/>
          <w:lang w:val="de-DE"/>
        </w:rPr>
      </w:pPr>
      <w:r w:rsidRPr="00C655EB">
        <w:rPr>
          <w:bCs/>
          <w:sz w:val="20"/>
          <w:lang w:val="de-DE"/>
        </w:rPr>
        <w:t>b)</w:t>
      </w:r>
      <w:r w:rsidRPr="00C655EB">
        <w:rPr>
          <w:bCs/>
          <w:sz w:val="20"/>
          <w:lang w:val="de-DE"/>
        </w:rPr>
        <w:tab/>
        <w:t>es zu keinen chemischen Reaktionen zwischen den Chargen der Ladung kommt und</w:t>
      </w:r>
    </w:p>
    <w:p w14:paraId="72C2E596" w14:textId="77777777" w:rsidR="00C655EB" w:rsidRPr="00C655EB" w:rsidRDefault="00C655EB" w:rsidP="00C655EB">
      <w:pPr>
        <w:spacing w:after="0"/>
        <w:ind w:left="567" w:right="567" w:hanging="567"/>
        <w:jc w:val="both"/>
        <w:rPr>
          <w:bCs/>
          <w:sz w:val="20"/>
          <w:lang w:val="de-DE"/>
        </w:rPr>
      </w:pPr>
    </w:p>
    <w:p w14:paraId="39EEAA7F" w14:textId="77777777" w:rsidR="00C655EB" w:rsidRPr="00C655EB" w:rsidRDefault="00C655EB" w:rsidP="00C655EB">
      <w:pPr>
        <w:spacing w:after="0"/>
        <w:ind w:left="567" w:right="567" w:hanging="567"/>
        <w:jc w:val="both"/>
        <w:rPr>
          <w:bCs/>
          <w:sz w:val="20"/>
          <w:lang w:val="de-DE"/>
        </w:rPr>
      </w:pPr>
      <w:r w:rsidRPr="00C655EB">
        <w:rPr>
          <w:bCs/>
          <w:sz w:val="20"/>
          <w:lang w:val="de-DE"/>
        </w:rPr>
        <w:t>c)</w:t>
      </w:r>
      <w:r w:rsidRPr="00C655EB">
        <w:rPr>
          <w:bCs/>
          <w:sz w:val="20"/>
          <w:lang w:val="de-DE"/>
        </w:rPr>
        <w:tab/>
        <w:t>es zu keinen Reaktionen der Ladung mit Bauwerkstoffen der Tankkörper, Dichtungen, Ausrüstungsteile und Schutzauskleidungen kommt und Schwächungen dieser Bauwerkstoffe ausgeschlossen sind.</w:t>
      </w:r>
    </w:p>
    <w:p w14:paraId="140F9F7C" w14:textId="77777777" w:rsidR="00C655EB" w:rsidRPr="00C655EB" w:rsidRDefault="00C655EB" w:rsidP="00C655EB">
      <w:pPr>
        <w:spacing w:after="0"/>
        <w:ind w:right="567"/>
        <w:jc w:val="both"/>
        <w:rPr>
          <w:bCs/>
          <w:sz w:val="20"/>
          <w:lang w:val="de-DE"/>
        </w:rPr>
      </w:pPr>
    </w:p>
    <w:p w14:paraId="36660741" w14:textId="77777777" w:rsidR="00C655EB" w:rsidRPr="00C655EB" w:rsidRDefault="00C655EB" w:rsidP="00C655EB">
      <w:pPr>
        <w:spacing w:after="120"/>
        <w:ind w:right="567"/>
        <w:jc w:val="both"/>
        <w:rPr>
          <w:bCs/>
          <w:sz w:val="20"/>
          <w:lang w:val="de-DE"/>
        </w:rPr>
      </w:pPr>
      <w:r w:rsidRPr="00C655EB">
        <w:rPr>
          <w:bCs/>
          <w:sz w:val="20"/>
          <w:lang w:val="de-DE"/>
        </w:rPr>
        <w:t>Bem.</w:t>
      </w:r>
      <w:r w:rsidRPr="00C655EB">
        <w:rPr>
          <w:bCs/>
          <w:sz w:val="20"/>
          <w:lang w:val="de-DE"/>
        </w:rPr>
        <w:tab/>
        <w:t>Im Sinne dieser Begriffsbestimmung bedeutet keine Reaktionen der Ladung zum Beispiel:</w:t>
      </w:r>
    </w:p>
    <w:p w14:paraId="03310CBA" w14:textId="0ED11FD7" w:rsidR="00C655EB" w:rsidRPr="00020C64" w:rsidRDefault="00C655EB" w:rsidP="00C655EB">
      <w:pPr>
        <w:spacing w:after="120"/>
        <w:ind w:left="1134" w:right="567" w:hanging="567"/>
        <w:jc w:val="both"/>
        <w:rPr>
          <w:bCs/>
          <w:i/>
          <w:iCs/>
          <w:sz w:val="20"/>
          <w:lang w:val="de-DE"/>
        </w:rPr>
      </w:pPr>
      <w:r w:rsidRPr="00020C64">
        <w:rPr>
          <w:bCs/>
          <w:i/>
          <w:iCs/>
          <w:sz w:val="20"/>
          <w:lang w:val="de-DE"/>
        </w:rPr>
        <w:t>i)</w:t>
      </w:r>
      <w:r w:rsidRPr="00020C64">
        <w:rPr>
          <w:bCs/>
          <w:i/>
          <w:iCs/>
          <w:sz w:val="20"/>
          <w:lang w:val="de-DE"/>
        </w:rPr>
        <w:tab/>
        <w:t>keine Bildung von neuen Stoffen (z. B. Entwicklung entzündbarer, erstickend wirkender, oxidierender oder giftiger Gase oder Dämpfe; Bildung entzündbarer, ätzender, giftiger, oxidierender oder umweltgefährdender fester oder flüssiger Stoffe; die Bildung instabiler Stoffe);</w:t>
      </w:r>
    </w:p>
    <w:p w14:paraId="0BC1F352" w14:textId="07BF2FAE" w:rsidR="00C655EB" w:rsidRPr="00020C64" w:rsidRDefault="00C655EB" w:rsidP="00C655EB">
      <w:pPr>
        <w:spacing w:after="120"/>
        <w:ind w:left="1134" w:right="567" w:hanging="567"/>
        <w:jc w:val="both"/>
        <w:rPr>
          <w:bCs/>
          <w:i/>
          <w:iCs/>
          <w:sz w:val="20"/>
          <w:lang w:val="de-DE"/>
        </w:rPr>
      </w:pPr>
      <w:r w:rsidRPr="00020C64">
        <w:rPr>
          <w:bCs/>
          <w:i/>
          <w:iCs/>
          <w:sz w:val="20"/>
          <w:lang w:val="de-DE"/>
        </w:rPr>
        <w:t>ii)</w:t>
      </w:r>
      <w:r w:rsidRPr="00020C64">
        <w:rPr>
          <w:bCs/>
          <w:i/>
          <w:iCs/>
          <w:sz w:val="20"/>
          <w:lang w:val="de-DE"/>
        </w:rPr>
        <w:tab/>
        <w:t>keine Zerfalls- oder Polymerisationsreaktion;</w:t>
      </w:r>
    </w:p>
    <w:p w14:paraId="2AA049AA" w14:textId="4C94E5E6" w:rsidR="00C655EB" w:rsidRPr="00020C64" w:rsidRDefault="00C655EB" w:rsidP="00C655EB">
      <w:pPr>
        <w:spacing w:after="120"/>
        <w:ind w:left="1134" w:right="567" w:hanging="567"/>
        <w:jc w:val="both"/>
        <w:rPr>
          <w:bCs/>
          <w:i/>
          <w:iCs/>
          <w:sz w:val="20"/>
          <w:lang w:val="de-DE"/>
        </w:rPr>
      </w:pPr>
      <w:r w:rsidRPr="00020C64">
        <w:rPr>
          <w:bCs/>
          <w:i/>
          <w:iCs/>
          <w:sz w:val="20"/>
          <w:lang w:val="de-DE"/>
        </w:rPr>
        <w:t>iii)</w:t>
      </w:r>
      <w:r w:rsidRPr="00020C64">
        <w:rPr>
          <w:bCs/>
          <w:i/>
          <w:iCs/>
          <w:sz w:val="20"/>
          <w:lang w:val="de-DE"/>
        </w:rPr>
        <w:tab/>
        <w:t>keine Verbrennung oder Entwicklung beträchtlicher Wärme;</w:t>
      </w:r>
    </w:p>
    <w:p w14:paraId="6236C40E" w14:textId="07449188" w:rsidR="00C655EB" w:rsidRPr="00020C64" w:rsidRDefault="00C655EB" w:rsidP="00C655EB">
      <w:pPr>
        <w:spacing w:after="120"/>
        <w:ind w:left="1134" w:right="567" w:hanging="567"/>
        <w:jc w:val="both"/>
        <w:rPr>
          <w:bCs/>
          <w:i/>
          <w:iCs/>
          <w:sz w:val="20"/>
          <w:lang w:val="de-DE"/>
        </w:rPr>
      </w:pPr>
      <w:r w:rsidRPr="00020C64">
        <w:rPr>
          <w:bCs/>
          <w:i/>
          <w:iCs/>
          <w:sz w:val="20"/>
          <w:lang w:val="de-DE"/>
        </w:rPr>
        <w:t>iv)</w:t>
      </w:r>
      <w:r w:rsidRPr="00020C64">
        <w:rPr>
          <w:bCs/>
          <w:i/>
          <w:iCs/>
          <w:sz w:val="20"/>
          <w:lang w:val="de-DE"/>
        </w:rPr>
        <w:tab/>
        <w:t>kein Druckanstieg im Ergebnis chemischer Reaktionen;</w:t>
      </w:r>
    </w:p>
    <w:p w14:paraId="6A0C3EB6" w14:textId="6C8FD43D" w:rsidR="00C655EB" w:rsidRPr="00020C64" w:rsidRDefault="00C655EB" w:rsidP="00C655EB">
      <w:pPr>
        <w:spacing w:after="120"/>
        <w:ind w:left="1134" w:right="567" w:hanging="567"/>
        <w:jc w:val="both"/>
        <w:rPr>
          <w:bCs/>
          <w:i/>
          <w:iCs/>
          <w:sz w:val="20"/>
          <w:lang w:val="de-DE"/>
        </w:rPr>
      </w:pPr>
      <w:r w:rsidRPr="00020C64">
        <w:rPr>
          <w:bCs/>
          <w:i/>
          <w:iCs/>
          <w:sz w:val="20"/>
          <w:lang w:val="de-DE"/>
        </w:rPr>
        <w:t>v)</w:t>
      </w:r>
      <w:r w:rsidRPr="00020C64">
        <w:rPr>
          <w:bCs/>
          <w:i/>
          <w:iCs/>
          <w:sz w:val="20"/>
          <w:lang w:val="de-DE"/>
        </w:rPr>
        <w:tab/>
        <w:t>keine katalytische Reaktion;</w:t>
      </w:r>
    </w:p>
    <w:p w14:paraId="72CECABE" w14:textId="64CE0D16" w:rsidR="00C655EB" w:rsidRPr="00020C64" w:rsidRDefault="00C655EB" w:rsidP="00C655EB">
      <w:pPr>
        <w:spacing w:after="120"/>
        <w:ind w:left="1134" w:right="567" w:hanging="567"/>
        <w:jc w:val="both"/>
        <w:rPr>
          <w:bCs/>
          <w:i/>
          <w:iCs/>
          <w:sz w:val="20"/>
          <w:lang w:val="de-DE"/>
        </w:rPr>
      </w:pPr>
      <w:r w:rsidRPr="00020C64">
        <w:rPr>
          <w:bCs/>
          <w:i/>
          <w:iCs/>
          <w:sz w:val="20"/>
          <w:lang w:val="de-DE"/>
        </w:rPr>
        <w:t>vi)</w:t>
      </w:r>
      <w:r w:rsidRPr="00020C64">
        <w:rPr>
          <w:bCs/>
          <w:i/>
          <w:iCs/>
          <w:sz w:val="20"/>
          <w:lang w:val="de-DE"/>
        </w:rPr>
        <w:tab/>
        <w:t>keine Veränderung der Reaktionsfähigkeit;“.</w:t>
      </w:r>
    </w:p>
    <w:p w14:paraId="0244DA2E" w14:textId="77777777" w:rsidR="00C655EB" w:rsidRPr="00C655EB" w:rsidRDefault="00C655EB" w:rsidP="00C655EB">
      <w:pPr>
        <w:spacing w:after="0"/>
        <w:ind w:right="567"/>
        <w:jc w:val="both"/>
        <w:rPr>
          <w:bCs/>
          <w:sz w:val="20"/>
          <w:lang w:val="de-DE"/>
        </w:rPr>
      </w:pPr>
    </w:p>
    <w:p w14:paraId="2672D3A1" w14:textId="3C280D80" w:rsidR="00C655EB" w:rsidRPr="00C655EB" w:rsidRDefault="00020C64" w:rsidP="00C655EB">
      <w:pPr>
        <w:spacing w:after="0"/>
        <w:ind w:right="567"/>
        <w:jc w:val="both"/>
        <w:rPr>
          <w:bCs/>
          <w:sz w:val="20"/>
          <w:lang w:val="de-DE"/>
        </w:rPr>
      </w:pPr>
      <w:r>
        <w:rPr>
          <w:bCs/>
          <w:sz w:val="20"/>
          <w:lang w:val="de-DE"/>
        </w:rPr>
        <w:t>32</w:t>
      </w:r>
      <w:r w:rsidR="00C655EB" w:rsidRPr="00C655EB">
        <w:rPr>
          <w:bCs/>
          <w:sz w:val="20"/>
          <w:lang w:val="de-DE"/>
        </w:rPr>
        <w:t>.</w:t>
      </w:r>
      <w:r w:rsidR="00C655EB" w:rsidRPr="00C655EB">
        <w:rPr>
          <w:bCs/>
          <w:sz w:val="20"/>
          <w:lang w:val="de-DE"/>
        </w:rPr>
        <w:tab/>
        <w:t>Das Zusammenladen von mehreren Chargen der gleichen Ladung soll mit Hilfe einer neuen Bemerkung in Spalte (20) der Tabelle C ermöglicht werden. Diese neue Bemerkung soll in der Tabelle C nur Eintragungen zugeordnet werden, für die ein entsprechender Bedarf zur Zusammenladung mehrerer Chargen besteht und für die die in der Begriffsbestimmung „Gleiche Ladung“ dargestellten Voraussetzungen eingehalten werden können.</w:t>
      </w:r>
    </w:p>
    <w:p w14:paraId="1E2D94D2" w14:textId="77777777" w:rsidR="00C655EB" w:rsidRPr="00C655EB" w:rsidRDefault="00C655EB" w:rsidP="00C655EB">
      <w:pPr>
        <w:spacing w:after="0"/>
        <w:rPr>
          <w:bCs/>
          <w:sz w:val="20"/>
          <w:lang w:val="de-DE"/>
        </w:rPr>
      </w:pPr>
    </w:p>
    <w:p w14:paraId="55B2F1C9" w14:textId="5FF69403" w:rsidR="00C655EB" w:rsidRPr="00C655EB" w:rsidRDefault="00020C64" w:rsidP="00C655EB">
      <w:pPr>
        <w:spacing w:after="0"/>
        <w:ind w:right="567"/>
        <w:jc w:val="both"/>
        <w:rPr>
          <w:bCs/>
          <w:sz w:val="20"/>
          <w:lang w:val="de-DE"/>
        </w:rPr>
      </w:pPr>
      <w:r>
        <w:rPr>
          <w:bCs/>
          <w:sz w:val="20"/>
          <w:lang w:val="de-DE"/>
        </w:rPr>
        <w:t>33</w:t>
      </w:r>
      <w:r w:rsidR="00C655EB" w:rsidRPr="00C655EB">
        <w:rPr>
          <w:bCs/>
          <w:sz w:val="20"/>
          <w:lang w:val="de-DE"/>
        </w:rPr>
        <w:t>.</w:t>
      </w:r>
      <w:r w:rsidR="00C655EB" w:rsidRPr="00C655EB">
        <w:rPr>
          <w:bCs/>
          <w:sz w:val="20"/>
          <w:lang w:val="de-DE"/>
        </w:rPr>
        <w:tab/>
        <w:t>In 3.2.3 Tabelle C „Verzeichnis der zur Beförderung in Tankschiffen zugelassenen gefährlichen Güter in numerischer Reihenfolge“, 3.2.3.1 „Erläuterungen zur Tabelle C“, „Erläuternde Bemerkungen für jede Spalte“, Spalte (20) „Zusätzliche Anforderungen/Bemerkungen“ folgende neue Bemerkung anfügen:</w:t>
      </w:r>
    </w:p>
    <w:p w14:paraId="4CF2A062" w14:textId="77777777" w:rsidR="00C655EB" w:rsidRPr="00C655EB" w:rsidRDefault="00C655EB" w:rsidP="00C655EB">
      <w:pPr>
        <w:spacing w:after="0"/>
        <w:ind w:right="567"/>
        <w:jc w:val="both"/>
        <w:rPr>
          <w:bCs/>
          <w:sz w:val="20"/>
          <w:lang w:val="de-DE"/>
        </w:rPr>
      </w:pPr>
    </w:p>
    <w:p w14:paraId="12FFACD1" w14:textId="77777777" w:rsidR="00C655EB" w:rsidRPr="00C655EB" w:rsidRDefault="00C655EB" w:rsidP="00020C64">
      <w:pPr>
        <w:spacing w:after="0"/>
        <w:ind w:left="426" w:right="567"/>
        <w:jc w:val="both"/>
        <w:rPr>
          <w:bCs/>
          <w:sz w:val="20"/>
          <w:lang w:val="de-DE"/>
        </w:rPr>
      </w:pPr>
      <w:r w:rsidRPr="00C655EB">
        <w:rPr>
          <w:bCs/>
          <w:sz w:val="20"/>
          <w:lang w:val="de-DE"/>
        </w:rPr>
        <w:t>„XX.</w:t>
      </w:r>
      <w:r w:rsidRPr="00C655EB">
        <w:rPr>
          <w:bCs/>
          <w:sz w:val="20"/>
          <w:lang w:val="de-DE"/>
        </w:rPr>
        <w:tab/>
        <w:t>Wenn die Bedingungen aus der Definition für Gleiche Ladung nach 1.2.1 eingehalten sind, dürfen mehrere Chargen nur eines Absenders von dieser Ladung aufeinander geladen werden.“.</w:t>
      </w:r>
    </w:p>
    <w:p w14:paraId="75957FE6" w14:textId="77777777" w:rsidR="00C655EB" w:rsidRPr="00C655EB" w:rsidRDefault="00C655EB" w:rsidP="00C655EB">
      <w:pPr>
        <w:spacing w:after="0"/>
        <w:ind w:right="567"/>
        <w:jc w:val="both"/>
        <w:rPr>
          <w:bCs/>
          <w:sz w:val="20"/>
          <w:lang w:val="de-DE"/>
        </w:rPr>
      </w:pPr>
    </w:p>
    <w:p w14:paraId="0358A0AE" w14:textId="06CBAC65" w:rsidR="00C655EB" w:rsidRPr="00C655EB" w:rsidRDefault="00C655EB" w:rsidP="00C655EB">
      <w:pPr>
        <w:spacing w:after="0"/>
        <w:ind w:right="567"/>
        <w:jc w:val="both"/>
        <w:rPr>
          <w:bCs/>
          <w:sz w:val="20"/>
          <w:lang w:val="de-DE"/>
        </w:rPr>
      </w:pPr>
      <w:r w:rsidRPr="00C655EB">
        <w:rPr>
          <w:bCs/>
          <w:sz w:val="20"/>
          <w:lang w:val="de-DE"/>
        </w:rPr>
        <w:lastRenderedPageBreak/>
        <w:t>3</w:t>
      </w:r>
      <w:r w:rsidR="00020C64">
        <w:rPr>
          <w:bCs/>
          <w:sz w:val="20"/>
          <w:lang w:val="de-DE"/>
        </w:rPr>
        <w:t>4</w:t>
      </w:r>
      <w:r w:rsidRPr="00C655EB">
        <w:rPr>
          <w:bCs/>
          <w:sz w:val="20"/>
          <w:lang w:val="de-DE"/>
        </w:rPr>
        <w:t>.</w:t>
      </w:r>
      <w:r w:rsidRPr="00C655EB">
        <w:rPr>
          <w:bCs/>
          <w:sz w:val="20"/>
          <w:lang w:val="de-DE"/>
        </w:rPr>
        <w:tab/>
        <w:t>Bei den zusätzlich erforderlichen Änderungen befasste sich die Informelle Arbeitsgruppe mit den Vorschriften für die Dokumentation. Nach Auffassung der Informellen Arbeitsgruppe müssen die Beförderungen, bei denen zwei oder mehr Chargen der gleichen Ladung eines Absenders aufeinander geladen werden, transparent und lückenlos nachvollziehbar sein. Deshalb sind bei jeder Charge ein neues Beförderungsdokument sowie die Aktualisierung des Stauplans erforderlich.</w:t>
      </w:r>
    </w:p>
    <w:p w14:paraId="7A18EC14" w14:textId="77777777" w:rsidR="00C655EB" w:rsidRPr="00C655EB" w:rsidRDefault="00C655EB" w:rsidP="00C655EB">
      <w:pPr>
        <w:spacing w:after="0"/>
        <w:ind w:right="567"/>
        <w:jc w:val="both"/>
        <w:rPr>
          <w:bCs/>
          <w:sz w:val="20"/>
          <w:lang w:val="de-DE"/>
        </w:rPr>
      </w:pPr>
    </w:p>
    <w:p w14:paraId="2925B64D" w14:textId="204F90F9" w:rsidR="00C655EB" w:rsidRPr="00C655EB" w:rsidRDefault="00C655EB" w:rsidP="00C655EB">
      <w:pPr>
        <w:spacing w:after="0"/>
        <w:ind w:right="567"/>
        <w:jc w:val="both"/>
        <w:rPr>
          <w:bCs/>
          <w:sz w:val="20"/>
          <w:lang w:val="de-DE"/>
        </w:rPr>
      </w:pPr>
      <w:r w:rsidRPr="00C655EB">
        <w:rPr>
          <w:bCs/>
          <w:sz w:val="20"/>
          <w:lang w:val="de-DE"/>
        </w:rPr>
        <w:t>3</w:t>
      </w:r>
      <w:r w:rsidR="00020C64">
        <w:rPr>
          <w:bCs/>
          <w:sz w:val="20"/>
          <w:lang w:val="de-DE"/>
        </w:rPr>
        <w:t>5</w:t>
      </w:r>
      <w:r w:rsidRPr="00C655EB">
        <w:rPr>
          <w:bCs/>
          <w:sz w:val="20"/>
          <w:lang w:val="de-DE"/>
        </w:rPr>
        <w:t>.</w:t>
      </w:r>
      <w:r w:rsidRPr="00C655EB">
        <w:rPr>
          <w:bCs/>
          <w:sz w:val="20"/>
          <w:lang w:val="de-DE"/>
        </w:rPr>
        <w:tab/>
        <w:t>Für die nächste Sitzung ist vorgesehen, dass sich die Informelle Arbeitsgruppe neben den Vorschlägen für die Dokumentation auch mit Vorschlägen für die Anpassungen im Teil 7 „Vorschriften für das Laden, Befördern, Löschen und sonstige Handhaben der Ladung“, Kapitel 7.2 „Tankschiffe“, bei den Vorschriften zur Stabilisierungsbescheinigung und Vorschlägen für die Zuordnung der neuen Bemerkung XX zu Einträgen in der Tabelle C beschäftigt.</w:t>
      </w:r>
    </w:p>
    <w:p w14:paraId="26CF6557" w14:textId="77777777" w:rsidR="00C655EB" w:rsidRPr="00C655EB" w:rsidRDefault="00C655EB" w:rsidP="00C655EB">
      <w:pPr>
        <w:spacing w:after="0"/>
        <w:ind w:right="567"/>
        <w:jc w:val="both"/>
        <w:rPr>
          <w:bCs/>
          <w:sz w:val="20"/>
          <w:lang w:val="de-DE"/>
        </w:rPr>
      </w:pPr>
    </w:p>
    <w:p w14:paraId="7D6F8B60" w14:textId="77777777" w:rsidR="00C655EB" w:rsidRPr="00C655EB" w:rsidRDefault="00C655EB" w:rsidP="00C655EB">
      <w:pPr>
        <w:spacing w:after="0"/>
        <w:ind w:right="567"/>
        <w:jc w:val="both"/>
        <w:rPr>
          <w:bCs/>
          <w:sz w:val="20"/>
          <w:lang w:val="de-DE"/>
        </w:rPr>
      </w:pPr>
    </w:p>
    <w:p w14:paraId="3B42DABC" w14:textId="77777777" w:rsidR="00C655EB" w:rsidRPr="00C655EB" w:rsidRDefault="00C655EB" w:rsidP="00C655EB">
      <w:pPr>
        <w:spacing w:after="0"/>
        <w:ind w:left="567" w:right="567" w:hanging="567"/>
        <w:jc w:val="both"/>
        <w:rPr>
          <w:b/>
          <w:sz w:val="20"/>
          <w:lang w:val="de-DE"/>
        </w:rPr>
      </w:pPr>
      <w:r w:rsidRPr="00C655EB">
        <w:rPr>
          <w:b/>
          <w:sz w:val="20"/>
          <w:lang w:val="de-DE"/>
        </w:rPr>
        <w:t>J.</w:t>
      </w:r>
      <w:r w:rsidRPr="00C655EB">
        <w:rPr>
          <w:b/>
          <w:sz w:val="20"/>
          <w:lang w:val="de-DE"/>
        </w:rPr>
        <w:tab/>
        <w:t>Andere Klassen als 3, 6.1, 8 und 9 in 3.2.3.3 (Entscheidungsdiagramm) und 3.2.4.3 (Zuordnungskriterien)</w:t>
      </w:r>
    </w:p>
    <w:p w14:paraId="0ECE37B1" w14:textId="77777777" w:rsidR="00C655EB" w:rsidRPr="00C655EB" w:rsidRDefault="00C655EB" w:rsidP="00C655EB">
      <w:pPr>
        <w:spacing w:after="0"/>
        <w:ind w:right="567"/>
        <w:jc w:val="both"/>
        <w:rPr>
          <w:bCs/>
          <w:sz w:val="20"/>
          <w:lang w:val="de-DE"/>
        </w:rPr>
      </w:pPr>
    </w:p>
    <w:p w14:paraId="183B292A" w14:textId="773F0AD8" w:rsidR="00C655EB" w:rsidRPr="00C655EB" w:rsidRDefault="00C655EB" w:rsidP="00C655EB">
      <w:pPr>
        <w:spacing w:after="0"/>
        <w:ind w:right="567"/>
        <w:jc w:val="both"/>
        <w:rPr>
          <w:bCs/>
          <w:sz w:val="20"/>
          <w:lang w:val="de-DE"/>
        </w:rPr>
      </w:pPr>
      <w:r w:rsidRPr="00C655EB">
        <w:rPr>
          <w:bCs/>
          <w:sz w:val="20"/>
          <w:lang w:val="de-DE"/>
        </w:rPr>
        <w:t>3</w:t>
      </w:r>
      <w:r w:rsidR="00020C64">
        <w:rPr>
          <w:bCs/>
          <w:sz w:val="20"/>
          <w:lang w:val="de-DE"/>
        </w:rPr>
        <w:t>6</w:t>
      </w:r>
      <w:r w:rsidRPr="00C655EB">
        <w:rPr>
          <w:bCs/>
          <w:sz w:val="20"/>
          <w:lang w:val="de-DE"/>
        </w:rPr>
        <w:t>.</w:t>
      </w:r>
      <w:r w:rsidRPr="00C655EB">
        <w:rPr>
          <w:bCs/>
          <w:sz w:val="20"/>
          <w:lang w:val="de-DE"/>
        </w:rPr>
        <w:tab/>
        <w:t xml:space="preserve">Die Informelle Arbeitsgruppe versteht den gegenwärtigen Vorschriftenstand, wie er in 3.2.3.3 Entscheidungsdiagramm, Schemata und Kriterien </w:t>
      </w:r>
      <w:bookmarkStart w:id="4" w:name="_Hlk145931760"/>
      <w:r w:rsidRPr="00C655EB">
        <w:rPr>
          <w:bCs/>
          <w:sz w:val="20"/>
          <w:lang w:val="de-DE"/>
        </w:rPr>
        <w:t>für die Festlegung der anwendbaren besonderen Vor-schriften (Spalten (6) bis (20) der Tabelle C)</w:t>
      </w:r>
      <w:bookmarkEnd w:id="4"/>
      <w:r w:rsidRPr="00C655EB">
        <w:rPr>
          <w:bCs/>
          <w:sz w:val="20"/>
          <w:lang w:val="de-DE"/>
        </w:rPr>
        <w:t xml:space="preserve"> und in 3.2.4 Modalitäten für die Anwendung des Abschnitts 1.5.2 bezüglich Ausnahmegenehmigungen für die Beförderung in Tankschiffen dargestellt ist, als Ergebnis einer Vorschriftenentwicklung durch Übernahmen, Ergänzungen und Anpassungen. Die Tatsache, dass die Vorschriften insbesondere in 3.2.3.3 und in 3.2.4.3 auf zum Teil unterschiedliche Art und Weise dargestellt sind und diese Bereiche auch inhaltlich sich in weiten Teilen zwar überlappen, aber nicht deckungsgleich sind, führt immer wieder zu Problemen im Verständnis und in der Rechtsfortentwicklung.</w:t>
      </w:r>
    </w:p>
    <w:p w14:paraId="30A6FC03" w14:textId="77777777" w:rsidR="00C655EB" w:rsidRPr="00C655EB" w:rsidRDefault="00C655EB" w:rsidP="00C655EB">
      <w:pPr>
        <w:spacing w:after="0"/>
        <w:ind w:right="567"/>
        <w:jc w:val="both"/>
        <w:rPr>
          <w:bCs/>
          <w:sz w:val="20"/>
          <w:lang w:val="de-DE"/>
        </w:rPr>
      </w:pPr>
    </w:p>
    <w:p w14:paraId="111ECB12" w14:textId="510F9686" w:rsidR="00C655EB" w:rsidRPr="00C655EB" w:rsidRDefault="00C655EB" w:rsidP="00C655EB">
      <w:pPr>
        <w:spacing w:after="0"/>
        <w:ind w:right="567"/>
        <w:jc w:val="both"/>
        <w:rPr>
          <w:bCs/>
          <w:sz w:val="20"/>
          <w:lang w:val="de-DE"/>
        </w:rPr>
      </w:pPr>
      <w:r w:rsidRPr="00C655EB">
        <w:rPr>
          <w:bCs/>
          <w:sz w:val="20"/>
          <w:lang w:val="de-DE"/>
        </w:rPr>
        <w:t>3</w:t>
      </w:r>
      <w:r w:rsidR="00020C64">
        <w:rPr>
          <w:bCs/>
          <w:sz w:val="20"/>
          <w:lang w:val="de-DE"/>
        </w:rPr>
        <w:t>7</w:t>
      </w:r>
      <w:r w:rsidRPr="00C655EB">
        <w:rPr>
          <w:bCs/>
          <w:sz w:val="20"/>
          <w:lang w:val="de-DE"/>
        </w:rPr>
        <w:t>.</w:t>
      </w:r>
      <w:r w:rsidRPr="00C655EB">
        <w:rPr>
          <w:bCs/>
          <w:sz w:val="20"/>
          <w:lang w:val="de-DE"/>
        </w:rPr>
        <w:tab/>
        <w:t xml:space="preserve">Deshalb schlägt die Informelle Arbeitsgruppe „Stoffe“ dem </w:t>
      </w:r>
      <w:r w:rsidR="00020C64">
        <w:rPr>
          <w:bCs/>
          <w:sz w:val="20"/>
          <w:lang w:val="de-DE"/>
        </w:rPr>
        <w:t>ADN-</w:t>
      </w:r>
      <w:r w:rsidRPr="00C655EB">
        <w:rPr>
          <w:bCs/>
          <w:sz w:val="20"/>
          <w:lang w:val="de-DE"/>
        </w:rPr>
        <w:t>Sicherheitsausschuss vor, über folgende grundlegenden Thesen zu diskutieren und gegebenenfalls Entscheidungen zu treffen:</w:t>
      </w:r>
    </w:p>
    <w:p w14:paraId="65612C0E" w14:textId="77777777" w:rsidR="00C655EB" w:rsidRPr="00C655EB" w:rsidRDefault="00C655EB" w:rsidP="00C655EB">
      <w:pPr>
        <w:spacing w:after="0"/>
        <w:ind w:right="567"/>
        <w:jc w:val="both"/>
        <w:rPr>
          <w:bCs/>
          <w:sz w:val="20"/>
          <w:lang w:val="de-DE"/>
        </w:rPr>
      </w:pPr>
    </w:p>
    <w:p w14:paraId="5BE40FF8" w14:textId="77777777" w:rsidR="00C655EB" w:rsidRPr="00C655EB" w:rsidRDefault="00C655EB" w:rsidP="00C655EB">
      <w:pPr>
        <w:pStyle w:val="Paragraphedeliste"/>
        <w:numPr>
          <w:ilvl w:val="0"/>
          <w:numId w:val="39"/>
        </w:numPr>
        <w:spacing w:after="0"/>
        <w:ind w:right="567"/>
        <w:jc w:val="both"/>
        <w:rPr>
          <w:bCs/>
          <w:sz w:val="20"/>
          <w:lang w:val="de-DE"/>
        </w:rPr>
      </w:pPr>
      <w:r w:rsidRPr="00C655EB">
        <w:rPr>
          <w:bCs/>
          <w:sz w:val="20"/>
          <w:lang w:val="de-DE"/>
        </w:rPr>
        <w:t>Die Vorschriften aus 3.2.3.3 und aus 3.2.4 sollten zusammengeführt werden.</w:t>
      </w:r>
    </w:p>
    <w:p w14:paraId="574572BC" w14:textId="77777777" w:rsidR="00C655EB" w:rsidRPr="00C655EB" w:rsidRDefault="00C655EB" w:rsidP="00C655EB">
      <w:pPr>
        <w:spacing w:after="0"/>
        <w:ind w:right="567"/>
        <w:jc w:val="both"/>
        <w:rPr>
          <w:bCs/>
          <w:sz w:val="20"/>
          <w:lang w:val="de-DE"/>
        </w:rPr>
      </w:pPr>
    </w:p>
    <w:p w14:paraId="1E4F87BE" w14:textId="77777777" w:rsidR="00C655EB" w:rsidRPr="00C655EB" w:rsidRDefault="00C655EB" w:rsidP="00C655EB">
      <w:pPr>
        <w:pStyle w:val="Paragraphedeliste"/>
        <w:numPr>
          <w:ilvl w:val="0"/>
          <w:numId w:val="39"/>
        </w:numPr>
        <w:spacing w:after="120"/>
        <w:ind w:left="1077" w:right="567"/>
        <w:jc w:val="both"/>
        <w:rPr>
          <w:bCs/>
          <w:sz w:val="20"/>
          <w:lang w:val="de-DE"/>
        </w:rPr>
      </w:pPr>
      <w:r w:rsidRPr="00C655EB">
        <w:rPr>
          <w:bCs/>
          <w:sz w:val="20"/>
          <w:lang w:val="de-DE"/>
        </w:rPr>
        <w:t xml:space="preserve">In den zusammengeführten Vorschriften sollte klar geregelt und deutlich sichtbar sein, welche Teile der für die Festlegung der anwendbaren besonderen Vorschriften (Spalten (6) bis (20) der Tabelle C) für die Einträge in der Tabelle C, die </w:t>
      </w:r>
      <w:bookmarkStart w:id="5" w:name="_Hlk145932731"/>
      <w:r w:rsidRPr="00C655EB">
        <w:rPr>
          <w:bCs/>
          <w:sz w:val="20"/>
          <w:lang w:val="de-DE"/>
        </w:rPr>
        <w:t>in Spalte (20) den Hinweis „* siehe 3.2.3.3“</w:t>
      </w:r>
      <w:bookmarkEnd w:id="5"/>
      <w:r w:rsidRPr="00C655EB">
        <w:rPr>
          <w:bCs/>
          <w:sz w:val="20"/>
          <w:lang w:val="de-DE"/>
        </w:rPr>
        <w:t xml:space="preserve"> haben, zur Anwendung kommen.</w:t>
      </w:r>
    </w:p>
    <w:p w14:paraId="6C1737A6" w14:textId="77777777" w:rsidR="00C655EB" w:rsidRPr="00C655EB" w:rsidRDefault="00C655EB" w:rsidP="00A60C19">
      <w:pPr>
        <w:pStyle w:val="Paragraphedeliste"/>
        <w:ind w:left="2211" w:right="566" w:hanging="1134"/>
        <w:rPr>
          <w:bCs/>
          <w:i/>
          <w:iCs/>
          <w:sz w:val="20"/>
          <w:lang w:val="de-DE"/>
        </w:rPr>
      </w:pPr>
      <w:r w:rsidRPr="00C655EB">
        <w:rPr>
          <w:bCs/>
          <w:i/>
          <w:iCs/>
          <w:sz w:val="20"/>
          <w:lang w:val="de-DE"/>
        </w:rPr>
        <w:t>Anmerkung:</w:t>
      </w:r>
      <w:r w:rsidRPr="00C655EB">
        <w:rPr>
          <w:bCs/>
          <w:i/>
          <w:iCs/>
          <w:sz w:val="20"/>
          <w:lang w:val="de-DE"/>
        </w:rPr>
        <w:tab/>
        <w:t>Der Hinweis „* siehe 3.2.3.3“in Spalte (20) der Tabelle C findet sich nur bei Stoffen der Klassen 3, 6.1, 8 und 9.</w:t>
      </w:r>
    </w:p>
    <w:p w14:paraId="51BEBAEA" w14:textId="77777777" w:rsidR="00C655EB" w:rsidRPr="00C655EB" w:rsidRDefault="00C655EB" w:rsidP="00C655EB">
      <w:pPr>
        <w:pStyle w:val="Paragraphedeliste"/>
        <w:numPr>
          <w:ilvl w:val="0"/>
          <w:numId w:val="39"/>
        </w:numPr>
        <w:spacing w:after="0"/>
        <w:ind w:right="567"/>
        <w:jc w:val="both"/>
        <w:rPr>
          <w:bCs/>
          <w:sz w:val="20"/>
          <w:lang w:val="de-DE"/>
        </w:rPr>
      </w:pPr>
      <w:r w:rsidRPr="00C655EB">
        <w:rPr>
          <w:bCs/>
          <w:sz w:val="20"/>
          <w:lang w:val="de-DE"/>
        </w:rPr>
        <w:t>Zum besseren Verständnis und für eine verbesserte Übersichtlichkeit könnten die zusammengeführten Vorschriften durch weitere Überschriften klarer strukturiert werden.</w:t>
      </w:r>
    </w:p>
    <w:p w14:paraId="1D157428" w14:textId="77777777" w:rsidR="00C655EB" w:rsidRPr="00C655EB" w:rsidRDefault="00C655EB" w:rsidP="00C655EB">
      <w:pPr>
        <w:spacing w:after="0"/>
        <w:ind w:right="567"/>
        <w:jc w:val="both"/>
        <w:rPr>
          <w:bCs/>
          <w:sz w:val="20"/>
          <w:lang w:val="de-DE"/>
        </w:rPr>
      </w:pPr>
    </w:p>
    <w:p w14:paraId="5B15F181" w14:textId="77777777" w:rsidR="00C655EB" w:rsidRPr="00C655EB" w:rsidRDefault="00C655EB" w:rsidP="00C655EB">
      <w:pPr>
        <w:pStyle w:val="Paragraphedeliste"/>
        <w:numPr>
          <w:ilvl w:val="0"/>
          <w:numId w:val="39"/>
        </w:numPr>
        <w:spacing w:after="0"/>
        <w:ind w:right="567"/>
        <w:jc w:val="both"/>
        <w:rPr>
          <w:bCs/>
          <w:sz w:val="20"/>
          <w:lang w:val="de-DE"/>
        </w:rPr>
      </w:pPr>
      <w:r w:rsidRPr="00C655EB">
        <w:rPr>
          <w:bCs/>
          <w:sz w:val="20"/>
          <w:lang w:val="de-DE"/>
        </w:rPr>
        <w:t>Es sollten bei der Gelegenheit auch redaktionelle Verbesserungen vorgenommen werden, wie z. B. das einheitliche Ersetzen von „Stoffe mit giftigen Eigenschaften“ durch „Stoffe mit T im Klassifizierungscode“.</w:t>
      </w:r>
    </w:p>
    <w:p w14:paraId="73DECCEF" w14:textId="77777777" w:rsidR="00C655EB" w:rsidRPr="00C655EB" w:rsidRDefault="00C655EB" w:rsidP="00C655EB">
      <w:pPr>
        <w:spacing w:after="0"/>
        <w:ind w:right="567"/>
        <w:jc w:val="both"/>
        <w:rPr>
          <w:bCs/>
          <w:sz w:val="20"/>
          <w:lang w:val="de-DE"/>
        </w:rPr>
      </w:pPr>
    </w:p>
    <w:p w14:paraId="4568DC51" w14:textId="374D86AF" w:rsidR="00C655EB" w:rsidRPr="00C655EB" w:rsidRDefault="00C655EB" w:rsidP="00C655EB">
      <w:pPr>
        <w:spacing w:after="0"/>
        <w:ind w:right="567"/>
        <w:jc w:val="both"/>
        <w:rPr>
          <w:bCs/>
          <w:sz w:val="20"/>
          <w:lang w:val="de-DE"/>
        </w:rPr>
      </w:pPr>
      <w:r w:rsidRPr="00C655EB">
        <w:rPr>
          <w:bCs/>
          <w:sz w:val="20"/>
          <w:lang w:val="de-DE"/>
        </w:rPr>
        <w:t>3</w:t>
      </w:r>
      <w:r w:rsidR="00561CAC">
        <w:rPr>
          <w:bCs/>
          <w:sz w:val="20"/>
          <w:lang w:val="de-DE"/>
        </w:rPr>
        <w:t>8</w:t>
      </w:r>
      <w:r w:rsidRPr="00C655EB">
        <w:rPr>
          <w:bCs/>
          <w:sz w:val="20"/>
          <w:lang w:val="de-DE"/>
        </w:rPr>
        <w:t>.</w:t>
      </w:r>
      <w:r w:rsidRPr="00C655EB">
        <w:rPr>
          <w:bCs/>
          <w:sz w:val="20"/>
          <w:lang w:val="de-DE"/>
        </w:rPr>
        <w:tab/>
        <w:t xml:space="preserve">Für den Fall, dass der </w:t>
      </w:r>
      <w:r w:rsidR="00020C64">
        <w:rPr>
          <w:bCs/>
          <w:sz w:val="20"/>
          <w:lang w:val="de-DE"/>
        </w:rPr>
        <w:t>ADN-</w:t>
      </w:r>
      <w:r w:rsidRPr="00C655EB">
        <w:rPr>
          <w:bCs/>
          <w:sz w:val="20"/>
          <w:lang w:val="de-DE"/>
        </w:rPr>
        <w:t>Sicherheitsausschuss die Umsetzung der grundlegenden Thesen i) bis iv) befürwortet, könnte es die Informelle Arbeitsgruppe „Stoffe“ übernehmen, in ihrer nächsten Sitzung detailliertere Vorschläge zu erarbeiten.</w:t>
      </w:r>
    </w:p>
    <w:p w14:paraId="62D8F40D" w14:textId="77777777" w:rsidR="00C655EB" w:rsidRPr="00C655EB" w:rsidRDefault="00C655EB" w:rsidP="00C655EB">
      <w:pPr>
        <w:spacing w:after="0"/>
        <w:ind w:right="567"/>
        <w:jc w:val="both"/>
        <w:rPr>
          <w:bCs/>
          <w:sz w:val="20"/>
          <w:lang w:val="de-DE"/>
        </w:rPr>
      </w:pPr>
    </w:p>
    <w:p w14:paraId="381794C1" w14:textId="77777777" w:rsidR="00C655EB" w:rsidRPr="00C655EB" w:rsidRDefault="00C655EB" w:rsidP="00C655EB">
      <w:pPr>
        <w:spacing w:after="0"/>
        <w:rPr>
          <w:b/>
          <w:sz w:val="20"/>
          <w:lang w:val="de-DE"/>
        </w:rPr>
      </w:pPr>
      <w:bookmarkStart w:id="6" w:name="_Hlk145571436"/>
    </w:p>
    <w:p w14:paraId="7BB27784" w14:textId="77777777" w:rsidR="00C655EB" w:rsidRPr="00C655EB" w:rsidRDefault="00C655EB" w:rsidP="00C655EB">
      <w:pPr>
        <w:spacing w:after="0"/>
        <w:ind w:left="567" w:right="567" w:hanging="567"/>
        <w:jc w:val="both"/>
        <w:rPr>
          <w:b/>
          <w:sz w:val="20"/>
          <w:lang w:val="de-DE"/>
        </w:rPr>
      </w:pPr>
      <w:r w:rsidRPr="00C655EB">
        <w:rPr>
          <w:b/>
          <w:sz w:val="20"/>
          <w:lang w:val="de-DE"/>
        </w:rPr>
        <w:t>K.</w:t>
      </w:r>
      <w:r w:rsidRPr="00C655EB">
        <w:rPr>
          <w:b/>
          <w:sz w:val="20"/>
          <w:lang w:val="de-DE"/>
        </w:rPr>
        <w:tab/>
        <w:t>Neuklassifizierung von UN-Nr. 1918, ISOPROPYLBENZEN (</w:t>
      </w:r>
      <w:proofErr w:type="spellStart"/>
      <w:r w:rsidRPr="00C655EB">
        <w:rPr>
          <w:b/>
          <w:sz w:val="20"/>
          <w:lang w:val="de-DE"/>
        </w:rPr>
        <w:t>Cumol</w:t>
      </w:r>
      <w:proofErr w:type="spellEnd"/>
      <w:r w:rsidRPr="00C655EB">
        <w:rPr>
          <w:b/>
          <w:sz w:val="20"/>
          <w:lang w:val="de-DE"/>
        </w:rPr>
        <w:t xml:space="preserve">) und Stoffe mit einem </w:t>
      </w:r>
      <w:proofErr w:type="spellStart"/>
      <w:r w:rsidRPr="00C655EB">
        <w:rPr>
          <w:b/>
          <w:sz w:val="20"/>
          <w:lang w:val="de-DE"/>
        </w:rPr>
        <w:t>Cumolgehalt</w:t>
      </w:r>
      <w:proofErr w:type="spellEnd"/>
      <w:r w:rsidRPr="00C655EB">
        <w:rPr>
          <w:b/>
          <w:sz w:val="20"/>
          <w:lang w:val="de-DE"/>
        </w:rPr>
        <w:t xml:space="preserve"> von 0,1% oder mehr</w:t>
      </w:r>
    </w:p>
    <w:p w14:paraId="08A00721" w14:textId="77777777" w:rsidR="00C655EB" w:rsidRPr="00C655EB" w:rsidRDefault="00C655EB" w:rsidP="00C655EB">
      <w:pPr>
        <w:spacing w:after="0"/>
        <w:ind w:left="567" w:right="567" w:hanging="567"/>
        <w:jc w:val="both"/>
        <w:rPr>
          <w:bCs/>
          <w:sz w:val="20"/>
          <w:lang w:val="de-DE"/>
        </w:rPr>
      </w:pPr>
    </w:p>
    <w:p w14:paraId="7E3E4058" w14:textId="0DB5D4C4" w:rsidR="00C655EB" w:rsidRPr="00C655EB" w:rsidRDefault="00C655EB" w:rsidP="00C655EB">
      <w:pPr>
        <w:spacing w:after="0"/>
        <w:ind w:right="567"/>
        <w:jc w:val="both"/>
        <w:rPr>
          <w:bCs/>
          <w:sz w:val="20"/>
          <w:lang w:val="de-DE"/>
        </w:rPr>
      </w:pPr>
      <w:r w:rsidRPr="00C655EB">
        <w:rPr>
          <w:bCs/>
          <w:sz w:val="20"/>
          <w:lang w:val="de-DE"/>
        </w:rPr>
        <w:t>3</w:t>
      </w:r>
      <w:r w:rsidR="00020C64">
        <w:rPr>
          <w:bCs/>
          <w:sz w:val="20"/>
          <w:lang w:val="de-DE"/>
        </w:rPr>
        <w:t>9</w:t>
      </w:r>
      <w:r w:rsidRPr="00C655EB">
        <w:rPr>
          <w:bCs/>
          <w:sz w:val="20"/>
          <w:lang w:val="de-DE"/>
        </w:rPr>
        <w:t>.</w:t>
      </w:r>
      <w:r w:rsidRPr="00C655EB">
        <w:rPr>
          <w:bCs/>
          <w:sz w:val="20"/>
          <w:lang w:val="de-DE"/>
        </w:rPr>
        <w:tab/>
        <w:t>Die vorgeschlagenen Änderungen bzgl. der UN 1918 ISOPROPYLBENZOL (</w:t>
      </w:r>
      <w:proofErr w:type="spellStart"/>
      <w:r w:rsidRPr="00C655EB">
        <w:rPr>
          <w:bCs/>
          <w:sz w:val="20"/>
          <w:lang w:val="de-DE"/>
        </w:rPr>
        <w:t>Cumol</w:t>
      </w:r>
      <w:proofErr w:type="spellEnd"/>
      <w:r w:rsidRPr="00C655EB">
        <w:rPr>
          <w:bCs/>
          <w:sz w:val="20"/>
          <w:lang w:val="de-DE"/>
        </w:rPr>
        <w:t>) sind nach Auffassung der Informellen Arbeitsgruppe korrekt.</w:t>
      </w:r>
    </w:p>
    <w:p w14:paraId="35377B7C" w14:textId="77777777" w:rsidR="00C655EB" w:rsidRPr="00C655EB" w:rsidRDefault="00C655EB" w:rsidP="00C655EB">
      <w:pPr>
        <w:spacing w:after="0"/>
        <w:ind w:right="567"/>
        <w:jc w:val="both"/>
        <w:rPr>
          <w:bCs/>
          <w:sz w:val="20"/>
          <w:lang w:val="de-DE"/>
        </w:rPr>
      </w:pPr>
    </w:p>
    <w:p w14:paraId="2C892648" w14:textId="3D6B52B0" w:rsidR="00C655EB" w:rsidRPr="00C655EB" w:rsidRDefault="00020C64" w:rsidP="00C655EB">
      <w:pPr>
        <w:spacing w:after="0"/>
        <w:ind w:right="567"/>
        <w:jc w:val="both"/>
        <w:rPr>
          <w:bCs/>
          <w:sz w:val="20"/>
          <w:lang w:val="de-DE"/>
        </w:rPr>
      </w:pPr>
      <w:r>
        <w:rPr>
          <w:bCs/>
          <w:sz w:val="20"/>
          <w:lang w:val="de-DE"/>
        </w:rPr>
        <w:t>40</w:t>
      </w:r>
      <w:r w:rsidR="00C655EB" w:rsidRPr="00C655EB">
        <w:rPr>
          <w:bCs/>
          <w:sz w:val="20"/>
          <w:lang w:val="de-DE"/>
        </w:rPr>
        <w:t>.</w:t>
      </w:r>
      <w:r w:rsidR="00C655EB" w:rsidRPr="00C655EB">
        <w:rPr>
          <w:bCs/>
          <w:sz w:val="20"/>
          <w:lang w:val="de-DE"/>
        </w:rPr>
        <w:tab/>
        <w:t xml:space="preserve">Für die bestehenden Einträge der UN 1223 KEROSIN und der UN 1307 XYLEN empfiehlt die Informelle Arbeitsgruppe in Spalte (2) der Tabelle C die Ergänzung „enthält weniger als 0,1 % </w:t>
      </w:r>
      <w:proofErr w:type="spellStart"/>
      <w:r w:rsidR="00C655EB" w:rsidRPr="00C655EB">
        <w:rPr>
          <w:bCs/>
          <w:sz w:val="20"/>
          <w:lang w:val="de-DE"/>
        </w:rPr>
        <w:t>Cumol</w:t>
      </w:r>
      <w:proofErr w:type="spellEnd"/>
      <w:r w:rsidR="00C655EB" w:rsidRPr="00C655EB">
        <w:rPr>
          <w:bCs/>
          <w:sz w:val="20"/>
          <w:lang w:val="de-DE"/>
        </w:rPr>
        <w:t xml:space="preserve">“. Die neuen Einträge der genannten UN-Nummern sollten mit „enthält 0,1 % oder mehr </w:t>
      </w:r>
      <w:proofErr w:type="spellStart"/>
      <w:r w:rsidR="00C655EB" w:rsidRPr="00C655EB">
        <w:rPr>
          <w:bCs/>
          <w:sz w:val="20"/>
          <w:lang w:val="de-DE"/>
        </w:rPr>
        <w:t>Cumol</w:t>
      </w:r>
      <w:proofErr w:type="spellEnd"/>
      <w:r w:rsidR="00C655EB" w:rsidRPr="00C655EB">
        <w:rPr>
          <w:bCs/>
          <w:sz w:val="20"/>
          <w:lang w:val="de-DE"/>
        </w:rPr>
        <w:t>“ ergänzt werden.</w:t>
      </w:r>
    </w:p>
    <w:p w14:paraId="248E50A7" w14:textId="77777777" w:rsidR="00C655EB" w:rsidRPr="00C655EB" w:rsidRDefault="00C655EB" w:rsidP="00C655EB">
      <w:pPr>
        <w:spacing w:after="0"/>
        <w:rPr>
          <w:bCs/>
          <w:sz w:val="20"/>
          <w:lang w:val="de-DE"/>
        </w:rPr>
      </w:pPr>
      <w:r w:rsidRPr="00C655EB">
        <w:rPr>
          <w:bCs/>
          <w:sz w:val="20"/>
          <w:lang w:val="de-DE"/>
        </w:rPr>
        <w:br w:type="page"/>
      </w:r>
    </w:p>
    <w:p w14:paraId="02B8EEDD" w14:textId="30C66819" w:rsidR="00C655EB" w:rsidRPr="00C655EB" w:rsidRDefault="00020C64" w:rsidP="00C655EB">
      <w:pPr>
        <w:spacing w:after="0"/>
        <w:ind w:right="567"/>
        <w:jc w:val="both"/>
        <w:rPr>
          <w:bCs/>
          <w:sz w:val="20"/>
          <w:lang w:val="de-DE"/>
        </w:rPr>
      </w:pPr>
      <w:r>
        <w:rPr>
          <w:bCs/>
          <w:sz w:val="20"/>
          <w:lang w:val="de-DE"/>
        </w:rPr>
        <w:lastRenderedPageBreak/>
        <w:t>41</w:t>
      </w:r>
      <w:r w:rsidR="00C655EB" w:rsidRPr="00C655EB">
        <w:rPr>
          <w:bCs/>
          <w:sz w:val="20"/>
          <w:lang w:val="de-DE"/>
        </w:rPr>
        <w:t>.</w:t>
      </w:r>
      <w:r w:rsidR="00C655EB" w:rsidRPr="00C655EB">
        <w:rPr>
          <w:bCs/>
          <w:sz w:val="20"/>
          <w:lang w:val="de-DE"/>
        </w:rPr>
        <w:tab/>
        <w:t xml:space="preserve">Die Arbeitsgruppe diskutierte auch über UN 1863, das ebenfalls 0.1% oder mehr </w:t>
      </w:r>
      <w:proofErr w:type="spellStart"/>
      <w:r w:rsidR="00C655EB" w:rsidRPr="00C655EB">
        <w:rPr>
          <w:bCs/>
          <w:sz w:val="20"/>
          <w:lang w:val="de-DE"/>
        </w:rPr>
        <w:t>Cumol</w:t>
      </w:r>
      <w:proofErr w:type="spellEnd"/>
      <w:r w:rsidR="00C655EB" w:rsidRPr="00C655EB">
        <w:rPr>
          <w:bCs/>
          <w:sz w:val="20"/>
          <w:lang w:val="de-DE"/>
        </w:rPr>
        <w:t xml:space="preserve"> enthalten kann. Weil Tabelle C bereits Optionen zur Deklaration von UN 1863 als krebserregend vorsieht, wurde jedoch entschieden, dass UN 1863 nicht als CMR eingestuft werden muss, wenn </w:t>
      </w:r>
      <w:proofErr w:type="spellStart"/>
      <w:r w:rsidR="00C655EB" w:rsidRPr="00C655EB">
        <w:rPr>
          <w:bCs/>
          <w:sz w:val="20"/>
          <w:lang w:val="de-DE"/>
        </w:rPr>
        <w:t>Cumol</w:t>
      </w:r>
      <w:proofErr w:type="spellEnd"/>
      <w:r w:rsidR="00C655EB" w:rsidRPr="00C655EB">
        <w:rPr>
          <w:bCs/>
          <w:sz w:val="20"/>
          <w:lang w:val="de-DE"/>
        </w:rPr>
        <w:t xml:space="preserve"> der einzige Auslöser für eine solche Einstufung gemäß ADN 2023 ist. Dies folgt dem Ergebnis der Diskussion im ADN-Sicherheitsausschusses, wonach auch </w:t>
      </w:r>
      <w:proofErr w:type="spellStart"/>
      <w:r w:rsidR="00C655EB" w:rsidRPr="00C655EB">
        <w:rPr>
          <w:bCs/>
          <w:sz w:val="20"/>
          <w:lang w:val="de-DE"/>
        </w:rPr>
        <w:t>Cumol</w:t>
      </w:r>
      <w:proofErr w:type="spellEnd"/>
      <w:r w:rsidR="00C655EB" w:rsidRPr="00C655EB">
        <w:rPr>
          <w:bCs/>
          <w:sz w:val="20"/>
          <w:lang w:val="de-DE"/>
        </w:rPr>
        <w:t xml:space="preserve"> selbst weiterhin nach den Bestimmungen der Tabelle C des ADN 2023 befördert werden darf.</w:t>
      </w:r>
    </w:p>
    <w:p w14:paraId="0BB03FBF" w14:textId="77777777" w:rsidR="00C655EB" w:rsidRPr="00C655EB" w:rsidRDefault="00C655EB" w:rsidP="00C655EB">
      <w:pPr>
        <w:spacing w:after="0"/>
        <w:ind w:right="567"/>
        <w:jc w:val="both"/>
        <w:rPr>
          <w:bCs/>
          <w:sz w:val="20"/>
          <w:lang w:val="de-DE"/>
        </w:rPr>
      </w:pPr>
    </w:p>
    <w:p w14:paraId="038A435B" w14:textId="0B3F7BDA" w:rsidR="00C655EB" w:rsidRPr="00C655EB" w:rsidRDefault="00020C64" w:rsidP="00C655EB">
      <w:pPr>
        <w:spacing w:after="0"/>
        <w:ind w:right="567"/>
        <w:jc w:val="both"/>
        <w:rPr>
          <w:bCs/>
          <w:sz w:val="20"/>
          <w:lang w:val="de-DE"/>
        </w:rPr>
      </w:pPr>
      <w:r>
        <w:rPr>
          <w:bCs/>
          <w:sz w:val="20"/>
          <w:lang w:val="de-DE"/>
        </w:rPr>
        <w:t>42</w:t>
      </w:r>
      <w:r w:rsidR="00C655EB" w:rsidRPr="00C655EB">
        <w:rPr>
          <w:bCs/>
          <w:sz w:val="20"/>
          <w:lang w:val="de-DE"/>
        </w:rPr>
        <w:t>.</w:t>
      </w:r>
      <w:r w:rsidR="00C655EB" w:rsidRPr="00C655EB">
        <w:rPr>
          <w:bCs/>
          <w:sz w:val="20"/>
          <w:lang w:val="de-DE"/>
        </w:rPr>
        <w:tab/>
        <w:t xml:space="preserve">Allerdings wird in der Informellen Arbeitsgruppe auch die Befürchtung geäußert, dass neue Erkenntnisse zu krebserregenden Eigenschaften weiterer Stoffe zu einer großen Anzahl von Änderungen und Ergänzungen in der Tabelle C führen könnten. </w:t>
      </w:r>
    </w:p>
    <w:p w14:paraId="6A46B0AB" w14:textId="77777777" w:rsidR="00C655EB" w:rsidRPr="00C655EB" w:rsidRDefault="00C655EB" w:rsidP="00C655EB">
      <w:pPr>
        <w:spacing w:after="0"/>
        <w:ind w:right="567"/>
        <w:jc w:val="both"/>
        <w:rPr>
          <w:bCs/>
          <w:sz w:val="20"/>
          <w:lang w:val="de-DE"/>
        </w:rPr>
      </w:pPr>
    </w:p>
    <w:p w14:paraId="34F49107" w14:textId="2C7345B8" w:rsidR="00C655EB" w:rsidRPr="00C655EB" w:rsidRDefault="00C655EB" w:rsidP="00C655EB">
      <w:pPr>
        <w:spacing w:after="0"/>
        <w:ind w:right="567"/>
        <w:jc w:val="both"/>
        <w:rPr>
          <w:bCs/>
          <w:sz w:val="20"/>
          <w:lang w:val="de-DE"/>
        </w:rPr>
      </w:pPr>
      <w:r w:rsidRPr="00C655EB">
        <w:rPr>
          <w:bCs/>
          <w:sz w:val="20"/>
          <w:lang w:val="de-DE"/>
        </w:rPr>
        <w:t>4</w:t>
      </w:r>
      <w:r w:rsidR="00020C64">
        <w:rPr>
          <w:bCs/>
          <w:sz w:val="20"/>
          <w:lang w:val="de-DE"/>
        </w:rPr>
        <w:t>3</w:t>
      </w:r>
      <w:r w:rsidRPr="00C655EB">
        <w:rPr>
          <w:bCs/>
          <w:sz w:val="20"/>
          <w:lang w:val="de-DE"/>
        </w:rPr>
        <w:t>.</w:t>
      </w:r>
      <w:r w:rsidRPr="00C655EB">
        <w:rPr>
          <w:bCs/>
          <w:sz w:val="20"/>
          <w:lang w:val="de-DE"/>
        </w:rPr>
        <w:tab/>
        <w:t>Eine Lösung, die einen mehr generellen Charakter trägt, könnte darin bestehen, dass in vergleichbaren Fällen in der Tabelle C in Spalte (5) „+ (CMR)“, in weitere relevante Spalten ein „*“ und in Spalte (20) „; * siehe 3.2.3.3“ eingefügt wird. Auf diesem Wege würde sich die Anzahl der Zeilen in Tabelle C nicht erhöhen.</w:t>
      </w:r>
    </w:p>
    <w:p w14:paraId="256C84A0" w14:textId="77777777" w:rsidR="00C655EB" w:rsidRPr="00C655EB" w:rsidRDefault="00C655EB" w:rsidP="00C655EB">
      <w:pPr>
        <w:spacing w:after="0"/>
        <w:ind w:right="567"/>
        <w:jc w:val="both"/>
        <w:rPr>
          <w:bCs/>
          <w:sz w:val="20"/>
          <w:lang w:val="de-DE"/>
        </w:rPr>
      </w:pPr>
    </w:p>
    <w:p w14:paraId="4F28A1C0" w14:textId="219A837C" w:rsidR="00C655EB" w:rsidRPr="00C655EB" w:rsidRDefault="00020C64" w:rsidP="00C655EB">
      <w:pPr>
        <w:spacing w:after="0"/>
        <w:ind w:right="567"/>
        <w:jc w:val="both"/>
        <w:rPr>
          <w:bCs/>
          <w:sz w:val="20"/>
          <w:lang w:val="de-DE"/>
        </w:rPr>
      </w:pPr>
      <w:r>
        <w:rPr>
          <w:bCs/>
          <w:sz w:val="20"/>
          <w:lang w:val="de-DE"/>
        </w:rPr>
        <w:t>44</w:t>
      </w:r>
      <w:r w:rsidR="00C655EB" w:rsidRPr="00C655EB">
        <w:rPr>
          <w:bCs/>
          <w:sz w:val="20"/>
          <w:lang w:val="de-DE"/>
        </w:rPr>
        <w:t>.</w:t>
      </w:r>
      <w:r w:rsidR="00C655EB" w:rsidRPr="00C655EB">
        <w:rPr>
          <w:bCs/>
          <w:sz w:val="20"/>
          <w:lang w:val="de-DE"/>
        </w:rPr>
        <w:tab/>
        <w:t xml:space="preserve">Von Teilnehmern der Informellen Arbeitsgruppe wird angekündigt, zur nächsten Sitzung des </w:t>
      </w:r>
      <w:r>
        <w:rPr>
          <w:bCs/>
          <w:sz w:val="20"/>
          <w:lang w:val="de-DE"/>
        </w:rPr>
        <w:t>ADN-</w:t>
      </w:r>
      <w:r w:rsidR="00C655EB" w:rsidRPr="00C655EB">
        <w:rPr>
          <w:bCs/>
          <w:sz w:val="20"/>
          <w:lang w:val="de-DE"/>
        </w:rPr>
        <w:t>Sicherheitsausschusses neue, angepasste Änderungsvorschläge vorzulegen.</w:t>
      </w:r>
    </w:p>
    <w:p w14:paraId="64D2225B" w14:textId="77777777" w:rsidR="00C655EB" w:rsidRPr="00C655EB" w:rsidRDefault="00C655EB" w:rsidP="00C655EB">
      <w:pPr>
        <w:spacing w:after="0"/>
        <w:ind w:right="567"/>
        <w:jc w:val="both"/>
        <w:rPr>
          <w:bCs/>
          <w:sz w:val="20"/>
          <w:lang w:val="de-DE"/>
        </w:rPr>
      </w:pPr>
    </w:p>
    <w:p w14:paraId="6C7CF491" w14:textId="781441FD" w:rsidR="00C655EB" w:rsidRPr="00C655EB" w:rsidRDefault="00020C64" w:rsidP="00C655EB">
      <w:pPr>
        <w:spacing w:after="0"/>
        <w:ind w:right="567"/>
        <w:jc w:val="both"/>
        <w:rPr>
          <w:bCs/>
          <w:sz w:val="20"/>
          <w:lang w:val="de-DE"/>
        </w:rPr>
      </w:pPr>
      <w:r>
        <w:rPr>
          <w:bCs/>
          <w:sz w:val="20"/>
          <w:lang w:val="de-DE"/>
        </w:rPr>
        <w:t>45</w:t>
      </w:r>
      <w:r w:rsidR="00C655EB" w:rsidRPr="00C655EB">
        <w:rPr>
          <w:bCs/>
          <w:sz w:val="20"/>
          <w:lang w:val="de-DE"/>
        </w:rPr>
        <w:t>.</w:t>
      </w:r>
      <w:r w:rsidR="00C655EB" w:rsidRPr="00C655EB">
        <w:rPr>
          <w:bCs/>
          <w:sz w:val="20"/>
          <w:lang w:val="de-DE"/>
        </w:rPr>
        <w:tab/>
        <w:t xml:space="preserve">Für den Fall, dass ein Absender Kenntnis darüber erhält, dass ein von ihm zur Beförderung aufgegebener namentlich genannter Stoff über im Sinne des ADN gefährliche Eigenschaften verfügt, die bis dahin nicht in den Vorschriften berücksichtigt worden sind, wurden die Regelungen in 2.1.2.8 eingeführt. In der letzten Sitzung des </w:t>
      </w:r>
      <w:r>
        <w:rPr>
          <w:bCs/>
          <w:sz w:val="20"/>
          <w:lang w:val="de-DE"/>
        </w:rPr>
        <w:t>ADN-</w:t>
      </w:r>
      <w:r w:rsidR="00C655EB" w:rsidRPr="00C655EB">
        <w:rPr>
          <w:bCs/>
          <w:sz w:val="20"/>
          <w:lang w:val="de-DE"/>
        </w:rPr>
        <w:t>Sicherheitsausschusses wurde allerdings festgestellt, dass die aktuellen Formulierungen in 2.1.2.8 nur für die Tabelle A, nicht jedoch für die Tabelle C funktionieren.</w:t>
      </w:r>
    </w:p>
    <w:p w14:paraId="10BF5404" w14:textId="77777777" w:rsidR="00C655EB" w:rsidRPr="00C655EB" w:rsidRDefault="00C655EB" w:rsidP="00C655EB">
      <w:pPr>
        <w:spacing w:after="0"/>
        <w:ind w:right="567"/>
        <w:jc w:val="both"/>
        <w:rPr>
          <w:bCs/>
          <w:sz w:val="20"/>
          <w:lang w:val="de-DE"/>
        </w:rPr>
      </w:pPr>
    </w:p>
    <w:p w14:paraId="1706E251" w14:textId="45613E98" w:rsidR="00C655EB" w:rsidRPr="00C655EB" w:rsidRDefault="00C655EB" w:rsidP="00C655EB">
      <w:pPr>
        <w:spacing w:after="0"/>
        <w:ind w:right="567"/>
        <w:jc w:val="both"/>
        <w:rPr>
          <w:bCs/>
          <w:sz w:val="20"/>
          <w:lang w:val="de-DE"/>
        </w:rPr>
      </w:pPr>
      <w:r w:rsidRPr="00C655EB">
        <w:rPr>
          <w:bCs/>
          <w:sz w:val="20"/>
          <w:lang w:val="de-DE"/>
        </w:rPr>
        <w:t>4</w:t>
      </w:r>
      <w:r w:rsidR="00020C64">
        <w:rPr>
          <w:bCs/>
          <w:sz w:val="20"/>
          <w:lang w:val="de-DE"/>
        </w:rPr>
        <w:t>6</w:t>
      </w:r>
      <w:r w:rsidRPr="00C655EB">
        <w:rPr>
          <w:bCs/>
          <w:sz w:val="20"/>
          <w:lang w:val="de-DE"/>
        </w:rPr>
        <w:t>.</w:t>
      </w:r>
      <w:r w:rsidRPr="00C655EB">
        <w:rPr>
          <w:bCs/>
          <w:sz w:val="20"/>
          <w:lang w:val="de-DE"/>
        </w:rPr>
        <w:tab/>
        <w:t>Die Informelle Arbeitsgruppe schlägt deshalb folgende Ergänzungen im Wortlaut von 2.1.2.8 und in der Nummer 2 der dazugehörigen Bemerkung vor:</w:t>
      </w:r>
    </w:p>
    <w:p w14:paraId="2F0ADCDF" w14:textId="77777777" w:rsidR="00577F01" w:rsidRPr="00C655EB" w:rsidRDefault="00577F01" w:rsidP="00C655EB">
      <w:pPr>
        <w:spacing w:after="0"/>
        <w:ind w:right="567"/>
        <w:jc w:val="both"/>
        <w:rPr>
          <w:bCs/>
          <w:sz w:val="20"/>
          <w:lang w:val="de-DE"/>
        </w:rPr>
      </w:pPr>
    </w:p>
    <w:p w14:paraId="69D0445F" w14:textId="77777777" w:rsidR="00C655EB" w:rsidRPr="00C655EB" w:rsidRDefault="00C655EB" w:rsidP="00C655EB">
      <w:pPr>
        <w:spacing w:after="0"/>
        <w:ind w:right="567"/>
        <w:jc w:val="both"/>
        <w:rPr>
          <w:b/>
          <w:sz w:val="20"/>
          <w:u w:val="single"/>
          <w:lang w:val="de-DE"/>
        </w:rPr>
      </w:pPr>
      <w:r w:rsidRPr="00C655EB">
        <w:rPr>
          <w:b/>
          <w:sz w:val="20"/>
          <w:u w:val="single"/>
          <w:lang w:val="de-DE"/>
        </w:rPr>
        <w:t>Vorschlag 8:</w:t>
      </w:r>
    </w:p>
    <w:p w14:paraId="75DBEF5D" w14:textId="77777777" w:rsidR="00C655EB" w:rsidRPr="00C655EB" w:rsidRDefault="00C655EB" w:rsidP="00C655EB">
      <w:pPr>
        <w:spacing w:after="0"/>
        <w:ind w:right="567"/>
        <w:jc w:val="both"/>
        <w:rPr>
          <w:bCs/>
          <w:sz w:val="20"/>
          <w:lang w:val="de-DE"/>
        </w:rPr>
      </w:pPr>
    </w:p>
    <w:p w14:paraId="117AB07C" w14:textId="121D537B" w:rsidR="00C655EB" w:rsidRPr="00C655EB" w:rsidRDefault="00020C64" w:rsidP="00C655EB">
      <w:pPr>
        <w:spacing w:after="0"/>
        <w:ind w:left="1134" w:right="567" w:hanging="1134"/>
        <w:jc w:val="both"/>
        <w:rPr>
          <w:bCs/>
          <w:sz w:val="20"/>
          <w:lang w:val="de-DE"/>
        </w:rPr>
      </w:pPr>
      <w:r>
        <w:rPr>
          <w:b/>
          <w:bCs/>
          <w:sz w:val="20"/>
          <w:lang w:val="de-DE"/>
        </w:rPr>
        <w:t>„</w:t>
      </w:r>
      <w:r w:rsidR="00C655EB" w:rsidRPr="00C655EB">
        <w:rPr>
          <w:b/>
          <w:bCs/>
          <w:sz w:val="20"/>
          <w:lang w:val="de-DE"/>
        </w:rPr>
        <w:t>2.1.2.8</w:t>
      </w:r>
      <w:r w:rsidR="00C655EB" w:rsidRPr="00C655EB">
        <w:rPr>
          <w:b/>
          <w:bCs/>
          <w:sz w:val="20"/>
          <w:lang w:val="de-DE"/>
        </w:rPr>
        <w:tab/>
      </w:r>
      <w:r w:rsidR="00C655EB" w:rsidRPr="00C655EB">
        <w:rPr>
          <w:bCs/>
          <w:sz w:val="20"/>
          <w:lang w:val="de-DE"/>
        </w:rPr>
        <w:t>Mit Genehmigung der zuständigen Behörde darf ein Absender, der auf der Grundlage von Prüfdaten festgestellt hat, dass ein in Kapitel 3.2 Tabelle A Spalte (2)</w:t>
      </w:r>
      <w:r w:rsidR="00C655EB" w:rsidRPr="00C655EB">
        <w:rPr>
          <w:b/>
          <w:bCs/>
          <w:sz w:val="20"/>
          <w:u w:val="single"/>
          <w:lang w:val="de-DE"/>
        </w:rPr>
        <w:t xml:space="preserve"> oder Tabelle C Spalte (2)</w:t>
      </w:r>
      <w:r w:rsidR="00C655EB" w:rsidRPr="00C655EB">
        <w:rPr>
          <w:bCs/>
          <w:sz w:val="20"/>
          <w:lang w:val="de-DE"/>
        </w:rPr>
        <w:t xml:space="preserve"> namentlich genannter Stoff die Klassifizierungskriterien einer in Kapitel 3.2 Tabelle A Spalte (3a) oder (5) </w:t>
      </w:r>
      <w:r w:rsidR="00C655EB" w:rsidRPr="00C655EB">
        <w:rPr>
          <w:b/>
          <w:bCs/>
          <w:sz w:val="20"/>
          <w:u w:val="single"/>
          <w:lang w:val="de-DE"/>
        </w:rPr>
        <w:t xml:space="preserve">oder Tabelle C Spalte (3a) oder (5) </w:t>
      </w:r>
      <w:r w:rsidR="00C655EB" w:rsidRPr="00C655EB">
        <w:rPr>
          <w:bCs/>
          <w:sz w:val="20"/>
          <w:lang w:val="de-DE"/>
        </w:rPr>
        <w:t>nicht ausgewiesenen Klasse/Gefahr erfüllt, den Stoff wie folgt versenden:</w:t>
      </w:r>
      <w:r>
        <w:rPr>
          <w:bCs/>
          <w:sz w:val="20"/>
          <w:lang w:val="de-DE"/>
        </w:rPr>
        <w:t>“</w:t>
      </w:r>
    </w:p>
    <w:p w14:paraId="2AD13587" w14:textId="77777777" w:rsidR="00C655EB" w:rsidRPr="00C655EB" w:rsidRDefault="00C655EB" w:rsidP="00C655EB">
      <w:pPr>
        <w:spacing w:after="0"/>
        <w:ind w:right="567"/>
        <w:jc w:val="both"/>
        <w:rPr>
          <w:bCs/>
          <w:sz w:val="20"/>
          <w:lang w:val="de-DE"/>
        </w:rPr>
      </w:pPr>
    </w:p>
    <w:p w14:paraId="36FF4387" w14:textId="77777777" w:rsidR="00C655EB" w:rsidRPr="00C655EB" w:rsidRDefault="00C655EB" w:rsidP="00C655EB">
      <w:pPr>
        <w:spacing w:after="0"/>
        <w:ind w:right="567"/>
        <w:jc w:val="both"/>
        <w:rPr>
          <w:b/>
          <w:sz w:val="20"/>
          <w:u w:val="single"/>
          <w:lang w:val="de-DE"/>
        </w:rPr>
      </w:pPr>
      <w:r w:rsidRPr="00C655EB">
        <w:rPr>
          <w:b/>
          <w:sz w:val="20"/>
          <w:u w:val="single"/>
          <w:lang w:val="de-DE"/>
        </w:rPr>
        <w:t>Vorschlag 9:</w:t>
      </w:r>
    </w:p>
    <w:p w14:paraId="79CE5074" w14:textId="77777777" w:rsidR="00C655EB" w:rsidRPr="00C655EB" w:rsidRDefault="00C655EB" w:rsidP="00C655EB">
      <w:pPr>
        <w:spacing w:after="0"/>
        <w:ind w:right="567"/>
        <w:jc w:val="both"/>
        <w:rPr>
          <w:bCs/>
          <w:sz w:val="20"/>
          <w:lang w:val="de-DE"/>
        </w:rPr>
      </w:pPr>
    </w:p>
    <w:p w14:paraId="7AF17E1A" w14:textId="7C1200C3" w:rsidR="00C655EB" w:rsidRPr="00C655EB" w:rsidRDefault="00020C64" w:rsidP="00C655EB">
      <w:pPr>
        <w:spacing w:after="120"/>
        <w:ind w:left="2268" w:right="624" w:hanging="1134"/>
        <w:jc w:val="both"/>
        <w:rPr>
          <w:bCs/>
          <w:sz w:val="20"/>
          <w:lang w:val="de-DE"/>
        </w:rPr>
      </w:pPr>
      <w:r>
        <w:rPr>
          <w:b/>
          <w:bCs/>
          <w:sz w:val="20"/>
          <w:lang w:val="de-DE"/>
        </w:rPr>
        <w:t>„</w:t>
      </w:r>
      <w:r w:rsidR="00C655EB" w:rsidRPr="00C655EB">
        <w:rPr>
          <w:b/>
          <w:bCs/>
          <w:sz w:val="20"/>
          <w:lang w:val="de-DE"/>
        </w:rPr>
        <w:t>Bem.</w:t>
      </w:r>
      <w:r w:rsidR="00C655EB" w:rsidRPr="00C655EB">
        <w:rPr>
          <w:b/>
          <w:bCs/>
          <w:sz w:val="20"/>
          <w:lang w:val="de-DE"/>
        </w:rPr>
        <w:tab/>
      </w:r>
      <w:r w:rsidR="00C655EB" w:rsidRPr="00C655EB">
        <w:rPr>
          <w:bCs/>
          <w:sz w:val="20"/>
          <w:lang w:val="de-DE"/>
        </w:rPr>
        <w:t>1. …</w:t>
      </w:r>
    </w:p>
    <w:p w14:paraId="1D7FB757" w14:textId="77777777" w:rsidR="00C655EB" w:rsidRPr="00C655EB" w:rsidRDefault="00C655EB" w:rsidP="00C655EB">
      <w:pPr>
        <w:spacing w:after="120"/>
        <w:ind w:left="2268" w:right="624"/>
        <w:jc w:val="both"/>
        <w:rPr>
          <w:bCs/>
          <w:sz w:val="20"/>
          <w:lang w:val="de-DE"/>
        </w:rPr>
      </w:pPr>
      <w:r w:rsidRPr="00C655EB">
        <w:rPr>
          <w:bCs/>
          <w:sz w:val="20"/>
          <w:lang w:val="de-DE"/>
        </w:rPr>
        <w:t xml:space="preserve">2. Wenn eine zuständige Behörde eine solche Genehmigung erteilt, sollte sie </w:t>
      </w:r>
      <w:r w:rsidRPr="00C655EB">
        <w:rPr>
          <w:b/>
          <w:bCs/>
          <w:sz w:val="20"/>
          <w:u w:val="single"/>
          <w:lang w:val="de-DE"/>
        </w:rPr>
        <w:t>in Bezug auf Tabelle A</w:t>
      </w:r>
      <w:r w:rsidRPr="00C655EB">
        <w:rPr>
          <w:bCs/>
          <w:sz w:val="20"/>
          <w:lang w:val="de-DE"/>
        </w:rPr>
        <w:t xml:space="preserve"> den Expertenunterausschuss für die Beförderung gefährlicher Güter der Vereinten Nationen </w:t>
      </w:r>
      <w:r w:rsidRPr="00C655EB">
        <w:rPr>
          <w:b/>
          <w:bCs/>
          <w:sz w:val="20"/>
          <w:u w:val="single"/>
          <w:lang w:val="de-DE"/>
        </w:rPr>
        <w:t>und in Bezug auf Tabelle C den ADN-Sicherheitsausschuss</w:t>
      </w:r>
      <w:r w:rsidRPr="00C655EB">
        <w:rPr>
          <w:bCs/>
          <w:sz w:val="20"/>
          <w:lang w:val="de-DE"/>
        </w:rPr>
        <w:t xml:space="preserve"> entsprechend unterrichten und einen diesbezüglichen Antrag auf Änderung der Gefahrgutliste der UN-Modellvorschriften </w:t>
      </w:r>
      <w:r w:rsidRPr="00C655EB">
        <w:rPr>
          <w:b/>
          <w:bCs/>
          <w:sz w:val="20"/>
          <w:u w:val="single"/>
          <w:lang w:val="de-DE"/>
        </w:rPr>
        <w:t>bzw. der Tabelle C des ADN</w:t>
      </w:r>
      <w:r w:rsidRPr="00C655EB">
        <w:rPr>
          <w:bCs/>
          <w:sz w:val="20"/>
          <w:lang w:val="de-DE"/>
        </w:rPr>
        <w:t xml:space="preserve"> unterbreiten. Sollte die vorgeschlagene Änderung abgelehnt werden, sollte die zuständige Behörde ihre Genehmigung zurückziehen.</w:t>
      </w:r>
    </w:p>
    <w:p w14:paraId="47A93CE0" w14:textId="6BB4B4D7" w:rsidR="00C655EB" w:rsidRPr="00C655EB" w:rsidRDefault="00C655EB" w:rsidP="00C655EB">
      <w:pPr>
        <w:spacing w:after="120"/>
        <w:ind w:left="2268" w:right="567"/>
        <w:jc w:val="both"/>
        <w:rPr>
          <w:bCs/>
          <w:sz w:val="20"/>
          <w:lang w:val="de-DE"/>
        </w:rPr>
      </w:pPr>
      <w:r w:rsidRPr="00C655EB">
        <w:rPr>
          <w:bCs/>
          <w:sz w:val="20"/>
          <w:lang w:val="de-DE"/>
        </w:rPr>
        <w:t>3. ...</w:t>
      </w:r>
      <w:r w:rsidR="00020C64">
        <w:rPr>
          <w:bCs/>
          <w:sz w:val="20"/>
          <w:lang w:val="de-DE"/>
        </w:rPr>
        <w:t>“</w:t>
      </w:r>
    </w:p>
    <w:bookmarkEnd w:id="6"/>
    <w:p w14:paraId="42914706" w14:textId="77777777" w:rsidR="00C655EB" w:rsidRPr="00C655EB" w:rsidRDefault="00C655EB" w:rsidP="00C655EB">
      <w:pPr>
        <w:spacing w:after="0"/>
        <w:rPr>
          <w:b/>
          <w:sz w:val="20"/>
          <w:lang w:val="de-DE"/>
        </w:rPr>
      </w:pPr>
    </w:p>
    <w:p w14:paraId="5A5E8F5D" w14:textId="77777777" w:rsidR="00C655EB" w:rsidRPr="00C655EB" w:rsidRDefault="00C655EB" w:rsidP="00C655EB">
      <w:pPr>
        <w:spacing w:after="0"/>
        <w:ind w:right="567"/>
        <w:jc w:val="both"/>
        <w:rPr>
          <w:b/>
          <w:sz w:val="20"/>
          <w:lang w:val="de-DE"/>
        </w:rPr>
      </w:pPr>
      <w:r w:rsidRPr="00C655EB">
        <w:rPr>
          <w:b/>
          <w:sz w:val="20"/>
          <w:lang w:val="de-DE"/>
        </w:rPr>
        <w:t>L.</w:t>
      </w:r>
      <w:r w:rsidRPr="00C655EB">
        <w:rPr>
          <w:b/>
          <w:sz w:val="20"/>
          <w:lang w:val="de-DE"/>
        </w:rPr>
        <w:tab/>
        <w:t>Beförderung von verflüssigtem Wasserstoff in Tankschiffen</w:t>
      </w:r>
    </w:p>
    <w:p w14:paraId="78AEC8FC" w14:textId="77777777" w:rsidR="00C655EB" w:rsidRPr="00C655EB" w:rsidRDefault="00C655EB" w:rsidP="00C655EB">
      <w:pPr>
        <w:spacing w:after="0"/>
        <w:ind w:right="567"/>
        <w:jc w:val="both"/>
        <w:rPr>
          <w:bCs/>
          <w:sz w:val="20"/>
          <w:lang w:val="de-DE"/>
        </w:rPr>
      </w:pPr>
    </w:p>
    <w:p w14:paraId="054D4FA8" w14:textId="77777777" w:rsidR="00577F01" w:rsidRDefault="00020C64" w:rsidP="00577F01">
      <w:pPr>
        <w:spacing w:after="0"/>
        <w:ind w:right="567"/>
        <w:jc w:val="both"/>
        <w:rPr>
          <w:bCs/>
          <w:sz w:val="20"/>
          <w:lang w:val="de-DE"/>
        </w:rPr>
      </w:pPr>
      <w:r>
        <w:rPr>
          <w:bCs/>
          <w:sz w:val="20"/>
          <w:lang w:val="de-DE"/>
        </w:rPr>
        <w:t>47</w:t>
      </w:r>
      <w:r w:rsidR="00C655EB" w:rsidRPr="00C655EB">
        <w:rPr>
          <w:bCs/>
          <w:sz w:val="20"/>
          <w:lang w:val="de-DE"/>
        </w:rPr>
        <w:t>.</w:t>
      </w:r>
      <w:r w:rsidR="00C655EB" w:rsidRPr="00C655EB">
        <w:rPr>
          <w:bCs/>
          <w:sz w:val="20"/>
          <w:lang w:val="de-DE"/>
        </w:rPr>
        <w:tab/>
        <w:t xml:space="preserve">Auf der Grundlage eines von der belgischen Delegation vorgelegten INF-Papiers diskutierte der </w:t>
      </w:r>
      <w:r>
        <w:rPr>
          <w:bCs/>
          <w:sz w:val="20"/>
          <w:lang w:val="de-DE"/>
        </w:rPr>
        <w:t>ADN-</w:t>
      </w:r>
      <w:r w:rsidR="00C655EB" w:rsidRPr="00C655EB">
        <w:rPr>
          <w:bCs/>
          <w:sz w:val="20"/>
          <w:lang w:val="de-DE"/>
        </w:rPr>
        <w:t>Sicherheitsausschuss in der letzten Sitzung die Frage der Beförderung von tiefgekühltem, flüssigem Wasserstoff. Für die nächste Sicherheitsausschuss-Sitzung wurde ein Vorschlag für eine Ausnahmegenehmigung nach 1.5.2 angekündigt. In der Folge ist dann auch vorgesehen, sich in der Informellen Arbeitsgruppe mit der Bewertung der Gefahren und Risiken, die durch die Beförderung von tiefgekühltem, flüssigem Wasserstoff entstehen können, zu befassen. In der Informellen Arbeitsgruppe wird die Auffassung geäußert, dass dabei auf im Seeverkehr schon bestehende Erfahrungen und Regelungen zurückgegriffen werden könnte.</w:t>
      </w:r>
    </w:p>
    <w:p w14:paraId="396DAE2B" w14:textId="4E0A8997" w:rsidR="00D81755" w:rsidRPr="00C655EB" w:rsidRDefault="00C655EB" w:rsidP="00577F01">
      <w:pPr>
        <w:spacing w:after="0"/>
        <w:ind w:right="567"/>
        <w:jc w:val="center"/>
        <w:rPr>
          <w:sz w:val="20"/>
          <w:lang w:val="de-DE"/>
        </w:rPr>
      </w:pPr>
      <w:r w:rsidRPr="00C655EB">
        <w:rPr>
          <w:sz w:val="20"/>
          <w:lang w:val="de-DE"/>
        </w:rPr>
        <w:t>***</w:t>
      </w:r>
    </w:p>
    <w:sectPr w:rsidR="00D81755" w:rsidRPr="00C655EB" w:rsidSect="00412FBC">
      <w:headerReference w:type="even" r:id="rId9"/>
      <w:headerReference w:type="default" r:id="rId10"/>
      <w:footerReference w:type="even" r:id="rId11"/>
      <w:footerReference w:type="default" r:id="rId12"/>
      <w:endnotePr>
        <w:numFmt w:val="decimal"/>
      </w:endnotePr>
      <w:pgSz w:w="11907" w:h="16840" w:code="9"/>
      <w:pgMar w:top="1418" w:right="1418" w:bottom="1191" w:left="1418" w:header="680" w:footer="6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CBB41" w14:textId="77777777" w:rsidR="00331953" w:rsidRDefault="00331953">
      <w:pPr>
        <w:pStyle w:val="Pieddepage"/>
      </w:pPr>
    </w:p>
  </w:endnote>
  <w:endnote w:type="continuationSeparator" w:id="0">
    <w:p w14:paraId="00945AFB" w14:textId="77777777" w:rsidR="00331953" w:rsidRDefault="00331953">
      <w:pPr>
        <w:spacing w:after="0"/>
      </w:pPr>
    </w:p>
  </w:endnote>
  <w:endnote w:type="continuationNotice" w:id="1">
    <w:p w14:paraId="122C023F" w14:textId="77777777" w:rsidR="00331953" w:rsidRDefault="0033195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B0DC4" w14:textId="50228AEE" w:rsidR="00E868E3" w:rsidRPr="00C655EB" w:rsidRDefault="00E868E3" w:rsidP="00C655EB">
    <w:pPr>
      <w:suppressAutoHyphens/>
      <w:spacing w:after="0"/>
      <w:jc w:val="right"/>
      <w:rPr>
        <w:rFonts w:ascii="Arial" w:hAnsi="Arial"/>
        <w:snapToGrid w:val="0"/>
        <w:sz w:val="12"/>
      </w:rPr>
    </w:pPr>
    <w:r w:rsidRPr="00E868E3">
      <w:rPr>
        <w:rFonts w:ascii="Arial" w:hAnsi="Arial"/>
        <w:snapToGrid w:val="0"/>
        <w:sz w:val="12"/>
        <w:lang w:val="en-US" w:eastAsia="fr-FR"/>
      </w:rPr>
      <w:t>mm/adn_wp15_ac2_2024_</w:t>
    </w:r>
    <w:r w:rsidR="00F76EF0">
      <w:rPr>
        <w:rFonts w:ascii="Arial" w:hAnsi="Arial"/>
        <w:snapToGrid w:val="0"/>
        <w:sz w:val="12"/>
        <w:lang w:val="en-US" w:eastAsia="fr-FR"/>
      </w:rPr>
      <w:t>8</w:t>
    </w:r>
    <w:r w:rsidRPr="00C655EB">
      <w:rPr>
        <w:rFonts w:ascii="Arial" w:hAnsi="Arial"/>
        <w:snapToGrid w:val="0"/>
        <w:sz w:val="12"/>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FB65" w14:textId="61C841D9" w:rsidR="00E868E3" w:rsidRPr="00C655EB" w:rsidRDefault="00E868E3" w:rsidP="00C655EB">
    <w:pPr>
      <w:suppressAutoHyphens/>
      <w:spacing w:after="0"/>
      <w:jc w:val="right"/>
      <w:rPr>
        <w:rFonts w:ascii="Arial" w:hAnsi="Arial"/>
        <w:snapToGrid w:val="0"/>
        <w:sz w:val="12"/>
        <w:lang w:val="en-US"/>
      </w:rPr>
    </w:pPr>
    <w:bookmarkStart w:id="7" w:name="_Hlk146895789"/>
    <w:bookmarkStart w:id="8" w:name="_Hlk146895790"/>
    <w:r w:rsidRPr="00E868E3">
      <w:rPr>
        <w:rFonts w:ascii="Arial" w:hAnsi="Arial"/>
        <w:snapToGrid w:val="0"/>
        <w:sz w:val="12"/>
        <w:lang w:val="en-US" w:eastAsia="fr-FR"/>
      </w:rPr>
      <w:t>mm/adn_wp15_ac2_2024_</w:t>
    </w:r>
    <w:r w:rsidR="00F76EF0">
      <w:rPr>
        <w:rFonts w:ascii="Arial" w:hAnsi="Arial"/>
        <w:snapToGrid w:val="0"/>
        <w:sz w:val="12"/>
      </w:rPr>
      <w:t>8</w:t>
    </w:r>
    <w:r w:rsidRPr="00C655EB">
      <w:rPr>
        <w:rFonts w:ascii="Arial" w:hAnsi="Arial"/>
        <w:snapToGrid w:val="0"/>
        <w:sz w:val="12"/>
      </w:rPr>
      <w:t>de</w:t>
    </w:r>
    <w:bookmarkEnd w:id="7"/>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6D6FB" w14:textId="77777777" w:rsidR="00331953" w:rsidRDefault="00331953">
      <w:pPr>
        <w:spacing w:after="0"/>
      </w:pPr>
      <w:r>
        <w:separator/>
      </w:r>
    </w:p>
  </w:footnote>
  <w:footnote w:type="continuationSeparator" w:id="0">
    <w:p w14:paraId="3C467000" w14:textId="77777777" w:rsidR="00331953" w:rsidRPr="00C655EB" w:rsidRDefault="00331953" w:rsidP="00C655EB">
      <w:pPr>
        <w:spacing w:after="0"/>
        <w:rPr>
          <w:u w:val="single"/>
        </w:rPr>
      </w:pPr>
      <w:r w:rsidRPr="00C655EB">
        <w:rPr>
          <w:u w:val="single"/>
        </w:rPr>
        <w:tab/>
      </w:r>
      <w:r w:rsidRPr="00C655EB">
        <w:rPr>
          <w:u w:val="single"/>
        </w:rPr>
        <w:tab/>
      </w:r>
      <w:r w:rsidRPr="00C655EB">
        <w:rPr>
          <w:u w:val="single"/>
        </w:rPr>
        <w:tab/>
      </w:r>
      <w:r w:rsidRPr="00C655EB">
        <w:rPr>
          <w:u w:val="single"/>
        </w:rPr>
        <w:tab/>
      </w:r>
    </w:p>
  </w:footnote>
  <w:footnote w:type="continuationNotice" w:id="1">
    <w:p w14:paraId="3C4DC04B" w14:textId="77777777" w:rsidR="00331953" w:rsidRDefault="00331953">
      <w:pPr>
        <w:spacing w:after="0"/>
      </w:pPr>
    </w:p>
  </w:footnote>
  <w:footnote w:id="2">
    <w:p w14:paraId="6B9B84E5" w14:textId="77777777" w:rsidR="00C655EB" w:rsidRPr="00C655EB" w:rsidRDefault="00C655EB" w:rsidP="00C655EB">
      <w:pPr>
        <w:pStyle w:val="Notedebasdepage"/>
      </w:pPr>
    </w:p>
    <w:p w14:paraId="484624BA" w14:textId="367BDEA0" w:rsidR="00C655EB" w:rsidRPr="00C655EB" w:rsidRDefault="00C655EB" w:rsidP="00C655EB">
      <w:pPr>
        <w:pStyle w:val="Notedebasdepage"/>
        <w:spacing w:after="0"/>
        <w:rPr>
          <w:sz w:val="16"/>
          <w:szCs w:val="16"/>
          <w:lang w:val="de-DE"/>
        </w:rPr>
      </w:pPr>
      <w:r w:rsidRPr="00C655EB">
        <w:rPr>
          <w:rStyle w:val="Appelnotedebasdep"/>
          <w:lang w:val="de-DE"/>
        </w:rPr>
        <w:t>*</w:t>
      </w:r>
      <w:r w:rsidRPr="00C655EB">
        <w:rPr>
          <w:rStyle w:val="Appelnotedebasdep"/>
          <w:lang w:val="de-DE"/>
        </w:rPr>
        <w:tab/>
      </w:r>
      <w:r w:rsidRPr="00C655EB">
        <w:rPr>
          <w:sz w:val="16"/>
          <w:szCs w:val="16"/>
          <w:lang w:val="de-DE"/>
        </w:rPr>
        <w:t>Von der UNECE in Englisch, Französisch und Russisch unter dem Aktenzeichen ECE/TRANS/WP.15/AC.2/2024/</w:t>
      </w:r>
      <w:r w:rsidR="00F76EF0">
        <w:rPr>
          <w:sz w:val="16"/>
          <w:szCs w:val="16"/>
          <w:lang w:val="de-DE"/>
        </w:rPr>
        <w:t>8</w:t>
      </w:r>
      <w:r w:rsidRPr="00C655EB">
        <w:rPr>
          <w:sz w:val="16"/>
          <w:szCs w:val="16"/>
          <w:lang w:val="de-DE"/>
        </w:rPr>
        <w:t xml:space="preserve"> verteilt.</w:t>
      </w:r>
    </w:p>
  </w:footnote>
  <w:footnote w:id="3">
    <w:p w14:paraId="45FBBDD3" w14:textId="4C381B0C" w:rsidR="00C655EB" w:rsidRPr="00C80480" w:rsidRDefault="00C655EB" w:rsidP="00C655EB">
      <w:pPr>
        <w:pStyle w:val="Notedebasdepage"/>
        <w:spacing w:after="0"/>
        <w:rPr>
          <w:sz w:val="16"/>
          <w:szCs w:val="16"/>
          <w:lang w:val="de-DE"/>
        </w:rPr>
      </w:pPr>
      <w:r w:rsidRPr="00C655EB">
        <w:rPr>
          <w:rStyle w:val="Appelnotedebasdep"/>
          <w:lang w:val="de-DE"/>
        </w:rPr>
        <w:t>**</w:t>
      </w:r>
      <w:r w:rsidRPr="00C655EB">
        <w:rPr>
          <w:rStyle w:val="Appelnotedebasdep"/>
          <w:lang w:val="de-DE"/>
        </w:rPr>
        <w:tab/>
      </w:r>
      <w:r w:rsidRPr="00C80480">
        <w:rPr>
          <w:sz w:val="16"/>
          <w:szCs w:val="16"/>
          <w:lang w:val="de-DE"/>
        </w:rPr>
        <w:t>A/7</w:t>
      </w:r>
      <w:r w:rsidR="00F76EF0">
        <w:rPr>
          <w:sz w:val="16"/>
          <w:szCs w:val="16"/>
          <w:lang w:val="de-DE"/>
        </w:rPr>
        <w:t>8</w:t>
      </w:r>
      <w:r w:rsidRPr="00C80480">
        <w:rPr>
          <w:sz w:val="16"/>
          <w:szCs w:val="16"/>
          <w:lang w:val="de-DE"/>
        </w:rPr>
        <w:t>/6 (Kap. 20) Tabelle 20.</w:t>
      </w:r>
      <w:r w:rsidR="00F76EF0">
        <w:rPr>
          <w:sz w:val="16"/>
          <w:szCs w:val="16"/>
          <w:lang w:val="de-DE"/>
        </w:rPr>
        <w:t>5</w:t>
      </w:r>
      <w:r w:rsidRPr="00C80480">
        <w:rPr>
          <w:sz w:val="16"/>
          <w:szCs w:val="16"/>
          <w:lang w:val="de-DE"/>
        </w:rPr>
        <w:t>.</w:t>
      </w:r>
    </w:p>
    <w:p w14:paraId="65AE21B7" w14:textId="77777777" w:rsidR="00C655EB" w:rsidRPr="00C80480" w:rsidRDefault="00C655EB" w:rsidP="00C655EB">
      <w:pPr>
        <w:pStyle w:val="Notedebasdepage"/>
        <w:rPr>
          <w:sz w:val="16"/>
          <w:szCs w:val="16"/>
          <w:lang w:val="de-DE"/>
        </w:rPr>
      </w:pPr>
    </w:p>
  </w:footnote>
  <w:footnote w:id="4">
    <w:p w14:paraId="3209F5C4" w14:textId="23EF4CD0" w:rsidR="00A65B36" w:rsidRPr="00A65B36" w:rsidRDefault="00A65B36" w:rsidP="00A65B36">
      <w:pPr>
        <w:widowControl w:val="0"/>
        <w:tabs>
          <w:tab w:val="left" w:pos="284"/>
          <w:tab w:val="left" w:pos="1400"/>
        </w:tabs>
        <w:overflowPunct w:val="0"/>
        <w:autoSpaceDE w:val="0"/>
        <w:autoSpaceDN w:val="0"/>
        <w:adjustRightInd w:val="0"/>
        <w:spacing w:before="20" w:after="0"/>
        <w:ind w:left="1400" w:hanging="323"/>
        <w:jc w:val="both"/>
        <w:textAlignment w:val="baseline"/>
        <w:rPr>
          <w:sz w:val="18"/>
          <w:szCs w:val="18"/>
          <w:lang w:val="de-DE"/>
        </w:rPr>
      </w:pPr>
    </w:p>
    <w:p w14:paraId="7FD88F9A" w14:textId="2F8F5164" w:rsidR="00A65B36" w:rsidRPr="00D37779" w:rsidRDefault="00A65B36" w:rsidP="00F02554">
      <w:pPr>
        <w:pStyle w:val="Notedebasdepage"/>
        <w:tabs>
          <w:tab w:val="left" w:pos="284"/>
        </w:tabs>
        <w:spacing w:after="0"/>
        <w:ind w:left="284" w:hanging="284"/>
        <w:rPr>
          <w:b/>
          <w:sz w:val="18"/>
          <w:szCs w:val="18"/>
          <w:lang w:val="de-DE"/>
        </w:rPr>
      </w:pPr>
      <w:r>
        <w:rPr>
          <w:rStyle w:val="Appelnotedebasdep"/>
          <w:lang w:val="de-DE"/>
        </w:rPr>
        <w:t>6</w:t>
      </w:r>
      <w:r w:rsidRPr="00F02554">
        <w:rPr>
          <w:rStyle w:val="Appelnotedebasdep"/>
          <w:lang w:val="de-DE"/>
        </w:rPr>
        <w:t>)</w:t>
      </w:r>
      <w:r w:rsidRPr="00F02554">
        <w:rPr>
          <w:sz w:val="16"/>
          <w:szCs w:val="16"/>
          <w:vertAlign w:val="superscript"/>
          <w:lang w:val="de-DE"/>
        </w:rPr>
        <w:tab/>
      </w:r>
      <w:r w:rsidRPr="00A65B36">
        <w:rPr>
          <w:sz w:val="18"/>
          <w:szCs w:val="18"/>
          <w:lang w:val="de-DE"/>
        </w:rPr>
        <w:t>Die Buchstaben IEC/EN bedeuten: Die Norm ist sowohl als IEC-Norm als auch als EN-Norm verfügbar.</w:t>
      </w:r>
    </w:p>
    <w:p w14:paraId="463CF643" w14:textId="74A883E3" w:rsidR="00FF3028" w:rsidRPr="00F02554" w:rsidRDefault="00FF3028" w:rsidP="00F02554">
      <w:pPr>
        <w:pStyle w:val="Notedebasdepage"/>
        <w:tabs>
          <w:tab w:val="left" w:pos="284"/>
        </w:tabs>
        <w:spacing w:after="0"/>
        <w:ind w:left="284" w:hanging="284"/>
        <w:rPr>
          <w:sz w:val="18"/>
          <w:szCs w:val="18"/>
          <w:lang w:val="de-DE"/>
        </w:rPr>
      </w:pPr>
      <w:r w:rsidRPr="00F02554">
        <w:rPr>
          <w:rStyle w:val="Appelnotedebasdep"/>
          <w:lang w:val="de-DE"/>
        </w:rPr>
        <w:t>3)</w:t>
      </w:r>
      <w:r w:rsidRPr="00F02554">
        <w:rPr>
          <w:sz w:val="16"/>
          <w:szCs w:val="16"/>
          <w:vertAlign w:val="superscript"/>
          <w:lang w:val="de-DE"/>
        </w:rPr>
        <w:tab/>
      </w:r>
      <w:r w:rsidRPr="00F02554">
        <w:rPr>
          <w:sz w:val="18"/>
          <w:szCs w:val="18"/>
          <w:lang w:val="de-DE"/>
        </w:rPr>
        <w:t>Amtsblatt der Europäischen Union Nr. L 96 vom 29. März 2014, S. 309.</w:t>
      </w:r>
    </w:p>
  </w:footnote>
  <w:footnote w:id="5">
    <w:p w14:paraId="2BC04BB2" w14:textId="77777777" w:rsidR="00FF3028" w:rsidRPr="00F02554" w:rsidRDefault="00FF3028" w:rsidP="00F02554">
      <w:pPr>
        <w:pStyle w:val="Notedebasdepage"/>
        <w:tabs>
          <w:tab w:val="left" w:pos="284"/>
        </w:tabs>
        <w:spacing w:after="0"/>
        <w:ind w:left="284" w:hanging="284"/>
        <w:rPr>
          <w:sz w:val="18"/>
          <w:szCs w:val="18"/>
          <w:lang w:val="de-DE"/>
        </w:rPr>
      </w:pPr>
      <w:r w:rsidRPr="00F02554">
        <w:rPr>
          <w:rStyle w:val="Appelnotedebasdep"/>
          <w:lang w:val="de-DE"/>
        </w:rPr>
        <w:t>4)</w:t>
      </w:r>
      <w:r w:rsidRPr="00F02554">
        <w:rPr>
          <w:sz w:val="16"/>
          <w:szCs w:val="16"/>
          <w:vertAlign w:val="superscript"/>
          <w:lang w:val="de-DE"/>
        </w:rPr>
        <w:tab/>
      </w:r>
      <w:r w:rsidRPr="00F02554">
        <w:rPr>
          <w:color w:val="0000FF"/>
          <w:sz w:val="18"/>
          <w:szCs w:val="18"/>
          <w:u w:val="single"/>
          <w:lang w:val="de-DE"/>
        </w:rPr>
        <w:t>http://iecex.com/rules</w:t>
      </w:r>
    </w:p>
  </w:footnote>
  <w:footnote w:id="6">
    <w:p w14:paraId="0B24BFF6" w14:textId="77777777" w:rsidR="00FF3028" w:rsidRPr="007D59AC" w:rsidRDefault="00FF3028" w:rsidP="00F02554">
      <w:pPr>
        <w:pStyle w:val="Notedebasdepage"/>
        <w:tabs>
          <w:tab w:val="left" w:pos="284"/>
        </w:tabs>
        <w:spacing w:after="0"/>
        <w:ind w:left="284" w:hanging="284"/>
        <w:rPr>
          <w:sz w:val="18"/>
          <w:szCs w:val="18"/>
          <w:lang w:val="en-US"/>
        </w:rPr>
      </w:pPr>
      <w:r w:rsidRPr="00F02554">
        <w:rPr>
          <w:rStyle w:val="Appelnotedebasdep"/>
          <w:lang w:val="en-US"/>
        </w:rPr>
        <w:t>5)</w:t>
      </w:r>
      <w:r w:rsidRPr="00934BA5">
        <w:rPr>
          <w:sz w:val="16"/>
          <w:szCs w:val="16"/>
          <w:vertAlign w:val="superscript"/>
          <w:lang w:val="en-US"/>
        </w:rPr>
        <w:tab/>
      </w:r>
      <w:r w:rsidRPr="007D59AC">
        <w:rPr>
          <w:sz w:val="18"/>
          <w:szCs w:val="18"/>
          <w:lang w:val="en-US"/>
        </w:rPr>
        <w:t>A Common Regulatory Framework for Equipment Used in Environments with an Explosive Atmosphere, United Nations 2011</w:t>
      </w:r>
      <w:r>
        <w:rPr>
          <w:sz w:val="18"/>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63C8B" w14:textId="56E79AEB" w:rsidR="00E868E3" w:rsidRPr="00E868E3" w:rsidRDefault="00E868E3" w:rsidP="00C655EB">
    <w:pPr>
      <w:tabs>
        <w:tab w:val="center" w:pos="4320"/>
        <w:tab w:val="right" w:pos="8640"/>
      </w:tabs>
      <w:spacing w:after="0"/>
      <w:rPr>
        <w:rFonts w:ascii="Arial" w:hAnsi="Arial"/>
        <w:snapToGrid w:val="0"/>
        <w:sz w:val="16"/>
        <w:szCs w:val="24"/>
        <w:lang w:val="en-US" w:eastAsia="fr-FR"/>
      </w:rPr>
    </w:pPr>
    <w:r w:rsidRPr="00E868E3">
      <w:rPr>
        <w:rFonts w:ascii="Arial" w:hAnsi="Arial"/>
        <w:snapToGrid w:val="0"/>
        <w:sz w:val="16"/>
        <w:szCs w:val="24"/>
        <w:lang w:val="en-US" w:eastAsia="fr-FR"/>
      </w:rPr>
      <w:t>CCNR-ZKR/ADN/WP.15/AC.2/2024/</w:t>
    </w:r>
    <w:r w:rsidR="00F76EF0">
      <w:rPr>
        <w:rFonts w:ascii="Arial" w:hAnsi="Arial"/>
        <w:snapToGrid w:val="0"/>
        <w:sz w:val="16"/>
        <w:szCs w:val="24"/>
        <w:lang w:val="en-US" w:eastAsia="fr-FR"/>
      </w:rPr>
      <w:t>8</w:t>
    </w:r>
  </w:p>
  <w:p w14:paraId="52E29E96" w14:textId="360FF656" w:rsidR="00E868E3" w:rsidRPr="00C655EB" w:rsidRDefault="00E868E3" w:rsidP="00C655EB">
    <w:pPr>
      <w:tabs>
        <w:tab w:val="center" w:pos="4320"/>
        <w:tab w:val="right" w:pos="8640"/>
      </w:tabs>
      <w:spacing w:after="0"/>
      <w:rPr>
        <w:rFonts w:ascii="Arial" w:hAnsi="Arial"/>
        <w:snapToGrid w:val="0"/>
        <w:sz w:val="16"/>
        <w:szCs w:val="24"/>
      </w:rPr>
    </w:pPr>
    <w:r w:rsidRPr="00E868E3">
      <w:rPr>
        <w:rFonts w:ascii="Arial" w:hAnsi="Arial"/>
        <w:snapToGrid w:val="0"/>
        <w:sz w:val="16"/>
        <w:szCs w:val="24"/>
        <w:lang w:eastAsia="fr-FR"/>
      </w:rPr>
      <w:t xml:space="preserve">Seite </w:t>
    </w:r>
    <w:r w:rsidRPr="00E868E3">
      <w:rPr>
        <w:rFonts w:ascii="Arial" w:hAnsi="Arial"/>
        <w:snapToGrid w:val="0"/>
        <w:sz w:val="16"/>
        <w:szCs w:val="24"/>
        <w:lang w:eastAsia="fr-FR"/>
      </w:rPr>
      <w:fldChar w:fldCharType="begin"/>
    </w:r>
    <w:r w:rsidRPr="00E868E3">
      <w:rPr>
        <w:rFonts w:ascii="Arial" w:hAnsi="Arial"/>
        <w:snapToGrid w:val="0"/>
        <w:sz w:val="16"/>
        <w:szCs w:val="24"/>
        <w:lang w:eastAsia="fr-FR"/>
      </w:rPr>
      <w:instrText xml:space="preserve"> PAGE  \* MERGEFORMAT </w:instrText>
    </w:r>
    <w:r w:rsidRPr="00E868E3">
      <w:rPr>
        <w:rFonts w:ascii="Arial" w:hAnsi="Arial"/>
        <w:snapToGrid w:val="0"/>
        <w:sz w:val="16"/>
        <w:szCs w:val="24"/>
        <w:lang w:eastAsia="fr-FR"/>
      </w:rPr>
      <w:fldChar w:fldCharType="separate"/>
    </w:r>
    <w:r w:rsidRPr="00E868E3">
      <w:rPr>
        <w:rFonts w:ascii="Arial" w:hAnsi="Arial"/>
        <w:snapToGrid w:val="0"/>
        <w:sz w:val="16"/>
        <w:szCs w:val="24"/>
        <w:lang w:val="de-DE" w:eastAsia="fr-FR"/>
      </w:rPr>
      <w:t>2</w:t>
    </w:r>
    <w:r w:rsidRPr="00E868E3">
      <w:rPr>
        <w:rFonts w:ascii="Arial" w:hAnsi="Arial"/>
        <w:snapToGrid w:val="0"/>
        <w:sz w:val="16"/>
        <w:szCs w:val="24"/>
        <w:lang w:eastAsia="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D200B" w14:textId="0E793EDB" w:rsidR="00E868E3" w:rsidRPr="00E868E3" w:rsidRDefault="00E868E3" w:rsidP="00C655EB">
    <w:pPr>
      <w:tabs>
        <w:tab w:val="center" w:pos="4320"/>
        <w:tab w:val="right" w:pos="8640"/>
      </w:tabs>
      <w:spacing w:after="0"/>
      <w:jc w:val="right"/>
      <w:rPr>
        <w:rFonts w:ascii="Arial" w:hAnsi="Arial"/>
        <w:snapToGrid w:val="0"/>
        <w:sz w:val="16"/>
        <w:szCs w:val="24"/>
        <w:lang w:val="en-US" w:eastAsia="fr-FR"/>
      </w:rPr>
    </w:pPr>
    <w:r w:rsidRPr="00E868E3">
      <w:rPr>
        <w:rFonts w:ascii="Arial" w:hAnsi="Arial"/>
        <w:snapToGrid w:val="0"/>
        <w:sz w:val="16"/>
        <w:szCs w:val="24"/>
        <w:lang w:val="en-US" w:eastAsia="fr-FR"/>
      </w:rPr>
      <w:t>CCNR-ZKR/ADN/WP.15/AC.2/2024/</w:t>
    </w:r>
    <w:r w:rsidR="00F76EF0">
      <w:rPr>
        <w:rFonts w:ascii="Arial" w:hAnsi="Arial"/>
        <w:snapToGrid w:val="0"/>
        <w:sz w:val="16"/>
        <w:szCs w:val="24"/>
      </w:rPr>
      <w:t>8</w:t>
    </w:r>
  </w:p>
  <w:p w14:paraId="7B3A3231" w14:textId="0E079653" w:rsidR="00E868E3" w:rsidRPr="00C655EB" w:rsidRDefault="00E868E3" w:rsidP="00C655EB">
    <w:pPr>
      <w:tabs>
        <w:tab w:val="center" w:pos="4320"/>
        <w:tab w:val="right" w:pos="8640"/>
      </w:tabs>
      <w:spacing w:after="0"/>
      <w:jc w:val="right"/>
      <w:rPr>
        <w:rFonts w:ascii="Arial" w:hAnsi="Arial"/>
        <w:sz w:val="16"/>
        <w:szCs w:val="24"/>
      </w:rPr>
    </w:pPr>
    <w:r w:rsidRPr="00E868E3">
      <w:rPr>
        <w:rFonts w:ascii="Arial" w:hAnsi="Arial"/>
        <w:sz w:val="16"/>
        <w:szCs w:val="24"/>
        <w:lang w:eastAsia="fr-FR"/>
      </w:rPr>
      <w:t xml:space="preserve">Seite </w:t>
    </w:r>
    <w:r w:rsidRPr="00E868E3">
      <w:rPr>
        <w:rFonts w:ascii="Arial" w:hAnsi="Arial"/>
        <w:sz w:val="16"/>
        <w:szCs w:val="24"/>
        <w:lang w:eastAsia="fr-FR"/>
      </w:rPr>
      <w:fldChar w:fldCharType="begin"/>
    </w:r>
    <w:r w:rsidRPr="00E868E3">
      <w:rPr>
        <w:rFonts w:ascii="Arial" w:hAnsi="Arial"/>
        <w:sz w:val="16"/>
        <w:szCs w:val="24"/>
        <w:lang w:eastAsia="fr-FR"/>
      </w:rPr>
      <w:instrText xml:space="preserve"> PAGE  \* MERGEFORMAT </w:instrText>
    </w:r>
    <w:r w:rsidRPr="00E868E3">
      <w:rPr>
        <w:rFonts w:ascii="Arial" w:hAnsi="Arial"/>
        <w:sz w:val="16"/>
        <w:szCs w:val="24"/>
        <w:lang w:eastAsia="fr-FR"/>
      </w:rPr>
      <w:fldChar w:fldCharType="separate"/>
    </w:r>
    <w:r w:rsidRPr="00C655EB">
      <w:rPr>
        <w:rFonts w:ascii="Arial" w:hAnsi="Arial"/>
        <w:sz w:val="16"/>
        <w:szCs w:val="24"/>
      </w:rPr>
      <w:t>2</w:t>
    </w:r>
    <w:r w:rsidRPr="00E868E3">
      <w:rPr>
        <w:rFonts w:ascii="Arial" w:hAnsi="Arial"/>
        <w:sz w:val="16"/>
        <w:szCs w:val="24"/>
        <w:lang w:eastAsia="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5D04184"/>
    <w:lvl w:ilvl="0">
      <w:start w:val="1"/>
      <w:numFmt w:val="decimal"/>
      <w:pStyle w:val="Style1"/>
      <w:lvlText w:val="%1."/>
      <w:lvlJc w:val="left"/>
      <w:pPr>
        <w:tabs>
          <w:tab w:val="num" w:pos="643"/>
        </w:tabs>
        <w:ind w:left="643" w:hanging="360"/>
      </w:pPr>
    </w:lvl>
  </w:abstractNum>
  <w:abstractNum w:abstractNumId="1" w15:restartNumberingAfterBreak="0">
    <w:nsid w:val="FFFFFF83"/>
    <w:multiLevelType w:val="multilevel"/>
    <w:tmpl w:val="BFE69506"/>
    <w:lvl w:ilvl="0">
      <w:start w:val="1"/>
      <w:numFmt w:val="bullet"/>
      <w:lvlText w:val=""/>
      <w:lvlJc w:val="left"/>
      <w:pPr>
        <w:tabs>
          <w:tab w:val="num" w:pos="643"/>
        </w:tabs>
        <w:ind w:left="643"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61394"/>
    <w:multiLevelType w:val="hybridMultilevel"/>
    <w:tmpl w:val="A89AA990"/>
    <w:lvl w:ilvl="0" w:tplc="04070015">
      <w:start w:val="1"/>
      <w:numFmt w:val="decimal"/>
      <w:lvlText w:val="(%1)"/>
      <w:lvlJc w:val="left"/>
      <w:pPr>
        <w:ind w:left="720" w:hanging="360"/>
      </w:pPr>
    </w:lvl>
    <w:lvl w:ilvl="1" w:tplc="6A1054E0">
      <w:start w:val="1"/>
      <w:numFmt w:val="lowerRoman"/>
      <w:lvlText w:val="(%2)"/>
      <w:lvlJc w:val="right"/>
      <w:pPr>
        <w:ind w:left="2769"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1D32185"/>
    <w:multiLevelType w:val="hybridMultilevel"/>
    <w:tmpl w:val="2E6C475E"/>
    <w:lvl w:ilvl="0" w:tplc="77F098AA">
      <w:start w:val="1"/>
      <w:numFmt w:val="lowerRoman"/>
      <w:lvlText w:val="(%1)"/>
      <w:lvlJc w:val="left"/>
      <w:pPr>
        <w:ind w:left="720" w:hanging="36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45737FD"/>
    <w:multiLevelType w:val="hybridMultilevel"/>
    <w:tmpl w:val="21A059B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4497937"/>
    <w:multiLevelType w:val="hybridMultilevel"/>
    <w:tmpl w:val="49943A3E"/>
    <w:lvl w:ilvl="0" w:tplc="E71C9CEA">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9CE3874"/>
    <w:multiLevelType w:val="hybridMultilevel"/>
    <w:tmpl w:val="903260C8"/>
    <w:lvl w:ilvl="0" w:tplc="604CC6C2">
      <w:start w:val="56"/>
      <w:numFmt w:val="bullet"/>
      <w:lvlText w:val="•"/>
      <w:lvlJc w:val="left"/>
      <w:pPr>
        <w:ind w:left="1500" w:hanging="360"/>
      </w:pPr>
      <w:rPr>
        <w:rFonts w:ascii="Times New Roman" w:eastAsia="Times New Roman" w:hAnsi="Times New Roman" w:cs="Times New Roman" w:hint="default"/>
        <w:sz w:val="18"/>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7" w15:restartNumberingAfterBreak="0">
    <w:nsid w:val="1BA83EC4"/>
    <w:multiLevelType w:val="hybridMultilevel"/>
    <w:tmpl w:val="8FA645D8"/>
    <w:lvl w:ilvl="0" w:tplc="21041046">
      <w:start w:val="1"/>
      <w:numFmt w:val="lowerLetter"/>
      <w:lvlText w:val="%1)"/>
      <w:lvlJc w:val="left"/>
      <w:pPr>
        <w:ind w:left="1137" w:hanging="57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8" w15:restartNumberingAfterBreak="0">
    <w:nsid w:val="20871BCF"/>
    <w:multiLevelType w:val="hybridMultilevel"/>
    <w:tmpl w:val="275A1682"/>
    <w:lvl w:ilvl="0" w:tplc="41DE5E26">
      <w:start w:val="1"/>
      <w:numFmt w:val="bullet"/>
      <w:pStyle w:val="Bullet"/>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2E4233"/>
    <w:multiLevelType w:val="hybridMultilevel"/>
    <w:tmpl w:val="6F2EC74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4C96F4A"/>
    <w:multiLevelType w:val="multilevel"/>
    <w:tmpl w:val="8E3AD518"/>
    <w:lvl w:ilvl="0">
      <w:start w:val="1"/>
      <w:numFmt w:val="decimal"/>
      <w:lvlText w:val="%1"/>
      <w:lvlJc w:val="left"/>
      <w:pPr>
        <w:tabs>
          <w:tab w:val="num" w:pos="780"/>
        </w:tabs>
        <w:ind w:left="780" w:hanging="780"/>
      </w:pPr>
      <w:rPr>
        <w:rFonts w:hint="default"/>
      </w:rPr>
    </w:lvl>
    <w:lvl w:ilvl="1">
      <w:start w:val="2"/>
      <w:numFmt w:val="decimal"/>
      <w:lvlText w:val="%1.%2"/>
      <w:lvlJc w:val="left"/>
      <w:pPr>
        <w:tabs>
          <w:tab w:val="num" w:pos="1380"/>
        </w:tabs>
        <w:ind w:left="1380" w:hanging="780"/>
      </w:pPr>
      <w:rPr>
        <w:rFonts w:hint="default"/>
      </w:rPr>
    </w:lvl>
    <w:lvl w:ilvl="2">
      <w:start w:val="1"/>
      <w:numFmt w:val="decimal"/>
      <w:lvlText w:val="%1.%2.%3"/>
      <w:lvlJc w:val="left"/>
      <w:pPr>
        <w:tabs>
          <w:tab w:val="num" w:pos="1980"/>
        </w:tabs>
        <w:ind w:left="1980" w:hanging="780"/>
      </w:pPr>
      <w:rPr>
        <w:rFonts w:hint="default"/>
      </w:rPr>
    </w:lvl>
    <w:lvl w:ilvl="3">
      <w:start w:val="1"/>
      <w:numFmt w:val="decimal"/>
      <w:lvlText w:val="%1.%2.%3.%4"/>
      <w:lvlJc w:val="left"/>
      <w:pPr>
        <w:tabs>
          <w:tab w:val="num" w:pos="2580"/>
        </w:tabs>
        <w:ind w:left="2580" w:hanging="7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1" w15:restartNumberingAfterBreak="0">
    <w:nsid w:val="24E94164"/>
    <w:multiLevelType w:val="multilevel"/>
    <w:tmpl w:val="A8A40A2C"/>
    <w:lvl w:ilvl="0">
      <w:start w:val="1"/>
      <w:numFmt w:val="decimal"/>
      <w:lvlText w:val="%1"/>
      <w:lvlJc w:val="left"/>
      <w:pPr>
        <w:tabs>
          <w:tab w:val="num" w:pos="450"/>
        </w:tabs>
        <w:ind w:left="450" w:hanging="450"/>
      </w:pPr>
      <w:rPr>
        <w:rFonts w:hint="default"/>
      </w:rPr>
    </w:lvl>
    <w:lvl w:ilvl="1">
      <w:start w:val="2"/>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258349B0"/>
    <w:multiLevelType w:val="hybridMultilevel"/>
    <w:tmpl w:val="1B9A58F2"/>
    <w:lvl w:ilvl="0" w:tplc="4732D8A0">
      <w:start w:val="7"/>
      <w:numFmt w:val="bullet"/>
      <w:lvlText w:val="-"/>
      <w:lvlJc w:val="left"/>
      <w:pPr>
        <w:ind w:left="1500" w:hanging="360"/>
      </w:pPr>
      <w:rPr>
        <w:rFonts w:ascii="Times New Roman" w:eastAsia="Times New Roman" w:hAnsi="Times New Roman" w:cs="Times New Roman"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13" w15:restartNumberingAfterBreak="0">
    <w:nsid w:val="288F293E"/>
    <w:multiLevelType w:val="hybridMultilevel"/>
    <w:tmpl w:val="C046EF7A"/>
    <w:lvl w:ilvl="0" w:tplc="77F098AA">
      <w:start w:val="1"/>
      <w:numFmt w:val="lowerRoman"/>
      <w:lvlText w:val="(%1)"/>
      <w:lvlJc w:val="left"/>
      <w:pPr>
        <w:ind w:left="720" w:hanging="36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9A97F8D"/>
    <w:multiLevelType w:val="multilevel"/>
    <w:tmpl w:val="A4840074"/>
    <w:lvl w:ilvl="0">
      <w:start w:val="8"/>
      <w:numFmt w:val="decimal"/>
      <w:lvlText w:val="%1"/>
      <w:lvlJc w:val="left"/>
      <w:pPr>
        <w:tabs>
          <w:tab w:val="num" w:pos="1200"/>
        </w:tabs>
        <w:ind w:left="1200" w:hanging="1200"/>
      </w:pPr>
      <w:rPr>
        <w:rFonts w:hint="default"/>
        <w:b/>
      </w:rPr>
    </w:lvl>
    <w:lvl w:ilvl="1">
      <w:start w:val="1"/>
      <w:numFmt w:val="decimal"/>
      <w:lvlText w:val="%1.%2"/>
      <w:lvlJc w:val="left"/>
      <w:pPr>
        <w:tabs>
          <w:tab w:val="num" w:pos="1200"/>
        </w:tabs>
        <w:ind w:left="1200" w:hanging="1200"/>
      </w:pPr>
      <w:rPr>
        <w:rFonts w:hint="default"/>
        <w:b/>
      </w:rPr>
    </w:lvl>
    <w:lvl w:ilvl="2">
      <w:start w:val="2"/>
      <w:numFmt w:val="decimal"/>
      <w:lvlText w:val="%1.%2.%3"/>
      <w:lvlJc w:val="left"/>
      <w:pPr>
        <w:tabs>
          <w:tab w:val="num" w:pos="1200"/>
        </w:tabs>
        <w:ind w:left="1200" w:hanging="1200"/>
      </w:pPr>
      <w:rPr>
        <w:rFonts w:hint="default"/>
        <w:b/>
      </w:rPr>
    </w:lvl>
    <w:lvl w:ilvl="3">
      <w:start w:val="8"/>
      <w:numFmt w:val="decimal"/>
      <w:lvlText w:val="%1.%2.%3.%4"/>
      <w:lvlJc w:val="left"/>
      <w:pPr>
        <w:tabs>
          <w:tab w:val="num" w:pos="1200"/>
        </w:tabs>
        <w:ind w:left="1200" w:hanging="1200"/>
      </w:pPr>
      <w:rPr>
        <w:rFonts w:hint="default"/>
        <w:b/>
      </w:rPr>
    </w:lvl>
    <w:lvl w:ilvl="4">
      <w:start w:val="1"/>
      <w:numFmt w:val="decimal"/>
      <w:lvlText w:val="%1.%2.%3.%4.%5"/>
      <w:lvlJc w:val="left"/>
      <w:pPr>
        <w:tabs>
          <w:tab w:val="num" w:pos="1200"/>
        </w:tabs>
        <w:ind w:left="1200" w:hanging="1200"/>
      </w:pPr>
      <w:rPr>
        <w:rFonts w:hint="default"/>
        <w:b/>
      </w:rPr>
    </w:lvl>
    <w:lvl w:ilvl="5">
      <w:start w:val="1"/>
      <w:numFmt w:val="decimal"/>
      <w:lvlText w:val="%1.%2.%3.%4.%5.%6"/>
      <w:lvlJc w:val="left"/>
      <w:pPr>
        <w:tabs>
          <w:tab w:val="num" w:pos="1200"/>
        </w:tabs>
        <w:ind w:left="1200" w:hanging="120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2B3F49C6"/>
    <w:multiLevelType w:val="singleLevel"/>
    <w:tmpl w:val="3CF288AC"/>
    <w:lvl w:ilvl="0">
      <w:start w:val="1"/>
      <w:numFmt w:val="lowerRoman"/>
      <w:pStyle w:val="Rom2"/>
      <w:lvlText w:val="(%1)"/>
      <w:lvlJc w:val="right"/>
      <w:pPr>
        <w:tabs>
          <w:tab w:val="num" w:pos="2160"/>
        </w:tabs>
        <w:ind w:left="2160" w:hanging="516"/>
      </w:pPr>
    </w:lvl>
  </w:abstractNum>
  <w:abstractNum w:abstractNumId="16" w15:restartNumberingAfterBreak="0">
    <w:nsid w:val="2C130E13"/>
    <w:multiLevelType w:val="hybridMultilevel"/>
    <w:tmpl w:val="62889486"/>
    <w:lvl w:ilvl="0" w:tplc="70AA87D8">
      <w:start w:val="1"/>
      <w:numFmt w:val="decimal"/>
      <w:lvlText w:val="%1."/>
      <w:lvlJc w:val="left"/>
      <w:pPr>
        <w:ind w:left="562" w:hanging="420"/>
      </w:pPr>
      <w:rPr>
        <w:rFonts w:hint="default"/>
        <w:color w:val="auto"/>
      </w:rPr>
    </w:lvl>
    <w:lvl w:ilvl="1" w:tplc="040C0019">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7" w15:restartNumberingAfterBreak="0">
    <w:nsid w:val="2D0266DF"/>
    <w:multiLevelType w:val="hybridMultilevel"/>
    <w:tmpl w:val="324008F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11A7890"/>
    <w:multiLevelType w:val="hybridMultilevel"/>
    <w:tmpl w:val="151405B6"/>
    <w:lvl w:ilvl="0" w:tplc="E230D148">
      <w:start w:val="1"/>
      <w:numFmt w:val="bullet"/>
      <w:pStyle w:val="Dash"/>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B30EE2"/>
    <w:multiLevelType w:val="hybridMultilevel"/>
    <w:tmpl w:val="75D0445A"/>
    <w:lvl w:ilvl="0" w:tplc="CEDA21BC">
      <w:start w:val="9"/>
      <w:numFmt w:val="bullet"/>
      <w:lvlText w:val="–"/>
      <w:lvlJc w:val="left"/>
      <w:pPr>
        <w:tabs>
          <w:tab w:val="num" w:pos="1440"/>
        </w:tabs>
        <w:ind w:left="1440" w:hanging="360"/>
      </w:pPr>
      <w:rPr>
        <w:rFonts w:ascii="Arial" w:eastAsia="Times New Roman" w:hAnsi="Arial" w:cs="Arial" w:hint="default"/>
      </w:rPr>
    </w:lvl>
    <w:lvl w:ilvl="1" w:tplc="08070003" w:tentative="1">
      <w:start w:val="1"/>
      <w:numFmt w:val="bullet"/>
      <w:lvlText w:val="o"/>
      <w:lvlJc w:val="left"/>
      <w:pPr>
        <w:tabs>
          <w:tab w:val="num" w:pos="2160"/>
        </w:tabs>
        <w:ind w:left="2160" w:hanging="360"/>
      </w:pPr>
      <w:rPr>
        <w:rFonts w:ascii="Courier New" w:hAnsi="Courier New" w:cs="Courier New" w:hint="default"/>
      </w:rPr>
    </w:lvl>
    <w:lvl w:ilvl="2" w:tplc="08070005" w:tentative="1">
      <w:start w:val="1"/>
      <w:numFmt w:val="bullet"/>
      <w:lvlText w:val=""/>
      <w:lvlJc w:val="left"/>
      <w:pPr>
        <w:tabs>
          <w:tab w:val="num" w:pos="2880"/>
        </w:tabs>
        <w:ind w:left="2880" w:hanging="360"/>
      </w:pPr>
      <w:rPr>
        <w:rFonts w:ascii="Wingdings" w:hAnsi="Wingdings" w:hint="default"/>
      </w:rPr>
    </w:lvl>
    <w:lvl w:ilvl="3" w:tplc="08070001" w:tentative="1">
      <w:start w:val="1"/>
      <w:numFmt w:val="bullet"/>
      <w:lvlText w:val=""/>
      <w:lvlJc w:val="left"/>
      <w:pPr>
        <w:tabs>
          <w:tab w:val="num" w:pos="3600"/>
        </w:tabs>
        <w:ind w:left="3600" w:hanging="360"/>
      </w:pPr>
      <w:rPr>
        <w:rFonts w:ascii="Symbol" w:hAnsi="Symbol" w:hint="default"/>
      </w:rPr>
    </w:lvl>
    <w:lvl w:ilvl="4" w:tplc="08070003" w:tentative="1">
      <w:start w:val="1"/>
      <w:numFmt w:val="bullet"/>
      <w:lvlText w:val="o"/>
      <w:lvlJc w:val="left"/>
      <w:pPr>
        <w:tabs>
          <w:tab w:val="num" w:pos="4320"/>
        </w:tabs>
        <w:ind w:left="4320" w:hanging="360"/>
      </w:pPr>
      <w:rPr>
        <w:rFonts w:ascii="Courier New" w:hAnsi="Courier New" w:cs="Courier New" w:hint="default"/>
      </w:rPr>
    </w:lvl>
    <w:lvl w:ilvl="5" w:tplc="08070005" w:tentative="1">
      <w:start w:val="1"/>
      <w:numFmt w:val="bullet"/>
      <w:lvlText w:val=""/>
      <w:lvlJc w:val="left"/>
      <w:pPr>
        <w:tabs>
          <w:tab w:val="num" w:pos="5040"/>
        </w:tabs>
        <w:ind w:left="5040" w:hanging="360"/>
      </w:pPr>
      <w:rPr>
        <w:rFonts w:ascii="Wingdings" w:hAnsi="Wingdings" w:hint="default"/>
      </w:rPr>
    </w:lvl>
    <w:lvl w:ilvl="6" w:tplc="08070001" w:tentative="1">
      <w:start w:val="1"/>
      <w:numFmt w:val="bullet"/>
      <w:lvlText w:val=""/>
      <w:lvlJc w:val="left"/>
      <w:pPr>
        <w:tabs>
          <w:tab w:val="num" w:pos="5760"/>
        </w:tabs>
        <w:ind w:left="5760" w:hanging="360"/>
      </w:pPr>
      <w:rPr>
        <w:rFonts w:ascii="Symbol" w:hAnsi="Symbol" w:hint="default"/>
      </w:rPr>
    </w:lvl>
    <w:lvl w:ilvl="7" w:tplc="08070003" w:tentative="1">
      <w:start w:val="1"/>
      <w:numFmt w:val="bullet"/>
      <w:lvlText w:val="o"/>
      <w:lvlJc w:val="left"/>
      <w:pPr>
        <w:tabs>
          <w:tab w:val="num" w:pos="6480"/>
        </w:tabs>
        <w:ind w:left="6480" w:hanging="360"/>
      </w:pPr>
      <w:rPr>
        <w:rFonts w:ascii="Courier New" w:hAnsi="Courier New" w:cs="Courier New" w:hint="default"/>
      </w:rPr>
    </w:lvl>
    <w:lvl w:ilvl="8" w:tplc="0807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1" w15:restartNumberingAfterBreak="0">
    <w:nsid w:val="3DA05C10"/>
    <w:multiLevelType w:val="hybridMultilevel"/>
    <w:tmpl w:val="3294DA88"/>
    <w:lvl w:ilvl="0" w:tplc="8B5A83FE">
      <w:start w:val="1"/>
      <w:numFmt w:val="lowerRoman"/>
      <w:lvlText w:val="(%1)"/>
      <w:lvlJc w:val="left"/>
      <w:pPr>
        <w:ind w:left="1290" w:hanging="72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22" w15:restartNumberingAfterBreak="0">
    <w:nsid w:val="3E7F4E04"/>
    <w:multiLevelType w:val="hybridMultilevel"/>
    <w:tmpl w:val="4EA2311A"/>
    <w:lvl w:ilvl="0" w:tplc="AD786BBA">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23" w15:restartNumberingAfterBreak="0">
    <w:nsid w:val="3ED005A4"/>
    <w:multiLevelType w:val="hybridMultilevel"/>
    <w:tmpl w:val="4EA2311A"/>
    <w:lvl w:ilvl="0" w:tplc="AD786BBA">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24" w15:restartNumberingAfterBreak="0">
    <w:nsid w:val="4CD84C24"/>
    <w:multiLevelType w:val="multilevel"/>
    <w:tmpl w:val="A59E12A8"/>
    <w:lvl w:ilvl="0">
      <w:start w:val="9"/>
      <w:numFmt w:val="decimal"/>
      <w:lvlText w:val="%1"/>
      <w:lvlJc w:val="left"/>
      <w:pPr>
        <w:tabs>
          <w:tab w:val="num" w:pos="1200"/>
        </w:tabs>
        <w:ind w:left="1200" w:hanging="1200"/>
      </w:pPr>
      <w:rPr>
        <w:rFonts w:hint="default"/>
        <w:b/>
      </w:rPr>
    </w:lvl>
    <w:lvl w:ilvl="1">
      <w:start w:val="3"/>
      <w:numFmt w:val="decimal"/>
      <w:lvlText w:val="%1.%2"/>
      <w:lvlJc w:val="left"/>
      <w:pPr>
        <w:tabs>
          <w:tab w:val="num" w:pos="1200"/>
        </w:tabs>
        <w:ind w:left="1200" w:hanging="1200"/>
      </w:pPr>
      <w:rPr>
        <w:rFonts w:hint="default"/>
        <w:b/>
      </w:rPr>
    </w:lvl>
    <w:lvl w:ilvl="2">
      <w:start w:val="1"/>
      <w:numFmt w:val="decimal"/>
      <w:lvlText w:val="%1.%2.%3"/>
      <w:lvlJc w:val="left"/>
      <w:pPr>
        <w:tabs>
          <w:tab w:val="num" w:pos="1200"/>
        </w:tabs>
        <w:ind w:left="1200" w:hanging="1200"/>
      </w:pPr>
      <w:rPr>
        <w:rFonts w:hint="default"/>
        <w:b/>
      </w:rPr>
    </w:lvl>
    <w:lvl w:ilvl="3">
      <w:start w:val="25"/>
      <w:numFmt w:val="decimal"/>
      <w:lvlText w:val="%1.%2.%3.%4"/>
      <w:lvlJc w:val="left"/>
      <w:pPr>
        <w:tabs>
          <w:tab w:val="num" w:pos="1200"/>
        </w:tabs>
        <w:ind w:left="1200" w:hanging="1200"/>
      </w:pPr>
      <w:rPr>
        <w:rFonts w:hint="default"/>
        <w:b/>
      </w:rPr>
    </w:lvl>
    <w:lvl w:ilvl="4">
      <w:start w:val="7"/>
      <w:numFmt w:val="decimal"/>
      <w:lvlText w:val="%1.%2.%3.%4.%5"/>
      <w:lvlJc w:val="left"/>
      <w:pPr>
        <w:tabs>
          <w:tab w:val="num" w:pos="1200"/>
        </w:tabs>
        <w:ind w:left="1200" w:hanging="1200"/>
      </w:pPr>
      <w:rPr>
        <w:rFonts w:hint="default"/>
        <w:b/>
      </w:rPr>
    </w:lvl>
    <w:lvl w:ilvl="5">
      <w:start w:val="1"/>
      <w:numFmt w:val="decimal"/>
      <w:lvlText w:val="%1.%2.%3.%4.%5.%6"/>
      <w:lvlJc w:val="left"/>
      <w:pPr>
        <w:tabs>
          <w:tab w:val="num" w:pos="1200"/>
        </w:tabs>
        <w:ind w:left="1200" w:hanging="120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52C105CD"/>
    <w:multiLevelType w:val="hybridMultilevel"/>
    <w:tmpl w:val="E4089760"/>
    <w:lvl w:ilvl="0" w:tplc="3B0EEEFC">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2D33938"/>
    <w:multiLevelType w:val="hybridMultilevel"/>
    <w:tmpl w:val="1A1C0014"/>
    <w:lvl w:ilvl="0" w:tplc="8FEAACA8">
      <w:start w:val="6"/>
      <w:numFmt w:val="bullet"/>
      <w:lvlText w:val="-"/>
      <w:lvlJc w:val="left"/>
      <w:pPr>
        <w:ind w:left="930" w:hanging="360"/>
      </w:pPr>
      <w:rPr>
        <w:rFonts w:ascii="Times New Roman" w:eastAsia="Times New Roman" w:hAnsi="Times New Roman" w:cs="Times New Roman"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27" w15:restartNumberingAfterBreak="0">
    <w:nsid w:val="58034126"/>
    <w:multiLevelType w:val="hybridMultilevel"/>
    <w:tmpl w:val="C6C8A06A"/>
    <w:lvl w:ilvl="0" w:tplc="43744C7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BEE07CF"/>
    <w:multiLevelType w:val="hybridMultilevel"/>
    <w:tmpl w:val="321A7C72"/>
    <w:lvl w:ilvl="0" w:tplc="FF2494AA">
      <w:start w:val="1"/>
      <w:numFmt w:val="low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6C9686B"/>
    <w:multiLevelType w:val="hybridMultilevel"/>
    <w:tmpl w:val="3618A894"/>
    <w:lvl w:ilvl="0" w:tplc="50AE977E">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30" w15:restartNumberingAfterBreak="0">
    <w:nsid w:val="674225AE"/>
    <w:multiLevelType w:val="hybridMultilevel"/>
    <w:tmpl w:val="BADAEFC6"/>
    <w:lvl w:ilvl="0" w:tplc="FF2494AA">
      <w:start w:val="1"/>
      <w:numFmt w:val="lowerRoman"/>
      <w:lvlText w:val="%1)"/>
      <w:lvlJc w:val="left"/>
      <w:pPr>
        <w:ind w:left="1290" w:hanging="72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31" w15:restartNumberingAfterBreak="0">
    <w:nsid w:val="681670E6"/>
    <w:multiLevelType w:val="hybridMultilevel"/>
    <w:tmpl w:val="3E14D2D8"/>
    <w:lvl w:ilvl="0" w:tplc="59F69FA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EFB6CBC"/>
    <w:multiLevelType w:val="multilevel"/>
    <w:tmpl w:val="7F66D99A"/>
    <w:lvl w:ilvl="0">
      <w:start w:val="7"/>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4"/>
      <w:numFmt w:val="decimal"/>
      <w:lvlText w:val="%1.%2.%3"/>
      <w:lvlJc w:val="left"/>
      <w:pPr>
        <w:tabs>
          <w:tab w:val="num" w:pos="720"/>
        </w:tabs>
        <w:ind w:left="720" w:hanging="720"/>
      </w:pPr>
      <w:rPr>
        <w:rFonts w:hint="default"/>
      </w:rPr>
    </w:lvl>
    <w:lvl w:ilvl="3">
      <w:start w:val="5"/>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1632308"/>
    <w:multiLevelType w:val="hybridMultilevel"/>
    <w:tmpl w:val="818443E6"/>
    <w:lvl w:ilvl="0" w:tplc="9730B656">
      <w:start w:val="1"/>
      <w:numFmt w:val="lowerRoman"/>
      <w:lvlText w:val="(%1)"/>
      <w:lvlJc w:val="left"/>
      <w:pPr>
        <w:ind w:left="1290" w:hanging="72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34" w15:restartNumberingAfterBreak="0">
    <w:nsid w:val="71CA2DFE"/>
    <w:multiLevelType w:val="hybridMultilevel"/>
    <w:tmpl w:val="9CE0E664"/>
    <w:lvl w:ilvl="0" w:tplc="D73A8728">
      <w:start w:val="1"/>
      <w:numFmt w:val="upperRoman"/>
      <w:lvlText w:val="%1."/>
      <w:lvlJc w:val="left"/>
      <w:pPr>
        <w:ind w:left="1080" w:hanging="720"/>
      </w:pPr>
      <w:rPr>
        <w:rFonts w:hint="default"/>
        <w:b/>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29A3D24"/>
    <w:multiLevelType w:val="hybridMultilevel"/>
    <w:tmpl w:val="678E4228"/>
    <w:lvl w:ilvl="0" w:tplc="1B9C83D0">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36" w15:restartNumberingAfterBreak="0">
    <w:nsid w:val="75687265"/>
    <w:multiLevelType w:val="hybridMultilevel"/>
    <w:tmpl w:val="3D344CF4"/>
    <w:lvl w:ilvl="0" w:tplc="D842EFB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71B23FD"/>
    <w:multiLevelType w:val="multilevel"/>
    <w:tmpl w:val="CB925166"/>
    <w:lvl w:ilvl="0">
      <w:start w:val="1"/>
      <w:numFmt w:val="decimal"/>
      <w:lvlText w:val="%1"/>
      <w:lvlJc w:val="left"/>
      <w:pPr>
        <w:tabs>
          <w:tab w:val="num" w:pos="1140"/>
        </w:tabs>
        <w:ind w:left="1140" w:hanging="1140"/>
      </w:pPr>
      <w:rPr>
        <w:rFonts w:hint="default"/>
        <w:b/>
      </w:rPr>
    </w:lvl>
    <w:lvl w:ilvl="1">
      <w:start w:val="16"/>
      <w:numFmt w:val="decimal"/>
      <w:lvlText w:val="%1.%2"/>
      <w:lvlJc w:val="left"/>
      <w:pPr>
        <w:tabs>
          <w:tab w:val="num" w:pos="1140"/>
        </w:tabs>
        <w:ind w:left="1140" w:hanging="1140"/>
      </w:pPr>
      <w:rPr>
        <w:rFonts w:hint="default"/>
        <w:b/>
      </w:rPr>
    </w:lvl>
    <w:lvl w:ilvl="2">
      <w:start w:val="1"/>
      <w:numFmt w:val="decimal"/>
      <w:lvlText w:val="%1.%2.%3"/>
      <w:lvlJc w:val="left"/>
      <w:pPr>
        <w:tabs>
          <w:tab w:val="num" w:pos="1140"/>
        </w:tabs>
        <w:ind w:left="1140" w:hanging="1140"/>
      </w:pPr>
      <w:rPr>
        <w:rFonts w:hint="default"/>
        <w:b/>
      </w:rPr>
    </w:lvl>
    <w:lvl w:ilvl="3">
      <w:start w:val="2"/>
      <w:numFmt w:val="decimal"/>
      <w:lvlText w:val="%1.%2.%3.%4"/>
      <w:lvlJc w:val="left"/>
      <w:pPr>
        <w:tabs>
          <w:tab w:val="num" w:pos="1140"/>
        </w:tabs>
        <w:ind w:left="1140" w:hanging="1140"/>
      </w:pPr>
      <w:rPr>
        <w:rFonts w:hint="default"/>
        <w:b/>
      </w:rPr>
    </w:lvl>
    <w:lvl w:ilvl="4">
      <w:start w:val="2"/>
      <w:numFmt w:val="decimal"/>
      <w:lvlText w:val="%1.%2.%3.%4.%5"/>
      <w:lvlJc w:val="left"/>
      <w:pPr>
        <w:tabs>
          <w:tab w:val="num" w:pos="1140"/>
        </w:tabs>
        <w:ind w:left="1140" w:hanging="1140"/>
      </w:pPr>
      <w:rPr>
        <w:rFonts w:hint="default"/>
        <w:b/>
      </w:rPr>
    </w:lvl>
    <w:lvl w:ilvl="5">
      <w:start w:val="1"/>
      <w:numFmt w:val="decimal"/>
      <w:lvlText w:val="%1.%2.%3.%4.%5.%6"/>
      <w:lvlJc w:val="left"/>
      <w:pPr>
        <w:tabs>
          <w:tab w:val="num" w:pos="1140"/>
        </w:tabs>
        <w:ind w:left="1140" w:hanging="11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8" w15:restartNumberingAfterBreak="0">
    <w:nsid w:val="7BDF68FD"/>
    <w:multiLevelType w:val="singleLevel"/>
    <w:tmpl w:val="E4121F8E"/>
    <w:lvl w:ilvl="0">
      <w:start w:val="1"/>
      <w:numFmt w:val="decimal"/>
      <w:lvlText w:val="%1. "/>
      <w:legacy w:legacy="1" w:legacySpace="0" w:legacyIndent="283"/>
      <w:lvlJc w:val="left"/>
      <w:pPr>
        <w:ind w:left="2835" w:hanging="283"/>
      </w:pPr>
      <w:rPr>
        <w:sz w:val="20"/>
      </w:rPr>
    </w:lvl>
  </w:abstractNum>
  <w:num w:numId="1" w16cid:durableId="1670715796">
    <w:abstractNumId w:val="20"/>
  </w:num>
  <w:num w:numId="2" w16cid:durableId="2084597395">
    <w:abstractNumId w:val="15"/>
  </w:num>
  <w:num w:numId="3" w16cid:durableId="1280987615">
    <w:abstractNumId w:val="8"/>
  </w:num>
  <w:num w:numId="4" w16cid:durableId="1718162001">
    <w:abstractNumId w:val="18"/>
  </w:num>
  <w:num w:numId="5" w16cid:durableId="1034774708">
    <w:abstractNumId w:val="0"/>
  </w:num>
  <w:num w:numId="6" w16cid:durableId="1089883125">
    <w:abstractNumId w:val="37"/>
  </w:num>
  <w:num w:numId="7" w16cid:durableId="1910845235">
    <w:abstractNumId w:val="24"/>
  </w:num>
  <w:num w:numId="8" w16cid:durableId="1885681081">
    <w:abstractNumId w:val="10"/>
  </w:num>
  <w:num w:numId="9" w16cid:durableId="222908274">
    <w:abstractNumId w:val="11"/>
  </w:num>
  <w:num w:numId="10" w16cid:durableId="473646428">
    <w:abstractNumId w:val="14"/>
  </w:num>
  <w:num w:numId="11" w16cid:durableId="989097064">
    <w:abstractNumId w:val="19"/>
  </w:num>
  <w:num w:numId="12" w16cid:durableId="620645755">
    <w:abstractNumId w:val="32"/>
  </w:num>
  <w:num w:numId="13" w16cid:durableId="41289530">
    <w:abstractNumId w:val="1"/>
  </w:num>
  <w:num w:numId="14" w16cid:durableId="718481774">
    <w:abstractNumId w:val="13"/>
  </w:num>
  <w:num w:numId="15" w16cid:durableId="307128926">
    <w:abstractNumId w:val="23"/>
  </w:num>
  <w:num w:numId="16" w16cid:durableId="1983804438">
    <w:abstractNumId w:val="22"/>
  </w:num>
  <w:num w:numId="17" w16cid:durableId="1682778545">
    <w:abstractNumId w:val="3"/>
  </w:num>
  <w:num w:numId="18" w16cid:durableId="385958086">
    <w:abstractNumId w:val="34"/>
  </w:num>
  <w:num w:numId="19" w16cid:durableId="1890530574">
    <w:abstractNumId w:val="25"/>
  </w:num>
  <w:num w:numId="20" w16cid:durableId="312370572">
    <w:abstractNumId w:val="17"/>
  </w:num>
  <w:num w:numId="21" w16cid:durableId="2703450">
    <w:abstractNumId w:val="30"/>
  </w:num>
  <w:num w:numId="22" w16cid:durableId="195050685">
    <w:abstractNumId w:val="29"/>
  </w:num>
  <w:num w:numId="23" w16cid:durableId="2027243543">
    <w:abstractNumId w:val="6"/>
  </w:num>
  <w:num w:numId="24" w16cid:durableId="883951809">
    <w:abstractNumId w:val="26"/>
  </w:num>
  <w:num w:numId="25" w16cid:durableId="697972799">
    <w:abstractNumId w:val="28"/>
  </w:num>
  <w:num w:numId="26" w16cid:durableId="1600211659">
    <w:abstractNumId w:val="5"/>
  </w:num>
  <w:num w:numId="27" w16cid:durableId="2073195127">
    <w:abstractNumId w:val="12"/>
  </w:num>
  <w:num w:numId="28" w16cid:durableId="1699575995">
    <w:abstractNumId w:val="38"/>
    <w:lvlOverride w:ilvl="0">
      <w:lvl w:ilvl="0">
        <w:start w:val="3"/>
        <w:numFmt w:val="decimal"/>
        <w:lvlText w:val="%1. "/>
        <w:legacy w:legacy="1" w:legacySpace="0" w:legacyIndent="283"/>
        <w:lvlJc w:val="left"/>
        <w:pPr>
          <w:ind w:left="2835" w:hanging="283"/>
        </w:pPr>
        <w:rPr>
          <w:sz w:val="20"/>
        </w:rPr>
      </w:lvl>
    </w:lvlOverride>
  </w:num>
  <w:num w:numId="29" w16cid:durableId="1256209738">
    <w:abstractNumId w:val="33"/>
  </w:num>
  <w:num w:numId="30" w16cid:durableId="1953898163">
    <w:abstractNumId w:val="21"/>
  </w:num>
  <w:num w:numId="31" w16cid:durableId="809858557">
    <w:abstractNumId w:val="16"/>
  </w:num>
  <w:num w:numId="32" w16cid:durableId="217598324">
    <w:abstractNumId w:val="27"/>
  </w:num>
  <w:num w:numId="33" w16cid:durableId="1760298441">
    <w:abstractNumId w:val="36"/>
  </w:num>
  <w:num w:numId="34" w16cid:durableId="1873492954">
    <w:abstractNumId w:val="35"/>
  </w:num>
  <w:num w:numId="35" w16cid:durableId="1532067472">
    <w:abstractNumId w:val="9"/>
  </w:num>
  <w:num w:numId="36" w16cid:durableId="1854417238">
    <w:abstractNumId w:val="2"/>
  </w:num>
  <w:num w:numId="37" w16cid:durableId="621499774">
    <w:abstractNumId w:val="7"/>
  </w:num>
  <w:num w:numId="38" w16cid:durableId="487408074">
    <w:abstractNumId w:val="4"/>
  </w:num>
  <w:num w:numId="39" w16cid:durableId="598757570">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425"/>
  <w:evenAndOddHeader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922"/>
    <w:rsid w:val="00001E90"/>
    <w:rsid w:val="00002146"/>
    <w:rsid w:val="00002586"/>
    <w:rsid w:val="0000299C"/>
    <w:rsid w:val="000038C0"/>
    <w:rsid w:val="0000657B"/>
    <w:rsid w:val="00007F6A"/>
    <w:rsid w:val="00010716"/>
    <w:rsid w:val="000151E1"/>
    <w:rsid w:val="00016ACC"/>
    <w:rsid w:val="000206CD"/>
    <w:rsid w:val="00020C64"/>
    <w:rsid w:val="000217BA"/>
    <w:rsid w:val="0002640B"/>
    <w:rsid w:val="0002700B"/>
    <w:rsid w:val="0002723B"/>
    <w:rsid w:val="00034366"/>
    <w:rsid w:val="000366B7"/>
    <w:rsid w:val="00037033"/>
    <w:rsid w:val="000400C4"/>
    <w:rsid w:val="00041312"/>
    <w:rsid w:val="0004300F"/>
    <w:rsid w:val="00044BFC"/>
    <w:rsid w:val="000500BF"/>
    <w:rsid w:val="00050114"/>
    <w:rsid w:val="000516AA"/>
    <w:rsid w:val="0005197F"/>
    <w:rsid w:val="00054A90"/>
    <w:rsid w:val="000558EB"/>
    <w:rsid w:val="0005681A"/>
    <w:rsid w:val="0005758B"/>
    <w:rsid w:val="00057A93"/>
    <w:rsid w:val="00060CCD"/>
    <w:rsid w:val="000610FB"/>
    <w:rsid w:val="00061329"/>
    <w:rsid w:val="00061AD3"/>
    <w:rsid w:val="00063A5D"/>
    <w:rsid w:val="00064AC7"/>
    <w:rsid w:val="000667CE"/>
    <w:rsid w:val="00067498"/>
    <w:rsid w:val="00067BD0"/>
    <w:rsid w:val="00070E56"/>
    <w:rsid w:val="00071B40"/>
    <w:rsid w:val="00072140"/>
    <w:rsid w:val="00072B5C"/>
    <w:rsid w:val="00073EA8"/>
    <w:rsid w:val="00073FB6"/>
    <w:rsid w:val="0007426C"/>
    <w:rsid w:val="00077405"/>
    <w:rsid w:val="0008020B"/>
    <w:rsid w:val="00082E74"/>
    <w:rsid w:val="00083259"/>
    <w:rsid w:val="00091974"/>
    <w:rsid w:val="00093086"/>
    <w:rsid w:val="00095DAD"/>
    <w:rsid w:val="00096154"/>
    <w:rsid w:val="00096A67"/>
    <w:rsid w:val="000A3277"/>
    <w:rsid w:val="000A4413"/>
    <w:rsid w:val="000A6F97"/>
    <w:rsid w:val="000B1DCB"/>
    <w:rsid w:val="000B25D0"/>
    <w:rsid w:val="000B2FCE"/>
    <w:rsid w:val="000B360C"/>
    <w:rsid w:val="000B3F5E"/>
    <w:rsid w:val="000B697D"/>
    <w:rsid w:val="000C0C0D"/>
    <w:rsid w:val="000C0E49"/>
    <w:rsid w:val="000C100E"/>
    <w:rsid w:val="000C120B"/>
    <w:rsid w:val="000C22E0"/>
    <w:rsid w:val="000C3B82"/>
    <w:rsid w:val="000C3D08"/>
    <w:rsid w:val="000C3FA7"/>
    <w:rsid w:val="000C618B"/>
    <w:rsid w:val="000C7403"/>
    <w:rsid w:val="000D03DD"/>
    <w:rsid w:val="000D3032"/>
    <w:rsid w:val="000D4774"/>
    <w:rsid w:val="000D561F"/>
    <w:rsid w:val="000E06E4"/>
    <w:rsid w:val="000E16BF"/>
    <w:rsid w:val="000E246B"/>
    <w:rsid w:val="000E5406"/>
    <w:rsid w:val="000E71CC"/>
    <w:rsid w:val="000F3523"/>
    <w:rsid w:val="000F3B3B"/>
    <w:rsid w:val="000F4F0E"/>
    <w:rsid w:val="000F574C"/>
    <w:rsid w:val="000F6EC7"/>
    <w:rsid w:val="001021F0"/>
    <w:rsid w:val="00106C1B"/>
    <w:rsid w:val="0010723F"/>
    <w:rsid w:val="00107DFC"/>
    <w:rsid w:val="00111B8A"/>
    <w:rsid w:val="00114C05"/>
    <w:rsid w:val="00115689"/>
    <w:rsid w:val="001162B6"/>
    <w:rsid w:val="001168E3"/>
    <w:rsid w:val="0012049D"/>
    <w:rsid w:val="00122163"/>
    <w:rsid w:val="0012596F"/>
    <w:rsid w:val="00126F8B"/>
    <w:rsid w:val="001309F5"/>
    <w:rsid w:val="00131898"/>
    <w:rsid w:val="00131BD6"/>
    <w:rsid w:val="001321C7"/>
    <w:rsid w:val="0013308C"/>
    <w:rsid w:val="0013415E"/>
    <w:rsid w:val="001366D6"/>
    <w:rsid w:val="00137616"/>
    <w:rsid w:val="00137758"/>
    <w:rsid w:val="00141BE2"/>
    <w:rsid w:val="00143FA2"/>
    <w:rsid w:val="0014423E"/>
    <w:rsid w:val="00144311"/>
    <w:rsid w:val="00147198"/>
    <w:rsid w:val="00150824"/>
    <w:rsid w:val="00152AD7"/>
    <w:rsid w:val="00152E73"/>
    <w:rsid w:val="0015395A"/>
    <w:rsid w:val="001544EA"/>
    <w:rsid w:val="0015581D"/>
    <w:rsid w:val="00160FD5"/>
    <w:rsid w:val="0016201E"/>
    <w:rsid w:val="00163706"/>
    <w:rsid w:val="001645F4"/>
    <w:rsid w:val="00164C45"/>
    <w:rsid w:val="001665F2"/>
    <w:rsid w:val="001675D0"/>
    <w:rsid w:val="00171BE7"/>
    <w:rsid w:val="00171E75"/>
    <w:rsid w:val="00172107"/>
    <w:rsid w:val="00172BDF"/>
    <w:rsid w:val="00174FF1"/>
    <w:rsid w:val="001770A9"/>
    <w:rsid w:val="001811D0"/>
    <w:rsid w:val="001817AF"/>
    <w:rsid w:val="00181E0A"/>
    <w:rsid w:val="00181ECA"/>
    <w:rsid w:val="001824E1"/>
    <w:rsid w:val="001828CA"/>
    <w:rsid w:val="00183117"/>
    <w:rsid w:val="001853A3"/>
    <w:rsid w:val="001855A0"/>
    <w:rsid w:val="00186BF8"/>
    <w:rsid w:val="00186CCD"/>
    <w:rsid w:val="00187038"/>
    <w:rsid w:val="001876EB"/>
    <w:rsid w:val="001902EF"/>
    <w:rsid w:val="001919B1"/>
    <w:rsid w:val="00192025"/>
    <w:rsid w:val="00192271"/>
    <w:rsid w:val="00192DC1"/>
    <w:rsid w:val="001A04FA"/>
    <w:rsid w:val="001A1361"/>
    <w:rsid w:val="001A6F70"/>
    <w:rsid w:val="001A705C"/>
    <w:rsid w:val="001A727C"/>
    <w:rsid w:val="001B3EE7"/>
    <w:rsid w:val="001B478E"/>
    <w:rsid w:val="001B5295"/>
    <w:rsid w:val="001B57CF"/>
    <w:rsid w:val="001B61FD"/>
    <w:rsid w:val="001B6241"/>
    <w:rsid w:val="001B669B"/>
    <w:rsid w:val="001B731A"/>
    <w:rsid w:val="001C024F"/>
    <w:rsid w:val="001C43FA"/>
    <w:rsid w:val="001C6029"/>
    <w:rsid w:val="001D129F"/>
    <w:rsid w:val="001D225D"/>
    <w:rsid w:val="001D22CC"/>
    <w:rsid w:val="001D288D"/>
    <w:rsid w:val="001D4FA8"/>
    <w:rsid w:val="001E3F60"/>
    <w:rsid w:val="001E55C3"/>
    <w:rsid w:val="001F09CC"/>
    <w:rsid w:val="001F1079"/>
    <w:rsid w:val="001F1F05"/>
    <w:rsid w:val="001F209B"/>
    <w:rsid w:val="001F2475"/>
    <w:rsid w:val="001F42B0"/>
    <w:rsid w:val="001F4AD7"/>
    <w:rsid w:val="001F4F8A"/>
    <w:rsid w:val="001F52BC"/>
    <w:rsid w:val="001F7B38"/>
    <w:rsid w:val="00201C24"/>
    <w:rsid w:val="00207A71"/>
    <w:rsid w:val="00207C16"/>
    <w:rsid w:val="00210047"/>
    <w:rsid w:val="00211B4E"/>
    <w:rsid w:val="00211CEC"/>
    <w:rsid w:val="002135A5"/>
    <w:rsid w:val="002169C7"/>
    <w:rsid w:val="00216D73"/>
    <w:rsid w:val="00217CBA"/>
    <w:rsid w:val="00222E79"/>
    <w:rsid w:val="00222E83"/>
    <w:rsid w:val="00226EA3"/>
    <w:rsid w:val="00230BAD"/>
    <w:rsid w:val="00232F8C"/>
    <w:rsid w:val="002339F6"/>
    <w:rsid w:val="00234CC7"/>
    <w:rsid w:val="0023500A"/>
    <w:rsid w:val="0023654A"/>
    <w:rsid w:val="00240A17"/>
    <w:rsid w:val="00241778"/>
    <w:rsid w:val="0024315A"/>
    <w:rsid w:val="00243860"/>
    <w:rsid w:val="00245760"/>
    <w:rsid w:val="00245CD7"/>
    <w:rsid w:val="002471F5"/>
    <w:rsid w:val="00252C35"/>
    <w:rsid w:val="00254237"/>
    <w:rsid w:val="00256038"/>
    <w:rsid w:val="00256BE9"/>
    <w:rsid w:val="00257278"/>
    <w:rsid w:val="00260B23"/>
    <w:rsid w:val="002613AC"/>
    <w:rsid w:val="00261997"/>
    <w:rsid w:val="00262A49"/>
    <w:rsid w:val="00264705"/>
    <w:rsid w:val="00264CB8"/>
    <w:rsid w:val="00264E66"/>
    <w:rsid w:val="0026533C"/>
    <w:rsid w:val="002725E1"/>
    <w:rsid w:val="00272E0F"/>
    <w:rsid w:val="00273048"/>
    <w:rsid w:val="00273ECF"/>
    <w:rsid w:val="0028124B"/>
    <w:rsid w:val="00283027"/>
    <w:rsid w:val="002850A9"/>
    <w:rsid w:val="002852DB"/>
    <w:rsid w:val="002925CC"/>
    <w:rsid w:val="00292B45"/>
    <w:rsid w:val="00293062"/>
    <w:rsid w:val="00293A26"/>
    <w:rsid w:val="00294E58"/>
    <w:rsid w:val="002953F1"/>
    <w:rsid w:val="002959A3"/>
    <w:rsid w:val="00297B40"/>
    <w:rsid w:val="00297C02"/>
    <w:rsid w:val="002A00FC"/>
    <w:rsid w:val="002A26E5"/>
    <w:rsid w:val="002A5AC5"/>
    <w:rsid w:val="002B1104"/>
    <w:rsid w:val="002B335D"/>
    <w:rsid w:val="002B5575"/>
    <w:rsid w:val="002B642A"/>
    <w:rsid w:val="002B75F4"/>
    <w:rsid w:val="002B7B77"/>
    <w:rsid w:val="002B7E6F"/>
    <w:rsid w:val="002C1493"/>
    <w:rsid w:val="002C34CD"/>
    <w:rsid w:val="002C5D21"/>
    <w:rsid w:val="002C6003"/>
    <w:rsid w:val="002C63BE"/>
    <w:rsid w:val="002C7555"/>
    <w:rsid w:val="002C758C"/>
    <w:rsid w:val="002D134D"/>
    <w:rsid w:val="002D13CC"/>
    <w:rsid w:val="002D331E"/>
    <w:rsid w:val="002D4BDB"/>
    <w:rsid w:val="002D533B"/>
    <w:rsid w:val="002E12C4"/>
    <w:rsid w:val="002E1922"/>
    <w:rsid w:val="002E1B9C"/>
    <w:rsid w:val="002E26AB"/>
    <w:rsid w:val="002E274C"/>
    <w:rsid w:val="002E39EC"/>
    <w:rsid w:val="002E3B97"/>
    <w:rsid w:val="002E4C45"/>
    <w:rsid w:val="002E4E6B"/>
    <w:rsid w:val="002E5219"/>
    <w:rsid w:val="002E5FDC"/>
    <w:rsid w:val="002E62E4"/>
    <w:rsid w:val="002F0DAB"/>
    <w:rsid w:val="002F1015"/>
    <w:rsid w:val="002F2DBA"/>
    <w:rsid w:val="002F4582"/>
    <w:rsid w:val="002F46DA"/>
    <w:rsid w:val="002F5330"/>
    <w:rsid w:val="002F7ACA"/>
    <w:rsid w:val="00300DC1"/>
    <w:rsid w:val="00301089"/>
    <w:rsid w:val="00301CFC"/>
    <w:rsid w:val="00301EB1"/>
    <w:rsid w:val="00302FCA"/>
    <w:rsid w:val="00302FF0"/>
    <w:rsid w:val="00303F98"/>
    <w:rsid w:val="00306640"/>
    <w:rsid w:val="00311520"/>
    <w:rsid w:val="003119F2"/>
    <w:rsid w:val="00311C72"/>
    <w:rsid w:val="0031243B"/>
    <w:rsid w:val="0031257D"/>
    <w:rsid w:val="0031273A"/>
    <w:rsid w:val="003146BA"/>
    <w:rsid w:val="003148C5"/>
    <w:rsid w:val="00315C33"/>
    <w:rsid w:val="0031672F"/>
    <w:rsid w:val="0031701F"/>
    <w:rsid w:val="00321463"/>
    <w:rsid w:val="00321655"/>
    <w:rsid w:val="00322661"/>
    <w:rsid w:val="003240A1"/>
    <w:rsid w:val="003241E3"/>
    <w:rsid w:val="00325611"/>
    <w:rsid w:val="0033076D"/>
    <w:rsid w:val="00331953"/>
    <w:rsid w:val="00333327"/>
    <w:rsid w:val="0033401D"/>
    <w:rsid w:val="0033405A"/>
    <w:rsid w:val="003371B3"/>
    <w:rsid w:val="00337524"/>
    <w:rsid w:val="003378C4"/>
    <w:rsid w:val="0034431A"/>
    <w:rsid w:val="00345CA6"/>
    <w:rsid w:val="0035078B"/>
    <w:rsid w:val="00350951"/>
    <w:rsid w:val="0035183A"/>
    <w:rsid w:val="003525B6"/>
    <w:rsid w:val="00352C95"/>
    <w:rsid w:val="00352F30"/>
    <w:rsid w:val="0035388D"/>
    <w:rsid w:val="00353DE6"/>
    <w:rsid w:val="00354FB0"/>
    <w:rsid w:val="00356BA4"/>
    <w:rsid w:val="00357395"/>
    <w:rsid w:val="00357533"/>
    <w:rsid w:val="00357FB2"/>
    <w:rsid w:val="00360661"/>
    <w:rsid w:val="00360945"/>
    <w:rsid w:val="00360A29"/>
    <w:rsid w:val="00361D58"/>
    <w:rsid w:val="00363A91"/>
    <w:rsid w:val="0037285C"/>
    <w:rsid w:val="00372C33"/>
    <w:rsid w:val="00375625"/>
    <w:rsid w:val="00375E4E"/>
    <w:rsid w:val="00376F44"/>
    <w:rsid w:val="003775F5"/>
    <w:rsid w:val="00377B53"/>
    <w:rsid w:val="00380FFA"/>
    <w:rsid w:val="00381341"/>
    <w:rsid w:val="00381EBE"/>
    <w:rsid w:val="00385969"/>
    <w:rsid w:val="00385C45"/>
    <w:rsid w:val="00385FB2"/>
    <w:rsid w:val="00387BB6"/>
    <w:rsid w:val="00387E5C"/>
    <w:rsid w:val="00390BB7"/>
    <w:rsid w:val="003913D5"/>
    <w:rsid w:val="003913F8"/>
    <w:rsid w:val="003927D1"/>
    <w:rsid w:val="00392D80"/>
    <w:rsid w:val="0039615E"/>
    <w:rsid w:val="00396747"/>
    <w:rsid w:val="00396812"/>
    <w:rsid w:val="003968A0"/>
    <w:rsid w:val="00396BD5"/>
    <w:rsid w:val="00396E3E"/>
    <w:rsid w:val="003A103A"/>
    <w:rsid w:val="003A142E"/>
    <w:rsid w:val="003A2C42"/>
    <w:rsid w:val="003A39CC"/>
    <w:rsid w:val="003A410E"/>
    <w:rsid w:val="003A4137"/>
    <w:rsid w:val="003A5275"/>
    <w:rsid w:val="003A5CB0"/>
    <w:rsid w:val="003A6B3B"/>
    <w:rsid w:val="003A715F"/>
    <w:rsid w:val="003B2AD6"/>
    <w:rsid w:val="003B51D5"/>
    <w:rsid w:val="003B565E"/>
    <w:rsid w:val="003B5C47"/>
    <w:rsid w:val="003B7D35"/>
    <w:rsid w:val="003C1B4B"/>
    <w:rsid w:val="003C242B"/>
    <w:rsid w:val="003C2B9A"/>
    <w:rsid w:val="003C46B1"/>
    <w:rsid w:val="003D07DF"/>
    <w:rsid w:val="003D0C6D"/>
    <w:rsid w:val="003D1551"/>
    <w:rsid w:val="003D1A3C"/>
    <w:rsid w:val="003D2352"/>
    <w:rsid w:val="003D2C72"/>
    <w:rsid w:val="003D3C1B"/>
    <w:rsid w:val="003D3D3B"/>
    <w:rsid w:val="003D55E0"/>
    <w:rsid w:val="003D605F"/>
    <w:rsid w:val="003D6093"/>
    <w:rsid w:val="003D6928"/>
    <w:rsid w:val="003D6959"/>
    <w:rsid w:val="003E200E"/>
    <w:rsid w:val="003E2A6D"/>
    <w:rsid w:val="003E3EF1"/>
    <w:rsid w:val="003E4185"/>
    <w:rsid w:val="003E45A3"/>
    <w:rsid w:val="003E47C8"/>
    <w:rsid w:val="003E4BEE"/>
    <w:rsid w:val="003E4D2B"/>
    <w:rsid w:val="003E5C85"/>
    <w:rsid w:val="003F1078"/>
    <w:rsid w:val="003F343E"/>
    <w:rsid w:val="003F42D3"/>
    <w:rsid w:val="003F50EF"/>
    <w:rsid w:val="00400C64"/>
    <w:rsid w:val="00401556"/>
    <w:rsid w:val="004017B5"/>
    <w:rsid w:val="00403245"/>
    <w:rsid w:val="0040368B"/>
    <w:rsid w:val="004047B2"/>
    <w:rsid w:val="00405582"/>
    <w:rsid w:val="004070B3"/>
    <w:rsid w:val="00412FBC"/>
    <w:rsid w:val="00413D2B"/>
    <w:rsid w:val="004146E0"/>
    <w:rsid w:val="0041550B"/>
    <w:rsid w:val="0041579A"/>
    <w:rsid w:val="00415FF4"/>
    <w:rsid w:val="0041778F"/>
    <w:rsid w:val="00424CC3"/>
    <w:rsid w:val="0042684E"/>
    <w:rsid w:val="004277C7"/>
    <w:rsid w:val="00430D03"/>
    <w:rsid w:val="00431FD0"/>
    <w:rsid w:val="004320DB"/>
    <w:rsid w:val="0043254E"/>
    <w:rsid w:val="00434780"/>
    <w:rsid w:val="00435FBA"/>
    <w:rsid w:val="00444CFD"/>
    <w:rsid w:val="0045111A"/>
    <w:rsid w:val="0045185F"/>
    <w:rsid w:val="00451F3B"/>
    <w:rsid w:val="00452288"/>
    <w:rsid w:val="004525D6"/>
    <w:rsid w:val="00453FF2"/>
    <w:rsid w:val="00460297"/>
    <w:rsid w:val="00462785"/>
    <w:rsid w:val="00464E2F"/>
    <w:rsid w:val="004669B8"/>
    <w:rsid w:val="00467EB8"/>
    <w:rsid w:val="0047033C"/>
    <w:rsid w:val="00470EAF"/>
    <w:rsid w:val="004721EA"/>
    <w:rsid w:val="00472EB8"/>
    <w:rsid w:val="00473011"/>
    <w:rsid w:val="0047312D"/>
    <w:rsid w:val="004739A8"/>
    <w:rsid w:val="00475CAE"/>
    <w:rsid w:val="0048017F"/>
    <w:rsid w:val="00482795"/>
    <w:rsid w:val="00482CBF"/>
    <w:rsid w:val="0048327E"/>
    <w:rsid w:val="00483AB8"/>
    <w:rsid w:val="00484D3D"/>
    <w:rsid w:val="004855CE"/>
    <w:rsid w:val="00485603"/>
    <w:rsid w:val="004862FD"/>
    <w:rsid w:val="004867AC"/>
    <w:rsid w:val="0048680A"/>
    <w:rsid w:val="00491BBA"/>
    <w:rsid w:val="004931BA"/>
    <w:rsid w:val="0049346B"/>
    <w:rsid w:val="00493F3A"/>
    <w:rsid w:val="00497080"/>
    <w:rsid w:val="004A5A4A"/>
    <w:rsid w:val="004A62A6"/>
    <w:rsid w:val="004A70B5"/>
    <w:rsid w:val="004B0D9A"/>
    <w:rsid w:val="004B12C7"/>
    <w:rsid w:val="004B1341"/>
    <w:rsid w:val="004B14EA"/>
    <w:rsid w:val="004B71E1"/>
    <w:rsid w:val="004C1A89"/>
    <w:rsid w:val="004C6E7D"/>
    <w:rsid w:val="004C6E8E"/>
    <w:rsid w:val="004C730B"/>
    <w:rsid w:val="004C7D3E"/>
    <w:rsid w:val="004C7D6F"/>
    <w:rsid w:val="004D0ECF"/>
    <w:rsid w:val="004D17C6"/>
    <w:rsid w:val="004D290A"/>
    <w:rsid w:val="004D2EAD"/>
    <w:rsid w:val="004D345F"/>
    <w:rsid w:val="004D682A"/>
    <w:rsid w:val="004D6CE9"/>
    <w:rsid w:val="004D74A8"/>
    <w:rsid w:val="004E02DA"/>
    <w:rsid w:val="004E0C85"/>
    <w:rsid w:val="004E1CB7"/>
    <w:rsid w:val="004E23FF"/>
    <w:rsid w:val="004E33F4"/>
    <w:rsid w:val="004E3467"/>
    <w:rsid w:val="004E3918"/>
    <w:rsid w:val="004E39CD"/>
    <w:rsid w:val="004E5AE9"/>
    <w:rsid w:val="004E609B"/>
    <w:rsid w:val="004F049F"/>
    <w:rsid w:val="004F08D0"/>
    <w:rsid w:val="004F17AC"/>
    <w:rsid w:val="004F21B6"/>
    <w:rsid w:val="004F3218"/>
    <w:rsid w:val="004F419A"/>
    <w:rsid w:val="004F44F6"/>
    <w:rsid w:val="004F669F"/>
    <w:rsid w:val="004F6F62"/>
    <w:rsid w:val="00500162"/>
    <w:rsid w:val="00501044"/>
    <w:rsid w:val="005028C1"/>
    <w:rsid w:val="0050420B"/>
    <w:rsid w:val="00504561"/>
    <w:rsid w:val="005048EA"/>
    <w:rsid w:val="00504FE6"/>
    <w:rsid w:val="00506EDE"/>
    <w:rsid w:val="00510DAE"/>
    <w:rsid w:val="0051237C"/>
    <w:rsid w:val="00512DE0"/>
    <w:rsid w:val="00514C7F"/>
    <w:rsid w:val="0051579D"/>
    <w:rsid w:val="00520195"/>
    <w:rsid w:val="0052027E"/>
    <w:rsid w:val="0052062B"/>
    <w:rsid w:val="005206AB"/>
    <w:rsid w:val="00521D94"/>
    <w:rsid w:val="00521F18"/>
    <w:rsid w:val="0052247E"/>
    <w:rsid w:val="005232E3"/>
    <w:rsid w:val="0052333E"/>
    <w:rsid w:val="005235BE"/>
    <w:rsid w:val="005241F0"/>
    <w:rsid w:val="00524311"/>
    <w:rsid w:val="00525173"/>
    <w:rsid w:val="00526388"/>
    <w:rsid w:val="005275C4"/>
    <w:rsid w:val="005302AD"/>
    <w:rsid w:val="0053272D"/>
    <w:rsid w:val="00532AFB"/>
    <w:rsid w:val="00532CD7"/>
    <w:rsid w:val="00534113"/>
    <w:rsid w:val="00534523"/>
    <w:rsid w:val="00534C16"/>
    <w:rsid w:val="00535D51"/>
    <w:rsid w:val="005379ED"/>
    <w:rsid w:val="00545E66"/>
    <w:rsid w:val="00550ADC"/>
    <w:rsid w:val="00550D9B"/>
    <w:rsid w:val="005525CA"/>
    <w:rsid w:val="00552F76"/>
    <w:rsid w:val="0055568E"/>
    <w:rsid w:val="00555E3D"/>
    <w:rsid w:val="0055635A"/>
    <w:rsid w:val="00556D9C"/>
    <w:rsid w:val="00557099"/>
    <w:rsid w:val="00557DAC"/>
    <w:rsid w:val="0056070B"/>
    <w:rsid w:val="00560E04"/>
    <w:rsid w:val="00561CA6"/>
    <w:rsid w:val="00561CAC"/>
    <w:rsid w:val="00562BC7"/>
    <w:rsid w:val="0056334B"/>
    <w:rsid w:val="00564D7E"/>
    <w:rsid w:val="005664DA"/>
    <w:rsid w:val="00570F0C"/>
    <w:rsid w:val="00571CD2"/>
    <w:rsid w:val="00574037"/>
    <w:rsid w:val="00574306"/>
    <w:rsid w:val="00574335"/>
    <w:rsid w:val="00574F1F"/>
    <w:rsid w:val="00576A92"/>
    <w:rsid w:val="00577F01"/>
    <w:rsid w:val="00580650"/>
    <w:rsid w:val="0058091D"/>
    <w:rsid w:val="005827AC"/>
    <w:rsid w:val="005841E7"/>
    <w:rsid w:val="00584634"/>
    <w:rsid w:val="00584873"/>
    <w:rsid w:val="0058574D"/>
    <w:rsid w:val="00587A38"/>
    <w:rsid w:val="00593BD5"/>
    <w:rsid w:val="005948EF"/>
    <w:rsid w:val="005962CC"/>
    <w:rsid w:val="00596B06"/>
    <w:rsid w:val="005A02C4"/>
    <w:rsid w:val="005A0A89"/>
    <w:rsid w:val="005A1286"/>
    <w:rsid w:val="005A1DA4"/>
    <w:rsid w:val="005A1ED0"/>
    <w:rsid w:val="005A24F3"/>
    <w:rsid w:val="005A5A3E"/>
    <w:rsid w:val="005A6A70"/>
    <w:rsid w:val="005A7D30"/>
    <w:rsid w:val="005A7E96"/>
    <w:rsid w:val="005B1DF1"/>
    <w:rsid w:val="005B7895"/>
    <w:rsid w:val="005B7ABF"/>
    <w:rsid w:val="005C042B"/>
    <w:rsid w:val="005C14F8"/>
    <w:rsid w:val="005C16F4"/>
    <w:rsid w:val="005C1C48"/>
    <w:rsid w:val="005C4896"/>
    <w:rsid w:val="005C4D8A"/>
    <w:rsid w:val="005C742B"/>
    <w:rsid w:val="005D10B8"/>
    <w:rsid w:val="005D1B6E"/>
    <w:rsid w:val="005D23C3"/>
    <w:rsid w:val="005D3800"/>
    <w:rsid w:val="005D462C"/>
    <w:rsid w:val="005D5010"/>
    <w:rsid w:val="005D6AB2"/>
    <w:rsid w:val="005D7A3F"/>
    <w:rsid w:val="005E0542"/>
    <w:rsid w:val="005E0960"/>
    <w:rsid w:val="005E0ABD"/>
    <w:rsid w:val="005E450E"/>
    <w:rsid w:val="005E4558"/>
    <w:rsid w:val="005E5DDB"/>
    <w:rsid w:val="005E77A9"/>
    <w:rsid w:val="005F4324"/>
    <w:rsid w:val="005F49E4"/>
    <w:rsid w:val="005F4F17"/>
    <w:rsid w:val="005F5194"/>
    <w:rsid w:val="005F5A66"/>
    <w:rsid w:val="005F6C6E"/>
    <w:rsid w:val="005F7AFA"/>
    <w:rsid w:val="005F7BA6"/>
    <w:rsid w:val="006010D9"/>
    <w:rsid w:val="00603538"/>
    <w:rsid w:val="006035A9"/>
    <w:rsid w:val="00604DE4"/>
    <w:rsid w:val="006063E6"/>
    <w:rsid w:val="006071ED"/>
    <w:rsid w:val="00607392"/>
    <w:rsid w:val="006079AF"/>
    <w:rsid w:val="0061282B"/>
    <w:rsid w:val="00612BEB"/>
    <w:rsid w:val="00615BE1"/>
    <w:rsid w:val="00616DFD"/>
    <w:rsid w:val="006177D0"/>
    <w:rsid w:val="00617821"/>
    <w:rsid w:val="006215A8"/>
    <w:rsid w:val="00621F2D"/>
    <w:rsid w:val="00623737"/>
    <w:rsid w:val="006237A3"/>
    <w:rsid w:val="00624AF3"/>
    <w:rsid w:val="006254A7"/>
    <w:rsid w:val="0062597F"/>
    <w:rsid w:val="00632B6A"/>
    <w:rsid w:val="006346A6"/>
    <w:rsid w:val="0063521C"/>
    <w:rsid w:val="00636D08"/>
    <w:rsid w:val="006403C8"/>
    <w:rsid w:val="006415D0"/>
    <w:rsid w:val="006427B4"/>
    <w:rsid w:val="00642D96"/>
    <w:rsid w:val="00642EC1"/>
    <w:rsid w:val="00642FC8"/>
    <w:rsid w:val="00643488"/>
    <w:rsid w:val="0064348A"/>
    <w:rsid w:val="0064425A"/>
    <w:rsid w:val="006450F3"/>
    <w:rsid w:val="00645F99"/>
    <w:rsid w:val="006464D1"/>
    <w:rsid w:val="0064737B"/>
    <w:rsid w:val="00647AEE"/>
    <w:rsid w:val="00651653"/>
    <w:rsid w:val="00652372"/>
    <w:rsid w:val="00652D14"/>
    <w:rsid w:val="00653322"/>
    <w:rsid w:val="00654471"/>
    <w:rsid w:val="006550C1"/>
    <w:rsid w:val="00656F5A"/>
    <w:rsid w:val="00660D06"/>
    <w:rsid w:val="006615BF"/>
    <w:rsid w:val="00661D83"/>
    <w:rsid w:val="006621F0"/>
    <w:rsid w:val="006622AD"/>
    <w:rsid w:val="00662DED"/>
    <w:rsid w:val="00664166"/>
    <w:rsid w:val="00665F81"/>
    <w:rsid w:val="00666408"/>
    <w:rsid w:val="00667B13"/>
    <w:rsid w:val="00667D0E"/>
    <w:rsid w:val="00667E99"/>
    <w:rsid w:val="00670009"/>
    <w:rsid w:val="00670847"/>
    <w:rsid w:val="006710C1"/>
    <w:rsid w:val="00671723"/>
    <w:rsid w:val="00673E42"/>
    <w:rsid w:val="00676230"/>
    <w:rsid w:val="0068283F"/>
    <w:rsid w:val="00687361"/>
    <w:rsid w:val="00690ADA"/>
    <w:rsid w:val="00690BDD"/>
    <w:rsid w:val="006929E3"/>
    <w:rsid w:val="00693F66"/>
    <w:rsid w:val="00694D08"/>
    <w:rsid w:val="00695570"/>
    <w:rsid w:val="00697D8B"/>
    <w:rsid w:val="006A3505"/>
    <w:rsid w:val="006A37D9"/>
    <w:rsid w:val="006A4DD6"/>
    <w:rsid w:val="006A583B"/>
    <w:rsid w:val="006A73B5"/>
    <w:rsid w:val="006A7803"/>
    <w:rsid w:val="006B1A99"/>
    <w:rsid w:val="006B3A28"/>
    <w:rsid w:val="006B409D"/>
    <w:rsid w:val="006B439E"/>
    <w:rsid w:val="006B560A"/>
    <w:rsid w:val="006B644F"/>
    <w:rsid w:val="006B6840"/>
    <w:rsid w:val="006B74E9"/>
    <w:rsid w:val="006B7CD6"/>
    <w:rsid w:val="006C0F50"/>
    <w:rsid w:val="006C16FA"/>
    <w:rsid w:val="006C1DB3"/>
    <w:rsid w:val="006C47D4"/>
    <w:rsid w:val="006C636C"/>
    <w:rsid w:val="006C6CDE"/>
    <w:rsid w:val="006C78BD"/>
    <w:rsid w:val="006C7BD1"/>
    <w:rsid w:val="006D04FB"/>
    <w:rsid w:val="006D07E9"/>
    <w:rsid w:val="006D1C95"/>
    <w:rsid w:val="006D375F"/>
    <w:rsid w:val="006D4D40"/>
    <w:rsid w:val="006D6CC3"/>
    <w:rsid w:val="006E0282"/>
    <w:rsid w:val="006E2B98"/>
    <w:rsid w:val="006E469F"/>
    <w:rsid w:val="006E4FB2"/>
    <w:rsid w:val="006E503C"/>
    <w:rsid w:val="006E5E0A"/>
    <w:rsid w:val="006E628C"/>
    <w:rsid w:val="006E6951"/>
    <w:rsid w:val="006E6D0B"/>
    <w:rsid w:val="006F6522"/>
    <w:rsid w:val="006F6722"/>
    <w:rsid w:val="006F78EB"/>
    <w:rsid w:val="00703983"/>
    <w:rsid w:val="007046D6"/>
    <w:rsid w:val="00705FBA"/>
    <w:rsid w:val="00707151"/>
    <w:rsid w:val="0071130B"/>
    <w:rsid w:val="00711C96"/>
    <w:rsid w:val="007124FA"/>
    <w:rsid w:val="00712D66"/>
    <w:rsid w:val="00713E8C"/>
    <w:rsid w:val="00714E16"/>
    <w:rsid w:val="00717656"/>
    <w:rsid w:val="007209DF"/>
    <w:rsid w:val="00720BC0"/>
    <w:rsid w:val="00720F7C"/>
    <w:rsid w:val="00721643"/>
    <w:rsid w:val="00722970"/>
    <w:rsid w:val="00722B67"/>
    <w:rsid w:val="00723EB5"/>
    <w:rsid w:val="00723EE6"/>
    <w:rsid w:val="007242FE"/>
    <w:rsid w:val="007244CD"/>
    <w:rsid w:val="007249A6"/>
    <w:rsid w:val="0072642F"/>
    <w:rsid w:val="00730EC5"/>
    <w:rsid w:val="00732C7A"/>
    <w:rsid w:val="00733AFF"/>
    <w:rsid w:val="00736396"/>
    <w:rsid w:val="0073656A"/>
    <w:rsid w:val="00737F74"/>
    <w:rsid w:val="00740672"/>
    <w:rsid w:val="00750DB0"/>
    <w:rsid w:val="0075157E"/>
    <w:rsid w:val="00755AD5"/>
    <w:rsid w:val="00756996"/>
    <w:rsid w:val="00756D24"/>
    <w:rsid w:val="0076385A"/>
    <w:rsid w:val="00764BA8"/>
    <w:rsid w:val="00765C89"/>
    <w:rsid w:val="00766C3D"/>
    <w:rsid w:val="00767778"/>
    <w:rsid w:val="00767A33"/>
    <w:rsid w:val="007709CD"/>
    <w:rsid w:val="007741AF"/>
    <w:rsid w:val="0077531E"/>
    <w:rsid w:val="007771AD"/>
    <w:rsid w:val="0077743D"/>
    <w:rsid w:val="00777B5A"/>
    <w:rsid w:val="00777C84"/>
    <w:rsid w:val="00780B64"/>
    <w:rsid w:val="007825C1"/>
    <w:rsid w:val="007840AA"/>
    <w:rsid w:val="00787A9B"/>
    <w:rsid w:val="00787CC8"/>
    <w:rsid w:val="00787D80"/>
    <w:rsid w:val="0079054B"/>
    <w:rsid w:val="0079303F"/>
    <w:rsid w:val="00793B03"/>
    <w:rsid w:val="00795A5A"/>
    <w:rsid w:val="00796034"/>
    <w:rsid w:val="00796688"/>
    <w:rsid w:val="007A016B"/>
    <w:rsid w:val="007A16EA"/>
    <w:rsid w:val="007A35AF"/>
    <w:rsid w:val="007B1970"/>
    <w:rsid w:val="007B4161"/>
    <w:rsid w:val="007B42F6"/>
    <w:rsid w:val="007B4310"/>
    <w:rsid w:val="007B5F64"/>
    <w:rsid w:val="007B6660"/>
    <w:rsid w:val="007C4F7D"/>
    <w:rsid w:val="007C5820"/>
    <w:rsid w:val="007C68C9"/>
    <w:rsid w:val="007C76BD"/>
    <w:rsid w:val="007D10EE"/>
    <w:rsid w:val="007D13C6"/>
    <w:rsid w:val="007D479C"/>
    <w:rsid w:val="007D55BE"/>
    <w:rsid w:val="007D5C9D"/>
    <w:rsid w:val="007D6A34"/>
    <w:rsid w:val="007D75CB"/>
    <w:rsid w:val="007D7CCC"/>
    <w:rsid w:val="007E08CC"/>
    <w:rsid w:val="007E2487"/>
    <w:rsid w:val="007E3149"/>
    <w:rsid w:val="007E4200"/>
    <w:rsid w:val="007E5972"/>
    <w:rsid w:val="007E68D0"/>
    <w:rsid w:val="007E7672"/>
    <w:rsid w:val="007F06F8"/>
    <w:rsid w:val="007F45B9"/>
    <w:rsid w:val="007F6403"/>
    <w:rsid w:val="00801740"/>
    <w:rsid w:val="0080210F"/>
    <w:rsid w:val="00805BE6"/>
    <w:rsid w:val="0080629F"/>
    <w:rsid w:val="008103AD"/>
    <w:rsid w:val="00810A73"/>
    <w:rsid w:val="008118F2"/>
    <w:rsid w:val="008135B4"/>
    <w:rsid w:val="008138F1"/>
    <w:rsid w:val="00813997"/>
    <w:rsid w:val="00815183"/>
    <w:rsid w:val="00816983"/>
    <w:rsid w:val="00816D36"/>
    <w:rsid w:val="0081737D"/>
    <w:rsid w:val="0082034F"/>
    <w:rsid w:val="008210C8"/>
    <w:rsid w:val="0082209E"/>
    <w:rsid w:val="00822FA5"/>
    <w:rsid w:val="0082770C"/>
    <w:rsid w:val="00827857"/>
    <w:rsid w:val="00830E22"/>
    <w:rsid w:val="00830F53"/>
    <w:rsid w:val="00834E6B"/>
    <w:rsid w:val="00835CE3"/>
    <w:rsid w:val="00837D00"/>
    <w:rsid w:val="00841182"/>
    <w:rsid w:val="00842D82"/>
    <w:rsid w:val="00843972"/>
    <w:rsid w:val="008457DC"/>
    <w:rsid w:val="00845810"/>
    <w:rsid w:val="00845A5E"/>
    <w:rsid w:val="00845B47"/>
    <w:rsid w:val="00847985"/>
    <w:rsid w:val="00850CEE"/>
    <w:rsid w:val="008532FF"/>
    <w:rsid w:val="008533E1"/>
    <w:rsid w:val="008540C5"/>
    <w:rsid w:val="008548F1"/>
    <w:rsid w:val="00854A1E"/>
    <w:rsid w:val="00854C16"/>
    <w:rsid w:val="008567CB"/>
    <w:rsid w:val="00860245"/>
    <w:rsid w:val="00861149"/>
    <w:rsid w:val="0086128F"/>
    <w:rsid w:val="008620F0"/>
    <w:rsid w:val="00862626"/>
    <w:rsid w:val="00863DE4"/>
    <w:rsid w:val="00871AE4"/>
    <w:rsid w:val="00871DCE"/>
    <w:rsid w:val="0087499F"/>
    <w:rsid w:val="008757CE"/>
    <w:rsid w:val="0087630F"/>
    <w:rsid w:val="00876E72"/>
    <w:rsid w:val="0087790A"/>
    <w:rsid w:val="008804A8"/>
    <w:rsid w:val="00881A3D"/>
    <w:rsid w:val="00881C7E"/>
    <w:rsid w:val="00881DBA"/>
    <w:rsid w:val="008827F5"/>
    <w:rsid w:val="008874BE"/>
    <w:rsid w:val="00892BBE"/>
    <w:rsid w:val="00893829"/>
    <w:rsid w:val="00896461"/>
    <w:rsid w:val="008966F8"/>
    <w:rsid w:val="00896B34"/>
    <w:rsid w:val="00897EC0"/>
    <w:rsid w:val="008A04B5"/>
    <w:rsid w:val="008A0557"/>
    <w:rsid w:val="008A1E11"/>
    <w:rsid w:val="008A25B5"/>
    <w:rsid w:val="008A2AC3"/>
    <w:rsid w:val="008A2F33"/>
    <w:rsid w:val="008A67F3"/>
    <w:rsid w:val="008A7ECC"/>
    <w:rsid w:val="008B0707"/>
    <w:rsid w:val="008B1A8E"/>
    <w:rsid w:val="008B2183"/>
    <w:rsid w:val="008B22A0"/>
    <w:rsid w:val="008B36BE"/>
    <w:rsid w:val="008B4377"/>
    <w:rsid w:val="008B5108"/>
    <w:rsid w:val="008B548D"/>
    <w:rsid w:val="008B6991"/>
    <w:rsid w:val="008B793E"/>
    <w:rsid w:val="008C0126"/>
    <w:rsid w:val="008C07C6"/>
    <w:rsid w:val="008C1BEE"/>
    <w:rsid w:val="008C2DDB"/>
    <w:rsid w:val="008C36B5"/>
    <w:rsid w:val="008C3CFF"/>
    <w:rsid w:val="008C4717"/>
    <w:rsid w:val="008C659B"/>
    <w:rsid w:val="008D0F23"/>
    <w:rsid w:val="008D472C"/>
    <w:rsid w:val="008D659E"/>
    <w:rsid w:val="008D784E"/>
    <w:rsid w:val="008E0593"/>
    <w:rsid w:val="008E133C"/>
    <w:rsid w:val="008E3010"/>
    <w:rsid w:val="008E4D21"/>
    <w:rsid w:val="008E4E36"/>
    <w:rsid w:val="008F0210"/>
    <w:rsid w:val="008F3F20"/>
    <w:rsid w:val="008F3FEB"/>
    <w:rsid w:val="008F55B1"/>
    <w:rsid w:val="008F5EB6"/>
    <w:rsid w:val="008F602B"/>
    <w:rsid w:val="008F60C8"/>
    <w:rsid w:val="008F6B80"/>
    <w:rsid w:val="008F7A9D"/>
    <w:rsid w:val="008F7EF3"/>
    <w:rsid w:val="00902A0F"/>
    <w:rsid w:val="00905493"/>
    <w:rsid w:val="00907569"/>
    <w:rsid w:val="00907B4B"/>
    <w:rsid w:val="00907BC9"/>
    <w:rsid w:val="0091058F"/>
    <w:rsid w:val="00911407"/>
    <w:rsid w:val="0091229C"/>
    <w:rsid w:val="00912349"/>
    <w:rsid w:val="00912F36"/>
    <w:rsid w:val="009154DE"/>
    <w:rsid w:val="00916F16"/>
    <w:rsid w:val="00917269"/>
    <w:rsid w:val="0092087D"/>
    <w:rsid w:val="0092471E"/>
    <w:rsid w:val="009247F8"/>
    <w:rsid w:val="00924B83"/>
    <w:rsid w:val="009253F7"/>
    <w:rsid w:val="00926D80"/>
    <w:rsid w:val="00927375"/>
    <w:rsid w:val="009345A9"/>
    <w:rsid w:val="00934FDB"/>
    <w:rsid w:val="00937007"/>
    <w:rsid w:val="00937E71"/>
    <w:rsid w:val="00941577"/>
    <w:rsid w:val="009427D5"/>
    <w:rsid w:val="00942BC4"/>
    <w:rsid w:val="00944854"/>
    <w:rsid w:val="00944D0C"/>
    <w:rsid w:val="009468B6"/>
    <w:rsid w:val="0095070F"/>
    <w:rsid w:val="009523A3"/>
    <w:rsid w:val="00954489"/>
    <w:rsid w:val="00956CE2"/>
    <w:rsid w:val="00957008"/>
    <w:rsid w:val="00960A3C"/>
    <w:rsid w:val="00963140"/>
    <w:rsid w:val="00963BAE"/>
    <w:rsid w:val="00964AF5"/>
    <w:rsid w:val="00964E49"/>
    <w:rsid w:val="00967133"/>
    <w:rsid w:val="00972D99"/>
    <w:rsid w:val="00973972"/>
    <w:rsid w:val="00976A3A"/>
    <w:rsid w:val="00977D9C"/>
    <w:rsid w:val="00980439"/>
    <w:rsid w:val="00980D05"/>
    <w:rsid w:val="0098160C"/>
    <w:rsid w:val="009818D4"/>
    <w:rsid w:val="00981A3C"/>
    <w:rsid w:val="00983491"/>
    <w:rsid w:val="00985482"/>
    <w:rsid w:val="00985EF4"/>
    <w:rsid w:val="00986F59"/>
    <w:rsid w:val="009875BF"/>
    <w:rsid w:val="00990F1C"/>
    <w:rsid w:val="00991AF6"/>
    <w:rsid w:val="0099210F"/>
    <w:rsid w:val="00992861"/>
    <w:rsid w:val="00997398"/>
    <w:rsid w:val="009A1515"/>
    <w:rsid w:val="009A42C3"/>
    <w:rsid w:val="009A5195"/>
    <w:rsid w:val="009A65C7"/>
    <w:rsid w:val="009A72CF"/>
    <w:rsid w:val="009A7511"/>
    <w:rsid w:val="009B000B"/>
    <w:rsid w:val="009B036C"/>
    <w:rsid w:val="009B12E9"/>
    <w:rsid w:val="009B4B28"/>
    <w:rsid w:val="009B6193"/>
    <w:rsid w:val="009C048C"/>
    <w:rsid w:val="009C4843"/>
    <w:rsid w:val="009C6A78"/>
    <w:rsid w:val="009C72E9"/>
    <w:rsid w:val="009D26E5"/>
    <w:rsid w:val="009D383D"/>
    <w:rsid w:val="009D5B89"/>
    <w:rsid w:val="009D6C0E"/>
    <w:rsid w:val="009E05E7"/>
    <w:rsid w:val="009E0D70"/>
    <w:rsid w:val="009E105B"/>
    <w:rsid w:val="009E50A6"/>
    <w:rsid w:val="009E6A63"/>
    <w:rsid w:val="009F0F05"/>
    <w:rsid w:val="009F1136"/>
    <w:rsid w:val="009F5181"/>
    <w:rsid w:val="009F6412"/>
    <w:rsid w:val="009F65A2"/>
    <w:rsid w:val="009F7F4B"/>
    <w:rsid w:val="00A032DA"/>
    <w:rsid w:val="00A05789"/>
    <w:rsid w:val="00A058AA"/>
    <w:rsid w:val="00A06582"/>
    <w:rsid w:val="00A0702A"/>
    <w:rsid w:val="00A115CD"/>
    <w:rsid w:val="00A12385"/>
    <w:rsid w:val="00A131F7"/>
    <w:rsid w:val="00A16343"/>
    <w:rsid w:val="00A20B30"/>
    <w:rsid w:val="00A22086"/>
    <w:rsid w:val="00A22B64"/>
    <w:rsid w:val="00A22E71"/>
    <w:rsid w:val="00A24DD5"/>
    <w:rsid w:val="00A254F2"/>
    <w:rsid w:val="00A25DB7"/>
    <w:rsid w:val="00A25F3A"/>
    <w:rsid w:val="00A2761C"/>
    <w:rsid w:val="00A306F8"/>
    <w:rsid w:val="00A30A34"/>
    <w:rsid w:val="00A31158"/>
    <w:rsid w:val="00A338C9"/>
    <w:rsid w:val="00A407F3"/>
    <w:rsid w:val="00A41065"/>
    <w:rsid w:val="00A41E5E"/>
    <w:rsid w:val="00A426F2"/>
    <w:rsid w:val="00A42797"/>
    <w:rsid w:val="00A4714E"/>
    <w:rsid w:val="00A472DE"/>
    <w:rsid w:val="00A52144"/>
    <w:rsid w:val="00A5282A"/>
    <w:rsid w:val="00A531D6"/>
    <w:rsid w:val="00A538C4"/>
    <w:rsid w:val="00A540B2"/>
    <w:rsid w:val="00A57B14"/>
    <w:rsid w:val="00A60C19"/>
    <w:rsid w:val="00A65A4D"/>
    <w:rsid w:val="00A65B36"/>
    <w:rsid w:val="00A70B19"/>
    <w:rsid w:val="00A71EE3"/>
    <w:rsid w:val="00A72BED"/>
    <w:rsid w:val="00A735A7"/>
    <w:rsid w:val="00A73820"/>
    <w:rsid w:val="00A77CB5"/>
    <w:rsid w:val="00A77FE4"/>
    <w:rsid w:val="00A805E3"/>
    <w:rsid w:val="00A832D0"/>
    <w:rsid w:val="00A835A9"/>
    <w:rsid w:val="00A836B9"/>
    <w:rsid w:val="00A83CAE"/>
    <w:rsid w:val="00A84AB9"/>
    <w:rsid w:val="00A86012"/>
    <w:rsid w:val="00A861EE"/>
    <w:rsid w:val="00A87795"/>
    <w:rsid w:val="00A90196"/>
    <w:rsid w:val="00A909D8"/>
    <w:rsid w:val="00A91E45"/>
    <w:rsid w:val="00A94AB7"/>
    <w:rsid w:val="00AA01E2"/>
    <w:rsid w:val="00AA0218"/>
    <w:rsid w:val="00AA2ACD"/>
    <w:rsid w:val="00AA3F46"/>
    <w:rsid w:val="00AA4AA8"/>
    <w:rsid w:val="00AA4B49"/>
    <w:rsid w:val="00AA6FEE"/>
    <w:rsid w:val="00AA7938"/>
    <w:rsid w:val="00AA7B60"/>
    <w:rsid w:val="00AB11CA"/>
    <w:rsid w:val="00AB4F31"/>
    <w:rsid w:val="00AB5FD1"/>
    <w:rsid w:val="00AB7E1A"/>
    <w:rsid w:val="00AC1192"/>
    <w:rsid w:val="00AC12F5"/>
    <w:rsid w:val="00AC131D"/>
    <w:rsid w:val="00AC1BD0"/>
    <w:rsid w:val="00AC1DC6"/>
    <w:rsid w:val="00AC38B2"/>
    <w:rsid w:val="00AC3915"/>
    <w:rsid w:val="00AC3C04"/>
    <w:rsid w:val="00AC47E9"/>
    <w:rsid w:val="00AC4E86"/>
    <w:rsid w:val="00AC5DB1"/>
    <w:rsid w:val="00AC61D1"/>
    <w:rsid w:val="00AC6E0C"/>
    <w:rsid w:val="00AD34EE"/>
    <w:rsid w:val="00AD41D1"/>
    <w:rsid w:val="00AD4555"/>
    <w:rsid w:val="00AD78EA"/>
    <w:rsid w:val="00AD798E"/>
    <w:rsid w:val="00AE3FD6"/>
    <w:rsid w:val="00AE4E31"/>
    <w:rsid w:val="00AE626B"/>
    <w:rsid w:val="00AF04CB"/>
    <w:rsid w:val="00AF06D0"/>
    <w:rsid w:val="00AF1133"/>
    <w:rsid w:val="00AF1323"/>
    <w:rsid w:val="00AF182B"/>
    <w:rsid w:val="00AF2133"/>
    <w:rsid w:val="00AF2DFF"/>
    <w:rsid w:val="00AF3D8B"/>
    <w:rsid w:val="00AF42C7"/>
    <w:rsid w:val="00AF5664"/>
    <w:rsid w:val="00AF5CEB"/>
    <w:rsid w:val="00AF7C6A"/>
    <w:rsid w:val="00AF7CA0"/>
    <w:rsid w:val="00B0003E"/>
    <w:rsid w:val="00B02BF9"/>
    <w:rsid w:val="00B03750"/>
    <w:rsid w:val="00B044AC"/>
    <w:rsid w:val="00B056AD"/>
    <w:rsid w:val="00B06A1E"/>
    <w:rsid w:val="00B079D9"/>
    <w:rsid w:val="00B10764"/>
    <w:rsid w:val="00B1098C"/>
    <w:rsid w:val="00B12678"/>
    <w:rsid w:val="00B13568"/>
    <w:rsid w:val="00B13AEA"/>
    <w:rsid w:val="00B1574C"/>
    <w:rsid w:val="00B16AF5"/>
    <w:rsid w:val="00B170AC"/>
    <w:rsid w:val="00B174EA"/>
    <w:rsid w:val="00B2103A"/>
    <w:rsid w:val="00B220CB"/>
    <w:rsid w:val="00B23143"/>
    <w:rsid w:val="00B2344D"/>
    <w:rsid w:val="00B25831"/>
    <w:rsid w:val="00B30B75"/>
    <w:rsid w:val="00B33376"/>
    <w:rsid w:val="00B342FC"/>
    <w:rsid w:val="00B34BCD"/>
    <w:rsid w:val="00B360F5"/>
    <w:rsid w:val="00B3645E"/>
    <w:rsid w:val="00B378C7"/>
    <w:rsid w:val="00B378D2"/>
    <w:rsid w:val="00B37EBC"/>
    <w:rsid w:val="00B4014B"/>
    <w:rsid w:val="00B417DF"/>
    <w:rsid w:val="00B43A18"/>
    <w:rsid w:val="00B44E07"/>
    <w:rsid w:val="00B45DC6"/>
    <w:rsid w:val="00B46E1F"/>
    <w:rsid w:val="00B46EDF"/>
    <w:rsid w:val="00B47455"/>
    <w:rsid w:val="00B47900"/>
    <w:rsid w:val="00B47EFD"/>
    <w:rsid w:val="00B5116B"/>
    <w:rsid w:val="00B526B0"/>
    <w:rsid w:val="00B543CF"/>
    <w:rsid w:val="00B54556"/>
    <w:rsid w:val="00B55404"/>
    <w:rsid w:val="00B557B5"/>
    <w:rsid w:val="00B558A8"/>
    <w:rsid w:val="00B60E0C"/>
    <w:rsid w:val="00B612F5"/>
    <w:rsid w:val="00B619ED"/>
    <w:rsid w:val="00B61DDD"/>
    <w:rsid w:val="00B62EFF"/>
    <w:rsid w:val="00B63545"/>
    <w:rsid w:val="00B64AF3"/>
    <w:rsid w:val="00B6534B"/>
    <w:rsid w:val="00B655EF"/>
    <w:rsid w:val="00B656F6"/>
    <w:rsid w:val="00B65E73"/>
    <w:rsid w:val="00B67C7E"/>
    <w:rsid w:val="00B713C7"/>
    <w:rsid w:val="00B71577"/>
    <w:rsid w:val="00B746F2"/>
    <w:rsid w:val="00B75043"/>
    <w:rsid w:val="00B7519D"/>
    <w:rsid w:val="00B76127"/>
    <w:rsid w:val="00B80C0A"/>
    <w:rsid w:val="00B8177F"/>
    <w:rsid w:val="00B82146"/>
    <w:rsid w:val="00B83142"/>
    <w:rsid w:val="00B851A1"/>
    <w:rsid w:val="00B85278"/>
    <w:rsid w:val="00B85AF6"/>
    <w:rsid w:val="00B875C8"/>
    <w:rsid w:val="00B908B0"/>
    <w:rsid w:val="00B91921"/>
    <w:rsid w:val="00B928D3"/>
    <w:rsid w:val="00B93E3D"/>
    <w:rsid w:val="00B946CB"/>
    <w:rsid w:val="00B94A4E"/>
    <w:rsid w:val="00B94D10"/>
    <w:rsid w:val="00B95A46"/>
    <w:rsid w:val="00B9649B"/>
    <w:rsid w:val="00BA588F"/>
    <w:rsid w:val="00BA5BE3"/>
    <w:rsid w:val="00BA772E"/>
    <w:rsid w:val="00BB27CA"/>
    <w:rsid w:val="00BB2C30"/>
    <w:rsid w:val="00BB2C50"/>
    <w:rsid w:val="00BB36D3"/>
    <w:rsid w:val="00BB3BBC"/>
    <w:rsid w:val="00BB3D14"/>
    <w:rsid w:val="00BB473A"/>
    <w:rsid w:val="00BB4FB3"/>
    <w:rsid w:val="00BB58FA"/>
    <w:rsid w:val="00BB5F6D"/>
    <w:rsid w:val="00BB6375"/>
    <w:rsid w:val="00BB6AED"/>
    <w:rsid w:val="00BB6AFD"/>
    <w:rsid w:val="00BC09EB"/>
    <w:rsid w:val="00BC16EF"/>
    <w:rsid w:val="00BC4CA8"/>
    <w:rsid w:val="00BC51C3"/>
    <w:rsid w:val="00BC6787"/>
    <w:rsid w:val="00BD02CA"/>
    <w:rsid w:val="00BD16FE"/>
    <w:rsid w:val="00BD59DC"/>
    <w:rsid w:val="00BD6395"/>
    <w:rsid w:val="00BD6DAE"/>
    <w:rsid w:val="00BD7858"/>
    <w:rsid w:val="00BE2CDA"/>
    <w:rsid w:val="00BE349B"/>
    <w:rsid w:val="00BE4452"/>
    <w:rsid w:val="00BE4E88"/>
    <w:rsid w:val="00BE55FA"/>
    <w:rsid w:val="00BE70A3"/>
    <w:rsid w:val="00BF253E"/>
    <w:rsid w:val="00BF7271"/>
    <w:rsid w:val="00C00102"/>
    <w:rsid w:val="00C00600"/>
    <w:rsid w:val="00C00BF4"/>
    <w:rsid w:val="00C01430"/>
    <w:rsid w:val="00C03CFF"/>
    <w:rsid w:val="00C04D00"/>
    <w:rsid w:val="00C05571"/>
    <w:rsid w:val="00C06322"/>
    <w:rsid w:val="00C06B4E"/>
    <w:rsid w:val="00C10EE6"/>
    <w:rsid w:val="00C11DFD"/>
    <w:rsid w:val="00C13509"/>
    <w:rsid w:val="00C1503F"/>
    <w:rsid w:val="00C20976"/>
    <w:rsid w:val="00C21497"/>
    <w:rsid w:val="00C223CA"/>
    <w:rsid w:val="00C23A29"/>
    <w:rsid w:val="00C24C14"/>
    <w:rsid w:val="00C3175D"/>
    <w:rsid w:val="00C317E6"/>
    <w:rsid w:val="00C32B69"/>
    <w:rsid w:val="00C33785"/>
    <w:rsid w:val="00C35588"/>
    <w:rsid w:val="00C35E2C"/>
    <w:rsid w:val="00C36298"/>
    <w:rsid w:val="00C377DC"/>
    <w:rsid w:val="00C4163E"/>
    <w:rsid w:val="00C4318F"/>
    <w:rsid w:val="00C43892"/>
    <w:rsid w:val="00C466F1"/>
    <w:rsid w:val="00C470CF"/>
    <w:rsid w:val="00C4778A"/>
    <w:rsid w:val="00C47D8F"/>
    <w:rsid w:val="00C50CBF"/>
    <w:rsid w:val="00C51080"/>
    <w:rsid w:val="00C5154D"/>
    <w:rsid w:val="00C54F79"/>
    <w:rsid w:val="00C55EBD"/>
    <w:rsid w:val="00C5649B"/>
    <w:rsid w:val="00C56BCF"/>
    <w:rsid w:val="00C57D9A"/>
    <w:rsid w:val="00C61221"/>
    <w:rsid w:val="00C62ECE"/>
    <w:rsid w:val="00C63EA0"/>
    <w:rsid w:val="00C640EF"/>
    <w:rsid w:val="00C653F5"/>
    <w:rsid w:val="00C655EB"/>
    <w:rsid w:val="00C65CD8"/>
    <w:rsid w:val="00C6711E"/>
    <w:rsid w:val="00C720F6"/>
    <w:rsid w:val="00C735E5"/>
    <w:rsid w:val="00C7413C"/>
    <w:rsid w:val="00C74650"/>
    <w:rsid w:val="00C7477E"/>
    <w:rsid w:val="00C7481E"/>
    <w:rsid w:val="00C74837"/>
    <w:rsid w:val="00C75947"/>
    <w:rsid w:val="00C80480"/>
    <w:rsid w:val="00C80727"/>
    <w:rsid w:val="00C82157"/>
    <w:rsid w:val="00C82A6D"/>
    <w:rsid w:val="00C82CB0"/>
    <w:rsid w:val="00C8428C"/>
    <w:rsid w:val="00C84EC6"/>
    <w:rsid w:val="00C852A7"/>
    <w:rsid w:val="00C867FC"/>
    <w:rsid w:val="00C90459"/>
    <w:rsid w:val="00C91506"/>
    <w:rsid w:val="00C91F81"/>
    <w:rsid w:val="00C95417"/>
    <w:rsid w:val="00CA1DEE"/>
    <w:rsid w:val="00CA2D24"/>
    <w:rsid w:val="00CA47C6"/>
    <w:rsid w:val="00CA600E"/>
    <w:rsid w:val="00CA7D70"/>
    <w:rsid w:val="00CB0799"/>
    <w:rsid w:val="00CB3E88"/>
    <w:rsid w:val="00CB427F"/>
    <w:rsid w:val="00CB4DBE"/>
    <w:rsid w:val="00CB6E45"/>
    <w:rsid w:val="00CC2861"/>
    <w:rsid w:val="00CC29FA"/>
    <w:rsid w:val="00CC32DC"/>
    <w:rsid w:val="00CC4250"/>
    <w:rsid w:val="00CC43C2"/>
    <w:rsid w:val="00CC4550"/>
    <w:rsid w:val="00CD2420"/>
    <w:rsid w:val="00CD3889"/>
    <w:rsid w:val="00CD3B29"/>
    <w:rsid w:val="00CD4390"/>
    <w:rsid w:val="00CD4E5C"/>
    <w:rsid w:val="00CD63E6"/>
    <w:rsid w:val="00CD655A"/>
    <w:rsid w:val="00CD7D14"/>
    <w:rsid w:val="00CD7FEC"/>
    <w:rsid w:val="00CE118C"/>
    <w:rsid w:val="00CE2F6E"/>
    <w:rsid w:val="00CE4118"/>
    <w:rsid w:val="00CE510B"/>
    <w:rsid w:val="00CE61A9"/>
    <w:rsid w:val="00CE632A"/>
    <w:rsid w:val="00CF15A4"/>
    <w:rsid w:val="00CF2279"/>
    <w:rsid w:val="00CF3484"/>
    <w:rsid w:val="00CF34F4"/>
    <w:rsid w:val="00CF7145"/>
    <w:rsid w:val="00CF7E6C"/>
    <w:rsid w:val="00D02986"/>
    <w:rsid w:val="00D046E6"/>
    <w:rsid w:val="00D05A59"/>
    <w:rsid w:val="00D06BA0"/>
    <w:rsid w:val="00D06DFE"/>
    <w:rsid w:val="00D1071A"/>
    <w:rsid w:val="00D16F47"/>
    <w:rsid w:val="00D20A88"/>
    <w:rsid w:val="00D23132"/>
    <w:rsid w:val="00D23770"/>
    <w:rsid w:val="00D25741"/>
    <w:rsid w:val="00D27EF4"/>
    <w:rsid w:val="00D30E38"/>
    <w:rsid w:val="00D31121"/>
    <w:rsid w:val="00D31EF3"/>
    <w:rsid w:val="00D32E7D"/>
    <w:rsid w:val="00D33E2C"/>
    <w:rsid w:val="00D34DCA"/>
    <w:rsid w:val="00D3628A"/>
    <w:rsid w:val="00D36AF5"/>
    <w:rsid w:val="00D37349"/>
    <w:rsid w:val="00D376AF"/>
    <w:rsid w:val="00D37779"/>
    <w:rsid w:val="00D40213"/>
    <w:rsid w:val="00D41287"/>
    <w:rsid w:val="00D41B8A"/>
    <w:rsid w:val="00D4210E"/>
    <w:rsid w:val="00D43EA3"/>
    <w:rsid w:val="00D504FE"/>
    <w:rsid w:val="00D50501"/>
    <w:rsid w:val="00D510E4"/>
    <w:rsid w:val="00D518FB"/>
    <w:rsid w:val="00D529B9"/>
    <w:rsid w:val="00D52E86"/>
    <w:rsid w:val="00D539C7"/>
    <w:rsid w:val="00D53F87"/>
    <w:rsid w:val="00D5492C"/>
    <w:rsid w:val="00D602C6"/>
    <w:rsid w:val="00D67709"/>
    <w:rsid w:val="00D70ABD"/>
    <w:rsid w:val="00D72B62"/>
    <w:rsid w:val="00D72D39"/>
    <w:rsid w:val="00D7392E"/>
    <w:rsid w:val="00D73AA1"/>
    <w:rsid w:val="00D73CA6"/>
    <w:rsid w:val="00D742DF"/>
    <w:rsid w:val="00D76CC9"/>
    <w:rsid w:val="00D77325"/>
    <w:rsid w:val="00D77430"/>
    <w:rsid w:val="00D77E63"/>
    <w:rsid w:val="00D81755"/>
    <w:rsid w:val="00D82A95"/>
    <w:rsid w:val="00D832FF"/>
    <w:rsid w:val="00D83CD2"/>
    <w:rsid w:val="00D84809"/>
    <w:rsid w:val="00D853F3"/>
    <w:rsid w:val="00D86602"/>
    <w:rsid w:val="00D90476"/>
    <w:rsid w:val="00D91F4B"/>
    <w:rsid w:val="00D924D1"/>
    <w:rsid w:val="00D94137"/>
    <w:rsid w:val="00D943B2"/>
    <w:rsid w:val="00D95313"/>
    <w:rsid w:val="00D978F3"/>
    <w:rsid w:val="00D97B6C"/>
    <w:rsid w:val="00DA1AE5"/>
    <w:rsid w:val="00DA2184"/>
    <w:rsid w:val="00DA2481"/>
    <w:rsid w:val="00DA4AA5"/>
    <w:rsid w:val="00DA54D4"/>
    <w:rsid w:val="00DA62CB"/>
    <w:rsid w:val="00DA7296"/>
    <w:rsid w:val="00DA7D19"/>
    <w:rsid w:val="00DB1BB5"/>
    <w:rsid w:val="00DB3A90"/>
    <w:rsid w:val="00DB3E85"/>
    <w:rsid w:val="00DB620A"/>
    <w:rsid w:val="00DC627D"/>
    <w:rsid w:val="00DC7574"/>
    <w:rsid w:val="00DD1306"/>
    <w:rsid w:val="00DD3D52"/>
    <w:rsid w:val="00DD4465"/>
    <w:rsid w:val="00DD609C"/>
    <w:rsid w:val="00DE018E"/>
    <w:rsid w:val="00DE025E"/>
    <w:rsid w:val="00DE09E1"/>
    <w:rsid w:val="00DE1210"/>
    <w:rsid w:val="00DE6D72"/>
    <w:rsid w:val="00DF07B9"/>
    <w:rsid w:val="00DF1938"/>
    <w:rsid w:val="00DF7291"/>
    <w:rsid w:val="00E00440"/>
    <w:rsid w:val="00E03D0D"/>
    <w:rsid w:val="00E05D42"/>
    <w:rsid w:val="00E12A13"/>
    <w:rsid w:val="00E150A6"/>
    <w:rsid w:val="00E158B0"/>
    <w:rsid w:val="00E15EAD"/>
    <w:rsid w:val="00E17CF1"/>
    <w:rsid w:val="00E221A8"/>
    <w:rsid w:val="00E22751"/>
    <w:rsid w:val="00E22CB6"/>
    <w:rsid w:val="00E23447"/>
    <w:rsid w:val="00E24726"/>
    <w:rsid w:val="00E24D42"/>
    <w:rsid w:val="00E255D2"/>
    <w:rsid w:val="00E279C8"/>
    <w:rsid w:val="00E27F28"/>
    <w:rsid w:val="00E3020C"/>
    <w:rsid w:val="00E33FE4"/>
    <w:rsid w:val="00E35A72"/>
    <w:rsid w:val="00E37C6A"/>
    <w:rsid w:val="00E41D5D"/>
    <w:rsid w:val="00E43362"/>
    <w:rsid w:val="00E447A1"/>
    <w:rsid w:val="00E4489A"/>
    <w:rsid w:val="00E46234"/>
    <w:rsid w:val="00E46E69"/>
    <w:rsid w:val="00E510CC"/>
    <w:rsid w:val="00E55206"/>
    <w:rsid w:val="00E55680"/>
    <w:rsid w:val="00E5797E"/>
    <w:rsid w:val="00E609B3"/>
    <w:rsid w:val="00E61C68"/>
    <w:rsid w:val="00E625A0"/>
    <w:rsid w:val="00E63287"/>
    <w:rsid w:val="00E64159"/>
    <w:rsid w:val="00E65269"/>
    <w:rsid w:val="00E65E9D"/>
    <w:rsid w:val="00E67B39"/>
    <w:rsid w:val="00E70D00"/>
    <w:rsid w:val="00E71080"/>
    <w:rsid w:val="00E7151D"/>
    <w:rsid w:val="00E73729"/>
    <w:rsid w:val="00E75272"/>
    <w:rsid w:val="00E75599"/>
    <w:rsid w:val="00E84B69"/>
    <w:rsid w:val="00E868E3"/>
    <w:rsid w:val="00E869E9"/>
    <w:rsid w:val="00E86A34"/>
    <w:rsid w:val="00E93570"/>
    <w:rsid w:val="00E93623"/>
    <w:rsid w:val="00E9539D"/>
    <w:rsid w:val="00E95B30"/>
    <w:rsid w:val="00E96CE0"/>
    <w:rsid w:val="00E97339"/>
    <w:rsid w:val="00EA0EFB"/>
    <w:rsid w:val="00EA298E"/>
    <w:rsid w:val="00EA4020"/>
    <w:rsid w:val="00EA4562"/>
    <w:rsid w:val="00EA45A5"/>
    <w:rsid w:val="00EA47D9"/>
    <w:rsid w:val="00EA6E57"/>
    <w:rsid w:val="00EA701B"/>
    <w:rsid w:val="00EB17CF"/>
    <w:rsid w:val="00EB4B80"/>
    <w:rsid w:val="00EB6CDE"/>
    <w:rsid w:val="00EC05C0"/>
    <w:rsid w:val="00EC296E"/>
    <w:rsid w:val="00ED1641"/>
    <w:rsid w:val="00ED1805"/>
    <w:rsid w:val="00ED2E91"/>
    <w:rsid w:val="00ED6D59"/>
    <w:rsid w:val="00ED722E"/>
    <w:rsid w:val="00EE00C6"/>
    <w:rsid w:val="00EE351C"/>
    <w:rsid w:val="00EE4F32"/>
    <w:rsid w:val="00EF027A"/>
    <w:rsid w:val="00EF12AF"/>
    <w:rsid w:val="00EF5115"/>
    <w:rsid w:val="00EF771E"/>
    <w:rsid w:val="00EF7C62"/>
    <w:rsid w:val="00F0149D"/>
    <w:rsid w:val="00F02045"/>
    <w:rsid w:val="00F02554"/>
    <w:rsid w:val="00F03806"/>
    <w:rsid w:val="00F0659D"/>
    <w:rsid w:val="00F07C1A"/>
    <w:rsid w:val="00F1213F"/>
    <w:rsid w:val="00F122E2"/>
    <w:rsid w:val="00F13346"/>
    <w:rsid w:val="00F13DFA"/>
    <w:rsid w:val="00F14F53"/>
    <w:rsid w:val="00F17D52"/>
    <w:rsid w:val="00F20225"/>
    <w:rsid w:val="00F2127E"/>
    <w:rsid w:val="00F2181B"/>
    <w:rsid w:val="00F2387B"/>
    <w:rsid w:val="00F253B3"/>
    <w:rsid w:val="00F256DB"/>
    <w:rsid w:val="00F26645"/>
    <w:rsid w:val="00F26AD9"/>
    <w:rsid w:val="00F31F3A"/>
    <w:rsid w:val="00F332CA"/>
    <w:rsid w:val="00F33B57"/>
    <w:rsid w:val="00F34976"/>
    <w:rsid w:val="00F35183"/>
    <w:rsid w:val="00F35D05"/>
    <w:rsid w:val="00F35DFD"/>
    <w:rsid w:val="00F3604E"/>
    <w:rsid w:val="00F379E8"/>
    <w:rsid w:val="00F42F12"/>
    <w:rsid w:val="00F4711A"/>
    <w:rsid w:val="00F526DE"/>
    <w:rsid w:val="00F532FA"/>
    <w:rsid w:val="00F53B0F"/>
    <w:rsid w:val="00F53F96"/>
    <w:rsid w:val="00F54000"/>
    <w:rsid w:val="00F554C7"/>
    <w:rsid w:val="00F56AB8"/>
    <w:rsid w:val="00F6259B"/>
    <w:rsid w:val="00F62CF1"/>
    <w:rsid w:val="00F63F69"/>
    <w:rsid w:val="00F64728"/>
    <w:rsid w:val="00F64AFA"/>
    <w:rsid w:val="00F64D78"/>
    <w:rsid w:val="00F66F47"/>
    <w:rsid w:val="00F67677"/>
    <w:rsid w:val="00F72932"/>
    <w:rsid w:val="00F73DFC"/>
    <w:rsid w:val="00F74EF6"/>
    <w:rsid w:val="00F76EF0"/>
    <w:rsid w:val="00F773D1"/>
    <w:rsid w:val="00F80514"/>
    <w:rsid w:val="00F80BF4"/>
    <w:rsid w:val="00F822DF"/>
    <w:rsid w:val="00F82426"/>
    <w:rsid w:val="00F82632"/>
    <w:rsid w:val="00F82EE4"/>
    <w:rsid w:val="00F834FB"/>
    <w:rsid w:val="00F84947"/>
    <w:rsid w:val="00F85974"/>
    <w:rsid w:val="00F86C97"/>
    <w:rsid w:val="00F9170C"/>
    <w:rsid w:val="00F91B5E"/>
    <w:rsid w:val="00F925E6"/>
    <w:rsid w:val="00F92A7A"/>
    <w:rsid w:val="00F92B25"/>
    <w:rsid w:val="00F94568"/>
    <w:rsid w:val="00F94D1A"/>
    <w:rsid w:val="00F95C6C"/>
    <w:rsid w:val="00F9708F"/>
    <w:rsid w:val="00F97358"/>
    <w:rsid w:val="00FA01C5"/>
    <w:rsid w:val="00FA1C99"/>
    <w:rsid w:val="00FA380B"/>
    <w:rsid w:val="00FA39DC"/>
    <w:rsid w:val="00FA3F1E"/>
    <w:rsid w:val="00FA519A"/>
    <w:rsid w:val="00FA5836"/>
    <w:rsid w:val="00FA6C64"/>
    <w:rsid w:val="00FA73EC"/>
    <w:rsid w:val="00FA7CA2"/>
    <w:rsid w:val="00FB0638"/>
    <w:rsid w:val="00FB0680"/>
    <w:rsid w:val="00FB1EA2"/>
    <w:rsid w:val="00FB4215"/>
    <w:rsid w:val="00FB6593"/>
    <w:rsid w:val="00FB65A3"/>
    <w:rsid w:val="00FC104A"/>
    <w:rsid w:val="00FC20AE"/>
    <w:rsid w:val="00FC3FE4"/>
    <w:rsid w:val="00FC4613"/>
    <w:rsid w:val="00FC4CB0"/>
    <w:rsid w:val="00FC59C3"/>
    <w:rsid w:val="00FC60ED"/>
    <w:rsid w:val="00FC6E22"/>
    <w:rsid w:val="00FC7353"/>
    <w:rsid w:val="00FD07E4"/>
    <w:rsid w:val="00FD1312"/>
    <w:rsid w:val="00FE060A"/>
    <w:rsid w:val="00FE15B7"/>
    <w:rsid w:val="00FE2519"/>
    <w:rsid w:val="00FE3B3E"/>
    <w:rsid w:val="00FE4C3C"/>
    <w:rsid w:val="00FE54C8"/>
    <w:rsid w:val="00FE727C"/>
    <w:rsid w:val="00FF03DD"/>
    <w:rsid w:val="00FF1129"/>
    <w:rsid w:val="00FF20BF"/>
    <w:rsid w:val="00FF3028"/>
    <w:rsid w:val="00FF639F"/>
    <w:rsid w:val="00FF64AF"/>
    <w:rsid w:val="00FF6AA4"/>
    <w:rsid w:val="00FF6CD1"/>
    <w:rsid w:val="00FF77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8DCD89"/>
  <w15:docId w15:val="{802F4335-4695-4C36-AC59-0D5A0C0F6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5CE"/>
    <w:pPr>
      <w:spacing w:after="240"/>
    </w:pPr>
    <w:rPr>
      <w:sz w:val="24"/>
      <w:lang w:val="en-GB" w:eastAsia="en-US"/>
    </w:rPr>
  </w:style>
  <w:style w:type="paragraph" w:styleId="Titre1">
    <w:name w:val="heading 1"/>
    <w:basedOn w:val="Normal"/>
    <w:next w:val="Normal"/>
    <w:qFormat/>
    <w:pPr>
      <w:keepNext/>
      <w:jc w:val="center"/>
      <w:outlineLvl w:val="0"/>
    </w:pPr>
    <w:rPr>
      <w:b/>
      <w:caps/>
    </w:rPr>
  </w:style>
  <w:style w:type="paragraph" w:styleId="Titre2">
    <w:name w:val="heading 2"/>
    <w:basedOn w:val="Normal"/>
    <w:next w:val="Normal"/>
    <w:qFormat/>
    <w:pPr>
      <w:keepNext/>
      <w:jc w:val="center"/>
      <w:outlineLvl w:val="1"/>
    </w:pPr>
    <w:rPr>
      <w:b/>
    </w:rPr>
  </w:style>
  <w:style w:type="paragraph" w:styleId="Titre3">
    <w:name w:val="heading 3"/>
    <w:basedOn w:val="Normal"/>
    <w:next w:val="Normal"/>
    <w:qFormat/>
    <w:pPr>
      <w:keepNext/>
      <w:outlineLvl w:val="2"/>
    </w:pPr>
    <w:rPr>
      <w:b/>
    </w:rPr>
  </w:style>
  <w:style w:type="paragraph" w:styleId="Titre4">
    <w:name w:val="heading 4"/>
    <w:basedOn w:val="Normal"/>
    <w:next w:val="Normal"/>
    <w:qFormat/>
    <w:pPr>
      <w:keepNext/>
      <w:outlineLvl w:val="3"/>
    </w:pPr>
    <w:rPr>
      <w:i/>
    </w:rPr>
  </w:style>
  <w:style w:type="paragraph" w:styleId="Titre5">
    <w:name w:val="heading 5"/>
    <w:basedOn w:val="Normal"/>
    <w:next w:val="Normal"/>
    <w:link w:val="Titre5Car"/>
    <w:qFormat/>
    <w:pPr>
      <w:keepNext/>
      <w:outlineLvl w:val="4"/>
    </w:pPr>
    <w:rPr>
      <w:b/>
      <w:i/>
    </w:rPr>
  </w:style>
  <w:style w:type="paragraph" w:styleId="Titre6">
    <w:name w:val="heading 6"/>
    <w:basedOn w:val="Normal"/>
    <w:next w:val="Normal"/>
    <w:qFormat/>
    <w:pPr>
      <w:keepNext/>
      <w:outlineLvl w:val="5"/>
    </w:pPr>
    <w:rPr>
      <w:b/>
      <w:caps/>
    </w:rPr>
  </w:style>
  <w:style w:type="paragraph" w:styleId="Titre7">
    <w:name w:val="heading 7"/>
    <w:basedOn w:val="Normal"/>
    <w:next w:val="Normal"/>
    <w:qFormat/>
    <w:pPr>
      <w:jc w:val="center"/>
      <w:outlineLvl w:val="6"/>
    </w:pPr>
    <w:rPr>
      <w:caps/>
    </w:rPr>
  </w:style>
  <w:style w:type="paragraph" w:styleId="Titre8">
    <w:name w:val="heading 8"/>
    <w:basedOn w:val="Normal"/>
    <w:next w:val="Normal"/>
    <w:qFormat/>
    <w:pPr>
      <w:keepNext/>
      <w:outlineLvl w:val="7"/>
    </w:pPr>
  </w:style>
  <w:style w:type="paragraph" w:styleId="Titre9">
    <w:name w:val="heading 9"/>
    <w:basedOn w:val="Normal"/>
    <w:next w:val="Normal"/>
    <w:qFormat/>
    <w:pPr>
      <w:keepNext/>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link w:val="Titre5"/>
    <w:rsid w:val="00A909D8"/>
    <w:rPr>
      <w:b/>
      <w:i/>
      <w:sz w:val="24"/>
      <w:lang w:val="en-GB" w:eastAsia="en-US"/>
    </w:rPr>
  </w:style>
  <w:style w:type="paragraph" w:styleId="En-tte">
    <w:name w:val="header"/>
    <w:basedOn w:val="Normal"/>
    <w:link w:val="En-tteCar"/>
    <w:pPr>
      <w:tabs>
        <w:tab w:val="center" w:pos="4320"/>
        <w:tab w:val="right" w:pos="8640"/>
      </w:tabs>
    </w:pPr>
  </w:style>
  <w:style w:type="character" w:customStyle="1" w:styleId="En-tteCar">
    <w:name w:val="En-tête Car"/>
    <w:link w:val="En-tte"/>
    <w:rsid w:val="00A909D8"/>
    <w:rPr>
      <w:sz w:val="24"/>
      <w:lang w:val="en-GB" w:eastAsia="en-US"/>
    </w:rPr>
  </w:style>
  <w:style w:type="paragraph" w:styleId="Pieddepage">
    <w:name w:val="footer"/>
    <w:aliases w:val="3_G"/>
    <w:basedOn w:val="Normal"/>
    <w:next w:val="Normal"/>
    <w:pPr>
      <w:tabs>
        <w:tab w:val="center" w:pos="4320"/>
        <w:tab w:val="right" w:pos="8640"/>
      </w:tabs>
      <w:spacing w:after="0"/>
    </w:pPr>
  </w:style>
  <w:style w:type="paragraph" w:customStyle="1" w:styleId="Rom1">
    <w:name w:val="Rom1"/>
    <w:basedOn w:val="Normal"/>
  </w:style>
  <w:style w:type="paragraph" w:customStyle="1" w:styleId="Rom2">
    <w:name w:val="Rom2"/>
    <w:basedOn w:val="Normal"/>
    <w:pPr>
      <w:numPr>
        <w:numId w:val="2"/>
      </w:numPr>
      <w:tabs>
        <w:tab w:val="clear" w:pos="2160"/>
      </w:tabs>
      <w:ind w:left="1702" w:hanging="284"/>
    </w:pPr>
  </w:style>
  <w:style w:type="paragraph" w:customStyle="1" w:styleId="ParaNo">
    <w:name w:val="ParaNo."/>
    <w:basedOn w:val="Normal"/>
    <w:pPr>
      <w:numPr>
        <w:numId w:val="1"/>
      </w:numPr>
      <w:tabs>
        <w:tab w:val="clear" w:pos="360"/>
        <w:tab w:val="left" w:pos="737"/>
      </w:tabs>
    </w:pPr>
    <w:rPr>
      <w:lang w:val="fr-CH"/>
    </w:rPr>
  </w:style>
  <w:style w:type="character" w:styleId="Appelnotedebasdep">
    <w:name w:val="footnote reference"/>
    <w:aliases w:val="Footnote Reference/"/>
    <w:rPr>
      <w:b/>
      <w:sz w:val="24"/>
      <w:vertAlign w:val="superscript"/>
    </w:rPr>
  </w:style>
  <w:style w:type="paragraph" w:styleId="Notedebasdepage">
    <w:name w:val="footnote text"/>
    <w:basedOn w:val="Normal"/>
    <w:link w:val="NotedebasdepageCar"/>
  </w:style>
  <w:style w:type="character" w:customStyle="1" w:styleId="NotedebasdepageCar">
    <w:name w:val="Note de bas de page Car"/>
    <w:link w:val="Notedebasdepage"/>
    <w:rsid w:val="00A909D8"/>
    <w:rPr>
      <w:sz w:val="24"/>
      <w:lang w:val="en-GB" w:eastAsia="en-US"/>
    </w:rPr>
  </w:style>
  <w:style w:type="character" w:styleId="Numrodepage">
    <w:name w:val="page number"/>
    <w:basedOn w:val="Policepardfaut"/>
  </w:style>
  <w:style w:type="paragraph" w:styleId="Retraitcorpsdetexte">
    <w:name w:val="Body Text Indent"/>
    <w:basedOn w:val="Normal"/>
    <w:next w:val="Normal"/>
    <w:rsid w:val="003A103A"/>
    <w:pPr>
      <w:ind w:left="567"/>
    </w:pPr>
  </w:style>
  <w:style w:type="paragraph" w:styleId="Notedefin">
    <w:name w:val="endnote text"/>
    <w:basedOn w:val="Normal"/>
  </w:style>
  <w:style w:type="character" w:styleId="Appeldenotedefin">
    <w:name w:val="endnote reference"/>
    <w:rPr>
      <w:b/>
      <w:sz w:val="24"/>
      <w:vertAlign w:val="superscript"/>
    </w:rPr>
  </w:style>
  <w:style w:type="paragraph" w:customStyle="1" w:styleId="Bullet">
    <w:name w:val="Bullet"/>
    <w:basedOn w:val="Normal"/>
    <w:rsid w:val="003A103A"/>
    <w:pPr>
      <w:numPr>
        <w:numId w:val="3"/>
      </w:numPr>
    </w:pPr>
  </w:style>
  <w:style w:type="paragraph" w:customStyle="1" w:styleId="Dash">
    <w:name w:val="Dash"/>
    <w:basedOn w:val="Normal"/>
    <w:rsid w:val="003A103A"/>
    <w:pPr>
      <w:numPr>
        <w:numId w:val="4"/>
      </w:numPr>
      <w:adjustRightInd w:val="0"/>
      <w:snapToGrid w:val="0"/>
    </w:pPr>
  </w:style>
  <w:style w:type="paragraph" w:customStyle="1" w:styleId="N3">
    <w:name w:val="N3"/>
    <w:basedOn w:val="Normal"/>
    <w:rsid w:val="00E5797E"/>
    <w:pPr>
      <w:widowControl w:val="0"/>
      <w:tabs>
        <w:tab w:val="left" w:pos="170"/>
      </w:tabs>
      <w:overflowPunct w:val="0"/>
      <w:autoSpaceDE w:val="0"/>
      <w:autoSpaceDN w:val="0"/>
      <w:adjustRightInd w:val="0"/>
      <w:spacing w:after="0"/>
      <w:jc w:val="both"/>
      <w:textAlignment w:val="baseline"/>
    </w:pPr>
    <w:rPr>
      <w:rFonts w:ascii="Tms Rmn" w:hAnsi="Tms Rmn" w:cs="Tms Rmn"/>
      <w:snapToGrid w:val="0"/>
      <w:sz w:val="22"/>
      <w:szCs w:val="22"/>
      <w:lang w:val="fr-FR" w:eastAsia="de-DE"/>
    </w:rPr>
  </w:style>
  <w:style w:type="paragraph" w:styleId="Retraitcorpsdetexte2">
    <w:name w:val="Body Text Indent 2"/>
    <w:basedOn w:val="Normal"/>
    <w:rsid w:val="00615BE1"/>
    <w:pPr>
      <w:spacing w:after="120" w:line="480" w:lineRule="auto"/>
      <w:ind w:left="283"/>
    </w:pPr>
  </w:style>
  <w:style w:type="paragraph" w:styleId="Corpsdetexte">
    <w:name w:val="Body Text"/>
    <w:basedOn w:val="Normal"/>
    <w:rsid w:val="00615BE1"/>
    <w:pPr>
      <w:spacing w:after="120"/>
    </w:pPr>
  </w:style>
  <w:style w:type="paragraph" w:customStyle="1" w:styleId="Index">
    <w:name w:val="Index"/>
    <w:basedOn w:val="Normal"/>
    <w:rsid w:val="007B5F64"/>
    <w:pPr>
      <w:widowControl w:val="0"/>
      <w:suppressLineNumbers/>
      <w:suppressAutoHyphens/>
      <w:overflowPunct w:val="0"/>
      <w:autoSpaceDE w:val="0"/>
      <w:autoSpaceDN w:val="0"/>
      <w:adjustRightInd w:val="0"/>
      <w:spacing w:after="0"/>
      <w:jc w:val="both"/>
      <w:textAlignment w:val="baseline"/>
    </w:pPr>
    <w:rPr>
      <w:lang w:val="en-US"/>
    </w:rPr>
  </w:style>
  <w:style w:type="paragraph" w:customStyle="1" w:styleId="Style1">
    <w:name w:val="Style1"/>
    <w:basedOn w:val="Normal"/>
    <w:rsid w:val="00357FB2"/>
    <w:pPr>
      <w:numPr>
        <w:numId w:val="5"/>
      </w:numPr>
      <w:spacing w:after="0"/>
    </w:pPr>
    <w:rPr>
      <w:sz w:val="22"/>
      <w:szCs w:val="24"/>
    </w:rPr>
  </w:style>
  <w:style w:type="paragraph" w:styleId="Textedebulles">
    <w:name w:val="Balloon Text"/>
    <w:basedOn w:val="Normal"/>
    <w:semiHidden/>
    <w:rsid w:val="00D504FE"/>
    <w:rPr>
      <w:rFonts w:ascii="Tahoma" w:hAnsi="Tahoma" w:cs="Tahoma"/>
      <w:sz w:val="16"/>
      <w:szCs w:val="16"/>
    </w:rPr>
  </w:style>
  <w:style w:type="table" w:styleId="Grilledutableau">
    <w:name w:val="Table Grid"/>
    <w:basedOn w:val="TableauNormal"/>
    <w:uiPriority w:val="59"/>
    <w:rsid w:val="00070E56"/>
    <w:pPr>
      <w:tabs>
        <w:tab w:val="left" w:pos="425"/>
        <w:tab w:val="left" w:pos="851"/>
        <w:tab w:val="left" w:pos="1276"/>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rsid w:val="00070E56"/>
    <w:pPr>
      <w:tabs>
        <w:tab w:val="left" w:pos="425"/>
        <w:tab w:val="left" w:pos="851"/>
        <w:tab w:val="left" w:pos="1276"/>
      </w:tabs>
      <w:spacing w:after="0"/>
      <w:jc w:val="both"/>
    </w:pPr>
    <w:rPr>
      <w:rFonts w:ascii="Arial" w:hAnsi="Arial"/>
      <w:color w:val="000000"/>
      <w:sz w:val="20"/>
      <w:lang w:val="de-DE" w:eastAsia="de-DE"/>
    </w:rPr>
  </w:style>
  <w:style w:type="character" w:customStyle="1" w:styleId="CommentaireCar">
    <w:name w:val="Commentaire Car"/>
    <w:link w:val="Commentaire"/>
    <w:rsid w:val="00070E56"/>
    <w:rPr>
      <w:rFonts w:ascii="Arial" w:hAnsi="Arial"/>
      <w:color w:val="000000"/>
      <w:lang w:val="de-DE" w:eastAsia="de-DE"/>
    </w:rPr>
  </w:style>
  <w:style w:type="character" w:styleId="Marquedecommentaire">
    <w:name w:val="annotation reference"/>
    <w:rsid w:val="00070E56"/>
    <w:rPr>
      <w:rFonts w:ascii="Arial" w:hAnsi="Arial"/>
      <w:sz w:val="16"/>
    </w:rPr>
  </w:style>
  <w:style w:type="paragraph" w:customStyle="1" w:styleId="NormaltextSpalte">
    <w:name w:val="Normaltext Spalte"/>
    <w:basedOn w:val="Normal"/>
    <w:rsid w:val="00070E56"/>
    <w:pPr>
      <w:tabs>
        <w:tab w:val="left" w:pos="425"/>
        <w:tab w:val="left" w:pos="851"/>
        <w:tab w:val="left" w:pos="1276"/>
      </w:tabs>
      <w:spacing w:before="180" w:after="0"/>
      <w:jc w:val="both"/>
    </w:pPr>
    <w:rPr>
      <w:rFonts w:ascii="Arial" w:hAnsi="Arial"/>
      <w:color w:val="000000"/>
      <w:sz w:val="18"/>
      <w:lang w:val="de-DE" w:eastAsia="de-DE"/>
    </w:rPr>
  </w:style>
  <w:style w:type="paragraph" w:customStyle="1" w:styleId="NormalListSpalte">
    <w:name w:val="Normal List Spalte"/>
    <w:basedOn w:val="Normal"/>
    <w:link w:val="NormalListSpalteChar"/>
    <w:rsid w:val="00070E56"/>
    <w:pPr>
      <w:tabs>
        <w:tab w:val="left" w:pos="215"/>
        <w:tab w:val="left" w:pos="425"/>
        <w:tab w:val="left" w:pos="851"/>
        <w:tab w:val="left" w:pos="1276"/>
      </w:tabs>
      <w:spacing w:before="60" w:after="0"/>
      <w:ind w:left="215" w:hanging="215"/>
      <w:jc w:val="both"/>
    </w:pPr>
    <w:rPr>
      <w:rFonts w:ascii="Arial" w:hAnsi="Arial"/>
      <w:color w:val="000000"/>
      <w:sz w:val="18"/>
      <w:lang w:val="de-DE" w:eastAsia="de-DE"/>
    </w:rPr>
  </w:style>
  <w:style w:type="character" w:customStyle="1" w:styleId="NormalListSpalteChar">
    <w:name w:val="Normal List Spalte Char"/>
    <w:basedOn w:val="NormalListChar"/>
    <w:link w:val="NormalListSpalte"/>
    <w:rsid w:val="00070E56"/>
    <w:rPr>
      <w:rFonts w:ascii="Arial" w:hAnsi="Arial"/>
      <w:color w:val="000000"/>
      <w:sz w:val="18"/>
      <w:lang w:val="de-DE" w:eastAsia="de-DE"/>
    </w:rPr>
  </w:style>
  <w:style w:type="character" w:customStyle="1" w:styleId="NormalListChar">
    <w:name w:val="Normal List Char"/>
    <w:link w:val="NormalList"/>
    <w:rsid w:val="00070E56"/>
    <w:rPr>
      <w:rFonts w:ascii="Arial" w:hAnsi="Arial"/>
      <w:color w:val="000000"/>
      <w:sz w:val="18"/>
      <w:lang w:val="de-DE" w:eastAsia="de-DE"/>
    </w:rPr>
  </w:style>
  <w:style w:type="paragraph" w:customStyle="1" w:styleId="NormalList">
    <w:name w:val="Normal List"/>
    <w:basedOn w:val="Normal"/>
    <w:link w:val="NormalListChar"/>
    <w:rsid w:val="00070E56"/>
    <w:pPr>
      <w:tabs>
        <w:tab w:val="left" w:pos="1400"/>
      </w:tabs>
      <w:spacing w:before="60" w:after="0"/>
      <w:ind w:left="1380" w:hanging="300"/>
      <w:jc w:val="both"/>
    </w:pPr>
    <w:rPr>
      <w:rFonts w:ascii="Arial" w:hAnsi="Arial"/>
      <w:color w:val="000000"/>
      <w:sz w:val="18"/>
      <w:lang w:val="de-DE" w:eastAsia="de-DE"/>
    </w:rPr>
  </w:style>
  <w:style w:type="paragraph" w:styleId="Objetducommentaire">
    <w:name w:val="annotation subject"/>
    <w:basedOn w:val="Commentaire"/>
    <w:next w:val="Commentaire"/>
    <w:link w:val="ObjetducommentaireCar"/>
    <w:rsid w:val="00070E56"/>
    <w:rPr>
      <w:b/>
      <w:bCs/>
    </w:rPr>
  </w:style>
  <w:style w:type="character" w:customStyle="1" w:styleId="ObjetducommentaireCar">
    <w:name w:val="Objet du commentaire Car"/>
    <w:link w:val="Objetducommentaire"/>
    <w:rsid w:val="00070E56"/>
    <w:rPr>
      <w:rFonts w:ascii="Arial" w:hAnsi="Arial"/>
      <w:b/>
      <w:bCs/>
      <w:color w:val="000000"/>
      <w:lang w:val="de-DE" w:eastAsia="de-DE"/>
    </w:rPr>
  </w:style>
  <w:style w:type="paragraph" w:customStyle="1" w:styleId="Randnummer">
    <w:name w:val="Randnummer"/>
    <w:basedOn w:val="Normal"/>
    <w:rsid w:val="00070E56"/>
    <w:pPr>
      <w:tabs>
        <w:tab w:val="left" w:pos="580"/>
        <w:tab w:val="left" w:pos="1100"/>
      </w:tabs>
      <w:spacing w:before="180" w:after="0"/>
      <w:ind w:left="1080" w:hanging="1080"/>
      <w:jc w:val="both"/>
    </w:pPr>
    <w:rPr>
      <w:rFonts w:ascii="Arial" w:hAnsi="Arial"/>
      <w:color w:val="000000"/>
      <w:sz w:val="18"/>
      <w:lang w:val="de-DE" w:eastAsia="de-DE"/>
    </w:rPr>
  </w:style>
  <w:style w:type="paragraph" w:customStyle="1" w:styleId="NormalBemerkung123">
    <w:name w:val="Normal Bemerkung123"/>
    <w:basedOn w:val="Normal"/>
    <w:rsid w:val="00070E56"/>
    <w:pPr>
      <w:tabs>
        <w:tab w:val="left" w:pos="1700"/>
        <w:tab w:val="left" w:pos="1980"/>
      </w:tabs>
      <w:spacing w:before="60" w:after="0"/>
      <w:ind w:left="1680" w:hanging="600"/>
      <w:jc w:val="both"/>
    </w:pPr>
    <w:rPr>
      <w:rFonts w:ascii="Arial" w:hAnsi="Arial"/>
      <w:color w:val="000000"/>
      <w:sz w:val="18"/>
      <w:lang w:val="de-DE" w:eastAsia="de-DE"/>
    </w:rPr>
  </w:style>
  <w:style w:type="paragraph" w:customStyle="1" w:styleId="NormalBemerkung">
    <w:name w:val="Normal Bemerkung"/>
    <w:basedOn w:val="Normal"/>
    <w:rsid w:val="00070E56"/>
    <w:pPr>
      <w:tabs>
        <w:tab w:val="left" w:pos="1700"/>
      </w:tabs>
      <w:spacing w:before="60" w:after="0"/>
      <w:ind w:left="1680" w:hanging="600"/>
      <w:jc w:val="both"/>
    </w:pPr>
    <w:rPr>
      <w:rFonts w:ascii="Arial" w:hAnsi="Arial"/>
      <w:color w:val="000000"/>
      <w:sz w:val="18"/>
      <w:lang w:val="de-DE" w:eastAsia="de-DE"/>
    </w:rPr>
  </w:style>
  <w:style w:type="paragraph" w:customStyle="1" w:styleId="TabelleAnhangVI">
    <w:name w:val="Tabelle Anhang VI"/>
    <w:rsid w:val="00070E56"/>
    <w:pPr>
      <w:keepLines/>
      <w:tabs>
        <w:tab w:val="right" w:pos="1191"/>
      </w:tabs>
      <w:spacing w:before="80" w:after="80" w:line="180" w:lineRule="atLeast"/>
    </w:pPr>
    <w:rPr>
      <w:rFonts w:ascii="Arial" w:hAnsi="Arial"/>
      <w:color w:val="000000"/>
      <w:sz w:val="18"/>
      <w:lang w:val="en-US"/>
    </w:rPr>
  </w:style>
  <w:style w:type="paragraph" w:customStyle="1" w:styleId="Normaltext">
    <w:name w:val="Normaltext"/>
    <w:basedOn w:val="Normal"/>
    <w:rsid w:val="00070E56"/>
    <w:pPr>
      <w:spacing w:before="180" w:after="0"/>
      <w:ind w:left="1080"/>
      <w:jc w:val="both"/>
    </w:pPr>
    <w:rPr>
      <w:rFonts w:ascii="Arial" w:hAnsi="Arial"/>
      <w:color w:val="000000"/>
      <w:sz w:val="18"/>
      <w:lang w:val="de-DE" w:eastAsia="de-DE"/>
    </w:rPr>
  </w:style>
  <w:style w:type="paragraph" w:customStyle="1" w:styleId="TabellenformatKlasse2">
    <w:name w:val="Tabellenformat Klasse 2"/>
    <w:basedOn w:val="Normal"/>
    <w:rsid w:val="00070E56"/>
    <w:pPr>
      <w:tabs>
        <w:tab w:val="left" w:pos="567"/>
      </w:tabs>
      <w:spacing w:after="0"/>
      <w:ind w:left="567" w:hanging="567"/>
    </w:pPr>
    <w:rPr>
      <w:rFonts w:ascii="Arial" w:hAnsi="Arial"/>
      <w:color w:val="000000"/>
      <w:sz w:val="18"/>
      <w:lang w:val="de-DE" w:eastAsia="de-DE"/>
    </w:rPr>
  </w:style>
  <w:style w:type="paragraph" w:customStyle="1" w:styleId="NormaltextSpalte0">
    <w:name w:val="Normaltext_Spalte"/>
    <w:basedOn w:val="Normal"/>
    <w:rsid w:val="00070E56"/>
    <w:pPr>
      <w:spacing w:before="180" w:after="0"/>
      <w:jc w:val="both"/>
    </w:pPr>
    <w:rPr>
      <w:rFonts w:ascii="Arial" w:hAnsi="Arial"/>
      <w:sz w:val="18"/>
      <w:lang w:val="de-DE" w:eastAsia="de-DE"/>
    </w:rPr>
  </w:style>
  <w:style w:type="paragraph" w:styleId="Corpsdetexte2">
    <w:name w:val="Body Text 2"/>
    <w:basedOn w:val="Normal"/>
    <w:link w:val="Corpsdetexte2Car"/>
    <w:rsid w:val="00070E56"/>
    <w:pPr>
      <w:tabs>
        <w:tab w:val="left" w:pos="425"/>
        <w:tab w:val="left" w:pos="851"/>
        <w:tab w:val="left" w:pos="1276"/>
      </w:tabs>
      <w:spacing w:after="120" w:line="480" w:lineRule="auto"/>
      <w:jc w:val="both"/>
    </w:pPr>
    <w:rPr>
      <w:rFonts w:ascii="Arial" w:hAnsi="Arial"/>
      <w:color w:val="000000"/>
      <w:sz w:val="22"/>
      <w:lang w:val="de-DE" w:eastAsia="de-DE"/>
    </w:rPr>
  </w:style>
  <w:style w:type="character" w:customStyle="1" w:styleId="Corpsdetexte2Car">
    <w:name w:val="Corps de texte 2 Car"/>
    <w:link w:val="Corpsdetexte2"/>
    <w:rsid w:val="00070E56"/>
    <w:rPr>
      <w:rFonts w:ascii="Arial" w:hAnsi="Arial"/>
      <w:color w:val="000000"/>
      <w:sz w:val="22"/>
      <w:lang w:val="de-DE" w:eastAsia="de-DE"/>
    </w:rPr>
  </w:style>
  <w:style w:type="paragraph" w:customStyle="1" w:styleId="Standardowy">
    <w:name w:val="Standardowy"/>
    <w:rsid w:val="00070E56"/>
    <w:rPr>
      <w:rFonts w:ascii="Arial" w:hAnsi="Arial"/>
      <w:snapToGrid w:val="0"/>
      <w:sz w:val="24"/>
      <w:lang w:val="en-GB" w:eastAsia="en-US"/>
    </w:rPr>
  </w:style>
  <w:style w:type="paragraph" w:customStyle="1" w:styleId="NumDocPara">
    <w:name w:val="Num©Doc Para"/>
    <w:basedOn w:val="Normal"/>
    <w:rsid w:val="00070E56"/>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pacing w:after="0"/>
    </w:pPr>
    <w:rPr>
      <w:snapToGrid w:val="0"/>
      <w:sz w:val="22"/>
      <w:lang w:val="en-US"/>
    </w:rPr>
  </w:style>
  <w:style w:type="paragraph" w:customStyle="1" w:styleId="TabelleAnhangVII">
    <w:name w:val="Tabelle Anhang VII"/>
    <w:basedOn w:val="Normal"/>
    <w:rsid w:val="00070E56"/>
    <w:pPr>
      <w:tabs>
        <w:tab w:val="left" w:pos="140"/>
      </w:tabs>
      <w:spacing w:after="0"/>
      <w:ind w:right="23"/>
    </w:pPr>
    <w:rPr>
      <w:rFonts w:ascii="Arial" w:hAnsi="Arial"/>
      <w:color w:val="000000"/>
      <w:sz w:val="18"/>
      <w:lang w:val="de-DE" w:eastAsia="de-DE"/>
    </w:rPr>
  </w:style>
  <w:style w:type="paragraph" w:styleId="Corpsdetexte3">
    <w:name w:val="Body Text 3"/>
    <w:basedOn w:val="Normal"/>
    <w:link w:val="Corpsdetexte3Car"/>
    <w:rsid w:val="00070E56"/>
    <w:pPr>
      <w:spacing w:after="120"/>
    </w:pPr>
    <w:rPr>
      <w:sz w:val="16"/>
      <w:szCs w:val="16"/>
    </w:rPr>
  </w:style>
  <w:style w:type="character" w:customStyle="1" w:styleId="Corpsdetexte3Car">
    <w:name w:val="Corps de texte 3 Car"/>
    <w:link w:val="Corpsdetexte3"/>
    <w:rsid w:val="00070E56"/>
    <w:rPr>
      <w:sz w:val="16"/>
      <w:szCs w:val="16"/>
      <w:lang w:val="en-GB" w:eastAsia="en-US"/>
    </w:rPr>
  </w:style>
  <w:style w:type="paragraph" w:customStyle="1" w:styleId="TabelleAnhangV">
    <w:name w:val="Tabelle Anhang V"/>
    <w:basedOn w:val="Normal"/>
    <w:rsid w:val="00070E56"/>
    <w:pPr>
      <w:tabs>
        <w:tab w:val="left" w:pos="140"/>
      </w:tabs>
      <w:spacing w:before="60" w:after="60"/>
      <w:ind w:right="20"/>
    </w:pPr>
    <w:rPr>
      <w:rFonts w:ascii="Arial" w:hAnsi="Arial"/>
      <w:color w:val="000000"/>
      <w:sz w:val="18"/>
      <w:lang w:val="de-DE" w:eastAsia="de-DE"/>
    </w:rPr>
  </w:style>
  <w:style w:type="paragraph" w:styleId="Retraitcorpsdetexte3">
    <w:name w:val="Body Text Indent 3"/>
    <w:basedOn w:val="Normal"/>
    <w:link w:val="Retraitcorpsdetexte3Car"/>
    <w:rsid w:val="00525173"/>
    <w:pPr>
      <w:spacing w:after="120"/>
      <w:ind w:left="283"/>
    </w:pPr>
    <w:rPr>
      <w:sz w:val="16"/>
      <w:szCs w:val="16"/>
    </w:rPr>
  </w:style>
  <w:style w:type="character" w:customStyle="1" w:styleId="Retraitcorpsdetexte3Car">
    <w:name w:val="Retrait corps de texte 3 Car"/>
    <w:link w:val="Retraitcorpsdetexte3"/>
    <w:rsid w:val="00525173"/>
    <w:rPr>
      <w:sz w:val="16"/>
      <w:szCs w:val="16"/>
      <w:lang w:val="en-GB" w:eastAsia="en-US"/>
    </w:rPr>
  </w:style>
  <w:style w:type="paragraph" w:customStyle="1" w:styleId="N20">
    <w:name w:val="N20"/>
    <w:basedOn w:val="Normal"/>
    <w:link w:val="N20Car"/>
    <w:rsid w:val="00525173"/>
    <w:pPr>
      <w:widowControl w:val="0"/>
      <w:spacing w:after="0"/>
      <w:ind w:left="1134"/>
      <w:jc w:val="both"/>
    </w:pPr>
    <w:rPr>
      <w:rFonts w:ascii="Arial" w:hAnsi="Arial"/>
      <w:color w:val="000000"/>
      <w:sz w:val="20"/>
      <w:szCs w:val="22"/>
      <w:lang w:val="de-DE" w:eastAsia="de-DE"/>
    </w:rPr>
  </w:style>
  <w:style w:type="character" w:customStyle="1" w:styleId="N20Car">
    <w:name w:val="N20 Car"/>
    <w:link w:val="N20"/>
    <w:rsid w:val="00525173"/>
    <w:rPr>
      <w:rFonts w:ascii="Arial" w:hAnsi="Arial" w:cs="Arial"/>
      <w:color w:val="000000"/>
      <w:szCs w:val="22"/>
      <w:lang w:val="de-DE" w:eastAsia="de-DE"/>
    </w:rPr>
  </w:style>
  <w:style w:type="paragraph" w:styleId="Paragraphedeliste">
    <w:name w:val="List Paragraph"/>
    <w:basedOn w:val="Normal"/>
    <w:uiPriority w:val="34"/>
    <w:qFormat/>
    <w:rsid w:val="002E4C45"/>
    <w:pPr>
      <w:ind w:left="708"/>
    </w:pPr>
  </w:style>
  <w:style w:type="paragraph" w:customStyle="1" w:styleId="N5">
    <w:name w:val="N5"/>
    <w:basedOn w:val="Normal"/>
    <w:rsid w:val="004F21B6"/>
    <w:pPr>
      <w:widowControl w:val="0"/>
      <w:tabs>
        <w:tab w:val="left" w:pos="1134"/>
        <w:tab w:val="left" w:pos="1418"/>
      </w:tabs>
      <w:overflowPunct w:val="0"/>
      <w:autoSpaceDE w:val="0"/>
      <w:autoSpaceDN w:val="0"/>
      <w:adjustRightInd w:val="0"/>
      <w:spacing w:after="0"/>
      <w:ind w:left="1418" w:hanging="284"/>
      <w:jc w:val="both"/>
      <w:textAlignment w:val="baseline"/>
    </w:pPr>
    <w:rPr>
      <w:rFonts w:ascii="Arial" w:hAnsi="Arial"/>
      <w:sz w:val="20"/>
      <w:lang w:val="de-DE" w:eastAsia="nl-NL"/>
    </w:rPr>
  </w:style>
  <w:style w:type="paragraph" w:customStyle="1" w:styleId="Corpsdetexte21">
    <w:name w:val="Corps de texte 21"/>
    <w:basedOn w:val="Normal"/>
    <w:rsid w:val="004F21B6"/>
    <w:pPr>
      <w:widowControl w:val="0"/>
      <w:overflowPunct w:val="0"/>
      <w:autoSpaceDE w:val="0"/>
      <w:autoSpaceDN w:val="0"/>
      <w:adjustRightInd w:val="0"/>
      <w:spacing w:after="0" w:line="220" w:lineRule="exact"/>
      <w:ind w:left="1701" w:hanging="566"/>
      <w:jc w:val="both"/>
      <w:textAlignment w:val="baseline"/>
    </w:pPr>
    <w:rPr>
      <w:rFonts w:ascii="Arial" w:hAnsi="Arial"/>
      <w:sz w:val="20"/>
      <w:lang w:val="de-DE" w:eastAsia="nl-NL"/>
    </w:rPr>
  </w:style>
  <w:style w:type="paragraph" w:customStyle="1" w:styleId="Retraitcorpsdetexte31">
    <w:name w:val="Retrait corps de texte 31"/>
    <w:basedOn w:val="Normal"/>
    <w:rsid w:val="004F21B6"/>
    <w:pPr>
      <w:widowControl w:val="0"/>
      <w:overflowPunct w:val="0"/>
      <w:autoSpaceDE w:val="0"/>
      <w:autoSpaceDN w:val="0"/>
      <w:adjustRightInd w:val="0"/>
      <w:spacing w:after="120"/>
      <w:ind w:left="283" w:hanging="1134"/>
      <w:jc w:val="both"/>
      <w:textAlignment w:val="baseline"/>
    </w:pPr>
    <w:rPr>
      <w:rFonts w:ascii="Arial" w:hAnsi="Arial"/>
      <w:sz w:val="16"/>
      <w:lang w:val="en-US" w:eastAsia="nl-NL"/>
    </w:rPr>
  </w:style>
  <w:style w:type="paragraph" w:customStyle="1" w:styleId="SingleTxtG">
    <w:name w:val="_ Single Txt_G"/>
    <w:basedOn w:val="Normal"/>
    <w:link w:val="SingleTxtGChar"/>
    <w:uiPriority w:val="99"/>
    <w:qFormat/>
    <w:rsid w:val="00F67677"/>
    <w:pPr>
      <w:suppressAutoHyphens/>
      <w:spacing w:after="120" w:line="240" w:lineRule="atLeast"/>
      <w:ind w:left="1134" w:right="1134"/>
      <w:jc w:val="both"/>
    </w:pPr>
    <w:rPr>
      <w:sz w:val="20"/>
    </w:rPr>
  </w:style>
  <w:style w:type="table" w:customStyle="1" w:styleId="Tabellenraster1">
    <w:name w:val="Tabellenraster1"/>
    <w:basedOn w:val="TableauNormal"/>
    <w:next w:val="Grilledutableau"/>
    <w:rsid w:val="00F67677"/>
    <w:pPr>
      <w:spacing w:line="260" w:lineRule="atLeast"/>
    </w:pPr>
    <w:rPr>
      <w:lang w:val="en-GB"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link w:val="SingleTxtG"/>
    <w:uiPriority w:val="99"/>
    <w:qFormat/>
    <w:rsid w:val="00302FF0"/>
    <w:rPr>
      <w:lang w:val="en-GB" w:eastAsia="en-US"/>
    </w:rPr>
  </w:style>
  <w:style w:type="paragraph" w:styleId="Rvision">
    <w:name w:val="Revision"/>
    <w:hidden/>
    <w:uiPriority w:val="99"/>
    <w:semiHidden/>
    <w:rsid w:val="003C46B1"/>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615">
      <w:bodyDiv w:val="1"/>
      <w:marLeft w:val="0"/>
      <w:marRight w:val="0"/>
      <w:marTop w:val="0"/>
      <w:marBottom w:val="0"/>
      <w:divBdr>
        <w:top w:val="none" w:sz="0" w:space="0" w:color="auto"/>
        <w:left w:val="none" w:sz="0" w:space="0" w:color="auto"/>
        <w:bottom w:val="none" w:sz="0" w:space="0" w:color="auto"/>
        <w:right w:val="none" w:sz="0" w:space="0" w:color="auto"/>
      </w:divBdr>
    </w:div>
    <w:div w:id="81225659">
      <w:bodyDiv w:val="1"/>
      <w:marLeft w:val="0"/>
      <w:marRight w:val="0"/>
      <w:marTop w:val="0"/>
      <w:marBottom w:val="0"/>
      <w:divBdr>
        <w:top w:val="none" w:sz="0" w:space="0" w:color="auto"/>
        <w:left w:val="none" w:sz="0" w:space="0" w:color="auto"/>
        <w:bottom w:val="none" w:sz="0" w:space="0" w:color="auto"/>
        <w:right w:val="none" w:sz="0" w:space="0" w:color="auto"/>
      </w:divBdr>
    </w:div>
    <w:div w:id="182790585">
      <w:bodyDiv w:val="1"/>
      <w:marLeft w:val="0"/>
      <w:marRight w:val="0"/>
      <w:marTop w:val="0"/>
      <w:marBottom w:val="0"/>
      <w:divBdr>
        <w:top w:val="none" w:sz="0" w:space="0" w:color="auto"/>
        <w:left w:val="none" w:sz="0" w:space="0" w:color="auto"/>
        <w:bottom w:val="none" w:sz="0" w:space="0" w:color="auto"/>
        <w:right w:val="none" w:sz="0" w:space="0" w:color="auto"/>
      </w:divBdr>
    </w:div>
    <w:div w:id="428432805">
      <w:bodyDiv w:val="1"/>
      <w:marLeft w:val="0"/>
      <w:marRight w:val="0"/>
      <w:marTop w:val="0"/>
      <w:marBottom w:val="0"/>
      <w:divBdr>
        <w:top w:val="none" w:sz="0" w:space="0" w:color="auto"/>
        <w:left w:val="none" w:sz="0" w:space="0" w:color="auto"/>
        <w:bottom w:val="none" w:sz="0" w:space="0" w:color="auto"/>
        <w:right w:val="none" w:sz="0" w:space="0" w:color="auto"/>
      </w:divBdr>
    </w:div>
    <w:div w:id="572858803">
      <w:bodyDiv w:val="1"/>
      <w:marLeft w:val="0"/>
      <w:marRight w:val="0"/>
      <w:marTop w:val="0"/>
      <w:marBottom w:val="0"/>
      <w:divBdr>
        <w:top w:val="none" w:sz="0" w:space="0" w:color="auto"/>
        <w:left w:val="none" w:sz="0" w:space="0" w:color="auto"/>
        <w:bottom w:val="none" w:sz="0" w:space="0" w:color="auto"/>
        <w:right w:val="none" w:sz="0" w:space="0" w:color="auto"/>
      </w:divBdr>
    </w:div>
    <w:div w:id="681392814">
      <w:bodyDiv w:val="1"/>
      <w:marLeft w:val="0"/>
      <w:marRight w:val="0"/>
      <w:marTop w:val="0"/>
      <w:marBottom w:val="0"/>
      <w:divBdr>
        <w:top w:val="none" w:sz="0" w:space="0" w:color="auto"/>
        <w:left w:val="none" w:sz="0" w:space="0" w:color="auto"/>
        <w:bottom w:val="none" w:sz="0" w:space="0" w:color="auto"/>
        <w:right w:val="none" w:sz="0" w:space="0" w:color="auto"/>
      </w:divBdr>
    </w:div>
    <w:div w:id="776291569">
      <w:bodyDiv w:val="1"/>
      <w:marLeft w:val="0"/>
      <w:marRight w:val="0"/>
      <w:marTop w:val="0"/>
      <w:marBottom w:val="0"/>
      <w:divBdr>
        <w:top w:val="none" w:sz="0" w:space="0" w:color="auto"/>
        <w:left w:val="none" w:sz="0" w:space="0" w:color="auto"/>
        <w:bottom w:val="none" w:sz="0" w:space="0" w:color="auto"/>
        <w:right w:val="none" w:sz="0" w:space="0" w:color="auto"/>
      </w:divBdr>
    </w:div>
    <w:div w:id="836266154">
      <w:bodyDiv w:val="1"/>
      <w:marLeft w:val="0"/>
      <w:marRight w:val="0"/>
      <w:marTop w:val="0"/>
      <w:marBottom w:val="0"/>
      <w:divBdr>
        <w:top w:val="none" w:sz="0" w:space="0" w:color="auto"/>
        <w:left w:val="none" w:sz="0" w:space="0" w:color="auto"/>
        <w:bottom w:val="none" w:sz="0" w:space="0" w:color="auto"/>
        <w:right w:val="none" w:sz="0" w:space="0" w:color="auto"/>
      </w:divBdr>
    </w:div>
    <w:div w:id="837843433">
      <w:bodyDiv w:val="1"/>
      <w:marLeft w:val="0"/>
      <w:marRight w:val="0"/>
      <w:marTop w:val="0"/>
      <w:marBottom w:val="0"/>
      <w:divBdr>
        <w:top w:val="none" w:sz="0" w:space="0" w:color="auto"/>
        <w:left w:val="none" w:sz="0" w:space="0" w:color="auto"/>
        <w:bottom w:val="none" w:sz="0" w:space="0" w:color="auto"/>
        <w:right w:val="none" w:sz="0" w:space="0" w:color="auto"/>
      </w:divBdr>
    </w:div>
    <w:div w:id="951862287">
      <w:bodyDiv w:val="1"/>
      <w:marLeft w:val="0"/>
      <w:marRight w:val="0"/>
      <w:marTop w:val="0"/>
      <w:marBottom w:val="0"/>
      <w:divBdr>
        <w:top w:val="none" w:sz="0" w:space="0" w:color="auto"/>
        <w:left w:val="none" w:sz="0" w:space="0" w:color="auto"/>
        <w:bottom w:val="none" w:sz="0" w:space="0" w:color="auto"/>
        <w:right w:val="none" w:sz="0" w:space="0" w:color="auto"/>
      </w:divBdr>
    </w:div>
    <w:div w:id="972712209">
      <w:bodyDiv w:val="1"/>
      <w:marLeft w:val="0"/>
      <w:marRight w:val="0"/>
      <w:marTop w:val="0"/>
      <w:marBottom w:val="0"/>
      <w:divBdr>
        <w:top w:val="none" w:sz="0" w:space="0" w:color="auto"/>
        <w:left w:val="none" w:sz="0" w:space="0" w:color="auto"/>
        <w:bottom w:val="none" w:sz="0" w:space="0" w:color="auto"/>
        <w:right w:val="none" w:sz="0" w:space="0" w:color="auto"/>
      </w:divBdr>
    </w:div>
    <w:div w:id="1245146462">
      <w:bodyDiv w:val="1"/>
      <w:marLeft w:val="0"/>
      <w:marRight w:val="0"/>
      <w:marTop w:val="0"/>
      <w:marBottom w:val="0"/>
      <w:divBdr>
        <w:top w:val="none" w:sz="0" w:space="0" w:color="auto"/>
        <w:left w:val="none" w:sz="0" w:space="0" w:color="auto"/>
        <w:bottom w:val="none" w:sz="0" w:space="0" w:color="auto"/>
        <w:right w:val="none" w:sz="0" w:space="0" w:color="auto"/>
      </w:divBdr>
    </w:div>
    <w:div w:id="1557623318">
      <w:bodyDiv w:val="1"/>
      <w:marLeft w:val="0"/>
      <w:marRight w:val="0"/>
      <w:marTop w:val="0"/>
      <w:marBottom w:val="0"/>
      <w:divBdr>
        <w:top w:val="none" w:sz="0" w:space="0" w:color="auto"/>
        <w:left w:val="none" w:sz="0" w:space="0" w:color="auto"/>
        <w:bottom w:val="none" w:sz="0" w:space="0" w:color="auto"/>
        <w:right w:val="none" w:sz="0" w:space="0" w:color="auto"/>
      </w:divBdr>
    </w:div>
    <w:div w:id="1587108414">
      <w:bodyDiv w:val="1"/>
      <w:marLeft w:val="0"/>
      <w:marRight w:val="0"/>
      <w:marTop w:val="0"/>
      <w:marBottom w:val="0"/>
      <w:divBdr>
        <w:top w:val="none" w:sz="0" w:space="0" w:color="auto"/>
        <w:left w:val="none" w:sz="0" w:space="0" w:color="auto"/>
        <w:bottom w:val="none" w:sz="0" w:space="0" w:color="auto"/>
        <w:right w:val="none" w:sz="0" w:space="0" w:color="auto"/>
      </w:divBdr>
    </w:div>
    <w:div w:id="1636644709">
      <w:bodyDiv w:val="1"/>
      <w:marLeft w:val="0"/>
      <w:marRight w:val="0"/>
      <w:marTop w:val="0"/>
      <w:marBottom w:val="0"/>
      <w:divBdr>
        <w:top w:val="none" w:sz="0" w:space="0" w:color="auto"/>
        <w:left w:val="none" w:sz="0" w:space="0" w:color="auto"/>
        <w:bottom w:val="none" w:sz="0" w:space="0" w:color="auto"/>
        <w:right w:val="none" w:sz="0" w:space="0" w:color="auto"/>
      </w:divBdr>
    </w:div>
    <w:div w:id="1682052750">
      <w:bodyDiv w:val="1"/>
      <w:marLeft w:val="0"/>
      <w:marRight w:val="0"/>
      <w:marTop w:val="0"/>
      <w:marBottom w:val="0"/>
      <w:divBdr>
        <w:top w:val="none" w:sz="0" w:space="0" w:color="auto"/>
        <w:left w:val="none" w:sz="0" w:space="0" w:color="auto"/>
        <w:bottom w:val="none" w:sz="0" w:space="0" w:color="auto"/>
        <w:right w:val="none" w:sz="0" w:space="0" w:color="auto"/>
      </w:divBdr>
    </w:div>
    <w:div w:id="1953322816">
      <w:bodyDiv w:val="1"/>
      <w:marLeft w:val="0"/>
      <w:marRight w:val="0"/>
      <w:marTop w:val="0"/>
      <w:marBottom w:val="0"/>
      <w:divBdr>
        <w:top w:val="none" w:sz="0" w:space="0" w:color="auto"/>
        <w:left w:val="none" w:sz="0" w:space="0" w:color="auto"/>
        <w:bottom w:val="none" w:sz="0" w:space="0" w:color="auto"/>
        <w:right w:val="none" w:sz="0" w:space="0" w:color="auto"/>
      </w:divBdr>
    </w:div>
    <w:div w:id="2082483881">
      <w:bodyDiv w:val="1"/>
      <w:marLeft w:val="0"/>
      <w:marRight w:val="0"/>
      <w:marTop w:val="0"/>
      <w:marBottom w:val="0"/>
      <w:divBdr>
        <w:top w:val="none" w:sz="0" w:space="0" w:color="auto"/>
        <w:left w:val="none" w:sz="0" w:space="0" w:color="auto"/>
        <w:bottom w:val="none" w:sz="0" w:space="0" w:color="auto"/>
        <w:right w:val="none" w:sz="0" w:space="0" w:color="auto"/>
      </w:divBdr>
    </w:div>
    <w:div w:id="210680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95EE4871-17FF-498D-AA87-9BF681898232}">
  <ds:schemaRefs>
    <ds:schemaRef ds:uri="http://schemas.openxmlformats.org/officeDocument/2006/bibliography"/>
  </ds:schemaRefs>
</ds:datastoreItem>
</file>

<file path=customXml/itemProps2.xml><?xml version="1.0" encoding="utf-8"?>
<ds:datastoreItem xmlns:ds="http://schemas.openxmlformats.org/officeDocument/2006/customXml" ds:itemID="{FDD3BD3B-0903-4254-B092-F88491C0076C}"/>
</file>

<file path=customXml/itemProps3.xml><?xml version="1.0" encoding="utf-8"?>
<ds:datastoreItem xmlns:ds="http://schemas.openxmlformats.org/officeDocument/2006/customXml" ds:itemID="{3F09D46D-D4D5-48F3-B96D-2CF1EB6942A2}"/>
</file>

<file path=customXml/itemProps4.xml><?xml version="1.0" encoding="utf-8"?>
<ds:datastoreItem xmlns:ds="http://schemas.openxmlformats.org/officeDocument/2006/customXml" ds:itemID="{AF485CD7-0865-434A-923D-C3CC66165D3A}"/>
</file>

<file path=docProps/app.xml><?xml version="1.0" encoding="utf-8"?>
<Properties xmlns="http://schemas.openxmlformats.org/officeDocument/2006/extended-properties" xmlns:vt="http://schemas.openxmlformats.org/officeDocument/2006/docPropsVTypes">
  <Template>Normal</Template>
  <TotalTime>42</TotalTime>
  <Pages>8</Pages>
  <Words>3432</Words>
  <Characters>22125</Characters>
  <Application>Microsoft Office Word</Application>
  <DocSecurity>0</DocSecurity>
  <Lines>184</Lines>
  <Paragraphs>51</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Entwurf - Bericht über die 13. Sitzung der Informellen Arbeitsgruppe „Stoffe“</vt:lpstr>
      <vt:lpstr/>
      <vt:lpstr>Bericht über die 4. Sitzung der Informellen Arbeitsgruppe „Stoffe“ am 13. Oktober 2011 in Braunschweig</vt:lpstr>
    </vt:vector>
  </TitlesOfParts>
  <Company/>
  <LinksUpToDate>false</LinksUpToDate>
  <CharactersWithSpaces>25506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Entwurf - Bericht über die 13. Sitzung der Informellen Arbeitsgruppe „Stoffe“</dc:title>
  <dc:creator/>
  <cp:lastModifiedBy>Martine Moench</cp:lastModifiedBy>
  <cp:revision>11</cp:revision>
  <cp:lastPrinted>2019-05-22T10:25:00Z</cp:lastPrinted>
  <dcterms:created xsi:type="dcterms:W3CDTF">2023-11-13T09:38:00Z</dcterms:created>
  <dcterms:modified xsi:type="dcterms:W3CDTF">2023-11-13T15:56:00Z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