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E4F4903" w14:textId="77777777" w:rsidTr="00387CD4">
        <w:trPr>
          <w:trHeight w:hRule="exact" w:val="851"/>
        </w:trPr>
        <w:tc>
          <w:tcPr>
            <w:tcW w:w="142" w:type="dxa"/>
            <w:tcBorders>
              <w:bottom w:val="single" w:sz="4" w:space="0" w:color="auto"/>
            </w:tcBorders>
          </w:tcPr>
          <w:p w14:paraId="2EC279DA" w14:textId="77777777" w:rsidR="002D5AAC" w:rsidRDefault="002D5AAC" w:rsidP="00E16E8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5C95A9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8A43342" w14:textId="3A3C11BE" w:rsidR="002D5AAC" w:rsidRDefault="00E16E80" w:rsidP="00E16E80">
            <w:pPr>
              <w:jc w:val="right"/>
            </w:pPr>
            <w:r w:rsidRPr="00E16E80">
              <w:rPr>
                <w:sz w:val="40"/>
              </w:rPr>
              <w:t>ECE</w:t>
            </w:r>
            <w:r>
              <w:t>/MP.EIA/IC/2023/4</w:t>
            </w:r>
          </w:p>
        </w:tc>
      </w:tr>
      <w:tr w:rsidR="002D5AAC" w:rsidRPr="001B7E8A" w14:paraId="118AB0FE" w14:textId="77777777" w:rsidTr="00387CD4">
        <w:trPr>
          <w:trHeight w:hRule="exact" w:val="2835"/>
        </w:trPr>
        <w:tc>
          <w:tcPr>
            <w:tcW w:w="1280" w:type="dxa"/>
            <w:gridSpan w:val="2"/>
            <w:tcBorders>
              <w:top w:val="single" w:sz="4" w:space="0" w:color="auto"/>
              <w:bottom w:val="single" w:sz="12" w:space="0" w:color="auto"/>
            </w:tcBorders>
          </w:tcPr>
          <w:p w14:paraId="22B0D05C" w14:textId="77777777" w:rsidR="002D5AAC" w:rsidRDefault="002E5067" w:rsidP="00387CD4">
            <w:pPr>
              <w:spacing w:before="120"/>
              <w:jc w:val="center"/>
            </w:pPr>
            <w:r>
              <w:rPr>
                <w:noProof/>
                <w:lang w:val="fr-CH" w:eastAsia="fr-CH"/>
              </w:rPr>
              <w:drawing>
                <wp:inline distT="0" distB="0" distL="0" distR="0" wp14:anchorId="599B253E" wp14:editId="2FF0A88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4360BD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4CD6D7A" w14:textId="77777777" w:rsidR="002D5AAC" w:rsidRDefault="00E16E80" w:rsidP="00387CD4">
            <w:pPr>
              <w:spacing w:before="240"/>
              <w:rPr>
                <w:lang w:val="en-US"/>
              </w:rPr>
            </w:pPr>
            <w:r>
              <w:rPr>
                <w:lang w:val="en-US"/>
              </w:rPr>
              <w:t>Distr.: General</w:t>
            </w:r>
          </w:p>
          <w:p w14:paraId="5ACB690F" w14:textId="4AF22005" w:rsidR="00E16E80" w:rsidRDefault="00E16E80" w:rsidP="00E16E80">
            <w:pPr>
              <w:spacing w:line="240" w:lineRule="exact"/>
              <w:rPr>
                <w:lang w:val="en-US"/>
              </w:rPr>
            </w:pPr>
            <w:r>
              <w:rPr>
                <w:lang w:val="en-US"/>
              </w:rPr>
              <w:t>17 May 2023</w:t>
            </w:r>
          </w:p>
          <w:p w14:paraId="3CFD9DDE" w14:textId="77777777" w:rsidR="00E16E80" w:rsidRDefault="00E16E80" w:rsidP="00E16E80">
            <w:pPr>
              <w:spacing w:line="240" w:lineRule="exact"/>
              <w:rPr>
                <w:lang w:val="en-US"/>
              </w:rPr>
            </w:pPr>
            <w:r>
              <w:rPr>
                <w:lang w:val="en-US"/>
              </w:rPr>
              <w:t>Russian</w:t>
            </w:r>
          </w:p>
          <w:p w14:paraId="58716709" w14:textId="12C021BA" w:rsidR="00E16E80" w:rsidRPr="008D53B6" w:rsidRDefault="00E16E80" w:rsidP="00E16E80">
            <w:pPr>
              <w:spacing w:line="240" w:lineRule="exact"/>
              <w:rPr>
                <w:lang w:val="en-US"/>
              </w:rPr>
            </w:pPr>
            <w:r>
              <w:rPr>
                <w:lang w:val="en-US"/>
              </w:rPr>
              <w:t>Original: English</w:t>
            </w:r>
          </w:p>
        </w:tc>
      </w:tr>
    </w:tbl>
    <w:p w14:paraId="10B4C94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EF3444B" w14:textId="090D232B" w:rsidR="00E16E80" w:rsidRPr="00E16E80" w:rsidRDefault="00E16E80" w:rsidP="00E16E80">
      <w:pPr>
        <w:spacing w:before="120"/>
        <w:rPr>
          <w:sz w:val="28"/>
          <w:szCs w:val="28"/>
        </w:rPr>
      </w:pPr>
      <w:r w:rsidRPr="00E16E80">
        <w:rPr>
          <w:sz w:val="28"/>
          <w:szCs w:val="28"/>
        </w:rPr>
        <w:t xml:space="preserve">Совещание Сторон Конвенции об оценке </w:t>
      </w:r>
      <w:r>
        <w:rPr>
          <w:sz w:val="28"/>
          <w:szCs w:val="28"/>
        </w:rPr>
        <w:br/>
      </w:r>
      <w:r w:rsidRPr="00E16E80">
        <w:rPr>
          <w:sz w:val="28"/>
          <w:szCs w:val="28"/>
        </w:rPr>
        <w:t xml:space="preserve">воздействия на окружающую среду </w:t>
      </w:r>
      <w:r>
        <w:rPr>
          <w:sz w:val="28"/>
          <w:szCs w:val="28"/>
        </w:rPr>
        <w:br/>
      </w:r>
      <w:r w:rsidRPr="00E16E80">
        <w:rPr>
          <w:sz w:val="28"/>
          <w:szCs w:val="28"/>
        </w:rPr>
        <w:t>в трансграничном контексте</w:t>
      </w:r>
    </w:p>
    <w:p w14:paraId="158FCC23" w14:textId="19400944" w:rsidR="00E16E80" w:rsidRPr="00E16E80" w:rsidRDefault="00E16E80" w:rsidP="00E16E80">
      <w:pPr>
        <w:spacing w:before="120"/>
        <w:rPr>
          <w:sz w:val="28"/>
          <w:szCs w:val="28"/>
        </w:rPr>
      </w:pPr>
      <w:r w:rsidRPr="00E16E80">
        <w:rPr>
          <w:sz w:val="28"/>
          <w:szCs w:val="28"/>
        </w:rPr>
        <w:t xml:space="preserve">Совещание Сторон Конвенции об оценке </w:t>
      </w:r>
      <w:r>
        <w:rPr>
          <w:sz w:val="28"/>
          <w:szCs w:val="28"/>
        </w:rPr>
        <w:br/>
      </w:r>
      <w:r w:rsidRPr="00E16E80">
        <w:rPr>
          <w:sz w:val="28"/>
          <w:szCs w:val="28"/>
        </w:rPr>
        <w:t xml:space="preserve">воздействия на окружающую среду </w:t>
      </w:r>
      <w:r>
        <w:rPr>
          <w:sz w:val="28"/>
          <w:szCs w:val="28"/>
        </w:rPr>
        <w:br/>
      </w:r>
      <w:r w:rsidRPr="00E16E80">
        <w:rPr>
          <w:sz w:val="28"/>
          <w:szCs w:val="28"/>
        </w:rPr>
        <w:t xml:space="preserve">в трансграничном контексте, действующее </w:t>
      </w:r>
      <w:r>
        <w:rPr>
          <w:sz w:val="28"/>
          <w:szCs w:val="28"/>
        </w:rPr>
        <w:br/>
      </w:r>
      <w:r w:rsidRPr="00E16E80">
        <w:rPr>
          <w:sz w:val="28"/>
          <w:szCs w:val="28"/>
        </w:rPr>
        <w:t xml:space="preserve">в качестве Совещания Сторон Протокола </w:t>
      </w:r>
      <w:r>
        <w:rPr>
          <w:sz w:val="28"/>
          <w:szCs w:val="28"/>
        </w:rPr>
        <w:br/>
      </w:r>
      <w:r w:rsidRPr="00E16E80">
        <w:rPr>
          <w:sz w:val="28"/>
          <w:szCs w:val="28"/>
        </w:rPr>
        <w:t>по стратегической экологической оценке</w:t>
      </w:r>
    </w:p>
    <w:p w14:paraId="48971ADA" w14:textId="77777777" w:rsidR="00E16E80" w:rsidRPr="00E16E80" w:rsidRDefault="00E16E80" w:rsidP="00E16E80">
      <w:pPr>
        <w:spacing w:before="120"/>
        <w:rPr>
          <w:b/>
          <w:bCs/>
          <w:sz w:val="24"/>
          <w:szCs w:val="24"/>
        </w:rPr>
      </w:pPr>
      <w:r w:rsidRPr="00E16E80">
        <w:rPr>
          <w:b/>
          <w:bCs/>
          <w:sz w:val="24"/>
          <w:szCs w:val="24"/>
        </w:rPr>
        <w:t>Комитет по осуществлению</w:t>
      </w:r>
    </w:p>
    <w:p w14:paraId="67EE099D" w14:textId="77777777" w:rsidR="00E16E80" w:rsidRPr="00E16E80" w:rsidRDefault="00E16E80" w:rsidP="00E16E80">
      <w:pPr>
        <w:spacing w:before="120"/>
        <w:rPr>
          <w:b/>
          <w:bCs/>
        </w:rPr>
      </w:pPr>
      <w:r w:rsidRPr="00E16E80">
        <w:rPr>
          <w:b/>
          <w:bCs/>
        </w:rPr>
        <w:t xml:space="preserve">Пятьдесят шестая сессия </w:t>
      </w:r>
    </w:p>
    <w:p w14:paraId="31F3C5DF" w14:textId="376CC359" w:rsidR="00E16E80" w:rsidRDefault="00E16E80" w:rsidP="00E16E80">
      <w:r>
        <w:t>Женева, 2</w:t>
      </w:r>
      <w:r w:rsidRPr="00476D1C">
        <w:t>–</w:t>
      </w:r>
      <w:r>
        <w:t>5 мая 2023 года</w:t>
      </w:r>
    </w:p>
    <w:p w14:paraId="5587065D" w14:textId="567FCC6A" w:rsidR="00292BA7" w:rsidRPr="00D46311" w:rsidRDefault="00292BA7" w:rsidP="00292BA7">
      <w:pPr>
        <w:pStyle w:val="HChG"/>
        <w:spacing w:line="240" w:lineRule="auto"/>
        <w:rPr>
          <w:rFonts w:eastAsia="SimSun"/>
        </w:rPr>
      </w:pPr>
      <w:bookmarkStart w:id="0" w:name="_Hlk149044946"/>
      <w:r>
        <w:tab/>
      </w:r>
      <w:r>
        <w:tab/>
      </w:r>
      <w:r>
        <w:rPr>
          <w:bCs/>
        </w:rPr>
        <w:t>Доклад Комитета по осуществлению о работе его</w:t>
      </w:r>
      <w:r w:rsidR="001B7E8A">
        <w:rPr>
          <w:bCs/>
        </w:rPr>
        <w:t> </w:t>
      </w:r>
      <w:r>
        <w:rPr>
          <w:bCs/>
        </w:rPr>
        <w:t>пятьдесят шестой сессии</w:t>
      </w:r>
      <w:bookmarkStart w:id="1" w:name="_Hlk70942064"/>
      <w:bookmarkEnd w:id="1"/>
    </w:p>
    <w:p w14:paraId="380C118D" w14:textId="77777777" w:rsidR="00292BA7" w:rsidRPr="00D46311" w:rsidRDefault="00292BA7" w:rsidP="00292BA7">
      <w:pPr>
        <w:pStyle w:val="HChG"/>
        <w:spacing w:line="240" w:lineRule="auto"/>
        <w:rPr>
          <w:rFonts w:eastAsia="SimSun"/>
        </w:rPr>
      </w:pPr>
      <w:r>
        <w:tab/>
      </w:r>
      <w:r>
        <w:tab/>
      </w:r>
      <w:r>
        <w:rPr>
          <w:bCs/>
        </w:rPr>
        <w:t>Введение</w:t>
      </w:r>
    </w:p>
    <w:p w14:paraId="420A310E" w14:textId="6D9C0C59" w:rsidR="00292BA7" w:rsidRPr="00D46311" w:rsidRDefault="00292BA7" w:rsidP="00292BA7">
      <w:pPr>
        <w:pStyle w:val="SingleTxtG"/>
        <w:rPr>
          <w:rFonts w:eastAsia="SimSun"/>
        </w:rPr>
      </w:pPr>
      <w:r>
        <w:t>1.</w:t>
      </w:r>
      <w:r>
        <w:tab/>
        <w:t>Пят</w:t>
      </w:r>
      <w:r w:rsidR="009303D1">
        <w:t>ьдесят</w:t>
      </w:r>
      <w:r>
        <w:t xml:space="preserve"> шестая сессия Комитета по осуществлению, действующего в рамках Конвенции об оценке воздействия на окружающую среду в трансграничном контексте (Конвенция Эспо) и Протокола по стратегической экологической оценке к ней, состоялась 2–5 мая 2023 года.</w:t>
      </w:r>
    </w:p>
    <w:p w14:paraId="1C08AFF8" w14:textId="20C6FC35" w:rsidR="00292BA7" w:rsidRPr="00D46311" w:rsidRDefault="00292BA7" w:rsidP="00292BA7">
      <w:pPr>
        <w:pStyle w:val="H1G"/>
        <w:spacing w:line="240" w:lineRule="auto"/>
        <w:rPr>
          <w:rFonts w:eastAsia="SimSun"/>
        </w:rPr>
      </w:pPr>
      <w:r>
        <w:rPr>
          <w:bCs/>
        </w:rPr>
        <w:tab/>
        <w:t>A.</w:t>
      </w:r>
      <w:r>
        <w:tab/>
      </w:r>
      <w:r>
        <w:tab/>
      </w:r>
      <w:r>
        <w:rPr>
          <w:bCs/>
        </w:rPr>
        <w:t>Участники</w:t>
      </w:r>
    </w:p>
    <w:p w14:paraId="14537452" w14:textId="7143D005" w:rsidR="00292BA7" w:rsidRPr="00D46311" w:rsidRDefault="00292BA7" w:rsidP="00292BA7">
      <w:pPr>
        <w:pStyle w:val="SingleTxtG"/>
        <w:rPr>
          <w:rFonts w:asciiTheme="majorBidi" w:eastAsiaTheme="majorEastAsia" w:hAnsiTheme="majorBidi" w:cstheme="majorBidi"/>
        </w:rPr>
      </w:pPr>
      <w:r>
        <w:t>2.</w:t>
      </w:r>
      <w:r>
        <w:tab/>
        <w:t xml:space="preserve">В работе сессии приняли участие следующие члены Комитета по осуществлению Конвенции и Протокола к ней: </w:t>
      </w:r>
      <w:r w:rsidRPr="009B651A">
        <w:rPr>
          <w:color w:val="333333"/>
          <w:shd w:val="clear" w:color="auto" w:fill="FFFFFF"/>
        </w:rPr>
        <w:t xml:space="preserve">г-жа Айсель Рзаева (Азербайджан), </w:t>
      </w:r>
      <w:r w:rsidR="009303D1">
        <w:rPr>
          <w:color w:val="333333"/>
          <w:shd w:val="clear" w:color="auto" w:fill="FFFFFF"/>
        </w:rPr>
        <w:br/>
      </w:r>
      <w:r>
        <w:t>г-н Кристиан Баумгартнер (Австрия), г-н Андерс Бенгтссон (Швеция), г-н Ральф Бодл (Германия), г-н Жо Дюкомбль (Люксембург), г-жа Мария ду Карму Фигейра (Португалия), г-жа Барбора Павлачич Донева (Словакия), г-жа Жужанна Почаи (Венгрия) и г-н Лассе Таллског (Финляндия).</w:t>
      </w:r>
    </w:p>
    <w:p w14:paraId="60A21C3E" w14:textId="06551F3F" w:rsidR="00292BA7" w:rsidRPr="00D46311" w:rsidRDefault="00292BA7" w:rsidP="00292BA7">
      <w:pPr>
        <w:pStyle w:val="H1G"/>
        <w:spacing w:line="240" w:lineRule="auto"/>
        <w:rPr>
          <w:rFonts w:eastAsia="SimSun"/>
        </w:rPr>
      </w:pPr>
      <w:r>
        <w:rPr>
          <w:bCs/>
        </w:rPr>
        <w:tab/>
        <w:t>B.</w:t>
      </w:r>
      <w:r>
        <w:tab/>
      </w:r>
      <w:r>
        <w:tab/>
      </w:r>
      <w:r>
        <w:rPr>
          <w:bCs/>
        </w:rPr>
        <w:t>Организационные вопросы</w:t>
      </w:r>
      <w:bookmarkStart w:id="2" w:name="_Hlk63774409"/>
    </w:p>
    <w:bookmarkEnd w:id="2"/>
    <w:p w14:paraId="4622680A" w14:textId="204073DC" w:rsidR="00292BA7" w:rsidRPr="00D46311" w:rsidRDefault="00292BA7" w:rsidP="00292BA7">
      <w:pPr>
        <w:pStyle w:val="HChG"/>
        <w:spacing w:line="240" w:lineRule="auto"/>
        <w:rPr>
          <w:rFonts w:eastAsia="SimSun"/>
        </w:rPr>
      </w:pPr>
      <w:r>
        <w:rPr>
          <w:bCs/>
        </w:rPr>
        <w:tab/>
        <w:t>I.</w:t>
      </w:r>
      <w:r>
        <w:tab/>
      </w:r>
      <w:r>
        <w:tab/>
      </w:r>
      <w:r>
        <w:rPr>
          <w:bCs/>
        </w:rPr>
        <w:t>Утверждение повестки дня</w:t>
      </w:r>
    </w:p>
    <w:p w14:paraId="30FE2897" w14:textId="77777777" w:rsidR="00292BA7" w:rsidRPr="00D46311" w:rsidRDefault="00292BA7" w:rsidP="00292BA7">
      <w:pPr>
        <w:pStyle w:val="SingleTxtG"/>
        <w:spacing w:line="240" w:lineRule="auto"/>
        <w:rPr>
          <w:rFonts w:eastAsia="SimSun"/>
        </w:rPr>
      </w:pPr>
      <w:r>
        <w:t>3.</w:t>
      </w:r>
      <w:r>
        <w:tab/>
        <w:t>Сессию открыл Председатель Комитета.</w:t>
      </w:r>
    </w:p>
    <w:p w14:paraId="21680458" w14:textId="1CBBBAC1" w:rsidR="00292BA7" w:rsidRPr="00292BA7" w:rsidRDefault="00292BA7" w:rsidP="00292BA7">
      <w:pPr>
        <w:pStyle w:val="SingleTxtG"/>
        <w:rPr>
          <w:rFonts w:eastAsia="SimSun"/>
        </w:rPr>
      </w:pPr>
      <w:r>
        <w:lastRenderedPageBreak/>
        <w:t>4.</w:t>
      </w:r>
      <w:r>
        <w:tab/>
        <w:t>Комитет включил в пункт 9</w:t>
      </w:r>
      <w:r w:rsidRPr="005D4765">
        <w:t xml:space="preserve"> </w:t>
      </w:r>
      <w:r>
        <w:t xml:space="preserve">повестки дня </w:t>
      </w:r>
      <w:r w:rsidRPr="00D01728">
        <w:t>«</w:t>
      </w:r>
      <w:r w:rsidR="009303D1">
        <w:t xml:space="preserve">Прочие </w:t>
      </w:r>
      <w:r>
        <w:t>вопросы</w:t>
      </w:r>
      <w:r w:rsidRPr="0098213F">
        <w:t>»</w:t>
      </w:r>
      <w:r>
        <w:t xml:space="preserve"> проведение неофициальных консультаций с Украиной по всем вопросам соблюдения, касающимся Украины, и утвердил свою </w:t>
      </w:r>
      <w:r w:rsidRPr="00292BA7">
        <w:t>повестку дня, изложенную в документе ECE/MP.EIA/</w:t>
      </w:r>
      <w:r w:rsidR="007222B3">
        <w:br/>
      </w:r>
      <w:r w:rsidRPr="00292BA7">
        <w:t>IC/2023/3, с указанным изменением.</w:t>
      </w:r>
    </w:p>
    <w:p w14:paraId="2E7B757E" w14:textId="1291B5F1" w:rsidR="00292BA7" w:rsidRPr="00292BA7" w:rsidRDefault="00292BA7" w:rsidP="00292BA7">
      <w:pPr>
        <w:pStyle w:val="SingleTxtG"/>
        <w:rPr>
          <w:rFonts w:eastAsia="SimSun"/>
        </w:rPr>
      </w:pPr>
      <w:r w:rsidRPr="00292BA7">
        <w:t>5.</w:t>
      </w:r>
      <w:r w:rsidRPr="00292BA7">
        <w:tab/>
        <w:t>Секретарь Конвенции и Протокола сообщил о соответствующих итогах последнего совещания Бюро (Женева, 22</w:t>
      </w:r>
      <w:r w:rsidR="007222B3" w:rsidRPr="007222B3">
        <w:t>–</w:t>
      </w:r>
      <w:r w:rsidRPr="00292BA7">
        <w:t>23 февраля 2023 года), в частности о подготовке к двенадцатому совещанию Рабочей группы по оценке воздействия на окружающую среду и стратегической экологической оценке (Женева, 13</w:t>
      </w:r>
      <w:r w:rsidR="007222B3" w:rsidRPr="007222B3">
        <w:t>–</w:t>
      </w:r>
      <w:r w:rsidRPr="00292BA7">
        <w:t>15 июня 2023 года) и следующим сессиям Совещаний Сторон Конвенции и Протокола (Женева, 12</w:t>
      </w:r>
      <w:r w:rsidR="007222B3" w:rsidRPr="007222B3">
        <w:t>–</w:t>
      </w:r>
      <w:r w:rsidRPr="00292BA7">
        <w:t>15 декабря 2023 года).</w:t>
      </w:r>
    </w:p>
    <w:p w14:paraId="51572E3A" w14:textId="2C0B6359" w:rsidR="00292BA7" w:rsidRPr="00D46311" w:rsidRDefault="00292BA7" w:rsidP="00292BA7">
      <w:pPr>
        <w:pStyle w:val="HChG"/>
        <w:spacing w:line="240" w:lineRule="auto"/>
        <w:rPr>
          <w:rFonts w:eastAsia="SimSun"/>
        </w:rPr>
      </w:pPr>
      <w:r>
        <w:rPr>
          <w:bCs/>
        </w:rPr>
        <w:tab/>
        <w:t>II.</w:t>
      </w:r>
      <w:r>
        <w:tab/>
      </w:r>
      <w:r>
        <w:tab/>
      </w:r>
      <w:r>
        <w:rPr>
          <w:bCs/>
        </w:rPr>
        <w:t>Подготовка к следующим сессиям Совещаний Сторон</w:t>
      </w:r>
    </w:p>
    <w:p w14:paraId="18953D8A" w14:textId="77777777" w:rsidR="00292BA7" w:rsidRPr="00292BA7" w:rsidRDefault="00292BA7" w:rsidP="00292BA7">
      <w:pPr>
        <w:pStyle w:val="SingleTxtG"/>
        <w:rPr>
          <w:rFonts w:eastAsia="SimSun"/>
        </w:rPr>
      </w:pPr>
      <w:r>
        <w:t>6.</w:t>
      </w:r>
      <w:r>
        <w:tab/>
        <w:t xml:space="preserve">Комитет рассмотрел первоначальный перечень проектов решений о соблюдении, которые он представит для информации и возможных замечаний Рабочей группе на ее двенадцатом совещании, а затем пятьдесят </w:t>
      </w:r>
      <w:r w:rsidRPr="00292BA7">
        <w:t>седьмой сессии Комитета (Женева, 29 августа — 1 сентября 2023 года) и с учетом внесенных замечаний, при необходимости, доработает их для рассмотрения на следующих сессиях Совещаний Сторон. Он отметил, что крайний срок для доработки проектов документов до начала Совещаний Сторон установлен на 19 сентября 2023 года. В ходе текущей сессии Комитет подготовил по конкретным странам проекты решений о соблюдении Конвенции, Протокола и обоих договоров. После завершения работы над ними он также подготовил проект решения (IX/4) по общим вопросам соблюдения Конвенции и проект решения (V/4) по общим вопросам соблюдения Протокола.</w:t>
      </w:r>
      <w:bookmarkStart w:id="3" w:name="_Hlk134000476"/>
    </w:p>
    <w:bookmarkEnd w:id="3"/>
    <w:p w14:paraId="3066A223" w14:textId="77777777" w:rsidR="00292BA7" w:rsidRPr="00D46311" w:rsidRDefault="00292BA7" w:rsidP="00292BA7">
      <w:pPr>
        <w:pStyle w:val="SingleTxtG"/>
        <w:rPr>
          <w:rFonts w:eastAsia="SimSun"/>
        </w:rPr>
      </w:pPr>
      <w:r w:rsidRPr="00292BA7">
        <w:t>7.</w:t>
      </w:r>
      <w:r w:rsidRPr="00292BA7">
        <w:tab/>
        <w:t>Комитет просил секретариат включить эти проекты решений в неофициальный документ и препроводить его Рабочей группе на ее следующем совещании</w:t>
      </w:r>
      <w:r>
        <w:t>. Он также просил секретариат проинформировать заинтересованные Стороны о возможности внести свои замечания по проектам решений в ходе совещания Рабочей группы, если они того пожелают.</w:t>
      </w:r>
    </w:p>
    <w:p w14:paraId="6C66EBBC" w14:textId="792D29A3" w:rsidR="00292BA7" w:rsidRPr="00D46311" w:rsidRDefault="00292BA7" w:rsidP="00292BA7">
      <w:pPr>
        <w:pStyle w:val="HChG"/>
        <w:spacing w:line="240" w:lineRule="auto"/>
        <w:rPr>
          <w:rFonts w:eastAsia="SimSun"/>
        </w:rPr>
      </w:pPr>
      <w:r>
        <w:rPr>
          <w:bCs/>
        </w:rPr>
        <w:tab/>
        <w:t>III.</w:t>
      </w:r>
      <w:r>
        <w:tab/>
      </w:r>
      <w:r>
        <w:tab/>
      </w:r>
      <w:r>
        <w:rPr>
          <w:bCs/>
        </w:rPr>
        <w:t>Последующая деятельность во исполнение решений</w:t>
      </w:r>
      <w:r w:rsidR="00086469">
        <w:rPr>
          <w:bCs/>
        </w:rPr>
        <w:t> </w:t>
      </w:r>
      <w:r>
        <w:rPr>
          <w:bCs/>
        </w:rPr>
        <w:t>VIII/4а–с</w:t>
      </w:r>
      <w:r w:rsidRPr="007222B3">
        <w:rPr>
          <w:rFonts w:eastAsia="SimSun"/>
          <w:b w:val="0"/>
          <w:sz w:val="18"/>
          <w:vertAlign w:val="superscript"/>
          <w:lang w:eastAsia="en-US"/>
        </w:rPr>
        <w:footnoteReference w:id="1"/>
      </w:r>
    </w:p>
    <w:p w14:paraId="436E6F07" w14:textId="77777777" w:rsidR="00292BA7" w:rsidRPr="00D46311" w:rsidRDefault="00292BA7" w:rsidP="00292BA7">
      <w:pPr>
        <w:pStyle w:val="SingleTxtG"/>
        <w:rPr>
          <w:rFonts w:eastAsia="SimSun"/>
        </w:rPr>
      </w:pPr>
      <w:r>
        <w:t>8.</w:t>
      </w:r>
      <w:r>
        <w:tab/>
        <w:t xml:space="preserve">В соответствии с пунктом 1 правила 17 рабочих правил Комитета обсуждения по этому пункту повестки </w:t>
      </w:r>
      <w:r w:rsidRPr="00292BA7">
        <w:t>дня</w:t>
      </w:r>
      <w:r>
        <w:t xml:space="preserve"> не были открытыми для наблюдателей</w:t>
      </w:r>
      <w:r w:rsidRPr="007222B3">
        <w:rPr>
          <w:rFonts w:eastAsia="SimSun"/>
          <w:sz w:val="18"/>
          <w:vertAlign w:val="superscript"/>
        </w:rPr>
        <w:footnoteReference w:id="2"/>
      </w:r>
      <w:r>
        <w:t>.</w:t>
      </w:r>
    </w:p>
    <w:p w14:paraId="7EA63063" w14:textId="2E6B8F6E" w:rsidR="00292BA7" w:rsidRPr="00D46311" w:rsidRDefault="00292BA7" w:rsidP="00292BA7">
      <w:pPr>
        <w:pStyle w:val="H1G"/>
        <w:spacing w:line="240" w:lineRule="auto"/>
        <w:rPr>
          <w:rFonts w:eastAsia="SimSun"/>
        </w:rPr>
      </w:pPr>
      <w:r>
        <w:rPr>
          <w:bCs/>
        </w:rPr>
        <w:tab/>
        <w:t>A.</w:t>
      </w:r>
      <w:r>
        <w:tab/>
      </w:r>
      <w:r>
        <w:tab/>
      </w:r>
      <w:r>
        <w:rPr>
          <w:bCs/>
        </w:rPr>
        <w:t>Армения (EIA/IC/CI/1)</w:t>
      </w:r>
      <w:bookmarkStart w:id="4" w:name="_Hlk115439755"/>
      <w:bookmarkEnd w:id="4"/>
    </w:p>
    <w:p w14:paraId="489B45CB" w14:textId="581EE8B9" w:rsidR="00292BA7" w:rsidRPr="00292BA7" w:rsidRDefault="00292BA7" w:rsidP="00292BA7">
      <w:pPr>
        <w:pStyle w:val="SingleTxtG"/>
        <w:rPr>
          <w:rFonts w:eastAsia="SimSun"/>
        </w:rPr>
      </w:pPr>
      <w:r>
        <w:t>9.</w:t>
      </w:r>
      <w:r>
        <w:tab/>
        <w:t xml:space="preserve">Комитет продолжил свою </w:t>
      </w:r>
      <w:r w:rsidRPr="00292BA7">
        <w:t>последующую деятельность во исполнение решения</w:t>
      </w:r>
      <w:r w:rsidR="00086469">
        <w:t> </w:t>
      </w:r>
      <w:r w:rsidRPr="00292BA7">
        <w:t>VIII/4a о соблюдении Арменией ее обязательств по Конвенции в отношении своего национального законодательства.</w:t>
      </w:r>
    </w:p>
    <w:p w14:paraId="07D15218" w14:textId="78F33F2E" w:rsidR="00292BA7" w:rsidRPr="00292BA7" w:rsidRDefault="00292BA7" w:rsidP="00292BA7">
      <w:pPr>
        <w:pStyle w:val="SingleTxtG"/>
        <w:rPr>
          <w:rFonts w:eastAsia="SimSun"/>
        </w:rPr>
      </w:pPr>
      <w:r w:rsidRPr="00292BA7">
        <w:t>10.</w:t>
      </w:r>
      <w:r w:rsidRPr="00292BA7">
        <w:tab/>
        <w:t xml:space="preserve">Он принял к сведению полученный на письмо Комитета от 17 февраля 2023 года ответ Армении от 29 марта 2023 года, которым Комитет информируется о том, что «проект закона Республики Армения </w:t>
      </w:r>
      <w:r w:rsidR="00F1451B">
        <w:t>"</w:t>
      </w:r>
      <w:r w:rsidRPr="00292BA7">
        <w:t>о внесении изменений в... Закон об оценке и экспертизе воздействия на окружающую среду [Республики Армения]</w:t>
      </w:r>
      <w:r w:rsidR="00F1451B">
        <w:t>"</w:t>
      </w:r>
      <w:r w:rsidRPr="00292BA7">
        <w:t>» прошел первое чтение в Национальном Собрании Армении. Далее он принял к сведению, что после принятия изменений к закону об оценке воздействия на окружающую среду Армения планирует разработать специальные процедуры по стратегической экологической оценке, дополняющие положения</w:t>
      </w:r>
      <w:r>
        <w:t xml:space="preserve"> о стратегической экологической оценке, включенные в упомянутый законопроект. Поскольку до начала сессии этот </w:t>
      </w:r>
      <w:r>
        <w:lastRenderedPageBreak/>
        <w:t>законопроект не был принят Арменией, Комитет проанализировал его текст, имеющийся в открытом доступе</w:t>
      </w:r>
      <w:r w:rsidRPr="007222B3">
        <w:rPr>
          <w:rFonts w:eastAsia="SimSun"/>
          <w:sz w:val="18"/>
          <w:vertAlign w:val="superscript"/>
        </w:rPr>
        <w:footnoteReference w:id="3"/>
      </w:r>
      <w:r>
        <w:t>. Комитет пришел к выводу о наличии противоречий между</w:t>
      </w:r>
      <w:r w:rsidR="00086469">
        <w:t>,</w:t>
      </w:r>
      <w:r>
        <w:t xml:space="preserve"> с одной стороны</w:t>
      </w:r>
      <w:r w:rsidR="00086469">
        <w:t>,</w:t>
      </w:r>
      <w:r>
        <w:t xml:space="preserve"> законопроектом, а с другой </w:t>
      </w:r>
      <w:r w:rsidRPr="00292BA7">
        <w:t>—</w:t>
      </w:r>
      <w:r>
        <w:t xml:space="preserve"> Конвенцией и Протоколом, а также о том, что в случае его </w:t>
      </w:r>
      <w:r w:rsidRPr="00292BA7">
        <w:t>принятия он не обеспечит полного соблюдения Конвенции и Протокола.</w:t>
      </w:r>
    </w:p>
    <w:p w14:paraId="044711ED" w14:textId="7464DADF" w:rsidR="00292BA7" w:rsidRPr="00292BA7" w:rsidRDefault="00292BA7" w:rsidP="00292BA7">
      <w:pPr>
        <w:pStyle w:val="SingleTxtG"/>
        <w:rPr>
          <w:rFonts w:eastAsia="SimSun"/>
        </w:rPr>
      </w:pPr>
      <w:r w:rsidRPr="00292BA7">
        <w:t>11.</w:t>
      </w:r>
      <w:r w:rsidRPr="00292BA7">
        <w:tab/>
        <w:t>В последний день работы сессии Комитета Армения проинформировала Комитет о принятии своего Закона 3 мая 2023 года и его вступлении в силу на десятый день после опубликования. В связи с полученной в последний момент информацией Комитет решил отложить до следующей сессии доработку проекта решения IX/4b</w:t>
      </w:r>
      <w:r w:rsidR="00086469">
        <w:t>–</w:t>
      </w:r>
      <w:r w:rsidRPr="00292BA7">
        <w:t>V/4b о соблюдении Арменией ее обязательств по Конвенции и Протоколу в отношении ее национального законодательства.</w:t>
      </w:r>
    </w:p>
    <w:p w14:paraId="35877535" w14:textId="77777777" w:rsidR="00292BA7" w:rsidRPr="00D46311" w:rsidRDefault="00292BA7" w:rsidP="00292BA7">
      <w:pPr>
        <w:pStyle w:val="SingleTxtG"/>
        <w:rPr>
          <w:rFonts w:eastAsia="SimSun"/>
        </w:rPr>
      </w:pPr>
      <w:r w:rsidRPr="00292BA7">
        <w:t>12.</w:t>
      </w:r>
      <w:r w:rsidRPr="00292BA7">
        <w:tab/>
        <w:t>Он предложил своему Председателю направить Армении письмо с просьбой представить текст перевода принятого Закона на английский язык к 31 июля 2023 года, а в случае его непредставления Комитет сформулирует</w:t>
      </w:r>
      <w:r>
        <w:t xml:space="preserve"> свои выводы на основе законопроекта.</w:t>
      </w:r>
    </w:p>
    <w:p w14:paraId="28A8505E" w14:textId="5EBD2062" w:rsidR="00292BA7" w:rsidRPr="00D46311" w:rsidRDefault="00292BA7" w:rsidP="00292BA7">
      <w:pPr>
        <w:pStyle w:val="H1G"/>
        <w:spacing w:line="240" w:lineRule="auto"/>
        <w:rPr>
          <w:rFonts w:eastAsia="SimSun"/>
        </w:rPr>
      </w:pPr>
      <w:r>
        <w:rPr>
          <w:bCs/>
        </w:rPr>
        <w:tab/>
        <w:t>B.</w:t>
      </w:r>
      <w:r>
        <w:tab/>
      </w:r>
      <w:r>
        <w:tab/>
      </w:r>
      <w:r>
        <w:rPr>
          <w:bCs/>
        </w:rPr>
        <w:t>Азербайджан (EIA/IC/CI/2)</w:t>
      </w:r>
    </w:p>
    <w:p w14:paraId="5C1FDF05" w14:textId="5A011AAA" w:rsidR="00292BA7" w:rsidRPr="00292BA7" w:rsidRDefault="00292BA7" w:rsidP="00292BA7">
      <w:pPr>
        <w:pStyle w:val="SingleTxtG"/>
        <w:rPr>
          <w:rFonts w:eastAsia="SimSun"/>
        </w:rPr>
      </w:pPr>
      <w:r>
        <w:t>13.</w:t>
      </w:r>
      <w:r>
        <w:tab/>
      </w:r>
      <w:r w:rsidRPr="002D750D">
        <w:t xml:space="preserve">Комитет продолжил </w:t>
      </w:r>
      <w:r>
        <w:t>свою последующую деятельность</w:t>
      </w:r>
      <w:r w:rsidRPr="002D750D">
        <w:t xml:space="preserve"> </w:t>
      </w:r>
      <w:r>
        <w:t>во исполнение</w:t>
      </w:r>
      <w:r w:rsidRPr="002D750D">
        <w:t xml:space="preserve"> решени</w:t>
      </w:r>
      <w:r>
        <w:t>я</w:t>
      </w:r>
      <w:r w:rsidR="00086469">
        <w:t> </w:t>
      </w:r>
      <w:r>
        <w:t xml:space="preserve">VIII/4b о соблюдении Азербайджаном его </w:t>
      </w:r>
      <w:r w:rsidRPr="00292BA7">
        <w:t>обязательств по Конвенции в отношении своего национального законодательства в отсутствие члена Комитета, назначенного Азербайджаном.</w:t>
      </w:r>
    </w:p>
    <w:p w14:paraId="4DBB977C" w14:textId="77777777" w:rsidR="00292BA7" w:rsidRPr="00292BA7" w:rsidRDefault="00292BA7" w:rsidP="00292BA7">
      <w:pPr>
        <w:pStyle w:val="SingleTxtG"/>
        <w:rPr>
          <w:rFonts w:eastAsia="SimSun"/>
        </w:rPr>
      </w:pPr>
      <w:r w:rsidRPr="00292BA7">
        <w:t>14.</w:t>
      </w:r>
      <w:r w:rsidRPr="00292BA7">
        <w:tab/>
        <w:t>Комитет принял к сведению тот факт, что на сегодняшний день Азербайджан принял шесть подзаконных актов по оценке воздействия на окружающую среду и стратегической экологической оценке, при этом два последних из них были приняты в 2022 году. Он позитивно оценил предоставленные Азербайджаном тексты перевода на английский язык двух подзаконных актов по оценке воздействия на окружающую среду и стратегической экологической оценке. Они были переведены при поддержке консультантов секретариата, финансируемых в рамках программы Европейского союза по окружающей среде, и впоследствии верифицированы правительством Азербайджана.</w:t>
      </w:r>
    </w:p>
    <w:p w14:paraId="30AF53A1" w14:textId="7768CECF" w:rsidR="00292BA7" w:rsidRPr="00292BA7" w:rsidRDefault="00292BA7" w:rsidP="00292BA7">
      <w:pPr>
        <w:pStyle w:val="SingleTxtG"/>
        <w:rPr>
          <w:rFonts w:eastAsia="SimSun"/>
        </w:rPr>
      </w:pPr>
      <w:r w:rsidRPr="00292BA7">
        <w:t>15.</w:t>
      </w:r>
      <w:r w:rsidRPr="00292BA7">
        <w:tab/>
        <w:t xml:space="preserve">Комитет выразил сожаление по поводу того, что ему были предоставлены переводы не всех подзаконных актов. Он с обеспокоенностью отметил, что, исходя из анализа принятого 12 июня 2018 года рамочного Закона об оценке воздействия на окружающую среду с изменениями, а также двух подзаконных актов, в законодательстве, принятом Азербайджаном с целью осуществления Конвенции, </w:t>
      </w:r>
      <w:r w:rsidR="00086469">
        <w:br/>
      </w:r>
      <w:r w:rsidRPr="00292BA7">
        <w:t>по-прежнему содержатся недостатки и, следовательно, оно не в полной мере обеспечивает соблюдение Конвенции.</w:t>
      </w:r>
    </w:p>
    <w:p w14:paraId="51280A53" w14:textId="77777777" w:rsidR="00292BA7" w:rsidRPr="00D46311" w:rsidRDefault="00292BA7" w:rsidP="00292BA7">
      <w:pPr>
        <w:pStyle w:val="SingleTxtG"/>
        <w:rPr>
          <w:rFonts w:eastAsia="SimSun"/>
        </w:rPr>
      </w:pPr>
      <w:r w:rsidRPr="00292BA7">
        <w:t>16.</w:t>
      </w:r>
      <w:r w:rsidRPr="00292BA7">
        <w:tab/>
        <w:t>Затем Комитет подготовил текст проекта решения IX/4d о соблюдении Азербайджаном его обязательств по Конвенции в отношении своего</w:t>
      </w:r>
      <w:r>
        <w:t xml:space="preserve"> национального законодательства.</w:t>
      </w:r>
    </w:p>
    <w:p w14:paraId="0820ECE5" w14:textId="29A36D77" w:rsidR="00292BA7" w:rsidRPr="00292BA7" w:rsidRDefault="00292BA7" w:rsidP="00292BA7">
      <w:pPr>
        <w:pStyle w:val="H1G"/>
        <w:spacing w:line="240" w:lineRule="auto"/>
        <w:rPr>
          <w:rFonts w:eastAsia="SimSun"/>
          <w:lang w:val="en-US"/>
        </w:rPr>
      </w:pPr>
      <w:r w:rsidRPr="00476D1C">
        <w:rPr>
          <w:bCs/>
        </w:rPr>
        <w:tab/>
      </w:r>
      <w:r w:rsidRPr="00D46311">
        <w:rPr>
          <w:bCs/>
          <w:lang w:val="en-US"/>
        </w:rPr>
        <w:t>C.</w:t>
      </w:r>
      <w:r w:rsidRPr="00D46311">
        <w:rPr>
          <w:lang w:val="en-US"/>
        </w:rPr>
        <w:tab/>
      </w:r>
      <w:r>
        <w:rPr>
          <w:lang w:val="en-US"/>
        </w:rPr>
        <w:tab/>
      </w:r>
      <w:r>
        <w:rPr>
          <w:bCs/>
        </w:rPr>
        <w:t>Беларусь</w:t>
      </w:r>
      <w:r w:rsidRPr="00D46311">
        <w:rPr>
          <w:bCs/>
          <w:lang w:val="en-US"/>
        </w:rPr>
        <w:t xml:space="preserve"> (EIA/IC/S/4)</w:t>
      </w:r>
    </w:p>
    <w:p w14:paraId="722CBF64" w14:textId="77777777" w:rsidR="00292BA7" w:rsidRPr="00D46311" w:rsidRDefault="00292BA7" w:rsidP="00292BA7">
      <w:pPr>
        <w:pStyle w:val="SingleTxtG"/>
        <w:rPr>
          <w:rFonts w:eastAsia="DengXian Light"/>
        </w:rPr>
      </w:pPr>
      <w:r>
        <w:t>17.</w:t>
      </w:r>
      <w:r>
        <w:tab/>
        <w:t>Комитет провел последующую деятельность во исполнение решения VIII/4с о соблюдении Беларусью ее обязательств по Конвенции в отношении белорусской атомной электростанции в Островце.</w:t>
      </w:r>
    </w:p>
    <w:p w14:paraId="39B753FE" w14:textId="77777777" w:rsidR="00292BA7" w:rsidRPr="00292BA7" w:rsidRDefault="00292BA7" w:rsidP="00292BA7">
      <w:pPr>
        <w:pStyle w:val="SingleTxtG"/>
        <w:rPr>
          <w:rFonts w:eastAsia="SimSun"/>
        </w:rPr>
      </w:pPr>
      <w:r>
        <w:t>18.</w:t>
      </w:r>
      <w:r>
        <w:tab/>
        <w:t xml:space="preserve">Комитет принял к сведению информацию, полученную от Беларуси и Литвы 31 и 30 марта 2021 года соответственно. Он с удовлетворением отметил некоторые </w:t>
      </w:r>
      <w:r>
        <w:lastRenderedPageBreak/>
        <w:t xml:space="preserve">состоявшиеся в последнее время </w:t>
      </w:r>
      <w:r w:rsidRPr="00292BA7">
        <w:t>контакты между двумя Сторонами, но при этом выразил сожаление по поводу отсутствия общего прогресса. Он также отметил, что заинтересованные Стороны дают разную оценку по вопросу согласования протокола проведенного ими двустороннего совещания экспертов от 3 февраля 2022 года.</w:t>
      </w:r>
    </w:p>
    <w:p w14:paraId="491E0A12" w14:textId="77777777" w:rsidR="00292BA7" w:rsidRPr="00292BA7" w:rsidRDefault="00292BA7" w:rsidP="00292BA7">
      <w:pPr>
        <w:pStyle w:val="SingleTxtG"/>
        <w:rPr>
          <w:rFonts w:eastAsia="DengXian Light"/>
        </w:rPr>
      </w:pPr>
      <w:r w:rsidRPr="00292BA7">
        <w:t>19.</w:t>
      </w:r>
      <w:r w:rsidRPr="00292BA7">
        <w:tab/>
        <w:t xml:space="preserve">Комитет просил своего Председателя направить обеим Сторонам письмо, с тем чтобы: </w:t>
      </w:r>
    </w:p>
    <w:p w14:paraId="2075235E" w14:textId="1876EF3B" w:rsidR="00292BA7" w:rsidRPr="00292BA7" w:rsidRDefault="00292BA7" w:rsidP="00292BA7">
      <w:pPr>
        <w:pStyle w:val="SingleTxtG"/>
        <w:rPr>
          <w:rFonts w:eastAsia="DengXian Light"/>
        </w:rPr>
      </w:pPr>
      <w:r>
        <w:tab/>
      </w:r>
      <w:r w:rsidRPr="00292BA7">
        <w:t>a)</w:t>
      </w:r>
      <w:r w:rsidRPr="00292BA7">
        <w:tab/>
        <w:t>они подтвердили полученную информацию;</w:t>
      </w:r>
    </w:p>
    <w:p w14:paraId="48DA83EC" w14:textId="56F587A1" w:rsidR="00292BA7" w:rsidRPr="00292BA7" w:rsidRDefault="00292BA7" w:rsidP="00292BA7">
      <w:pPr>
        <w:pStyle w:val="SingleTxtG"/>
        <w:rPr>
          <w:rFonts w:eastAsia="DengXian Light"/>
        </w:rPr>
      </w:pPr>
      <w:r>
        <w:tab/>
      </w:r>
      <w:r w:rsidRPr="00292BA7">
        <w:t>b)</w:t>
      </w:r>
      <w:r w:rsidRPr="00292BA7">
        <w:tab/>
        <w:t>предложить Беларуси и Литве представить свои ежегодные доклады за 2022/23 годы об осуществлении решения VIII/4c до 31 июля 2023 года</w:t>
      </w:r>
      <w:r w:rsidR="00086469">
        <w:t>;</w:t>
      </w:r>
    </w:p>
    <w:p w14:paraId="0203C61C" w14:textId="7C86C075" w:rsidR="00292BA7" w:rsidRPr="00292BA7" w:rsidRDefault="00292BA7" w:rsidP="00292BA7">
      <w:pPr>
        <w:pStyle w:val="SingleTxtG"/>
        <w:rPr>
          <w:rFonts w:eastAsia="DengXian Light"/>
        </w:rPr>
      </w:pPr>
      <w:r>
        <w:tab/>
      </w:r>
      <w:r w:rsidRPr="00292BA7">
        <w:t>c)</w:t>
      </w:r>
      <w:r w:rsidRPr="00292BA7">
        <w:tab/>
        <w:t>просить уточнить, согласовали ли они протокол совещания экспертов от 3 февраля 2022 года.</w:t>
      </w:r>
    </w:p>
    <w:p w14:paraId="65D3DDB0" w14:textId="77777777" w:rsidR="00292BA7" w:rsidRPr="00D46311" w:rsidRDefault="00292BA7" w:rsidP="00292BA7">
      <w:pPr>
        <w:pStyle w:val="SingleTxtG"/>
        <w:rPr>
          <w:rFonts w:eastAsia="SimSun"/>
        </w:rPr>
      </w:pPr>
      <w:r w:rsidRPr="00292BA7">
        <w:t>20.</w:t>
      </w:r>
      <w:r w:rsidRPr="00292BA7">
        <w:tab/>
        <w:t>Комитет просил секретариат разместить ежегодные доклады Беларуси и Литвы на веб-сайте Конвенции после их получения. В заключение Комитет подготовил текст проекта решения IX/4e о соблюдении Беларусью ее обязательств по Конвенции в отношении белорусской атомной электростанции в Островце.</w:t>
      </w:r>
    </w:p>
    <w:p w14:paraId="0BEC87A7" w14:textId="1E8CBE8D" w:rsidR="00292BA7" w:rsidRPr="00D46311" w:rsidRDefault="00292BA7" w:rsidP="00292BA7">
      <w:pPr>
        <w:pStyle w:val="HChG"/>
        <w:spacing w:line="240" w:lineRule="auto"/>
        <w:rPr>
          <w:rFonts w:eastAsia="SimSun"/>
        </w:rPr>
      </w:pPr>
      <w:r>
        <w:rPr>
          <w:bCs/>
        </w:rPr>
        <w:tab/>
        <w:t>IV.</w:t>
      </w:r>
      <w:r>
        <w:tab/>
      </w:r>
      <w:r>
        <w:tab/>
      </w:r>
      <w:r>
        <w:rPr>
          <w:bCs/>
        </w:rPr>
        <w:t>Представления</w:t>
      </w:r>
      <w:r w:rsidRPr="007222B3">
        <w:rPr>
          <w:rFonts w:eastAsia="SimSun"/>
          <w:b w:val="0"/>
          <w:bCs/>
          <w:sz w:val="18"/>
          <w:vertAlign w:val="superscript"/>
          <w:lang w:eastAsia="en-US"/>
        </w:rPr>
        <w:footnoteReference w:id="4"/>
      </w:r>
    </w:p>
    <w:p w14:paraId="0C1CCC91" w14:textId="77777777" w:rsidR="00292BA7" w:rsidRPr="00D46311" w:rsidRDefault="00292BA7" w:rsidP="00292BA7">
      <w:pPr>
        <w:pStyle w:val="SingleTxtG"/>
        <w:spacing w:line="240" w:lineRule="auto"/>
        <w:rPr>
          <w:rFonts w:eastAsia="SimSun"/>
        </w:rPr>
      </w:pPr>
      <w:r>
        <w:t>21.</w:t>
      </w:r>
      <w:r>
        <w:tab/>
        <w:t>В соответствии с пунктом 1 правила 17 рабочих правил Комитета обсуждения по этому пункту повестки дня не были открытыми для наблюдателей.</w:t>
      </w:r>
    </w:p>
    <w:p w14:paraId="47E0814F" w14:textId="589230A7" w:rsidR="00292BA7" w:rsidRPr="00292BA7" w:rsidRDefault="00292BA7" w:rsidP="00292BA7">
      <w:pPr>
        <w:pStyle w:val="H1G"/>
        <w:spacing w:line="240" w:lineRule="auto"/>
        <w:rPr>
          <w:rFonts w:eastAsia="SimSun"/>
          <w:lang w:val="en-US"/>
        </w:rPr>
      </w:pPr>
      <w:r w:rsidRPr="00476D1C">
        <w:rPr>
          <w:bCs/>
        </w:rPr>
        <w:tab/>
      </w:r>
      <w:r w:rsidRPr="00D46311">
        <w:rPr>
          <w:bCs/>
          <w:lang w:val="en-US"/>
        </w:rPr>
        <w:t>A.</w:t>
      </w:r>
      <w:r w:rsidRPr="00D46311">
        <w:rPr>
          <w:lang w:val="en-US"/>
        </w:rPr>
        <w:tab/>
      </w:r>
      <w:r>
        <w:rPr>
          <w:lang w:val="en-US"/>
        </w:rPr>
        <w:tab/>
      </w:r>
      <w:r>
        <w:rPr>
          <w:bCs/>
        </w:rPr>
        <w:t>Албания</w:t>
      </w:r>
      <w:r w:rsidRPr="00D46311">
        <w:rPr>
          <w:bCs/>
          <w:lang w:val="en-US"/>
        </w:rPr>
        <w:t xml:space="preserve"> (EIA/IC/S/7)</w:t>
      </w:r>
      <w:r w:rsidRPr="007222B3">
        <w:rPr>
          <w:rFonts w:eastAsia="SimSun"/>
          <w:b w:val="0"/>
          <w:sz w:val="18"/>
          <w:vertAlign w:val="superscript"/>
          <w:lang w:eastAsia="en-US"/>
        </w:rPr>
        <w:footnoteReference w:id="5"/>
      </w:r>
    </w:p>
    <w:p w14:paraId="0ACD9B1B" w14:textId="77777777" w:rsidR="00292BA7" w:rsidRPr="00292BA7" w:rsidRDefault="00292BA7" w:rsidP="00292BA7">
      <w:pPr>
        <w:pStyle w:val="SingleTxtG"/>
        <w:rPr>
          <w:rFonts w:eastAsia="SimSun"/>
        </w:rPr>
      </w:pPr>
      <w:r>
        <w:t>22.</w:t>
      </w:r>
      <w:r>
        <w:tab/>
        <w:t>Комитет продолжил рассмотрение полученного секретариатом 25 сентября 2019 года</w:t>
      </w:r>
      <w:r w:rsidRPr="00FB16F0">
        <w:t xml:space="preserve"> </w:t>
      </w:r>
      <w:r>
        <w:t xml:space="preserve">представления Черногории, в котором выражена озабоченность по поводу соблюдения Албанией ее </w:t>
      </w:r>
      <w:r w:rsidRPr="00292BA7">
        <w:t>обязательств по Конвенции и Протоколу в связи с запланированным строительством нескольких малых гидроэлектростанций на реке Циевна.</w:t>
      </w:r>
    </w:p>
    <w:p w14:paraId="0CC40166" w14:textId="6905101D" w:rsidR="00292BA7" w:rsidRPr="00292BA7" w:rsidRDefault="00292BA7" w:rsidP="00292BA7">
      <w:pPr>
        <w:pStyle w:val="SingleTxtG"/>
        <w:rPr>
          <w:rFonts w:eastAsia="SimSun"/>
        </w:rPr>
      </w:pPr>
      <w:r w:rsidRPr="00292BA7">
        <w:t>23.</w:t>
      </w:r>
      <w:r w:rsidRPr="00292BA7">
        <w:tab/>
        <w:t>Комитет рассмотрел замечания Черногории и Албании от 27 и 31 марта 2023</w:t>
      </w:r>
      <w:r>
        <w:rPr>
          <w:lang w:val="en-US"/>
        </w:rPr>
        <w:t> </w:t>
      </w:r>
      <w:r w:rsidRPr="00292BA7">
        <w:t xml:space="preserve">года соответственно по ранее переданному им проекту выводов и рекомендаций и отметил, что обе Стороны выразили свое согласие с этим проектом. Комитет доработал свои выводы и рекомендации с учетом полученных представлений и поручил секретариату выпустить их в качестве официального документа до начала своей пятьдесят седьмой сессии (Женева, 29 августа </w:t>
      </w:r>
      <w:r w:rsidR="007222B3" w:rsidRPr="007222B3">
        <w:t>—</w:t>
      </w:r>
      <w:r w:rsidRPr="00292BA7">
        <w:t xml:space="preserve"> 1 сентября 2023 года), а также препроводить этот документ заинтересованным Сторонам. Впоследствии секретариат должен препроводить выводы и рекомендации Совещаниям Сторон Конвенции и Протокола на их следующих сессиях, с тем чтобы они учли его при рассмотрении соответствующего проекта решения.</w:t>
      </w:r>
    </w:p>
    <w:p w14:paraId="56766E6F" w14:textId="77777777" w:rsidR="00292BA7" w:rsidRPr="00D46311" w:rsidRDefault="00292BA7" w:rsidP="00292BA7">
      <w:pPr>
        <w:pStyle w:val="SingleTxtG"/>
        <w:rPr>
          <w:rFonts w:eastAsia="SimSun"/>
        </w:rPr>
      </w:pPr>
      <w:r w:rsidRPr="00292BA7">
        <w:t>24.</w:t>
      </w:r>
      <w:r w:rsidRPr="00292BA7">
        <w:tab/>
        <w:t xml:space="preserve">Затем Комитет подготовил текст проекта решения </w:t>
      </w:r>
      <w:r w:rsidRPr="00292BA7">
        <w:rPr>
          <w:rFonts w:eastAsia="SimSun"/>
        </w:rPr>
        <w:t>IX/4a–V/4a о</w:t>
      </w:r>
      <w:r w:rsidRPr="00292BA7">
        <w:t xml:space="preserve"> соблюдении Албанией ее обязательств по Конвенции и Протоколу в связи с запланированным строительством нескольких малых гидроэлектростанций</w:t>
      </w:r>
      <w:r>
        <w:t xml:space="preserve"> на реке Циевна.</w:t>
      </w:r>
    </w:p>
    <w:p w14:paraId="18778400" w14:textId="3FE27DA7" w:rsidR="00292BA7" w:rsidRPr="00D46311" w:rsidRDefault="00292BA7" w:rsidP="00292BA7">
      <w:pPr>
        <w:pStyle w:val="H1G"/>
        <w:spacing w:line="240" w:lineRule="auto"/>
        <w:rPr>
          <w:rFonts w:eastAsia="SimSun"/>
        </w:rPr>
      </w:pPr>
      <w:bookmarkStart w:id="5" w:name="_Hlk133831805"/>
      <w:r>
        <w:rPr>
          <w:bCs/>
        </w:rPr>
        <w:tab/>
        <w:t>B.</w:t>
      </w:r>
      <w:r>
        <w:tab/>
      </w:r>
      <w:r>
        <w:tab/>
      </w:r>
      <w:r>
        <w:rPr>
          <w:bCs/>
        </w:rPr>
        <w:t>Босния и Герцеговина (EIA/IC/S/8–SEA/IC/S/1)</w:t>
      </w:r>
      <w:r w:rsidRPr="007222B3">
        <w:rPr>
          <w:rFonts w:eastAsia="SimSun"/>
          <w:b w:val="0"/>
          <w:bCs/>
          <w:sz w:val="18"/>
          <w:vertAlign w:val="superscript"/>
        </w:rPr>
        <w:footnoteReference w:id="6"/>
      </w:r>
    </w:p>
    <w:bookmarkEnd w:id="5"/>
    <w:p w14:paraId="3C0FA827" w14:textId="77777777" w:rsidR="00292BA7" w:rsidRPr="00D46311" w:rsidRDefault="00292BA7" w:rsidP="00292BA7">
      <w:pPr>
        <w:pStyle w:val="SingleTxtG"/>
        <w:rPr>
          <w:rFonts w:eastAsia="SimSun"/>
        </w:rPr>
      </w:pPr>
      <w:r>
        <w:t>25.</w:t>
      </w:r>
      <w:r>
        <w:tab/>
        <w:t>Комитет рассмотрел замечания и представления группы организаций гражданского общества из Боснии и Герцеговины и Черногории от 27 марта 2023 года по выводам и рекомендациям Комитета о соблюдении Боснией и Герцеговиной ее обязательств по Конвенции и Протоколу в отношении строительства гидроэлектростанции «</w:t>
      </w:r>
      <w:r w:rsidRPr="00207BB9">
        <w:t>Бук-Биела»</w:t>
      </w:r>
      <w:r>
        <w:t xml:space="preserve"> на реке Дрина, которые были доработаны и </w:t>
      </w:r>
      <w:r>
        <w:lastRenderedPageBreak/>
        <w:t>опубликованы</w:t>
      </w:r>
      <w:r w:rsidRPr="007222B3">
        <w:rPr>
          <w:rFonts w:eastAsia="SimSun"/>
          <w:sz w:val="18"/>
          <w:vertAlign w:val="superscript"/>
        </w:rPr>
        <w:footnoteReference w:id="7"/>
      </w:r>
      <w:r>
        <w:t>. Группа организаций утверждала, в частности, что Комитету следовало рассмотреть этот вопрос также в свете Договора об энергетическом сообществе и Директивы Европейского союза 2011/92/EU</w:t>
      </w:r>
      <w:r w:rsidRPr="007222B3">
        <w:rPr>
          <w:rFonts w:eastAsia="SimSun"/>
          <w:sz w:val="18"/>
          <w:vertAlign w:val="superscript"/>
        </w:rPr>
        <w:footnoteReference w:id="8"/>
      </w:r>
      <w:r>
        <w:t>, измененной Директивой 2014/52/EU</w:t>
      </w:r>
      <w:r w:rsidRPr="007222B3">
        <w:rPr>
          <w:rFonts w:eastAsia="SimSun"/>
          <w:sz w:val="18"/>
          <w:vertAlign w:val="superscript"/>
        </w:rPr>
        <w:footnoteReference w:id="9"/>
      </w:r>
      <w:r>
        <w:t xml:space="preserve"> после вступления Договора об энергетическом сообществе в силу для Боснии и Герцеговины. Однако Комитет отметил, что в соответствии со своим мандатом он рассматривал только соблюдение Конвенции и Протокола и что возможные нарушения других международных договоров и законов не </w:t>
      </w:r>
      <w:r w:rsidRPr="00637E75">
        <w:t>подпадают под е</w:t>
      </w:r>
      <w:r>
        <w:t>го</w:t>
      </w:r>
      <w:r w:rsidRPr="00637E75">
        <w:t xml:space="preserve"> мандат</w:t>
      </w:r>
      <w:r>
        <w:t>.</w:t>
      </w:r>
    </w:p>
    <w:p w14:paraId="3FB2A3D4" w14:textId="77777777" w:rsidR="00292BA7" w:rsidRPr="00D46311" w:rsidRDefault="00292BA7" w:rsidP="00292BA7">
      <w:pPr>
        <w:pStyle w:val="SingleTxtG"/>
        <w:rPr>
          <w:rFonts w:eastAsia="SimSun"/>
        </w:rPr>
      </w:pPr>
      <w:bookmarkStart w:id="6" w:name="_Hlk134029812"/>
      <w:r>
        <w:t>26.</w:t>
      </w:r>
      <w:r>
        <w:tab/>
      </w:r>
      <w:r w:rsidRPr="00117C6A">
        <w:t>Затем Комитет подготовил текст проекта решения</w:t>
      </w:r>
      <w:r>
        <w:t xml:space="preserve"> </w:t>
      </w:r>
      <w:r w:rsidRPr="005B312A">
        <w:rPr>
          <w:rFonts w:eastAsia="SimSun"/>
        </w:rPr>
        <w:t>IX</w:t>
      </w:r>
      <w:r w:rsidRPr="0001615C">
        <w:rPr>
          <w:rFonts w:eastAsia="SimSun"/>
        </w:rPr>
        <w:t>/4</w:t>
      </w:r>
      <w:r w:rsidRPr="005B312A">
        <w:rPr>
          <w:rFonts w:eastAsia="SimSun"/>
        </w:rPr>
        <w:t>c</w:t>
      </w:r>
      <w:r w:rsidRPr="0001615C">
        <w:rPr>
          <w:rFonts w:eastAsia="SimSun"/>
        </w:rPr>
        <w:t>–</w:t>
      </w:r>
      <w:r w:rsidRPr="005B312A">
        <w:rPr>
          <w:rFonts w:eastAsia="SimSun"/>
        </w:rPr>
        <w:t>V</w:t>
      </w:r>
      <w:r w:rsidRPr="0001615C">
        <w:rPr>
          <w:rFonts w:eastAsia="SimSun"/>
        </w:rPr>
        <w:t>/4</w:t>
      </w:r>
      <w:r w:rsidRPr="005B312A">
        <w:rPr>
          <w:rFonts w:eastAsia="SimSun"/>
        </w:rPr>
        <w:t>c</w:t>
      </w:r>
      <w:r>
        <w:t>, касающегося соблюдения Боснией и Герцеговиной ее обязательств по Конвенции и Протоколу в отношении строительства гидроэлектростанции «Бук-Биела» на реке Дрина</w:t>
      </w:r>
      <w:bookmarkEnd w:id="6"/>
      <w:r>
        <w:t>.</w:t>
      </w:r>
    </w:p>
    <w:p w14:paraId="4343D6AE" w14:textId="4A750716" w:rsidR="00292BA7" w:rsidRPr="00292BA7" w:rsidRDefault="00292BA7" w:rsidP="00292BA7">
      <w:pPr>
        <w:pStyle w:val="H1G"/>
        <w:spacing w:line="240" w:lineRule="auto"/>
        <w:rPr>
          <w:rFonts w:eastAsia="SimSun"/>
          <w:lang w:val="en-US"/>
        </w:rPr>
      </w:pPr>
      <w:r w:rsidRPr="00476D1C">
        <w:rPr>
          <w:bCs/>
        </w:rPr>
        <w:tab/>
      </w:r>
      <w:r w:rsidRPr="00D46311">
        <w:rPr>
          <w:bCs/>
          <w:lang w:val="en-US"/>
        </w:rPr>
        <w:t>C.</w:t>
      </w:r>
      <w:r>
        <w:rPr>
          <w:bCs/>
          <w:lang w:val="en-US"/>
        </w:rPr>
        <w:tab/>
      </w:r>
      <w:r w:rsidRPr="00D46311">
        <w:rPr>
          <w:lang w:val="en-US"/>
        </w:rPr>
        <w:tab/>
      </w:r>
      <w:r>
        <w:rPr>
          <w:bCs/>
        </w:rPr>
        <w:t>Польша</w:t>
      </w:r>
      <w:r w:rsidRPr="00D46311">
        <w:rPr>
          <w:bCs/>
          <w:lang w:val="en-US"/>
        </w:rPr>
        <w:t xml:space="preserve"> (EIA/IC/S/9)</w:t>
      </w:r>
    </w:p>
    <w:p w14:paraId="1C8FA2CF" w14:textId="77777777" w:rsidR="00292BA7" w:rsidRPr="00292BA7" w:rsidRDefault="00292BA7" w:rsidP="00292BA7">
      <w:pPr>
        <w:pStyle w:val="SingleTxtG"/>
        <w:rPr>
          <w:rFonts w:eastAsia="SimSun"/>
        </w:rPr>
      </w:pPr>
      <w:r>
        <w:t>27.</w:t>
      </w:r>
      <w:r>
        <w:tab/>
        <w:t xml:space="preserve">Комитет принял к сведению </w:t>
      </w:r>
      <w:r w:rsidRPr="00292BA7">
        <w:t>представление Беларуси от 12 апреля 2023 года с выражением обеспокоенности по поводу соблюдения Польшей своих обязательств по Конвенции в отношении строительства заградительного сооружения на территории трансграничного объекта Всемирного наследия Организации Объединенных Наций по вопросам образования, науки и культуры (ЮНЕСКО) «Беловежская пуща».</w:t>
      </w:r>
    </w:p>
    <w:p w14:paraId="4D65B19F" w14:textId="77777777" w:rsidR="00292BA7" w:rsidRPr="00292BA7" w:rsidRDefault="00292BA7" w:rsidP="00292BA7">
      <w:pPr>
        <w:pStyle w:val="SingleTxtG"/>
        <w:rPr>
          <w:rFonts w:eastAsia="SimSun"/>
        </w:rPr>
      </w:pPr>
      <w:r w:rsidRPr="00292BA7">
        <w:t>28.</w:t>
      </w:r>
      <w:r w:rsidRPr="00292BA7">
        <w:tab/>
        <w:t>Комитет также принял к сведению сообщение секретариата, направленное координационному центру Польши 18 апреля 2023 года, с которым в соответствии с подпунктом 5 а) добавления к решению III/2 (ECE/MP.EIA/6, приложение II) ей было препровождено представление с подтверждающей информацией, а правительству Польше предложено представить ответ к 18 июля 2023 года.</w:t>
      </w:r>
    </w:p>
    <w:p w14:paraId="515BF31B" w14:textId="77777777" w:rsidR="00292BA7" w:rsidRPr="00D46311" w:rsidRDefault="00292BA7" w:rsidP="00292BA7">
      <w:pPr>
        <w:pStyle w:val="SingleTxtG"/>
        <w:rPr>
          <w:rFonts w:eastAsia="SimSun"/>
        </w:rPr>
      </w:pPr>
      <w:r w:rsidRPr="00292BA7">
        <w:t>29.</w:t>
      </w:r>
      <w:r w:rsidRPr="00292BA7">
        <w:tab/>
        <w:t>Комитет назначил куратора по этому вопросу и</w:t>
      </w:r>
      <w:r>
        <w:t xml:space="preserve"> в соответствии с правилом 11 рабочих правил Комитета решил приступить к рассмотрению этого представления на своей пятьдесят седьмой сессии после получения по нему мнений Польши.</w:t>
      </w:r>
    </w:p>
    <w:p w14:paraId="4F8A448D" w14:textId="4BAA1F84" w:rsidR="00292BA7" w:rsidRPr="00D46311" w:rsidRDefault="00292BA7" w:rsidP="00292BA7">
      <w:pPr>
        <w:pStyle w:val="HChG"/>
        <w:spacing w:line="240" w:lineRule="auto"/>
        <w:rPr>
          <w:rFonts w:eastAsia="SimSun"/>
        </w:rPr>
      </w:pPr>
      <w:r>
        <w:rPr>
          <w:bCs/>
        </w:rPr>
        <w:tab/>
        <w:t>V.</w:t>
      </w:r>
      <w:r>
        <w:tab/>
      </w:r>
      <w:r>
        <w:tab/>
      </w:r>
      <w:r>
        <w:rPr>
          <w:bCs/>
        </w:rPr>
        <w:t>Инициативы Комитета</w:t>
      </w:r>
      <w:r w:rsidRPr="007222B3">
        <w:rPr>
          <w:rFonts w:eastAsia="SimSun"/>
          <w:b w:val="0"/>
          <w:bCs/>
          <w:sz w:val="18"/>
          <w:vertAlign w:val="superscript"/>
        </w:rPr>
        <w:footnoteReference w:id="10"/>
      </w:r>
    </w:p>
    <w:p w14:paraId="0674A4BA" w14:textId="77777777" w:rsidR="00292BA7" w:rsidRPr="00D46311" w:rsidRDefault="00292BA7" w:rsidP="00292BA7">
      <w:pPr>
        <w:pStyle w:val="SingleTxtG"/>
        <w:rPr>
          <w:rFonts w:eastAsia="SimSun"/>
        </w:rPr>
      </w:pPr>
      <w:r>
        <w:t>30.</w:t>
      </w:r>
      <w:r>
        <w:tab/>
        <w:t xml:space="preserve">В </w:t>
      </w:r>
      <w:r w:rsidRPr="00292BA7">
        <w:t>соответствии</w:t>
      </w:r>
      <w:r>
        <w:t xml:space="preserve"> с пунктом 1 правила 17 рабочих правил Комитета обсуждения по этому пункту повестки дня не были открытыми для наблюдателей.</w:t>
      </w:r>
    </w:p>
    <w:p w14:paraId="43E01C55" w14:textId="2361B29D" w:rsidR="00292BA7" w:rsidRPr="00D46311" w:rsidRDefault="00292BA7" w:rsidP="00292BA7">
      <w:pPr>
        <w:pStyle w:val="H1G"/>
        <w:spacing w:line="240" w:lineRule="auto"/>
        <w:rPr>
          <w:rFonts w:eastAsia="SimSun"/>
        </w:rPr>
      </w:pPr>
      <w:r>
        <w:rPr>
          <w:bCs/>
        </w:rPr>
        <w:tab/>
        <w:t>A.</w:t>
      </w:r>
      <w:r>
        <w:tab/>
      </w:r>
      <w:r>
        <w:tab/>
      </w:r>
      <w:r>
        <w:rPr>
          <w:bCs/>
        </w:rPr>
        <w:t>Болгария (EIA/IC/CI/8)</w:t>
      </w:r>
    </w:p>
    <w:p w14:paraId="07ABBB87" w14:textId="4D5A9302" w:rsidR="00292BA7" w:rsidRPr="00D46311" w:rsidRDefault="00292BA7" w:rsidP="00292BA7">
      <w:pPr>
        <w:pStyle w:val="SingleTxtG"/>
        <w:rPr>
          <w:rFonts w:eastAsia="SimSun"/>
        </w:rPr>
      </w:pPr>
      <w:r>
        <w:t>31.</w:t>
      </w:r>
      <w:r>
        <w:tab/>
        <w:t xml:space="preserve">После доработки и публикации выводов и рекомендаций Комитета о выполнении Болгарией ее обязательств по Конвенции в связи с продлением срока эксплуатации энергоблоков № 5 и № 6 на атомной электростанции </w:t>
      </w:r>
      <w:r w:rsidRPr="00024EE6">
        <w:t>«</w:t>
      </w:r>
      <w:r>
        <w:t xml:space="preserve">Козлодуй» на своей пятьдесят пятой сессии (Женева (в онлайн-формате), 31 января </w:t>
      </w:r>
      <w:r w:rsidRPr="00292BA7">
        <w:t>—</w:t>
      </w:r>
      <w:r>
        <w:t xml:space="preserve"> 3 февраля)</w:t>
      </w:r>
      <w:r w:rsidRPr="007222B3">
        <w:rPr>
          <w:rFonts w:eastAsia="SimSun"/>
          <w:sz w:val="18"/>
          <w:szCs w:val="18"/>
          <w:vertAlign w:val="superscript"/>
        </w:rPr>
        <w:footnoteReference w:id="11"/>
      </w:r>
      <w:r>
        <w:t>, Комитет завершил подготовку текста соответствующего проекта решения IX/4h о соблюдении.</w:t>
      </w:r>
    </w:p>
    <w:p w14:paraId="6245EAEE" w14:textId="26C699C8" w:rsidR="00292BA7" w:rsidRPr="00D46311" w:rsidRDefault="00292BA7" w:rsidP="00292BA7">
      <w:pPr>
        <w:pStyle w:val="H1G"/>
        <w:spacing w:line="240" w:lineRule="auto"/>
        <w:rPr>
          <w:rFonts w:eastAsia="SimSun"/>
        </w:rPr>
      </w:pPr>
      <w:r>
        <w:rPr>
          <w:bCs/>
        </w:rPr>
        <w:lastRenderedPageBreak/>
        <w:tab/>
        <w:t>B.</w:t>
      </w:r>
      <w:r>
        <w:tab/>
      </w:r>
      <w:r>
        <w:tab/>
      </w:r>
      <w:r>
        <w:rPr>
          <w:bCs/>
        </w:rPr>
        <w:t>Бельгия (EIA/IC/CI/9)</w:t>
      </w:r>
    </w:p>
    <w:p w14:paraId="2F5291D7" w14:textId="18A2CC0B" w:rsidR="00292BA7" w:rsidRPr="00292BA7" w:rsidRDefault="00292BA7" w:rsidP="00292BA7">
      <w:pPr>
        <w:pStyle w:val="SingleTxtG"/>
        <w:rPr>
          <w:rFonts w:eastAsia="SimSun"/>
        </w:rPr>
      </w:pPr>
      <w:r>
        <w:t>32.</w:t>
      </w:r>
      <w:r>
        <w:tab/>
        <w:t>Комитет в отсутствие своего члена, выдвинутого Люксембургом, продолжил рассмотрение своей инициативы о соблюдении Бельгией ее обязательств по Конвенции в связи с продлением срока эксплуатации энергоблока № 1 на атомной электростанции «Тианж».</w:t>
      </w:r>
    </w:p>
    <w:p w14:paraId="0DB1B5BB" w14:textId="6A0D3B24" w:rsidR="00292BA7" w:rsidRPr="00D46311" w:rsidRDefault="00292BA7" w:rsidP="00292BA7">
      <w:pPr>
        <w:pStyle w:val="SingleTxtG"/>
        <w:rPr>
          <w:rFonts w:eastAsia="SimSun"/>
        </w:rPr>
      </w:pPr>
      <w:r w:rsidRPr="00292BA7">
        <w:t>33.</w:t>
      </w:r>
      <w:r w:rsidRPr="00292BA7">
        <w:tab/>
        <w:t>Комитет принял к сведению замечания и представления Бельгии и Германии от 30 марта 2023 года по проекту выводов и рекомендаций, подготовленного в развитие инициативы Комитета, ранее переданного этим двум заинтересованным странам. Принимая во внимание полученные замечания, Комитет рассмотрел и доработал свои выводы и рекомендации и просил секретариат опубликовать их в качестве официального документа до начала своей пятьдесят седьмой сессии и препроводить этот документ заинтересованным Сторонам. Впоследствии секретариату было поручено также препроводить выводы и рекомендации Совещанию Сторон</w:t>
      </w:r>
      <w:r>
        <w:t xml:space="preserve"> Конвенции на его девятой сессии (Женева, 12–15 декабря 2023 года)</w:t>
      </w:r>
      <w:r w:rsidRPr="005E645C">
        <w:t>, с тем чтобы оно ознакомилось с ними</w:t>
      </w:r>
      <w:r>
        <w:t xml:space="preserve"> и </w:t>
      </w:r>
      <w:r w:rsidRPr="005E645C">
        <w:t>приняло их во внимание</w:t>
      </w:r>
      <w:r>
        <w:t xml:space="preserve"> при рассмотрении соответствующего проекта решения.</w:t>
      </w:r>
    </w:p>
    <w:p w14:paraId="75958B7D" w14:textId="4BDCE16F" w:rsidR="00292BA7" w:rsidRPr="007222B3" w:rsidRDefault="00292BA7" w:rsidP="00292BA7">
      <w:pPr>
        <w:pStyle w:val="SingleTxtG"/>
        <w:rPr>
          <w:rFonts w:eastAsia="SimSun"/>
        </w:rPr>
      </w:pPr>
      <w:bookmarkStart w:id="7" w:name="_Hlk134029833"/>
      <w:r>
        <w:t>34.</w:t>
      </w:r>
      <w:r>
        <w:tab/>
      </w:r>
      <w:r w:rsidRPr="00117C6A">
        <w:t>Затем Комитет подготовил текст проекта решения</w:t>
      </w:r>
      <w:r>
        <w:t xml:space="preserve"> </w:t>
      </w:r>
      <w:r w:rsidRPr="005B312A">
        <w:rPr>
          <w:rFonts w:eastAsia="SimSun"/>
        </w:rPr>
        <w:t>IX</w:t>
      </w:r>
      <w:r w:rsidRPr="00B44F1C">
        <w:rPr>
          <w:rFonts w:eastAsia="SimSun"/>
        </w:rPr>
        <w:t>/4</w:t>
      </w:r>
      <w:r w:rsidRPr="005B312A">
        <w:rPr>
          <w:rFonts w:eastAsia="SimSun"/>
        </w:rPr>
        <w:t>g</w:t>
      </w:r>
      <w:r w:rsidRPr="00B44F1C">
        <w:rPr>
          <w:rFonts w:eastAsia="SimSun"/>
        </w:rPr>
        <w:t xml:space="preserve"> </w:t>
      </w:r>
      <w:r>
        <w:t xml:space="preserve">о соблюдения Бельгией ее обязательств по Конвенции в связи с продлением срока </w:t>
      </w:r>
      <w:r w:rsidRPr="00292BA7">
        <w:t>эксплуатации</w:t>
      </w:r>
      <w:r>
        <w:t xml:space="preserve"> энергоблока</w:t>
      </w:r>
      <w:r w:rsidR="00F0568F">
        <w:t> </w:t>
      </w:r>
      <w:r>
        <w:t>№ 1 на атомной электростанции «Тианж»</w:t>
      </w:r>
      <w:r w:rsidR="007222B3" w:rsidRPr="007222B3">
        <w:t>.</w:t>
      </w:r>
    </w:p>
    <w:bookmarkEnd w:id="7"/>
    <w:p w14:paraId="05154256" w14:textId="5C003FC5" w:rsidR="00292BA7" w:rsidRPr="002B4C02" w:rsidRDefault="00292BA7" w:rsidP="00292BA7">
      <w:pPr>
        <w:pStyle w:val="H1G"/>
        <w:spacing w:line="240" w:lineRule="auto"/>
        <w:rPr>
          <w:rFonts w:eastAsia="SimSun"/>
          <w:lang w:val="fr-CH"/>
        </w:rPr>
      </w:pPr>
      <w:r w:rsidRPr="007222B3">
        <w:rPr>
          <w:bCs/>
        </w:rPr>
        <w:tab/>
      </w:r>
      <w:r w:rsidRPr="002B4C02">
        <w:rPr>
          <w:bCs/>
          <w:lang w:val="fr-CH"/>
        </w:rPr>
        <w:t>C.</w:t>
      </w:r>
      <w:r w:rsidRPr="002B4C02">
        <w:rPr>
          <w:lang w:val="fr-CH"/>
        </w:rPr>
        <w:tab/>
      </w:r>
      <w:r w:rsidRPr="002B4C02">
        <w:rPr>
          <w:lang w:val="fr-CH"/>
        </w:rPr>
        <w:tab/>
      </w:r>
      <w:r>
        <w:rPr>
          <w:bCs/>
        </w:rPr>
        <w:t>Чехия</w:t>
      </w:r>
      <w:r w:rsidRPr="002B4C02">
        <w:rPr>
          <w:bCs/>
          <w:lang w:val="fr-CH"/>
        </w:rPr>
        <w:t xml:space="preserve"> (EIA/IC/CI/10)</w:t>
      </w:r>
    </w:p>
    <w:p w14:paraId="1B9E7D8A" w14:textId="2144DAE4" w:rsidR="00292BA7" w:rsidRPr="00292BA7" w:rsidRDefault="00292BA7" w:rsidP="00292BA7">
      <w:pPr>
        <w:pStyle w:val="SingleTxtG"/>
        <w:rPr>
          <w:rFonts w:eastAsia="SimSun"/>
        </w:rPr>
      </w:pPr>
      <w:r>
        <w:t>35.</w:t>
      </w:r>
      <w:r>
        <w:tab/>
        <w:t xml:space="preserve">Комитет продолжил рассмотрение </w:t>
      </w:r>
      <w:r w:rsidRPr="00292BA7">
        <w:t xml:space="preserve">своей инициативы о соблюдении </w:t>
      </w:r>
      <w:r w:rsidR="007222B3">
        <w:br/>
      </w:r>
      <w:r w:rsidRPr="00292BA7">
        <w:t xml:space="preserve">Чехией ее обязательств по Конвенции в связи с продлением срока эксплуатации энергоблоков №№ 1–4 на атомной электростанции «Дукованы». </w:t>
      </w:r>
    </w:p>
    <w:p w14:paraId="2A42D5A0" w14:textId="77777777" w:rsidR="00292BA7" w:rsidRPr="00292BA7" w:rsidRDefault="00292BA7" w:rsidP="00292BA7">
      <w:pPr>
        <w:pStyle w:val="SingleTxtG"/>
        <w:rPr>
          <w:rFonts w:eastAsia="SimSun"/>
        </w:rPr>
      </w:pPr>
      <w:r w:rsidRPr="00292BA7">
        <w:t>36.</w:t>
      </w:r>
      <w:r w:rsidRPr="00292BA7">
        <w:tab/>
        <w:t xml:space="preserve">Комитет принял к сведению замечания и представления Австрии, Германии и Чехии от 30 марта 2023 года по подготовленному в развитие инициативы Комитета проекту выводов и рекомендаций, который был ранее передан этим трем заинтересованным странам. Приняв во внимание полученные замечания, Комитет рассмотрел и доработал свои выводы и рекомендации и просил секретариат опубликовать их в качестве официального документа до начала своей пятьдесят седьмой сессии; довести их до сведения заинтересованных Сторон; и впоследствии препроводить эти выводы и рекомендации Совещанию Сторон Конвенции на его девятой сессии </w:t>
      </w:r>
      <w:r w:rsidRPr="00292BA7">
        <w:rPr>
          <w:rFonts w:eastAsia="SimSun"/>
        </w:rPr>
        <w:t>(Женева, 12–15 декабря 2023 года), с тем чтобы оно ознакомилось с ними и приняло их во внимание</w:t>
      </w:r>
      <w:r w:rsidRPr="00292BA7">
        <w:t xml:space="preserve"> при рассмотрении соответствующего проекта решения. </w:t>
      </w:r>
    </w:p>
    <w:p w14:paraId="610A2155" w14:textId="07A0310E" w:rsidR="00292BA7" w:rsidRPr="00292BA7" w:rsidRDefault="00292BA7" w:rsidP="00292BA7">
      <w:pPr>
        <w:pStyle w:val="SingleTxtG"/>
        <w:rPr>
          <w:rFonts w:eastAsia="SimSun"/>
        </w:rPr>
      </w:pPr>
      <w:r w:rsidRPr="00292BA7">
        <w:t>37.</w:t>
      </w:r>
      <w:r w:rsidRPr="00292BA7">
        <w:tab/>
        <w:t xml:space="preserve">Затем Комитет подготовил текст проекта решения </w:t>
      </w:r>
      <w:r w:rsidRPr="00292BA7">
        <w:rPr>
          <w:rFonts w:eastAsia="SimSun"/>
        </w:rPr>
        <w:t xml:space="preserve">IX/4i </w:t>
      </w:r>
      <w:r w:rsidRPr="00292BA7">
        <w:t xml:space="preserve">о соблюдении </w:t>
      </w:r>
      <w:r w:rsidR="009303D1">
        <w:br/>
      </w:r>
      <w:r w:rsidRPr="00292BA7">
        <w:t>Чехией ее обязательств по Конвенции в связи с продлением срока эксплуатации энергоблоков №№ 1–4 на атомной электростанции «Дукованы».</w:t>
      </w:r>
    </w:p>
    <w:p w14:paraId="5CAD9B49" w14:textId="263EE286" w:rsidR="00292BA7" w:rsidRPr="00D46311" w:rsidRDefault="00292BA7" w:rsidP="00292BA7">
      <w:pPr>
        <w:pStyle w:val="HChG"/>
        <w:spacing w:line="240" w:lineRule="auto"/>
        <w:rPr>
          <w:rFonts w:eastAsia="SimSun"/>
        </w:rPr>
      </w:pPr>
      <w:r>
        <w:rPr>
          <w:bCs/>
        </w:rPr>
        <w:tab/>
        <w:t>VI.</w:t>
      </w:r>
      <w:r>
        <w:tab/>
      </w:r>
      <w:r>
        <w:tab/>
      </w:r>
      <w:r>
        <w:rPr>
          <w:bCs/>
        </w:rPr>
        <w:t>Сбор информации</w:t>
      </w:r>
      <w:r w:rsidRPr="007222B3">
        <w:rPr>
          <w:rFonts w:eastAsia="SimSun"/>
          <w:b w:val="0"/>
          <w:bCs/>
          <w:sz w:val="18"/>
          <w:vertAlign w:val="superscript"/>
        </w:rPr>
        <w:footnoteReference w:id="12"/>
      </w:r>
    </w:p>
    <w:p w14:paraId="0B2B1E75" w14:textId="77777777" w:rsidR="00292BA7" w:rsidRPr="00D46311" w:rsidRDefault="00292BA7" w:rsidP="00292BA7">
      <w:pPr>
        <w:pStyle w:val="H1G"/>
        <w:spacing w:line="240" w:lineRule="auto"/>
        <w:rPr>
          <w:rFonts w:eastAsia="SimSun"/>
        </w:rPr>
      </w:pPr>
      <w:r>
        <w:tab/>
      </w:r>
      <w:r>
        <w:tab/>
      </w:r>
      <w:r>
        <w:rPr>
          <w:bCs/>
        </w:rPr>
        <w:t>Вопросы, касающиеся Конвенции</w:t>
      </w:r>
    </w:p>
    <w:p w14:paraId="103C274E" w14:textId="77777777" w:rsidR="00292BA7" w:rsidRPr="00D46311" w:rsidRDefault="00292BA7" w:rsidP="00292BA7">
      <w:pPr>
        <w:pStyle w:val="SingleTxtG"/>
        <w:rPr>
          <w:rFonts w:eastAsia="SimSun"/>
        </w:rPr>
      </w:pPr>
      <w:r>
        <w:t>38.</w:t>
      </w:r>
      <w:r>
        <w:tab/>
        <w:t>В соответствии с пунктом 1 правила 17 рабочих правил Комитета обсуждения по этому пункту повестки дня не были открытыми для наблюдателей.</w:t>
      </w:r>
    </w:p>
    <w:p w14:paraId="6EBC82AC" w14:textId="76BB570A" w:rsidR="00292BA7" w:rsidRPr="00D46311" w:rsidRDefault="00292BA7" w:rsidP="00292BA7">
      <w:pPr>
        <w:pStyle w:val="H1G"/>
        <w:spacing w:line="240" w:lineRule="auto"/>
        <w:rPr>
          <w:rFonts w:eastAsia="SimSun"/>
        </w:rPr>
      </w:pPr>
      <w:r>
        <w:rPr>
          <w:bCs/>
        </w:rPr>
        <w:tab/>
        <w:t>A.</w:t>
      </w:r>
      <w:r>
        <w:tab/>
      </w:r>
      <w:r>
        <w:tab/>
      </w:r>
      <w:r>
        <w:rPr>
          <w:bCs/>
        </w:rPr>
        <w:t>Беларусь (EIA/IC/INFO/21)</w:t>
      </w:r>
    </w:p>
    <w:p w14:paraId="50EDE82F" w14:textId="77777777" w:rsidR="00292BA7" w:rsidRPr="00D46311" w:rsidRDefault="00292BA7" w:rsidP="00292BA7">
      <w:pPr>
        <w:pStyle w:val="SingleTxtG"/>
        <w:rPr>
          <w:rFonts w:eastAsia="SimSun"/>
        </w:rPr>
      </w:pPr>
      <w:r>
        <w:t>39.</w:t>
      </w:r>
      <w:r>
        <w:tab/>
        <w:t xml:space="preserve">Комитет продолжил рассмотрение вопроса о сборе информации, касающейся национального </w:t>
      </w:r>
      <w:r w:rsidRPr="00292BA7">
        <w:t>законодательства</w:t>
      </w:r>
      <w:r>
        <w:t xml:space="preserve"> Беларуси, имплементирующего Конвенцию. Он </w:t>
      </w:r>
      <w:r>
        <w:lastRenderedPageBreak/>
        <w:t xml:space="preserve">принял к сведению письмо Беларуси от 18 апреля 2023 года, в котором сообщалось, что Беларусь достигла прогресса в принятии измененного законодательства, поскольку соответствующий законопроект прошел первое чтение в парламенте, а его общественное обсуждение состоялось в 2022 году. Комитет также принял к сведению готовность Беларуси представить текст измененного законодательства после его принятия в срок, указанный в письме Комитета от 17 февраля 2023 года. </w:t>
      </w:r>
    </w:p>
    <w:p w14:paraId="51F13BE6" w14:textId="77777777" w:rsidR="00292BA7" w:rsidRPr="00292BA7" w:rsidRDefault="00292BA7" w:rsidP="00292BA7">
      <w:pPr>
        <w:pStyle w:val="SingleTxtG"/>
        <w:rPr>
          <w:rFonts w:eastAsia="SimSun"/>
        </w:rPr>
      </w:pPr>
      <w:r>
        <w:t>40.</w:t>
      </w:r>
      <w:r>
        <w:tab/>
        <w:t xml:space="preserve">Комитет признал определенный прогресс, достигнутый Беларусью в законодательном процессе, но отметил, что до сих пор измененное законодательство не было принято. Кроме того, на основе анализа Закона о государственной экологической экспертизе, стратегической экологической оценке и оценке воздействия на окружающую среду и соответствующих подзаконных актов, а также выводов консультантов секретариата, </w:t>
      </w:r>
      <w:r w:rsidRPr="00292BA7">
        <w:t>которые с 2021 года работают в рамках программы «ЕС за окружающую среду», Комитет подтвердил свой вывод о том, что до настоящего времени Беларусь не устранила недостатки своего Закона о государственной экологической экспертизе, стратегической экологической оценке и оценке воздействия на окружающую среду от 18 июля 2016 года. Комитет обратил внимание на свое письмо, адресованное Беларуси 2 января 2019 года, включающее неисчерпывающий перечень недостатков, а также на выводы консультантов секретариата, с 2021 года работающих по программе «ЕС за окружающую среду».</w:t>
      </w:r>
    </w:p>
    <w:p w14:paraId="2E93C4D1" w14:textId="205E86AD" w:rsidR="00292BA7" w:rsidRPr="00D46311" w:rsidRDefault="00292BA7" w:rsidP="00292BA7">
      <w:pPr>
        <w:pStyle w:val="SingleTxtG"/>
        <w:rPr>
          <w:rFonts w:eastAsia="SimSun"/>
        </w:rPr>
      </w:pPr>
      <w:r w:rsidRPr="00292BA7">
        <w:t>41.</w:t>
      </w:r>
      <w:r w:rsidRPr="00292BA7">
        <w:tab/>
        <w:t>Поскольку Беларусь не приняла законодательство, имплементирующее Конвенцию, и, исходя из наличия серьезного подозрении в несоблюдении Беларусью своих обязательств по Конвенции, Комитет в соответствии с пунктом 6 своей структуры и функций</w:t>
      </w:r>
      <w:r w:rsidRPr="007222B3">
        <w:rPr>
          <w:rFonts w:eastAsia="SimSun"/>
          <w:sz w:val="18"/>
          <w:vertAlign w:val="superscript"/>
        </w:rPr>
        <w:footnoteReference w:id="13"/>
      </w:r>
      <w:r w:rsidRPr="00292BA7">
        <w:t xml:space="preserve"> решил выступить с инициативой. Он решил подготовить выводы и рекомендации по данному вопросу и после их согласования</w:t>
      </w:r>
      <w:r>
        <w:t xml:space="preserve"> направить их Беларуси для представления замечаний к 31 июля 2023 года, с тем чтобы завершить их подготовку на своей пятьдесят седьмой сессии с учетом внесенных замечаний. Он решил подготовить соответствующий проект решения о соблюдении на той же сессии. </w:t>
      </w:r>
    </w:p>
    <w:p w14:paraId="75F24CBB" w14:textId="5BF4E89A" w:rsidR="00292BA7" w:rsidRPr="006010DC" w:rsidRDefault="00292BA7" w:rsidP="00292BA7">
      <w:pPr>
        <w:pStyle w:val="H1G"/>
        <w:spacing w:line="240" w:lineRule="auto"/>
        <w:rPr>
          <w:rFonts w:eastAsia="SimSun"/>
        </w:rPr>
      </w:pPr>
      <w:r>
        <w:rPr>
          <w:bCs/>
        </w:rPr>
        <w:tab/>
        <w:t>B.</w:t>
      </w:r>
      <w:r>
        <w:tab/>
      </w:r>
      <w:r>
        <w:tab/>
      </w:r>
      <w:r>
        <w:rPr>
          <w:bCs/>
        </w:rPr>
        <w:t>Нидерланды (EIA/IC/INFO/15)</w:t>
      </w:r>
    </w:p>
    <w:p w14:paraId="6B7694B9" w14:textId="77777777" w:rsidR="00292BA7" w:rsidRPr="00292BA7" w:rsidRDefault="00292BA7" w:rsidP="00292BA7">
      <w:pPr>
        <w:pStyle w:val="SingleTxtG"/>
        <w:rPr>
          <w:rFonts w:eastAsia="SimSun"/>
        </w:rPr>
      </w:pPr>
      <w:r>
        <w:t>42.</w:t>
      </w:r>
      <w:r>
        <w:tab/>
        <w:t>Комитет продолжил рассмотрение информации, полученной им в дополнение к информации от 7 мая 2014 года от НПО «</w:t>
      </w:r>
      <w:r w:rsidRPr="00292BA7">
        <w:t>Гринпис–Нидерланды», касающейся продления срока эксплуатации атомной электростанции «Борселе» в Нидерландах.</w:t>
      </w:r>
    </w:p>
    <w:p w14:paraId="3F346189" w14:textId="484EAA15" w:rsidR="00292BA7" w:rsidRPr="00476D1C" w:rsidRDefault="00292BA7" w:rsidP="00292BA7">
      <w:pPr>
        <w:pStyle w:val="SingleTxtG"/>
        <w:rPr>
          <w:rFonts w:eastAsia="SimSun"/>
        </w:rPr>
      </w:pPr>
      <w:r w:rsidRPr="00292BA7">
        <w:t>43.</w:t>
      </w:r>
      <w:r w:rsidRPr="00292BA7">
        <w:tab/>
        <w:t xml:space="preserve">Комитет рассмотрел всю информацию, представленную ему по этому вопросу Нидерландами как Стороной происхождения, Германией как потенциально затрагиваемой Стороной и НПО, в свете критериев </w:t>
      </w:r>
      <w:r w:rsidRPr="00CB4C2D">
        <w:rPr>
          <w:i/>
          <w:iCs/>
        </w:rPr>
        <w:t>Руководства по применимости Конвенции к продлению срока службы атомных электростанций</w:t>
      </w:r>
      <w:r w:rsidRPr="00292BA7">
        <w:t xml:space="preserve"> (Руководство)</w:t>
      </w:r>
      <w:r w:rsidR="00CB4C2D" w:rsidRPr="007222B3">
        <w:rPr>
          <w:rFonts w:eastAsia="SimSun"/>
          <w:sz w:val="18"/>
          <w:vertAlign w:val="superscript"/>
        </w:rPr>
        <w:footnoteReference w:id="14"/>
      </w:r>
      <w:r w:rsidR="00476D1C" w:rsidRPr="00476D1C">
        <w:t>.</w:t>
      </w:r>
    </w:p>
    <w:p w14:paraId="578EA700" w14:textId="7CC0A4C6" w:rsidR="00292BA7" w:rsidRPr="00292BA7" w:rsidRDefault="00292BA7" w:rsidP="00292BA7">
      <w:pPr>
        <w:pStyle w:val="SingleTxtG"/>
        <w:rPr>
          <w:rFonts w:eastAsia="SimSun"/>
        </w:rPr>
      </w:pPr>
      <w:r w:rsidRPr="00292BA7">
        <w:t>44.</w:t>
      </w:r>
      <w:r w:rsidRPr="00292BA7">
        <w:tab/>
        <w:t xml:space="preserve">Для того чтобы завершить обсуждение на основе полной информации, Комитет решил обратиться к НПО «Гринпис–Нидерланды» с просьбой сообщить, располагает ли она какой-либо дополнительной информацией, имеющей значение для Комитета, в частности о каких-либо крупных физических работах или крупных инвестициях, позволяющих осуществить принятое в 2013 году решение о продлении срока эксплуатации атомной электростанции «Борселе». </w:t>
      </w:r>
    </w:p>
    <w:p w14:paraId="16A989DD" w14:textId="77777777" w:rsidR="00292BA7" w:rsidRPr="00D46311" w:rsidRDefault="00292BA7" w:rsidP="00292BA7">
      <w:pPr>
        <w:pStyle w:val="SingleTxtG"/>
        <w:rPr>
          <w:rFonts w:eastAsia="SimSun"/>
        </w:rPr>
      </w:pPr>
      <w:r w:rsidRPr="00292BA7">
        <w:t>45.</w:t>
      </w:r>
      <w:r w:rsidRPr="00292BA7">
        <w:tab/>
        <w:t>Комитет попросил своего Председателя направить письмо НПО «Гринпис–Нидерланды» с предложением представить запрашиваемую информацию в течение одного месяца после получения запроса, с тем чтобы представить свой ответ правительству Нидерландов для замечаний к 31 июля 2023 года</w:t>
      </w:r>
      <w:r>
        <w:t xml:space="preserve">. </w:t>
      </w:r>
    </w:p>
    <w:p w14:paraId="011A951E" w14:textId="17361B82" w:rsidR="00292BA7" w:rsidRPr="00D46311" w:rsidRDefault="00292BA7" w:rsidP="00292BA7">
      <w:pPr>
        <w:pStyle w:val="H1G"/>
        <w:spacing w:line="240" w:lineRule="auto"/>
        <w:rPr>
          <w:rFonts w:eastAsia="SimSun"/>
        </w:rPr>
      </w:pPr>
      <w:r>
        <w:rPr>
          <w:bCs/>
        </w:rPr>
        <w:lastRenderedPageBreak/>
        <w:tab/>
        <w:t>C.</w:t>
      </w:r>
      <w:r>
        <w:tab/>
      </w:r>
      <w:r>
        <w:tab/>
      </w:r>
      <w:r>
        <w:rPr>
          <w:bCs/>
        </w:rPr>
        <w:t>Франция (EIA/IC/INFO/32)</w:t>
      </w:r>
    </w:p>
    <w:p w14:paraId="73D74B5B" w14:textId="5CE127C7" w:rsidR="00292BA7" w:rsidRPr="00292BA7" w:rsidRDefault="00292BA7" w:rsidP="00292BA7">
      <w:pPr>
        <w:pStyle w:val="SingleTxtG"/>
        <w:rPr>
          <w:rFonts w:eastAsia="SimSun"/>
        </w:rPr>
      </w:pPr>
      <w:r>
        <w:t>46.</w:t>
      </w:r>
      <w:r>
        <w:tab/>
        <w:t xml:space="preserve">Комитет продолжил рассмотрение информации организации «Гринпис — Франция», полученной 9 марта 2020 года и дополненной 7 </w:t>
      </w:r>
      <w:r w:rsidRPr="00292BA7">
        <w:t>мая 2020 года, относительно запланированного Францией продления срока эксплуатации 32 энергоблоков на 8</w:t>
      </w:r>
      <w:r w:rsidR="0009386D">
        <w:rPr>
          <w:lang w:val="en-US"/>
        </w:rPr>
        <w:t> </w:t>
      </w:r>
      <w:r w:rsidRPr="00292BA7">
        <w:t>атомных электростанциях</w:t>
      </w:r>
      <w:r w:rsidR="00CB4C2D" w:rsidRPr="007222B3">
        <w:rPr>
          <w:rFonts w:eastAsia="SimSun"/>
          <w:sz w:val="18"/>
          <w:vertAlign w:val="superscript"/>
        </w:rPr>
        <w:footnoteReference w:id="15"/>
      </w:r>
      <w:r w:rsidRPr="00292BA7">
        <w:t>.</w:t>
      </w:r>
    </w:p>
    <w:p w14:paraId="2572C963" w14:textId="29E4B8FA" w:rsidR="00292BA7" w:rsidRPr="0009386D" w:rsidRDefault="00292BA7" w:rsidP="00292BA7">
      <w:pPr>
        <w:pStyle w:val="SingleTxtG"/>
        <w:rPr>
          <w:rFonts w:eastAsia="SimSun"/>
        </w:rPr>
      </w:pPr>
      <w:r w:rsidRPr="00292BA7">
        <w:t>47.</w:t>
      </w:r>
      <w:r w:rsidRPr="00292BA7">
        <w:tab/>
        <w:t>Комитет рассмотрел информацию, представленную правительством Франции 5</w:t>
      </w:r>
      <w:r w:rsidR="0009386D">
        <w:rPr>
          <w:lang w:val="en-US"/>
        </w:rPr>
        <w:t> </w:t>
      </w:r>
      <w:r w:rsidRPr="00292BA7">
        <w:t>апреля 2023 года. Он отметил, что решение в рамках предварительной оценки по энергоблоку №1 АЭС «Трикастен» о необходимости проведения оценки воздействия на окружающую среду на внутреннем и, в случае необходимости, на трансграничном уровне должно быть принято до сентября 2023 года после выхода заключительного доклада Управления по ядерной безопасности, которое ожидается в июле 2023 года</w:t>
      </w:r>
      <w:r w:rsidR="0009386D" w:rsidRPr="0009386D">
        <w:t>.</w:t>
      </w:r>
    </w:p>
    <w:p w14:paraId="3FA4AC90" w14:textId="469909A4" w:rsidR="00292BA7" w:rsidRPr="00292BA7" w:rsidRDefault="00292BA7" w:rsidP="00292BA7">
      <w:pPr>
        <w:pStyle w:val="SingleTxtG"/>
        <w:rPr>
          <w:rFonts w:eastAsia="SimSun"/>
        </w:rPr>
      </w:pPr>
      <w:r w:rsidRPr="00292BA7">
        <w:t>48.</w:t>
      </w:r>
      <w:r w:rsidRPr="00292BA7">
        <w:tab/>
        <w:t xml:space="preserve">Он также принял к сведению представленный Францией обновленный график выполнения долгосрочных процедур, связанных с эксплуатацией энергоблоков на АЭС мощностью менее 900 МВт, в котором для Комитета приведена информация о ходе четвертых периодических проверок безопасности. Комитет отметил, что Управление по ядерной безопасности приступило к оценке нескольких энергоблоков («Блайе» № 1, «Бюже» №№ 2, 4 и 5, «Дампьер» №№ 1 и 2, «Гравлин» № 1, </w:t>
      </w:r>
      <w:r w:rsidR="0009386D">
        <w:br/>
      </w:r>
      <w:r w:rsidRPr="00292BA7">
        <w:t xml:space="preserve">«Трикастен» №№ 1, 2 и 3). </w:t>
      </w:r>
    </w:p>
    <w:p w14:paraId="2B7CE2BC" w14:textId="77777777" w:rsidR="00292BA7" w:rsidRPr="00292BA7" w:rsidRDefault="00292BA7" w:rsidP="00292BA7">
      <w:pPr>
        <w:pStyle w:val="SingleTxtG"/>
        <w:rPr>
          <w:rFonts w:eastAsia="SimSun"/>
        </w:rPr>
      </w:pPr>
      <w:r w:rsidRPr="00292BA7">
        <w:t>49.</w:t>
      </w:r>
      <w:r w:rsidRPr="00292BA7">
        <w:tab/>
        <w:t>Комитет предложил своему Председателю направить Франции письмо, с тем чтобы:</w:t>
      </w:r>
    </w:p>
    <w:p w14:paraId="711318A4" w14:textId="16264611" w:rsidR="00292BA7" w:rsidRPr="00292BA7" w:rsidRDefault="00292BA7" w:rsidP="00292BA7">
      <w:pPr>
        <w:pStyle w:val="SingleTxtG"/>
        <w:rPr>
          <w:rFonts w:eastAsia="SimSun"/>
        </w:rPr>
      </w:pPr>
      <w:r>
        <w:tab/>
      </w:r>
      <w:r w:rsidRPr="00292BA7">
        <w:t>a)</w:t>
      </w:r>
      <w:r w:rsidRPr="00292BA7">
        <w:tab/>
        <w:t>выразить признательность Франции за своевременное представление информации от 5 апреля 2023 года;</w:t>
      </w:r>
    </w:p>
    <w:p w14:paraId="04A53D53" w14:textId="555AC6FA" w:rsidR="00292BA7" w:rsidRPr="00292BA7" w:rsidRDefault="00292BA7" w:rsidP="00292BA7">
      <w:pPr>
        <w:pStyle w:val="SingleTxtG"/>
        <w:rPr>
          <w:rFonts w:eastAsia="SimSun"/>
        </w:rPr>
      </w:pPr>
      <w:r>
        <w:tab/>
      </w:r>
      <w:r w:rsidRPr="00292BA7">
        <w:t>b)</w:t>
      </w:r>
      <w:r w:rsidRPr="00292BA7">
        <w:tab/>
        <w:t>просить ее представить обновленную информацию в дополнение к относящейся к Конвенции любой информации, а также о мерах, принятых в рамках процесса конкретной оценки состояния любого из энергоблоков, в частности: заключение Французского управления по ядерной безопасности; «заключительный доклад»; и принятое решение по итогам предварительной оценки с указанием причин, по которым было принято решение о проведении процедуры оценки трансграничного воздействия на окружающую среду или о ее непроведении;</w:t>
      </w:r>
    </w:p>
    <w:p w14:paraId="522E4270" w14:textId="169045A1" w:rsidR="00292BA7" w:rsidRPr="00292BA7" w:rsidRDefault="00292BA7" w:rsidP="00292BA7">
      <w:pPr>
        <w:pStyle w:val="SingleTxtG"/>
        <w:rPr>
          <w:rFonts w:eastAsia="SimSun"/>
        </w:rPr>
      </w:pPr>
      <w:r>
        <w:tab/>
      </w:r>
      <w:r w:rsidRPr="00292BA7">
        <w:t>c)</w:t>
      </w:r>
      <w:r w:rsidRPr="00292BA7">
        <w:tab/>
        <w:t xml:space="preserve">напомнить Франции в свете продолжающегося процесса принятия проекта закона «об ускорении процедур, связанных со строительством новых ядерных установок поблизости от существующих ядерных объектов и эксплуатацией существующих установок», о ее обязательствах по Конвенции, изложенных в предыдущем письме Комитета от 18 февраля 2022 года, в котором для Франции изложены рекомендации по обеспечению соблюдения Конвенции; </w:t>
      </w:r>
    </w:p>
    <w:p w14:paraId="53B79FBF" w14:textId="37CBFF0A" w:rsidR="00292BA7" w:rsidRPr="00292BA7" w:rsidRDefault="00292BA7" w:rsidP="00292BA7">
      <w:pPr>
        <w:pStyle w:val="SingleTxtG"/>
        <w:rPr>
          <w:rFonts w:eastAsia="SimSun"/>
        </w:rPr>
      </w:pPr>
      <w:r>
        <w:tab/>
      </w:r>
      <w:r w:rsidRPr="00292BA7">
        <w:t>d)</w:t>
      </w:r>
      <w:r w:rsidRPr="00292BA7">
        <w:tab/>
        <w:t>просить Францию представить запрошенную информацию на английском языке через секретариат не позднее 1 августа 2023 года.</w:t>
      </w:r>
    </w:p>
    <w:p w14:paraId="46785327" w14:textId="77777777" w:rsidR="00292BA7" w:rsidRPr="00292BA7" w:rsidRDefault="00292BA7" w:rsidP="00292BA7">
      <w:pPr>
        <w:pStyle w:val="SingleTxtG"/>
        <w:rPr>
          <w:rFonts w:eastAsia="SimSun"/>
        </w:rPr>
      </w:pPr>
      <w:r w:rsidRPr="00292BA7">
        <w:t>50.</w:t>
      </w:r>
      <w:r w:rsidRPr="00292BA7">
        <w:tab/>
        <w:t xml:space="preserve">Кроме того, Комитет просил своего Председателя направить письмо НПО «Гринпис – Франция» с благодарностью за представленную информацию о текущем законодательном процессе во Франции. Председателю было также предложено просить в своем письме представить обновленную информацию по данному вопросу до начала пятьдесят седьмой сессии Комитета, но не позднее 1 августа 2023 года. </w:t>
      </w:r>
    </w:p>
    <w:p w14:paraId="111AE72C" w14:textId="7813A29B" w:rsidR="00292BA7" w:rsidRPr="00D46311" w:rsidRDefault="00292BA7" w:rsidP="00292BA7">
      <w:pPr>
        <w:pStyle w:val="SingleTxtG"/>
        <w:rPr>
          <w:rFonts w:eastAsia="SimSun"/>
        </w:rPr>
      </w:pPr>
      <w:r w:rsidRPr="00292BA7">
        <w:t>51.</w:t>
      </w:r>
      <w:r w:rsidRPr="00292BA7">
        <w:tab/>
        <w:t>Наконец, Комитет просил секретариат поделиться с НПО — в отсутствие каких-либо разумных возражений со стороны Франции —</w:t>
      </w:r>
      <w:r w:rsidR="0009386D" w:rsidRPr="0009386D">
        <w:t xml:space="preserve"> </w:t>
      </w:r>
      <w:r w:rsidRPr="00292BA7">
        <w:t>полученной от Франции в отношении этой деятельности информацией от 5 апреля 2023 года</w:t>
      </w:r>
      <w:r>
        <w:t>.</w:t>
      </w:r>
    </w:p>
    <w:p w14:paraId="50233AF5" w14:textId="2803FC66" w:rsidR="00292BA7" w:rsidRPr="00D46311" w:rsidRDefault="00292BA7" w:rsidP="00292BA7">
      <w:pPr>
        <w:pStyle w:val="HChG"/>
        <w:spacing w:line="240" w:lineRule="auto"/>
        <w:rPr>
          <w:rFonts w:eastAsia="SimSun"/>
        </w:rPr>
      </w:pPr>
      <w:r>
        <w:rPr>
          <w:bCs/>
        </w:rPr>
        <w:lastRenderedPageBreak/>
        <w:tab/>
        <w:t>VII.</w:t>
      </w:r>
      <w:r>
        <w:tab/>
      </w:r>
      <w:r>
        <w:tab/>
      </w:r>
      <w:r>
        <w:rPr>
          <w:bCs/>
        </w:rPr>
        <w:t>Обзор осуществления</w:t>
      </w:r>
    </w:p>
    <w:p w14:paraId="729996C7" w14:textId="3BF69FC2" w:rsidR="00292BA7" w:rsidRPr="00D46311" w:rsidRDefault="00292BA7" w:rsidP="00292BA7">
      <w:pPr>
        <w:pStyle w:val="H1G"/>
        <w:spacing w:line="240" w:lineRule="auto"/>
        <w:rPr>
          <w:rFonts w:eastAsia="SimSun"/>
        </w:rPr>
      </w:pPr>
      <w:r>
        <w:rPr>
          <w:bCs/>
        </w:rPr>
        <w:tab/>
        <w:t>A.</w:t>
      </w:r>
      <w:r>
        <w:tab/>
      </w:r>
      <w:r>
        <w:tab/>
      </w:r>
      <w:r>
        <w:rPr>
          <w:bCs/>
        </w:rPr>
        <w:t>Рассмотрение общих и конкретных вопросов соблюдения по итогам шестого обзора осуществления Конвенции</w:t>
      </w:r>
    </w:p>
    <w:p w14:paraId="093A3EF7" w14:textId="1F1AD1DD" w:rsidR="00292BA7" w:rsidRPr="00292BA7" w:rsidRDefault="00292BA7" w:rsidP="00292BA7">
      <w:pPr>
        <w:pStyle w:val="SingleTxtG"/>
        <w:rPr>
          <w:rFonts w:eastAsia="SimSun"/>
        </w:rPr>
      </w:pPr>
      <w:r>
        <w:t>52.</w:t>
      </w:r>
      <w:r>
        <w:tab/>
        <w:t>Комитет напомнил, что после обсуждения на своей пятьдесят пятой сессии Комитет просил Кыргызстан представить до 31 марта 2023 года дополнительные пояснения по потенциальным вопросам соблюдения, выявленным в ходе шестого обзора осуществления Конвенции (ECE/MP.EIA/2020/8)</w:t>
      </w:r>
      <w:r w:rsidR="0009386D" w:rsidRPr="007222B3">
        <w:rPr>
          <w:rFonts w:eastAsia="SimSun"/>
          <w:sz w:val="18"/>
          <w:vertAlign w:val="superscript"/>
        </w:rPr>
        <w:footnoteReference w:id="16"/>
      </w:r>
      <w:r>
        <w:t>. Комитет с сожалением отметил, что, несмотря на несколько напоминаний со стороны секретариата, Кыргызстан не ответил на письмо Комитета от 17 февраля 2023 года. Он просил своего Председателя осветить в докладе, представляемому Рабочей группе на ее двенадцатом совещании (Женева, 13</w:t>
      </w:r>
      <w:r w:rsidR="0009386D" w:rsidRPr="0009386D">
        <w:t>–</w:t>
      </w:r>
      <w:r>
        <w:t xml:space="preserve">15 июня 2023 года) трудности, с </w:t>
      </w:r>
      <w:r w:rsidRPr="00292BA7">
        <w:t xml:space="preserve">которыми столкнулся Комитет при получении ответов от Сторон на свои просьбы о представлении информации и упомянуть Кыргызстан в качестве одной из таких Сторон, а также обратиться к Сторонам с настоятельным призывом оперативно реагировать на просьбы Комитета о представлении информации. Секретариат проинформировал Комитет об уходе с должности лица, являвшегося национальным координационным центром Кыргызстана, и недавнем назначении его замены. </w:t>
      </w:r>
      <w:bookmarkStart w:id="8" w:name="_Hlk134546909"/>
      <w:bookmarkStart w:id="9" w:name="_Hlk134547239"/>
      <w:bookmarkEnd w:id="8"/>
      <w:bookmarkEnd w:id="9"/>
    </w:p>
    <w:p w14:paraId="1A8E4826" w14:textId="77777777" w:rsidR="00292BA7" w:rsidRPr="00D46311" w:rsidRDefault="00292BA7" w:rsidP="00292BA7">
      <w:pPr>
        <w:pStyle w:val="SingleTxtG"/>
        <w:rPr>
          <w:rFonts w:eastAsia="SimSun"/>
        </w:rPr>
      </w:pPr>
      <w:r w:rsidRPr="00292BA7">
        <w:t>53.</w:t>
      </w:r>
      <w:r w:rsidRPr="00292BA7">
        <w:tab/>
        <w:t>Комитет предложил своему Председателю вновь направить письмо Кыргызстану и повторить первоначальную просьбу Комитета от 14 апреля 2022 года о представлении через секретариат не позднее 31 июля 2023 года</w:t>
      </w:r>
      <w:r>
        <w:t xml:space="preserve"> пояснения на английском языке об осуществлении Кыргызстаном Конвенции, с тем чтобы Комитет мог провести оценку осуществления на своей следующей сессии.</w:t>
      </w:r>
    </w:p>
    <w:p w14:paraId="5F72990B" w14:textId="730A0426" w:rsidR="00292BA7" w:rsidRPr="00D46311" w:rsidRDefault="00292BA7" w:rsidP="00292BA7">
      <w:pPr>
        <w:pStyle w:val="H1G"/>
        <w:spacing w:line="240" w:lineRule="auto"/>
        <w:rPr>
          <w:rFonts w:eastAsia="SimSun"/>
        </w:rPr>
      </w:pPr>
      <w:r>
        <w:rPr>
          <w:bCs/>
        </w:rPr>
        <w:tab/>
        <w:t>B.</w:t>
      </w:r>
      <w:r>
        <w:tab/>
      </w:r>
      <w:r>
        <w:tab/>
      </w:r>
      <w:r>
        <w:rPr>
          <w:bCs/>
        </w:rPr>
        <w:t>Рассмотрение общих и конкретных вопросов соблюдения по</w:t>
      </w:r>
      <w:r w:rsidR="0009386D">
        <w:rPr>
          <w:bCs/>
          <w:lang w:val="en-US"/>
        </w:rPr>
        <w:t> </w:t>
      </w:r>
      <w:r>
        <w:rPr>
          <w:bCs/>
        </w:rPr>
        <w:t>итогам второго обзора осуществления Протокола</w:t>
      </w:r>
    </w:p>
    <w:p w14:paraId="4A662086" w14:textId="77777777" w:rsidR="00292BA7" w:rsidRPr="00292BA7" w:rsidRDefault="00292BA7" w:rsidP="00292BA7">
      <w:pPr>
        <w:pStyle w:val="SingleTxtG"/>
        <w:rPr>
          <w:rFonts w:eastAsia="SimSun"/>
        </w:rPr>
      </w:pPr>
      <w:r>
        <w:t>54.</w:t>
      </w:r>
      <w:r>
        <w:tab/>
        <w:t xml:space="preserve">Комитет продолжил </w:t>
      </w:r>
      <w:r w:rsidRPr="00292BA7">
        <w:t>рассмотрение конкретного вопроса о соблюдении в отношении Сербии, выявленного в ходе второго обзора осуществления Протокола (ECE/MP.EIA/SEA/2017/9).</w:t>
      </w:r>
    </w:p>
    <w:p w14:paraId="4AFA933D" w14:textId="10EB53A2" w:rsidR="00292BA7" w:rsidRPr="00292BA7" w:rsidRDefault="00292BA7" w:rsidP="00292BA7">
      <w:pPr>
        <w:pStyle w:val="SingleTxtG"/>
        <w:rPr>
          <w:rFonts w:eastAsia="SimSun"/>
        </w:rPr>
      </w:pPr>
      <w:r w:rsidRPr="00292BA7">
        <w:t>55.</w:t>
      </w:r>
      <w:r w:rsidRPr="00292BA7">
        <w:tab/>
        <w:t xml:space="preserve">На своей пятьдесят четвертой сессии </w:t>
      </w:r>
      <w:r w:rsidRPr="00292BA7">
        <w:rPr>
          <w:rFonts w:eastAsia="SimSun"/>
        </w:rPr>
        <w:t xml:space="preserve">(Женева, 4–7 октября 2022 года) </w:t>
      </w:r>
      <w:r w:rsidRPr="00292BA7">
        <w:t>Комитет письмом от 28 июля 2022 года был проинформирован Сербией о том, что принятие пересмотренного Закона о стратегической экологической оценке запланировано до конца 2022 года</w:t>
      </w:r>
      <w:r w:rsidR="0009386D" w:rsidRPr="007222B3">
        <w:rPr>
          <w:rFonts w:eastAsia="SimSun"/>
          <w:sz w:val="18"/>
          <w:szCs w:val="18"/>
          <w:vertAlign w:val="superscript"/>
        </w:rPr>
        <w:footnoteReference w:id="17"/>
      </w:r>
      <w:r w:rsidRPr="00292BA7">
        <w:t>. Комитет отметил, что по итогам обсуждений на своей пятьдесят пятой сессии Комитет уже направил Сербии напоминание о необходимости представить после принятия тексты измененного закона и его перевода на английский язык</w:t>
      </w:r>
      <w:r w:rsidR="0009386D" w:rsidRPr="007222B3">
        <w:rPr>
          <w:rFonts w:eastAsia="SimSun"/>
          <w:sz w:val="18"/>
          <w:vertAlign w:val="superscript"/>
        </w:rPr>
        <w:footnoteReference w:id="18"/>
      </w:r>
      <w:r w:rsidRPr="00292BA7">
        <w:t>. Комитет с сожалением отметил, что с июля 2022 года Сербия не предоставила никакой новой информации. Он просил своего Председателя осветить в докладе, представляемом Рабочей группе на ее двенадцатом совещании, трудности, с которыми столкнулся Комитет при получении ответов от Сторон на свои запросы о представлении информации и упомянуть Сербию в качестве одной из таких Сторон, а также обратиться к Сторонам с настоятельным призывом оперативно отвечать на запросы Комитета о представлении информации.</w:t>
      </w:r>
    </w:p>
    <w:p w14:paraId="09EF6DD8" w14:textId="77777777" w:rsidR="00292BA7" w:rsidRPr="00D46311" w:rsidRDefault="00292BA7" w:rsidP="00292BA7">
      <w:pPr>
        <w:pStyle w:val="SingleTxtG"/>
        <w:rPr>
          <w:rFonts w:eastAsia="SimSun"/>
        </w:rPr>
      </w:pPr>
      <w:r w:rsidRPr="00292BA7">
        <w:t>56.</w:t>
      </w:r>
      <w:r w:rsidRPr="00292BA7">
        <w:tab/>
        <w:t>Комитет предложил своему Председателю вновь направить письмо Сербии с целью напомнить ей о необходимости проинформировать Комитет о ходе законодательного процесса по принятию нового Закона о стратегической экологической оценке и, в случае его принятия, представить Комитету тексты измененного закона и его перевода на английский</w:t>
      </w:r>
      <w:r>
        <w:t xml:space="preserve"> язык не позднее 31 июля 2023 года. </w:t>
      </w:r>
    </w:p>
    <w:p w14:paraId="4155B369" w14:textId="102CC4D3" w:rsidR="00292BA7" w:rsidRPr="00D46311" w:rsidRDefault="00292BA7" w:rsidP="00292BA7">
      <w:pPr>
        <w:pStyle w:val="H1G"/>
        <w:spacing w:line="240" w:lineRule="auto"/>
        <w:rPr>
          <w:rFonts w:eastAsia="SimSun"/>
        </w:rPr>
      </w:pPr>
      <w:r>
        <w:rPr>
          <w:bCs/>
        </w:rPr>
        <w:lastRenderedPageBreak/>
        <w:tab/>
        <w:t>C.</w:t>
      </w:r>
      <w:r>
        <w:rPr>
          <w:bCs/>
        </w:rPr>
        <w:tab/>
      </w:r>
      <w:r>
        <w:tab/>
      </w:r>
      <w:r>
        <w:rPr>
          <w:bCs/>
        </w:rPr>
        <w:t>Рассмотрение общих и конкретных вопросов соблюдения по</w:t>
      </w:r>
      <w:r w:rsidR="00F1451B">
        <w:rPr>
          <w:bCs/>
          <w:lang w:val="en-US"/>
        </w:rPr>
        <w:t> </w:t>
      </w:r>
      <w:r>
        <w:rPr>
          <w:bCs/>
        </w:rPr>
        <w:t>итогам третьего обзора осуществления Протокола</w:t>
      </w:r>
    </w:p>
    <w:p w14:paraId="0FD0A8FA" w14:textId="57A1B00D" w:rsidR="00292BA7" w:rsidRPr="00292BA7" w:rsidRDefault="00292BA7" w:rsidP="00292BA7">
      <w:pPr>
        <w:pStyle w:val="SingleTxtG"/>
        <w:rPr>
          <w:rFonts w:eastAsia="SimSun"/>
        </w:rPr>
      </w:pPr>
      <w:r>
        <w:t>57.</w:t>
      </w:r>
      <w:r>
        <w:tab/>
        <w:t>Комитет продолжил рассмотрение общих и конкретных вопросов соблюдения, выявленных в ходе третьего обзора осуществления Протокола (ECE/MP.EIA/</w:t>
      </w:r>
      <w:r w:rsidR="00F1451B">
        <w:br/>
      </w:r>
      <w:r>
        <w:t>SEA/2020/8), и принял к сведению ответы Армении от 29 марта 2023</w:t>
      </w:r>
      <w:r w:rsidR="00F1451B" w:rsidRPr="00F1451B">
        <w:t xml:space="preserve"> </w:t>
      </w:r>
      <w:r w:rsidR="00F1451B">
        <w:rPr>
          <w:lang w:val="en-US"/>
        </w:rPr>
        <w:t> </w:t>
      </w:r>
      <w:r>
        <w:t xml:space="preserve">года на его письмо от 17 февраля 2023 </w:t>
      </w:r>
      <w:r w:rsidRPr="00292BA7">
        <w:t>года, а также отсутствие ответа от Северной Македонии.</w:t>
      </w:r>
    </w:p>
    <w:p w14:paraId="52EF2C87" w14:textId="70EBC1F4" w:rsidR="00292BA7" w:rsidRPr="00292BA7" w:rsidRDefault="00292BA7" w:rsidP="00292BA7">
      <w:pPr>
        <w:pStyle w:val="SingleTxtG"/>
        <w:rPr>
          <w:rFonts w:eastAsia="SimSun"/>
        </w:rPr>
      </w:pPr>
      <w:r w:rsidRPr="00292BA7">
        <w:t>58.</w:t>
      </w:r>
      <w:r w:rsidRPr="00292BA7">
        <w:tab/>
        <w:t xml:space="preserve">Комитет сослался на проведенное им обсуждение в связи с последующей деятельностью во исполнение решения VIII/4a о соблюдении Арменией ее обязательств по Конвенции в отношении своего национального законодательства </w:t>
      </w:r>
      <w:r w:rsidR="00F1451B">
        <w:br/>
      </w:r>
      <w:r w:rsidRPr="00292BA7">
        <w:t xml:space="preserve">(см. пп. 9–12 выше). Он согласился с тем, что, поскольку решение VIII/4a охватывает также законодательство Армении по осуществлению Протокола, он продолжит дальнейшее рассмотрение конкретного вопроса о соблюдении, касающегося Армении, в рамках последующей деятельности во исполнение этого решения. </w:t>
      </w:r>
    </w:p>
    <w:p w14:paraId="3C8C093D" w14:textId="1F7CA8AD" w:rsidR="00292BA7" w:rsidRPr="00292BA7" w:rsidRDefault="00292BA7" w:rsidP="00292BA7">
      <w:pPr>
        <w:pStyle w:val="SingleTxtG"/>
        <w:rPr>
          <w:rFonts w:eastAsia="SimSun"/>
        </w:rPr>
      </w:pPr>
      <w:r w:rsidRPr="00292BA7">
        <w:t>59.</w:t>
      </w:r>
      <w:r w:rsidRPr="00292BA7">
        <w:tab/>
        <w:t xml:space="preserve">На основании ответа Армении от 29 марта 2023 года Комитет отметил, что в дополнение к содержащимся в законопроекте положениям о стратегической экологической оценке после принятия изменений к Закону об оценке воздействия на окружающую среду Армения планирует разработать конкретные процедуры по стратегической экологической оценке, а также соответствующее руководство. </w:t>
      </w:r>
      <w:r w:rsidR="00F1451B">
        <w:br/>
      </w:r>
      <w:r w:rsidRPr="00292BA7">
        <w:t>По мнению Армении, согласно новому законопроекту, решение об изменении планов и программ, независимо от того, являются ли эти изменения незначительными модификациями или нет, будет приниматься уполномоченным органом по итогам совместных консультаций с их инициатором.</w:t>
      </w:r>
      <w:bookmarkStart w:id="10" w:name="_Hlk133843731"/>
      <w:bookmarkEnd w:id="10"/>
    </w:p>
    <w:p w14:paraId="634B4CF6" w14:textId="77777777" w:rsidR="00292BA7" w:rsidRPr="00292BA7" w:rsidRDefault="00292BA7" w:rsidP="00292BA7">
      <w:pPr>
        <w:pStyle w:val="SingleTxtG"/>
        <w:rPr>
          <w:rFonts w:eastAsia="SimSun"/>
        </w:rPr>
      </w:pPr>
      <w:r w:rsidRPr="00292BA7">
        <w:t>60.</w:t>
      </w:r>
      <w:r w:rsidRPr="00292BA7">
        <w:tab/>
        <w:t xml:space="preserve">Поскольку до начала сессии законопроект не был принят Арменией, Комитет проанализировал этот законопроект, имеющийся в открытом доступе (см. пункт 10 выше). В отношении статей 4 и 21 указанного законопроекта, касающихся области применения стратегической экологической оценки, Комитет предварительно пришел к выводу о том, что в случае принятия этих положений законопроекта в качестве законодательных норм представленные Арменией пояснения явятся удовлетворительным основанием для того, чтобы сделать вывод об отсутствии проблем с осуществлением в отношении пункта 4 статьи 4 Протокола. </w:t>
      </w:r>
      <w:bookmarkStart w:id="11" w:name="_Hlk134548269"/>
    </w:p>
    <w:bookmarkEnd w:id="11"/>
    <w:p w14:paraId="5AD47778" w14:textId="77777777" w:rsidR="00292BA7" w:rsidRPr="00D46311" w:rsidRDefault="00292BA7" w:rsidP="00292BA7">
      <w:pPr>
        <w:pStyle w:val="SingleTxtG"/>
        <w:rPr>
          <w:rFonts w:eastAsia="SimSun"/>
        </w:rPr>
      </w:pPr>
      <w:r w:rsidRPr="00292BA7">
        <w:t>61.</w:t>
      </w:r>
      <w:r w:rsidRPr="00292BA7">
        <w:tab/>
        <w:t>Обратившись к вопросу о Северной Македонии, Комитет с сожалением отметил отсутствие ответа Северной Македонии на свое письмо от 17 февраля 2023 года, несмотря на несколько напоминаний со стороны</w:t>
      </w:r>
      <w:r>
        <w:t xml:space="preserve"> секретариата. Комитет просил своего Председателя вновь направить Северной Македонии письмо, с тем чтобы в третий раз повторить свою просьбу о представлении пояснений по данному вопросу, которое должно быть направлено через секретариат на английском языке не позднее 31 июля 2023 года, а также упомянуть Северную Македонию в своем докладе Рабочей группе как одну из Сторон, не ответивших на просьбы Комитета о представлении информации. </w:t>
      </w:r>
    </w:p>
    <w:p w14:paraId="23F82B56" w14:textId="6D685532" w:rsidR="00292BA7" w:rsidRPr="00D46311" w:rsidRDefault="00292BA7" w:rsidP="00292BA7">
      <w:pPr>
        <w:pStyle w:val="H1G"/>
        <w:spacing w:line="240" w:lineRule="auto"/>
        <w:rPr>
          <w:rFonts w:eastAsia="SimSun"/>
          <w:bCs/>
          <w:sz w:val="32"/>
        </w:rPr>
      </w:pPr>
      <w:r>
        <w:rPr>
          <w:bCs/>
        </w:rPr>
        <w:tab/>
        <w:t>D.</w:t>
      </w:r>
      <w:r>
        <w:tab/>
      </w:r>
      <w:r>
        <w:tab/>
      </w:r>
      <w:r>
        <w:rPr>
          <w:bCs/>
        </w:rPr>
        <w:t>SEA/IC/SCI/1/4</w:t>
      </w:r>
    </w:p>
    <w:p w14:paraId="02A33592" w14:textId="23E31068" w:rsidR="00292BA7" w:rsidRPr="00D46311" w:rsidRDefault="00292BA7" w:rsidP="00292BA7">
      <w:pPr>
        <w:pStyle w:val="SingleTxtG"/>
        <w:rPr>
          <w:rFonts w:eastAsia="SimSun"/>
        </w:rPr>
      </w:pPr>
      <w:r>
        <w:t>62.</w:t>
      </w:r>
      <w:r>
        <w:tab/>
        <w:t xml:space="preserve">После доработки Комитетом в консультации с Европейской комиссией проекта типовых форм докладов Европейского </w:t>
      </w:r>
      <w:r w:rsidR="001B7E8A">
        <w:t>с</w:t>
      </w:r>
      <w:r>
        <w:t xml:space="preserve">оюза об осуществлении Конвенции и Протокола и их </w:t>
      </w:r>
      <w:r w:rsidRPr="00292BA7">
        <w:t>представления</w:t>
      </w:r>
      <w:r>
        <w:t xml:space="preserve"> в качестве официальных документов</w:t>
      </w:r>
      <w:r w:rsidR="0009386D" w:rsidRPr="007222B3">
        <w:rPr>
          <w:rFonts w:eastAsia="SimSun"/>
          <w:sz w:val="18"/>
          <w:vertAlign w:val="superscript"/>
        </w:rPr>
        <w:footnoteReference w:id="19"/>
      </w:r>
      <w:r w:rsidR="0009386D" w:rsidRPr="0009386D">
        <w:t xml:space="preserve"> </w:t>
      </w:r>
      <w:r>
        <w:t xml:space="preserve">для рассмотрения Рабочей группой на ее двенадцатом совещании Комитет решил завершить соответствующие обсуждения конкретных вопросов соблюдения Протокола Европейским </w:t>
      </w:r>
      <w:r w:rsidR="001B7E8A">
        <w:t>с</w:t>
      </w:r>
      <w:r>
        <w:t xml:space="preserve">оюзом, выявленных в ходе первого обзора осуществления Протокола (SEA/IC/SCI/1/4), после того, как типовые формы докладов будут должным образом приняты к сведению Совещаниями Сторон на их следующих сессиях. </w:t>
      </w:r>
    </w:p>
    <w:p w14:paraId="4A4AE5C6" w14:textId="4AB89DE0" w:rsidR="00292BA7" w:rsidRPr="00D46311" w:rsidRDefault="00292BA7" w:rsidP="00292BA7">
      <w:pPr>
        <w:pStyle w:val="HChG"/>
        <w:spacing w:line="240" w:lineRule="auto"/>
        <w:rPr>
          <w:rFonts w:eastAsia="SimSun"/>
        </w:rPr>
      </w:pPr>
      <w:r>
        <w:rPr>
          <w:bCs/>
        </w:rPr>
        <w:lastRenderedPageBreak/>
        <w:tab/>
        <w:t>VIII.</w:t>
      </w:r>
      <w:r>
        <w:tab/>
      </w:r>
      <w:r>
        <w:tab/>
      </w:r>
      <w:r>
        <w:rPr>
          <w:bCs/>
        </w:rPr>
        <w:t>Методы работы и правила процедуры</w:t>
      </w:r>
    </w:p>
    <w:p w14:paraId="365DBE91" w14:textId="5A21321E" w:rsidR="00292BA7" w:rsidRPr="00D46311" w:rsidRDefault="00292BA7" w:rsidP="00292BA7">
      <w:pPr>
        <w:pStyle w:val="SingleTxtG"/>
        <w:rPr>
          <w:rFonts w:eastAsia="SimSun"/>
        </w:rPr>
      </w:pPr>
      <w:r>
        <w:t>63.</w:t>
      </w:r>
      <w:r>
        <w:tab/>
        <w:t>В развитие обсуждений, проведенных Комитетом на его пятьдесят пятой сессии</w:t>
      </w:r>
      <w:r w:rsidR="0009386D" w:rsidRPr="007222B3">
        <w:rPr>
          <w:rFonts w:eastAsia="SimSun"/>
          <w:sz w:val="18"/>
          <w:vertAlign w:val="superscript"/>
        </w:rPr>
        <w:footnoteReference w:id="20"/>
      </w:r>
      <w:r>
        <w:t>, и в соответствии с пунктом 18 решения VIII/4</w:t>
      </w:r>
      <w:r w:rsidR="0009386D" w:rsidRPr="007222B3">
        <w:rPr>
          <w:rFonts w:eastAsia="SimSun"/>
          <w:sz w:val="18"/>
          <w:szCs w:val="18"/>
          <w:vertAlign w:val="superscript"/>
        </w:rPr>
        <w:footnoteReference w:id="21"/>
      </w:r>
      <w:r w:rsidR="0009386D" w:rsidRPr="0009386D">
        <w:t xml:space="preserve"> </w:t>
      </w:r>
      <w:r>
        <w:t>Совещания Сторон Конвенции, пунктом 14 решения IV/4</w:t>
      </w:r>
      <w:r w:rsidR="0009386D" w:rsidRPr="007222B3">
        <w:rPr>
          <w:rFonts w:eastAsia="SimSun"/>
          <w:sz w:val="18"/>
          <w:szCs w:val="18"/>
          <w:vertAlign w:val="superscript"/>
        </w:rPr>
        <w:footnoteReference w:id="22"/>
      </w:r>
      <w:r w:rsidR="0009386D" w:rsidRPr="0009386D">
        <w:t xml:space="preserve"> </w:t>
      </w:r>
      <w:r w:rsidRPr="00292BA7">
        <w:t>Совещания</w:t>
      </w:r>
      <w:r>
        <w:t xml:space="preserve"> Сторон Протокола и планом работы на 2021</w:t>
      </w:r>
      <w:r w:rsidR="007222B3" w:rsidRPr="007222B3">
        <w:t>–</w:t>
      </w:r>
      <w:r>
        <w:t>2023 годы</w:t>
      </w:r>
      <w:r w:rsidR="0009386D" w:rsidRPr="007222B3">
        <w:rPr>
          <w:rFonts w:eastAsia="SimSun"/>
          <w:sz w:val="18"/>
          <w:szCs w:val="18"/>
          <w:vertAlign w:val="superscript"/>
        </w:rPr>
        <w:footnoteReference w:id="23"/>
      </w:r>
      <w:r>
        <w:t xml:space="preserve"> Комитет продолжил обзор своей структуры и функций, а также рабочих правил. Он решил передать свое предложение о возможных поправках для информации Рабочей группе на ее двенадцатом заседании, а затем в установленном порядке доработать его на пятьдесят седьмой сессии Комитета для рассмотрения на следующих сессиях Совещаний Сторон с учетом внесенных замечаний.</w:t>
      </w:r>
    </w:p>
    <w:p w14:paraId="45647ECB" w14:textId="278D860C" w:rsidR="00292BA7" w:rsidRPr="00D46311" w:rsidRDefault="00292BA7" w:rsidP="00292BA7">
      <w:pPr>
        <w:pStyle w:val="HChG"/>
        <w:spacing w:line="240" w:lineRule="auto"/>
        <w:rPr>
          <w:rFonts w:eastAsia="SimSun"/>
        </w:rPr>
      </w:pPr>
      <w:r>
        <w:rPr>
          <w:bCs/>
        </w:rPr>
        <w:tab/>
        <w:t>IX.</w:t>
      </w:r>
      <w:r>
        <w:tab/>
      </w:r>
      <w:r>
        <w:tab/>
      </w:r>
      <w:r>
        <w:rPr>
          <w:bCs/>
        </w:rPr>
        <w:t>Прочие вопросы</w:t>
      </w:r>
    </w:p>
    <w:p w14:paraId="3B60FB7A" w14:textId="142D5E18" w:rsidR="00292BA7" w:rsidRPr="00D46311" w:rsidRDefault="00292BA7" w:rsidP="00292BA7">
      <w:pPr>
        <w:pStyle w:val="SingleTxtG"/>
        <w:rPr>
          <w:rFonts w:eastAsia="SimSun"/>
        </w:rPr>
      </w:pPr>
      <w:r>
        <w:t>64.</w:t>
      </w:r>
      <w:r>
        <w:tab/>
        <w:t>В соответствии со своим решением, принятым на пятьдесят пятой сессии</w:t>
      </w:r>
      <w:r w:rsidRPr="007222B3">
        <w:rPr>
          <w:rFonts w:eastAsia="SimSun"/>
          <w:sz w:val="18"/>
          <w:szCs w:val="18"/>
          <w:vertAlign w:val="superscript"/>
        </w:rPr>
        <w:footnoteReference w:id="24"/>
      </w:r>
      <w:r>
        <w:t>, Комитет провел повторную оценку ситуации в Украине и постановил продолжить рассмотрение всех вопросов соблюдения, касающихся Украины, которое было приостановлено на пятьдесят второй сессии (Женева, 29</w:t>
      </w:r>
      <w:r w:rsidR="007222B3" w:rsidRPr="007222B3">
        <w:t>–</w:t>
      </w:r>
      <w:r>
        <w:t>31 марта 2022 года)</w:t>
      </w:r>
      <w:r w:rsidRPr="007222B3">
        <w:rPr>
          <w:rFonts w:eastAsia="SimSun"/>
          <w:sz w:val="18"/>
          <w:vertAlign w:val="superscript"/>
        </w:rPr>
        <w:footnoteReference w:id="25"/>
      </w:r>
      <w:r>
        <w:t xml:space="preserve"> в связи с вторжением Российской Федерации на территорию Украины</w:t>
      </w:r>
      <w:r w:rsidRPr="007222B3">
        <w:rPr>
          <w:rFonts w:eastAsia="SimSun"/>
          <w:sz w:val="18"/>
          <w:szCs w:val="18"/>
          <w:vertAlign w:val="superscript"/>
        </w:rPr>
        <w:footnoteReference w:id="26"/>
      </w:r>
      <w:r>
        <w:t xml:space="preserve">. Комитет предложил Украине принять участие в текущей сессии для проведения неофициальных консультаций с целью обсуждения прогресса, достигнутого ею к настоящему времени. Он приветствовал делегацию Украины и предложил ей представить информацию о ходе рассмотрения различных вопросов. </w:t>
      </w:r>
    </w:p>
    <w:p w14:paraId="129C46F9" w14:textId="04C9088E" w:rsidR="00292BA7" w:rsidRPr="00D46311" w:rsidRDefault="00292BA7" w:rsidP="00292BA7">
      <w:pPr>
        <w:pStyle w:val="H1G"/>
        <w:rPr>
          <w:rFonts w:eastAsia="SimSun"/>
        </w:rPr>
      </w:pPr>
      <w:r>
        <w:tab/>
        <w:t>A.</w:t>
      </w:r>
      <w:r>
        <w:tab/>
      </w:r>
      <w:r>
        <w:tab/>
        <w:t>Проект канала «Быстрое» (EIA/IC/S/1)</w:t>
      </w:r>
      <w:r w:rsidRPr="007222B3">
        <w:rPr>
          <w:rFonts w:eastAsia="SimSun"/>
          <w:b w:val="0"/>
          <w:sz w:val="18"/>
          <w:vertAlign w:val="superscript"/>
          <w:lang w:eastAsia="en-US"/>
        </w:rPr>
        <w:footnoteReference w:id="27"/>
      </w:r>
      <w:r>
        <w:t xml:space="preserve"> </w:t>
      </w:r>
    </w:p>
    <w:p w14:paraId="105B7528" w14:textId="61D7D32D" w:rsidR="00292BA7" w:rsidRPr="00D46311" w:rsidRDefault="00292BA7" w:rsidP="00292BA7">
      <w:pPr>
        <w:pStyle w:val="SingleTxtG"/>
        <w:rPr>
          <w:rFonts w:eastAsia="SimSun"/>
        </w:rPr>
      </w:pPr>
      <w:r>
        <w:t>65.</w:t>
      </w:r>
      <w:r>
        <w:tab/>
        <w:t xml:space="preserve">Комитет продолжил рассмотрение шагов, предпринятых во исполнение решения VIII/4d о соблюдении Украиной ее обязательств по </w:t>
      </w:r>
      <w:r w:rsidRPr="00292BA7">
        <w:t>Конвенции</w:t>
      </w:r>
      <w:r>
        <w:t xml:space="preserve"> в связи с проектом строительства глубоководного судоходного канала «Дунай — Черное море» в украинском секторе дельты реки Дуная (проект канала «Быстрое») в присутствии делегации Украины. Он рассмотрел информацию Украины от 13 апреля 2023 года о мерах по выполнению решения VIII/4d.</w:t>
      </w:r>
      <w:r w:rsidR="007222B3">
        <w:t xml:space="preserve"> </w:t>
      </w:r>
    </w:p>
    <w:p w14:paraId="1FAA49F0" w14:textId="73BF4762" w:rsidR="00292BA7" w:rsidRPr="00D46311" w:rsidRDefault="00292BA7" w:rsidP="00292BA7">
      <w:pPr>
        <w:pStyle w:val="SingleTxtG"/>
        <w:rPr>
          <w:rFonts w:eastAsia="SimSun"/>
        </w:rPr>
      </w:pPr>
      <w:r>
        <w:t>66.</w:t>
      </w:r>
      <w:r>
        <w:tab/>
        <w:t>Комитет приветствовал заключение 18 ноября 2022 года двустороннего соглашения между правительствами Румынии и Украины об осуществлении Конвенции.</w:t>
      </w:r>
      <w:r w:rsidR="007222B3">
        <w:t xml:space="preserve"> </w:t>
      </w:r>
      <w:r>
        <w:t>Он отметил, что, по данным Украины, все работы на канале «Быстрое» были приостановлены и что в период 2020</w:t>
      </w:r>
      <w:r w:rsidR="00E60C5E">
        <w:t>–</w:t>
      </w:r>
      <w:r>
        <w:t xml:space="preserve">2021 годов эксплуатационные </w:t>
      </w:r>
      <w:r>
        <w:lastRenderedPageBreak/>
        <w:t xml:space="preserve">дноуглубительные работы на нем не проводились. В 2022 году дноуглубительные работы были проведены, но они не имели отношения к каналу «Быстрое». Украина также заявила, что она отказалась от проекта строительства «Дунайско-Черноморского судоходного канала» и 22 июня 2020 года уведомила Румынию о начале процедуры оценки трансграничного воздействия на окружающую среду нового проекта «Реконструкция объектов строительства </w:t>
      </w:r>
      <w:r w:rsidR="00031247">
        <w:t>"</w:t>
      </w:r>
      <w:r>
        <w:t>Создание глубоководного судового хода река Дунай-Черное море на украинском участке дельты реки Дуная</w:t>
      </w:r>
      <w:r w:rsidR="00031247">
        <w:t>"</w:t>
      </w:r>
      <w:r>
        <w:t>», на что Румыния представила свой ответ 4 августа 2022 года. Комитет принял к сведению важность для Украины существующего глубоководного судоходного маршрута по реке Дунай в условиях продолжающейся войны как единственного альтернативного пути обеспечения экспорта украинского зерна.</w:t>
      </w:r>
    </w:p>
    <w:p w14:paraId="62E33DD3" w14:textId="20837162" w:rsidR="00292BA7" w:rsidRPr="00292BA7" w:rsidRDefault="00292BA7" w:rsidP="00292BA7">
      <w:pPr>
        <w:pStyle w:val="SingleTxtG"/>
        <w:rPr>
          <w:rFonts w:eastAsia="SimSun"/>
        </w:rPr>
      </w:pPr>
      <w:r>
        <w:t>67.</w:t>
      </w:r>
      <w:r>
        <w:tab/>
        <w:t xml:space="preserve">В ходе неофициальных консультаций на текущей сессии делегация Украины проинформировала Комитет о том, что доклад об оценке воздействия на окружающую среду нового проекта, включающий план </w:t>
      </w:r>
      <w:r w:rsidRPr="00292BA7">
        <w:t>проведения компенсационных мероприятий, а также послепроектного мониторинга, был направлен Румынии 3 мая 2023 года и принят ею к сведению. Украина рассчитывает провести с Румынией консультации экспертов в течение ближайших двух</w:t>
      </w:r>
      <w:r w:rsidR="00031247">
        <w:t>–</w:t>
      </w:r>
      <w:r w:rsidRPr="00292BA7">
        <w:t xml:space="preserve">трех месяцев. </w:t>
      </w:r>
    </w:p>
    <w:p w14:paraId="42C7A5FD" w14:textId="77777777" w:rsidR="00292BA7" w:rsidRPr="00292BA7" w:rsidRDefault="00292BA7" w:rsidP="00292BA7">
      <w:pPr>
        <w:pStyle w:val="SingleTxtG"/>
        <w:rPr>
          <w:rFonts w:eastAsia="SimSun"/>
        </w:rPr>
      </w:pPr>
      <w:r w:rsidRPr="00292BA7">
        <w:t>68.</w:t>
      </w:r>
      <w:r w:rsidRPr="00292BA7">
        <w:tab/>
        <w:t>Комитет просил своего Председателя направить Украине письмо с просьбой представить к 31 июля 2023 года подробный доклад о том, как Украина выполнила действия, предусмотренные «дорожной картой», разработанной Украиной для приведения проекта строительства канала «Быстрое» в соответствие с Конвенцией, и о следующих шагах, относящихся к реализации нового проекта.</w:t>
      </w:r>
    </w:p>
    <w:p w14:paraId="0037A8B1" w14:textId="33D50137" w:rsidR="00292BA7" w:rsidRPr="00292BA7" w:rsidRDefault="00292BA7" w:rsidP="00292BA7">
      <w:pPr>
        <w:pStyle w:val="SingleTxtG"/>
        <w:rPr>
          <w:rFonts w:eastAsia="SimSun"/>
        </w:rPr>
      </w:pPr>
      <w:r w:rsidRPr="00292BA7">
        <w:t>69.</w:t>
      </w:r>
      <w:r w:rsidRPr="00292BA7">
        <w:tab/>
        <w:t>Он также просил своего Председателя направить Румынии письмо, содержащее ссылку на полученную Комитетом от Украины до проведения и во время проведения неофициальных консультаций информацию, в том числе о том, что 3 мая 2023 года Украина направила Румынии доклад об оценке воздействия на окружающую среду, предложить Румынии поделиться информацией о нем и представить свои замечания в течение одного месяца с момента получения письма.</w:t>
      </w:r>
      <w:r w:rsidR="007222B3">
        <w:t xml:space="preserve"> </w:t>
      </w:r>
      <w:r w:rsidRPr="00292BA7">
        <w:t xml:space="preserve"> </w:t>
      </w:r>
    </w:p>
    <w:p w14:paraId="724F303E" w14:textId="77777777" w:rsidR="00292BA7" w:rsidRPr="00D46311" w:rsidRDefault="00292BA7" w:rsidP="00292BA7">
      <w:pPr>
        <w:pStyle w:val="SingleTxtG"/>
        <w:rPr>
          <w:rFonts w:eastAsia="SimSun"/>
        </w:rPr>
      </w:pPr>
      <w:r w:rsidRPr="00292BA7">
        <w:t xml:space="preserve">70. </w:t>
      </w:r>
      <w:r w:rsidRPr="00292BA7">
        <w:tab/>
        <w:t>В заключение он просил своего Председателя проинформировать Рабочую группу о том, что, поскольку Комитет смог возобновить рассмотрение данного вопроса только на своей текущей сессии, он не имел возможности подготовить проект решения по данному вопросу до ее двенадцатого совещания, но что, основываясь на дополнительной информации, которая будет получена, он сделает это на своей пятьдесят седьмой сессии до начала следующих</w:t>
      </w:r>
      <w:r>
        <w:t xml:space="preserve"> сессий Совещаний Сторон.</w:t>
      </w:r>
    </w:p>
    <w:p w14:paraId="62FA9F3A" w14:textId="590C08BC" w:rsidR="00292BA7" w:rsidRPr="00D46311" w:rsidRDefault="00292BA7" w:rsidP="00292BA7">
      <w:pPr>
        <w:pStyle w:val="H1G"/>
        <w:spacing w:line="240" w:lineRule="auto"/>
        <w:rPr>
          <w:rFonts w:eastAsia="SimSun"/>
        </w:rPr>
      </w:pPr>
      <w:r>
        <w:rPr>
          <w:bCs/>
        </w:rPr>
        <w:tab/>
        <w:t>B.</w:t>
      </w:r>
      <w:r>
        <w:tab/>
      </w:r>
      <w:r>
        <w:tab/>
      </w:r>
      <w:r>
        <w:rPr>
          <w:bCs/>
        </w:rPr>
        <w:t>Ровенская атомная электростанция (EIA/IC/CI/4)</w:t>
      </w:r>
      <w:r w:rsidRPr="007222B3">
        <w:rPr>
          <w:rFonts w:eastAsia="SimSun"/>
          <w:b w:val="0"/>
          <w:sz w:val="18"/>
          <w:vertAlign w:val="superscript"/>
          <w:lang w:eastAsia="en-US"/>
        </w:rPr>
        <w:footnoteReference w:id="28"/>
      </w:r>
      <w:r>
        <w:t xml:space="preserve"> </w:t>
      </w:r>
    </w:p>
    <w:p w14:paraId="43BB6117" w14:textId="5FDB6CBF" w:rsidR="00292BA7" w:rsidRPr="00292BA7" w:rsidRDefault="00292BA7" w:rsidP="00292BA7">
      <w:pPr>
        <w:pStyle w:val="SingleTxtG"/>
        <w:rPr>
          <w:rFonts w:eastAsia="SimSun"/>
        </w:rPr>
      </w:pPr>
      <w:r>
        <w:t>71.</w:t>
      </w:r>
      <w:r>
        <w:tab/>
        <w:t>Комитет продолжил последующую деятельность во исполнение решения</w:t>
      </w:r>
      <w:r w:rsidR="00031247">
        <w:t> </w:t>
      </w:r>
      <w:r>
        <w:t xml:space="preserve">VIII/4e о соблюдении Украиной ее обязательств по Конвенции в отношении продления срока эксплуатации энергоблоков № 1 и № 2 на </w:t>
      </w:r>
      <w:r w:rsidRPr="00292BA7">
        <w:t xml:space="preserve">Ровенской атомной электростанции в присутствии делегации Украины. </w:t>
      </w:r>
    </w:p>
    <w:p w14:paraId="06889436" w14:textId="42663A10" w:rsidR="00292BA7" w:rsidRPr="00D46311" w:rsidRDefault="00292BA7" w:rsidP="00292BA7">
      <w:pPr>
        <w:pStyle w:val="SingleTxtG"/>
        <w:rPr>
          <w:rFonts w:eastAsia="SimSun"/>
        </w:rPr>
      </w:pPr>
      <w:r w:rsidRPr="00292BA7">
        <w:t>72.</w:t>
      </w:r>
      <w:r w:rsidRPr="00292BA7">
        <w:tab/>
        <w:t>Комитет принял к сведению информацию, представленную Украиной в письме от 13 апреля 2023 года о том, что трансграничные консультации на основе документации по оценке воздействия на окружающую среду были завершены с Венгрией, Республикой Молдова, Словакией и Румынией. В отношении Польши Украина заявила, что она ответила на письмо Польши от 12 ноября 2021 года и не получила никаких дополнительных вопросов. С Австрией консультации проводились в рамках переписки, при этом последнее сообщение из Австрии датировано февралем 2022 года. Украина также сообщила о том, что трансграничные консультации с Беларусью были отменены и не продолжаются в связи с поддержкой Беларусью военной агрессии Российской Федерации против Украины</w:t>
      </w:r>
      <w:r>
        <w:t>.</w:t>
      </w:r>
      <w:r w:rsidR="007222B3">
        <w:t xml:space="preserve"> </w:t>
      </w:r>
    </w:p>
    <w:p w14:paraId="40AAA1D3" w14:textId="77777777" w:rsidR="00292BA7" w:rsidRPr="00292BA7" w:rsidRDefault="00292BA7" w:rsidP="00292BA7">
      <w:pPr>
        <w:pStyle w:val="SingleTxtG"/>
        <w:rPr>
          <w:rFonts w:eastAsia="SimSun"/>
        </w:rPr>
      </w:pPr>
      <w:r>
        <w:lastRenderedPageBreak/>
        <w:t>73.</w:t>
      </w:r>
      <w:r>
        <w:tab/>
        <w:t xml:space="preserve">Комитет рекомендовал Украине направить письма Австрии и Польше, чтобы получить уточнения непосредственно </w:t>
      </w:r>
      <w:r w:rsidRPr="00292BA7">
        <w:t>от этих заинтересованных Сторон относительно того, считают ли они трансграничные консультации завершенными.</w:t>
      </w:r>
    </w:p>
    <w:p w14:paraId="6D0EFD0F" w14:textId="11EEBE90" w:rsidR="00292BA7" w:rsidRPr="00292BA7" w:rsidRDefault="00292BA7" w:rsidP="00292BA7">
      <w:pPr>
        <w:pStyle w:val="SingleTxtG"/>
        <w:rPr>
          <w:rFonts w:eastAsia="SimSun"/>
        </w:rPr>
      </w:pPr>
      <w:r w:rsidRPr="00292BA7">
        <w:t>74.</w:t>
      </w:r>
      <w:r w:rsidRPr="00292BA7">
        <w:tab/>
        <w:t>Комитет также просил своего Председателя направить Украине письмо, с тем чтобы:</w:t>
      </w:r>
      <w:r w:rsidR="007222B3">
        <w:t xml:space="preserve"> </w:t>
      </w:r>
    </w:p>
    <w:p w14:paraId="730F0761" w14:textId="6E636A32" w:rsidR="00292BA7" w:rsidRPr="00292BA7" w:rsidRDefault="00292BA7" w:rsidP="00292BA7">
      <w:pPr>
        <w:pStyle w:val="SingleTxtG"/>
        <w:rPr>
          <w:rFonts w:eastAsia="SimSun"/>
        </w:rPr>
      </w:pPr>
      <w:r>
        <w:tab/>
      </w:r>
      <w:r w:rsidRPr="00292BA7">
        <w:t>a)</w:t>
      </w:r>
      <w:r w:rsidRPr="00292BA7">
        <w:tab/>
        <w:t xml:space="preserve">запросить подтверждение того, что решение о продлении срока эксплуатации 1-го и 2-го энергоблоков Ровенской АЭС не принималось; </w:t>
      </w:r>
    </w:p>
    <w:p w14:paraId="229B19D6" w14:textId="7939CB8E" w:rsidR="00292BA7" w:rsidRPr="00292BA7" w:rsidRDefault="00292BA7" w:rsidP="00292BA7">
      <w:pPr>
        <w:pStyle w:val="SingleTxtG"/>
        <w:rPr>
          <w:rFonts w:eastAsia="SimSun"/>
        </w:rPr>
      </w:pPr>
      <w:r>
        <w:tab/>
      </w:r>
      <w:r w:rsidRPr="00292BA7">
        <w:t>b)</w:t>
      </w:r>
      <w:r w:rsidRPr="00292BA7">
        <w:tab/>
        <w:t xml:space="preserve">напомнить Украине о необходимости выполнить оставшиеся невыполненными требования подпункта 6 </w:t>
      </w:r>
      <w:r w:rsidR="00031247">
        <w:t>а</w:t>
      </w:r>
      <w:r w:rsidRPr="00292BA7">
        <w:t xml:space="preserve">) решения VIII/4e, а именно: </w:t>
      </w:r>
    </w:p>
    <w:p w14:paraId="333AFB7D" w14:textId="77777777" w:rsidR="00292BA7" w:rsidRPr="00292BA7" w:rsidRDefault="00292BA7" w:rsidP="00292BA7">
      <w:pPr>
        <w:pStyle w:val="SingleTxtG"/>
        <w:ind w:left="1701"/>
        <w:rPr>
          <w:rFonts w:eastAsia="SimSun"/>
        </w:rPr>
      </w:pPr>
      <w:r w:rsidRPr="00292BA7">
        <w:t>ii)</w:t>
      </w:r>
      <w:r w:rsidRPr="00292BA7">
        <w:tab/>
        <w:t xml:space="preserve">пересмотреть окончательное решение о продлении срока эксплуатации 1-го и 2-го энергоблоков Ровенской атомной электростанции с должным учетом итогов процедуры оценки воздействия на окружающую среду, включая документацию об оценке воздействия на окружающую среду и замечания, полученные от затрагиваемых Сторон, в соответствии со статьей 6 Конвенции; </w:t>
      </w:r>
    </w:p>
    <w:p w14:paraId="78CEAE97" w14:textId="77777777" w:rsidR="00292BA7" w:rsidRPr="00292BA7" w:rsidRDefault="00292BA7" w:rsidP="00292BA7">
      <w:pPr>
        <w:pStyle w:val="SingleTxtG"/>
        <w:ind w:left="1701"/>
        <w:rPr>
          <w:rFonts w:eastAsia="SimSun"/>
        </w:rPr>
      </w:pPr>
      <w:r w:rsidRPr="00292BA7">
        <w:t>iii)</w:t>
      </w:r>
      <w:r w:rsidRPr="00292BA7">
        <w:tab/>
        <w:t>сообщить затрагиваемым Сторонам пересмотренное окончательное решение вместе с причинами и соображениями, на которых оно основано, как это предусмотрено в пункте 2 статьи 6 Конвенции;</w:t>
      </w:r>
    </w:p>
    <w:p w14:paraId="2C0CE24C" w14:textId="407034D0" w:rsidR="00292BA7" w:rsidRPr="00292BA7" w:rsidRDefault="00292BA7" w:rsidP="00292BA7">
      <w:pPr>
        <w:pStyle w:val="SingleTxtG"/>
        <w:rPr>
          <w:rFonts w:eastAsia="SimSun"/>
        </w:rPr>
      </w:pPr>
      <w:r>
        <w:tab/>
      </w:r>
      <w:r w:rsidRPr="00292BA7">
        <w:t>c)</w:t>
      </w:r>
      <w:r w:rsidRPr="00292BA7">
        <w:tab/>
        <w:t>просить Украину проинформировать Комитет о ходе выполнения оставшихся непринятыми мер (см. пункт 74 b) выше) к 30 июня 2023 года</w:t>
      </w:r>
      <w:r w:rsidR="00031247">
        <w:t>.</w:t>
      </w:r>
    </w:p>
    <w:p w14:paraId="055258CD" w14:textId="77777777" w:rsidR="00292BA7" w:rsidRPr="00D46311" w:rsidRDefault="00292BA7" w:rsidP="00292BA7">
      <w:pPr>
        <w:pStyle w:val="SingleTxtG"/>
        <w:rPr>
          <w:rFonts w:eastAsia="SimSun"/>
        </w:rPr>
      </w:pPr>
      <w:r w:rsidRPr="00292BA7">
        <w:t>75.</w:t>
      </w:r>
      <w:r w:rsidRPr="00292BA7">
        <w:tab/>
        <w:t>Комитет выразил свое понимание трудностей в условиях военной агрессии Российской Федерации, с которыми сталкивается Украина в осуществлении Конвенции в том числе в отношении Беларуси. Тем не менее он подтвердил свой прежний вывод о том, что отсутствие дипломатических отношений не может рассматриваться в качестве законного основания, оправдывающего неприменение Конвенции</w:t>
      </w:r>
      <w:r w:rsidRPr="007222B3">
        <w:rPr>
          <w:rFonts w:eastAsia="SimSun"/>
          <w:sz w:val="18"/>
          <w:vertAlign w:val="superscript"/>
        </w:rPr>
        <w:footnoteReference w:id="29"/>
      </w:r>
      <w:r w:rsidRPr="00292BA7">
        <w:t>. Следовательно, в своем письме</w:t>
      </w:r>
      <w:r>
        <w:t xml:space="preserve"> Председателю следует предложить Украине предоставить Комитету информацию о правовых основаниях, которые не позволили Украине выполнить свои обязательства по Конвенции в отношении Беларуси.</w:t>
      </w:r>
    </w:p>
    <w:p w14:paraId="4325661F" w14:textId="3413BEEE" w:rsidR="00292BA7" w:rsidRPr="00D46311" w:rsidRDefault="00292BA7" w:rsidP="00292BA7">
      <w:pPr>
        <w:pStyle w:val="H1G"/>
        <w:spacing w:line="240" w:lineRule="auto"/>
        <w:rPr>
          <w:rFonts w:eastAsia="SimSun"/>
        </w:rPr>
      </w:pPr>
      <w:r>
        <w:rPr>
          <w:bCs/>
        </w:rPr>
        <w:tab/>
        <w:t>C.</w:t>
      </w:r>
      <w:r>
        <w:tab/>
      </w:r>
      <w:r>
        <w:tab/>
      </w:r>
      <w:r>
        <w:rPr>
          <w:bCs/>
        </w:rPr>
        <w:t>Сбор информации о продлении срока эксплуатации Ровенской (энергоблоки № 3 и № 4), Южно-Украинской, Запорожской и</w:t>
      </w:r>
      <w:r w:rsidR="007222B3">
        <w:rPr>
          <w:bCs/>
          <w:lang w:val="en-US"/>
        </w:rPr>
        <w:t> </w:t>
      </w:r>
      <w:r>
        <w:rPr>
          <w:bCs/>
        </w:rPr>
        <w:t>Хмельницкой атомных электростанций в Украине (EIA/IC/INFO/20)</w:t>
      </w:r>
    </w:p>
    <w:p w14:paraId="0CCB8F34" w14:textId="69586F28" w:rsidR="00292BA7" w:rsidRPr="00292BA7" w:rsidRDefault="00292BA7" w:rsidP="00292BA7">
      <w:pPr>
        <w:pStyle w:val="SingleTxtG"/>
        <w:rPr>
          <w:rFonts w:eastAsia="SimSun"/>
        </w:rPr>
      </w:pPr>
      <w:r>
        <w:t>76.</w:t>
      </w:r>
      <w:r>
        <w:tab/>
        <w:t>Комитет продолжил обсуждение вопроса о продлении срока эксплуатации 12</w:t>
      </w:r>
      <w:r w:rsidR="007222B3">
        <w:rPr>
          <w:lang w:val="en-US"/>
        </w:rPr>
        <w:t> </w:t>
      </w:r>
      <w:r>
        <w:t xml:space="preserve">энергоблоков, расположенных на </w:t>
      </w:r>
      <w:r w:rsidRPr="00292BA7">
        <w:t>Ровенской, Южно-Украинской, Запорожской и Хмельницкой атомных электростанциях в Украине в присутствии делегации Украины. Комитет принял к сведению информацию, представленную Украиной в ее письме от 13 апреля 2023 года.</w:t>
      </w:r>
      <w:bookmarkStart w:id="12" w:name="_Hlk134187858"/>
    </w:p>
    <w:bookmarkEnd w:id="12"/>
    <w:p w14:paraId="78416C7E" w14:textId="762D8D27" w:rsidR="00292BA7" w:rsidRPr="00D46311" w:rsidRDefault="00292BA7" w:rsidP="00292BA7">
      <w:pPr>
        <w:pStyle w:val="SingleTxtG"/>
        <w:rPr>
          <w:rFonts w:eastAsia="SimSun"/>
        </w:rPr>
      </w:pPr>
      <w:r w:rsidRPr="00292BA7">
        <w:t>77.</w:t>
      </w:r>
      <w:r w:rsidRPr="00292BA7">
        <w:tab/>
        <w:t>По поводу энергоблоков № 3 и № 4 на Ровенской атомной электростанции Комитет принял к сведению мнение Украины о том, что эти энергоблоки уже были охвачены процедурой оценки трансграничного воздействия на окружающую среду, которая была проведена в связи с продлением срока эксплуатации энергоблоков № 1 и № 2 (см. пункт 72 выше). Украина сообщила, что всем Сторонам, участвовавшим в консультациях в соответствии со статьей 5 Конвенции, была представлена документация по оценке воздействия на окружающую среду, включая оценку всех значительных неблагоприятных трансграничных воздействий продления срока эксплуатации энергоблоков №№ 1</w:t>
      </w:r>
      <w:r w:rsidR="00031247">
        <w:t>–</w:t>
      </w:r>
      <w:r w:rsidRPr="00292BA7">
        <w:t>4 Ровенской АЭС, и дальнейшие консультации были бы нецелесообразны. Комитет рекомендовал Украине обратиться к заинтересованным Сторонам с просьбой уточнить, считают ли они, что все энергоблоки Ровенской атомной электростанции (№№ 1</w:t>
      </w:r>
      <w:r w:rsidR="00031247">
        <w:t>–</w:t>
      </w:r>
      <w:r w:rsidRPr="00292BA7">
        <w:t>4) были охвачены процедурой оценки трансграничного воздействия</w:t>
      </w:r>
      <w:r>
        <w:t xml:space="preserve"> на окружающую среду, </w:t>
      </w:r>
      <w:r>
        <w:lastRenderedPageBreak/>
        <w:t xml:space="preserve">проведенной в связи с продлением срока эксплуатации энергоблоков блоков № 1 </w:t>
      </w:r>
      <w:r w:rsidR="007222B3">
        <w:br/>
      </w:r>
      <w:r>
        <w:t xml:space="preserve">и № 2. </w:t>
      </w:r>
    </w:p>
    <w:p w14:paraId="00EC1D3B" w14:textId="5A114492" w:rsidR="00292BA7" w:rsidRPr="00D46311" w:rsidRDefault="00292BA7" w:rsidP="00292BA7">
      <w:pPr>
        <w:pStyle w:val="SingleTxtG"/>
        <w:rPr>
          <w:rFonts w:eastAsia="SimSun"/>
        </w:rPr>
      </w:pPr>
      <w:r>
        <w:t>78.</w:t>
      </w:r>
      <w:r>
        <w:tab/>
        <w:t>В отношении Южно-Украинской и Запорожской атомных электростанций Комитет принял к сведению информацию Украины о завершении трансграничных консультаций с Румынией, Республикой Молдова, Польшей и Германией, в которой</w:t>
      </w:r>
      <w:r w:rsidR="00031247">
        <w:t>,</w:t>
      </w:r>
      <w:r>
        <w:t xml:space="preserve"> однако</w:t>
      </w:r>
      <w:r w:rsidR="00031247">
        <w:t>,</w:t>
      </w:r>
      <w:r>
        <w:t xml:space="preserve"> не указаны сроки их проведения. Кроме того, Австрия, Беларусь и Венгрия объявили о завершении консультаций 7 декабря, 7 сентября и 19 ноября 2021 года соответственно. Консультации со Словакией были отложены по причине войны, но они могли бы быть возобновлены. </w:t>
      </w:r>
    </w:p>
    <w:p w14:paraId="7D2A12DB" w14:textId="77777777" w:rsidR="00292BA7" w:rsidRPr="00D46311" w:rsidRDefault="00292BA7" w:rsidP="00292BA7">
      <w:pPr>
        <w:pStyle w:val="SingleTxtG"/>
        <w:rPr>
          <w:rFonts w:eastAsia="SimSun"/>
        </w:rPr>
      </w:pPr>
      <w:r>
        <w:t>79.</w:t>
      </w:r>
      <w:r>
        <w:tab/>
        <w:t xml:space="preserve">В связи с рассмотрением информации Украины о Хмельницкой АЭС Комитет принял к сведению информацию Украины о том, что решение о продлении срока эксплуатации энергоблоков этой атомной электростанции не принималось и, следовательно, трансграничная процедура в соответствии с Конвенцией не проводилась. </w:t>
      </w:r>
    </w:p>
    <w:p w14:paraId="52226521" w14:textId="77777777" w:rsidR="00292BA7" w:rsidRPr="00D46311" w:rsidRDefault="00292BA7" w:rsidP="00292BA7">
      <w:pPr>
        <w:pStyle w:val="SingleTxtG"/>
        <w:rPr>
          <w:rFonts w:eastAsia="SimSun"/>
        </w:rPr>
      </w:pPr>
      <w:r>
        <w:t>80.</w:t>
      </w:r>
      <w:r>
        <w:tab/>
        <w:t xml:space="preserve">Комитет просил своего Председателя направить Украине письмо, с тем чтобы: </w:t>
      </w:r>
    </w:p>
    <w:p w14:paraId="0C8E74E3" w14:textId="517DBF2D" w:rsidR="00292BA7" w:rsidRPr="00D46311" w:rsidRDefault="00292BA7" w:rsidP="00292BA7">
      <w:pPr>
        <w:pStyle w:val="SingleTxtG"/>
        <w:rPr>
          <w:rFonts w:eastAsia="SimSun"/>
        </w:rPr>
      </w:pPr>
      <w:r>
        <w:tab/>
        <w:t>a)</w:t>
      </w:r>
      <w:r>
        <w:tab/>
        <w:t>запросить обновленную информацию общего характера о положении дел с применением процедуры в соответствии с Конвенцией ко всем энергоблокам;</w:t>
      </w:r>
    </w:p>
    <w:p w14:paraId="5026F065" w14:textId="13EBED8F" w:rsidR="00292BA7" w:rsidRPr="00D46311" w:rsidRDefault="00292BA7" w:rsidP="00292BA7">
      <w:pPr>
        <w:pStyle w:val="SingleTxtG"/>
        <w:rPr>
          <w:rFonts w:eastAsia="SimSun"/>
        </w:rPr>
      </w:pPr>
      <w:r>
        <w:tab/>
        <w:t>b)</w:t>
      </w:r>
      <w:r>
        <w:tab/>
        <w:t xml:space="preserve">выяснить положение дел с процедурой оценки трансграничного воздействия на окружающую среду по выводу из эксплуатации энергоблоков № 1 </w:t>
      </w:r>
      <w:r w:rsidR="007222B3">
        <w:br/>
      </w:r>
      <w:r>
        <w:t xml:space="preserve">и № 2 Хмельницкой АЭС с учетом того, что решение о продлении срока эксплуатации этих энергоблоков не было принято; </w:t>
      </w:r>
    </w:p>
    <w:p w14:paraId="00E13AEC" w14:textId="2C57F3EC" w:rsidR="00292BA7" w:rsidRPr="00D46311" w:rsidRDefault="00292BA7" w:rsidP="00292BA7">
      <w:pPr>
        <w:pStyle w:val="SingleTxtG"/>
        <w:rPr>
          <w:rFonts w:eastAsia="SimSun"/>
        </w:rPr>
      </w:pPr>
      <w:r>
        <w:tab/>
        <w:t>c)</w:t>
      </w:r>
      <w:r>
        <w:tab/>
        <w:t>предложить представить эту информацию Комитету к 31 июля 2023 года.</w:t>
      </w:r>
    </w:p>
    <w:p w14:paraId="5B9E163F" w14:textId="77777777" w:rsidR="00292BA7" w:rsidRPr="00D46311" w:rsidRDefault="00292BA7" w:rsidP="00292BA7">
      <w:pPr>
        <w:pStyle w:val="SingleTxtG"/>
        <w:rPr>
          <w:rFonts w:eastAsia="SimSun"/>
        </w:rPr>
      </w:pPr>
      <w:r>
        <w:t>81.</w:t>
      </w:r>
      <w:r>
        <w:tab/>
        <w:t xml:space="preserve">Комитет попросил своего Председателя направить письма Австрии, Беларуси, Венгрии, Германии, Польше, Республике Молдова и Румынии с просьбой подтвердить завершение процедуры оценки трансграничного воздействия на окружающую среду в отношении Южно-Украинской и Запорожской АЭС к 31 июля 2023 года. </w:t>
      </w:r>
    </w:p>
    <w:p w14:paraId="5AC856AA" w14:textId="45356B18" w:rsidR="00292BA7" w:rsidRPr="002B4C02" w:rsidRDefault="00292BA7" w:rsidP="00292BA7">
      <w:pPr>
        <w:pStyle w:val="H1G"/>
        <w:spacing w:line="240" w:lineRule="auto"/>
        <w:rPr>
          <w:rFonts w:eastAsia="SimSun"/>
        </w:rPr>
      </w:pPr>
      <w:r w:rsidRPr="00476D1C">
        <w:rPr>
          <w:bCs/>
        </w:rPr>
        <w:tab/>
      </w:r>
      <w:r w:rsidRPr="00D46311">
        <w:rPr>
          <w:bCs/>
          <w:lang w:val="en-US"/>
        </w:rPr>
        <w:t>D</w:t>
      </w:r>
      <w:r w:rsidRPr="003D4604">
        <w:rPr>
          <w:bCs/>
        </w:rPr>
        <w:t>.</w:t>
      </w:r>
      <w:r w:rsidRPr="003D4604">
        <w:rPr>
          <w:bCs/>
        </w:rPr>
        <w:tab/>
      </w:r>
      <w:r w:rsidRPr="003D4604">
        <w:tab/>
      </w:r>
      <w:r>
        <w:rPr>
          <w:bCs/>
        </w:rPr>
        <w:t>Сбор</w:t>
      </w:r>
      <w:r w:rsidRPr="000B1A04">
        <w:rPr>
          <w:bCs/>
        </w:rPr>
        <w:t xml:space="preserve"> </w:t>
      </w:r>
      <w:r>
        <w:rPr>
          <w:bCs/>
        </w:rPr>
        <w:t>информации</w:t>
      </w:r>
      <w:r w:rsidRPr="000B1A04">
        <w:rPr>
          <w:bCs/>
        </w:rPr>
        <w:t xml:space="preserve">, </w:t>
      </w:r>
      <w:r>
        <w:rPr>
          <w:bCs/>
        </w:rPr>
        <w:t>касающейся</w:t>
      </w:r>
      <w:r w:rsidRPr="000B1A04">
        <w:rPr>
          <w:bCs/>
        </w:rPr>
        <w:t xml:space="preserve"> </w:t>
      </w:r>
      <w:r>
        <w:rPr>
          <w:bCs/>
        </w:rPr>
        <w:t>запланированного</w:t>
      </w:r>
      <w:r w:rsidRPr="000B1A04">
        <w:rPr>
          <w:bCs/>
        </w:rPr>
        <w:t xml:space="preserve"> </w:t>
      </w:r>
      <w:r>
        <w:rPr>
          <w:bCs/>
        </w:rPr>
        <w:t>строительства</w:t>
      </w:r>
      <w:r w:rsidRPr="000B1A04">
        <w:rPr>
          <w:bCs/>
        </w:rPr>
        <w:t xml:space="preserve"> </w:t>
      </w:r>
      <w:r>
        <w:rPr>
          <w:bCs/>
        </w:rPr>
        <w:t>ядерных</w:t>
      </w:r>
      <w:r w:rsidRPr="000B1A04">
        <w:rPr>
          <w:bCs/>
        </w:rPr>
        <w:t xml:space="preserve"> </w:t>
      </w:r>
      <w:r>
        <w:rPr>
          <w:bCs/>
        </w:rPr>
        <w:t>реакторов №</w:t>
      </w:r>
      <w:r w:rsidRPr="000B1A04">
        <w:rPr>
          <w:bCs/>
        </w:rPr>
        <w:t xml:space="preserve"> 3 </w:t>
      </w:r>
      <w:r>
        <w:rPr>
          <w:bCs/>
        </w:rPr>
        <w:t>и</w:t>
      </w:r>
      <w:r w:rsidRPr="000B1A04">
        <w:rPr>
          <w:bCs/>
        </w:rPr>
        <w:t xml:space="preserve"> </w:t>
      </w:r>
      <w:r>
        <w:rPr>
          <w:bCs/>
        </w:rPr>
        <w:t xml:space="preserve">№ </w:t>
      </w:r>
      <w:r w:rsidRPr="000B1A04">
        <w:rPr>
          <w:bCs/>
        </w:rPr>
        <w:t xml:space="preserve">4 </w:t>
      </w:r>
      <w:r>
        <w:rPr>
          <w:bCs/>
        </w:rPr>
        <w:t xml:space="preserve">на </w:t>
      </w:r>
      <w:r>
        <w:t>Хмельницкой атомной электростанции</w:t>
      </w:r>
      <w:r w:rsidRPr="000B1A04">
        <w:rPr>
          <w:bCs/>
        </w:rPr>
        <w:t xml:space="preserve"> (</w:t>
      </w:r>
      <w:r w:rsidRPr="00D46311">
        <w:rPr>
          <w:bCs/>
          <w:lang w:val="en-US"/>
        </w:rPr>
        <w:t>EIA</w:t>
      </w:r>
      <w:r w:rsidRPr="000B1A04">
        <w:rPr>
          <w:bCs/>
        </w:rPr>
        <w:t>/</w:t>
      </w:r>
      <w:r w:rsidRPr="00D46311">
        <w:rPr>
          <w:bCs/>
          <w:lang w:val="en-US"/>
        </w:rPr>
        <w:t>IC</w:t>
      </w:r>
      <w:r w:rsidRPr="000B1A04">
        <w:rPr>
          <w:bCs/>
        </w:rPr>
        <w:t>/</w:t>
      </w:r>
      <w:r w:rsidRPr="00D46311">
        <w:rPr>
          <w:bCs/>
          <w:lang w:val="en-US"/>
        </w:rPr>
        <w:t>INFO</w:t>
      </w:r>
      <w:r w:rsidRPr="000B1A04">
        <w:rPr>
          <w:bCs/>
        </w:rPr>
        <w:t>/10)</w:t>
      </w:r>
    </w:p>
    <w:p w14:paraId="52B18CA7" w14:textId="77777777" w:rsidR="00292BA7" w:rsidRPr="00292BA7" w:rsidRDefault="00292BA7" w:rsidP="00292BA7">
      <w:pPr>
        <w:pStyle w:val="SingleTxtG"/>
        <w:rPr>
          <w:rFonts w:eastAsia="SimSun"/>
        </w:rPr>
      </w:pPr>
      <w:r>
        <w:t>82.</w:t>
      </w:r>
      <w:r>
        <w:tab/>
        <w:t xml:space="preserve">Комитет продолжил обсуждение собранной им информации о планируемом строительстве </w:t>
      </w:r>
      <w:r>
        <w:rPr>
          <w:bCs/>
        </w:rPr>
        <w:t>ядерных</w:t>
      </w:r>
      <w:r w:rsidRPr="000B1A04">
        <w:rPr>
          <w:bCs/>
        </w:rPr>
        <w:t xml:space="preserve"> </w:t>
      </w:r>
      <w:r>
        <w:rPr>
          <w:bCs/>
        </w:rPr>
        <w:t>реакторов №</w:t>
      </w:r>
      <w:r w:rsidRPr="000B1A04">
        <w:rPr>
          <w:bCs/>
        </w:rPr>
        <w:t xml:space="preserve"> 3</w:t>
      </w:r>
      <w:r>
        <w:t xml:space="preserve"> и </w:t>
      </w:r>
      <w:r>
        <w:rPr>
          <w:bCs/>
        </w:rPr>
        <w:t xml:space="preserve">№ </w:t>
      </w:r>
      <w:r>
        <w:t>4</w:t>
      </w:r>
      <w:r w:rsidRPr="000B1A04">
        <w:rPr>
          <w:bCs/>
        </w:rPr>
        <w:t xml:space="preserve"> </w:t>
      </w:r>
      <w:r>
        <w:rPr>
          <w:bCs/>
        </w:rPr>
        <w:t xml:space="preserve">на </w:t>
      </w:r>
      <w:r>
        <w:t xml:space="preserve">Хмельницкой атомной электростанции в Украине. Он принял к сведению информацию, представленную Украиной в письме от 13 апреля 2023 года, и </w:t>
      </w:r>
      <w:r w:rsidRPr="00292BA7">
        <w:t xml:space="preserve">просил делегацию Украины дать пояснения в ходе неофициальных консультаций на своей текущей сессии. </w:t>
      </w:r>
    </w:p>
    <w:p w14:paraId="006DB4CB" w14:textId="77777777" w:rsidR="00292BA7" w:rsidRPr="00292BA7" w:rsidRDefault="00292BA7" w:rsidP="00292BA7">
      <w:pPr>
        <w:pStyle w:val="SingleTxtG"/>
        <w:rPr>
          <w:rFonts w:eastAsia="SimSun"/>
        </w:rPr>
      </w:pPr>
      <w:r w:rsidRPr="00292BA7">
        <w:t>83.</w:t>
      </w:r>
      <w:r w:rsidRPr="00292BA7">
        <w:tab/>
        <w:t>По информации Украины, процедура оценки трансграничного воздействия на окружающую среду была завершена со всеми Сторонами, участвовавшими в процедуре (Австрия, Беларусь, Венгрия, Словакия, Республика Молдова и Польша). Заключение оценки воздействия на окружающую среду в отношении планируемой деятельности было принято в 2021 году со сроком действия, составляющим 5 лет, и направлено затрагиваемым Сторонам. До настоящего времени окончательное решение о строительстве энергоблоков № 3 и № 4 на Хмельницкой АЭС не принято.</w:t>
      </w:r>
    </w:p>
    <w:p w14:paraId="0BBD8639" w14:textId="04DEE12E" w:rsidR="00292BA7" w:rsidRPr="00292BA7" w:rsidRDefault="00292BA7" w:rsidP="00292BA7">
      <w:pPr>
        <w:pStyle w:val="SingleTxtG"/>
        <w:rPr>
          <w:rFonts w:eastAsia="SimSun"/>
        </w:rPr>
      </w:pPr>
      <w:r w:rsidRPr="00292BA7">
        <w:t>84.</w:t>
      </w:r>
      <w:r w:rsidRPr="00292BA7">
        <w:tab/>
        <w:t>В ходе неофициальных консультаций Украина пояснила, что не уверена в том, что такое решение будет принято в период действия заключения оценки воздействия на окружающую среду до 2026 года. В случае принятия такого решения Украина проинформирует все затрагиваемые Стороны в соответствии с требованиями Конвенции.</w:t>
      </w:r>
    </w:p>
    <w:p w14:paraId="00D2EE36" w14:textId="77777777" w:rsidR="00292BA7" w:rsidRPr="00D46311" w:rsidRDefault="00292BA7" w:rsidP="00292BA7">
      <w:pPr>
        <w:pStyle w:val="SingleTxtG"/>
        <w:rPr>
          <w:rFonts w:eastAsia="SimSun"/>
        </w:rPr>
      </w:pPr>
      <w:r w:rsidRPr="00292BA7">
        <w:t>85.</w:t>
      </w:r>
      <w:r w:rsidRPr="00292BA7">
        <w:tab/>
        <w:t xml:space="preserve">Комитет рекомендовал Украине проинформировать заинтересованные Стороны о том, что процедура была доработана с учетом их замечаний, и решение о реализации проекта не было принято. Они также должны быть проинформированы о том, что такое решение может быть принято в течение 5-летнего срока действия </w:t>
      </w:r>
      <w:r w:rsidRPr="00292BA7">
        <w:lastRenderedPageBreak/>
        <w:t>заключения оценки воздействия на окружающую среду, и в этом случае заинтересованные Стороны должны быть</w:t>
      </w:r>
      <w:r>
        <w:t xml:space="preserve"> уведомлены соответствующим образом. </w:t>
      </w:r>
    </w:p>
    <w:p w14:paraId="370940C2" w14:textId="506D730B" w:rsidR="00292BA7" w:rsidRPr="00D46311" w:rsidRDefault="00292BA7" w:rsidP="00292BA7">
      <w:pPr>
        <w:pStyle w:val="H1G"/>
        <w:spacing w:line="240" w:lineRule="auto"/>
        <w:rPr>
          <w:rFonts w:eastAsia="SimSun"/>
        </w:rPr>
      </w:pPr>
      <w:r>
        <w:rPr>
          <w:bCs/>
        </w:rPr>
        <w:tab/>
        <w:t>E.</w:t>
      </w:r>
      <w:r>
        <w:tab/>
      </w:r>
      <w:r>
        <w:tab/>
      </w:r>
      <w:r>
        <w:rPr>
          <w:bCs/>
        </w:rPr>
        <w:t>Горный массив Свидовец, Украина (EIA/IC/CI/7)</w:t>
      </w:r>
      <w:r w:rsidRPr="007222B3">
        <w:rPr>
          <w:rFonts w:eastAsia="SimSun"/>
          <w:b w:val="0"/>
          <w:sz w:val="18"/>
          <w:vertAlign w:val="superscript"/>
        </w:rPr>
        <w:footnoteReference w:id="30"/>
      </w:r>
    </w:p>
    <w:p w14:paraId="790617F8" w14:textId="77777777" w:rsidR="00292BA7" w:rsidRPr="00292BA7" w:rsidRDefault="00292BA7" w:rsidP="00292BA7">
      <w:pPr>
        <w:pStyle w:val="SingleTxtG"/>
        <w:rPr>
          <w:rFonts w:eastAsia="SimSun"/>
        </w:rPr>
      </w:pPr>
      <w:r>
        <w:t>86.</w:t>
      </w:r>
      <w:r>
        <w:tab/>
        <w:t xml:space="preserve">Комитет приступил к рассмотрению своей инициативы относительно строительства крупного </w:t>
      </w:r>
      <w:r w:rsidRPr="00292BA7">
        <w:t xml:space="preserve">туристического комплекса (в горном массиве Свидовец, Украина), расположенном в непосредственной близости от границы с Венгрией и Румынией, в отсутствие назначенного Венгрией члена Комитета, но в присутствии делегации Украины. </w:t>
      </w:r>
    </w:p>
    <w:p w14:paraId="79D28FB5" w14:textId="2CDD369A" w:rsidR="00292BA7" w:rsidRPr="00292BA7" w:rsidRDefault="00292BA7" w:rsidP="00292BA7">
      <w:pPr>
        <w:pStyle w:val="SingleTxtG"/>
        <w:rPr>
          <w:rFonts w:eastAsia="SimSun"/>
        </w:rPr>
      </w:pPr>
      <w:r w:rsidRPr="00292BA7">
        <w:t>87.</w:t>
      </w:r>
      <w:r w:rsidRPr="00292BA7">
        <w:tab/>
        <w:t xml:space="preserve">Комитет рассмотрел информацию Украины от 13 апреля 2023 года о том, что планируемая деятельность «Создание нового рекреационного места для полноценного семейного отдыха </w:t>
      </w:r>
      <w:r w:rsidR="00DA06C3">
        <w:t>—</w:t>
      </w:r>
      <w:r w:rsidRPr="00292BA7">
        <w:t xml:space="preserve"> туристического комплекса </w:t>
      </w:r>
      <w:r w:rsidR="00DA06C3">
        <w:t>"</w:t>
      </w:r>
      <w:r w:rsidRPr="00292BA7">
        <w:t>Свидовец</w:t>
      </w:r>
      <w:r w:rsidR="00DA06C3">
        <w:t>"</w:t>
      </w:r>
      <w:r w:rsidRPr="00292BA7">
        <w:t xml:space="preserve"> с сетью подвесных пассажирских канатных дорог, горнолыжными трассами, гостиничной инфраструктурой, инфраструктурой зимних и летних аттракционов» не была осуществлена.</w:t>
      </w:r>
      <w:r w:rsidR="007222B3">
        <w:t xml:space="preserve"> </w:t>
      </w:r>
      <w:r w:rsidRPr="00292BA7">
        <w:t xml:space="preserve">В ходе консультаций Украина уточнила, что в настоящее время эта деятельность все еще представляет собой лишь проект и что никаких разрешений на проведение подготовительных или строительных работ не выдавалось. Формально разработчик не обязан был отменять уведомление о проекте и мог сам решить, продолжать ли ему эту деятельность или нет. </w:t>
      </w:r>
    </w:p>
    <w:p w14:paraId="1DE01475" w14:textId="40AB2CF9" w:rsidR="00292BA7" w:rsidRPr="00D46311" w:rsidRDefault="00292BA7" w:rsidP="00292BA7">
      <w:pPr>
        <w:pStyle w:val="SingleTxtG"/>
        <w:rPr>
          <w:rFonts w:eastAsia="SimSun"/>
        </w:rPr>
      </w:pPr>
      <w:r w:rsidRPr="00292BA7">
        <w:t>88.</w:t>
      </w:r>
      <w:r w:rsidRPr="00292BA7">
        <w:tab/>
        <w:t>На основании полученной информации Комитет рассмотрел вопрос о прекращении рассмотрения этого вопроса на</w:t>
      </w:r>
      <w:r>
        <w:t xml:space="preserve"> своей следующей сессии и напомнил Украине, что в случае возобновления проекта необходимо обеспечить его реализацию в соответствии с Конвенцией</w:t>
      </w:r>
      <w:r w:rsidR="00DA06C3">
        <w:t>.</w:t>
      </w:r>
    </w:p>
    <w:p w14:paraId="387D902A" w14:textId="4E3615A5" w:rsidR="00292BA7" w:rsidRPr="00D46311" w:rsidRDefault="00292BA7" w:rsidP="00292BA7">
      <w:pPr>
        <w:pStyle w:val="H1G"/>
        <w:spacing w:line="240" w:lineRule="auto"/>
        <w:rPr>
          <w:rFonts w:eastAsia="SimSun"/>
        </w:rPr>
      </w:pPr>
      <w:r>
        <w:rPr>
          <w:bCs/>
        </w:rPr>
        <w:tab/>
        <w:t>F.</w:t>
      </w:r>
      <w:r>
        <w:tab/>
      </w:r>
      <w:r>
        <w:tab/>
      </w:r>
      <w:r>
        <w:rPr>
          <w:bCs/>
        </w:rPr>
        <w:t xml:space="preserve">Сбор информации, касающейся деятельности на </w:t>
      </w:r>
      <w:r w:rsidRPr="00BC2504">
        <w:rPr>
          <w:bCs/>
        </w:rPr>
        <w:t xml:space="preserve">Мужиевском золоторудном месторождении </w:t>
      </w:r>
      <w:r>
        <w:rPr>
          <w:bCs/>
        </w:rPr>
        <w:t>(EIA/IC/INFO/13)</w:t>
      </w:r>
      <w:r>
        <w:t xml:space="preserve"> </w:t>
      </w:r>
    </w:p>
    <w:p w14:paraId="441075EC" w14:textId="599EB119" w:rsidR="00292BA7" w:rsidRPr="00292BA7" w:rsidRDefault="00292BA7" w:rsidP="00292BA7">
      <w:pPr>
        <w:pStyle w:val="SingleTxtG"/>
        <w:rPr>
          <w:rFonts w:eastAsia="SimSun"/>
        </w:rPr>
      </w:pPr>
      <w:r>
        <w:t>89.</w:t>
      </w:r>
      <w:r>
        <w:tab/>
        <w:t xml:space="preserve">Комитет продолжил рассмотрение собранной им информации о планируемой деятельности, связанной с проведением горных </w:t>
      </w:r>
      <w:r w:rsidRPr="00292BA7">
        <w:t>работ на Мужиевском золоторудном месторождении (в непосредственной близости от границы с Венгрией) и его возможным повторным открытием Украиной.</w:t>
      </w:r>
      <w:r w:rsidR="007222B3">
        <w:t xml:space="preserve"> </w:t>
      </w:r>
    </w:p>
    <w:p w14:paraId="4688B055" w14:textId="1C5F15EA" w:rsidR="00292BA7" w:rsidRPr="00292BA7" w:rsidRDefault="00292BA7" w:rsidP="00292BA7">
      <w:pPr>
        <w:pStyle w:val="SingleTxtG"/>
        <w:rPr>
          <w:rFonts w:eastAsia="SimSun"/>
        </w:rPr>
      </w:pPr>
      <w:r w:rsidRPr="00292BA7">
        <w:t>90.</w:t>
      </w:r>
      <w:r w:rsidRPr="00292BA7">
        <w:tab/>
        <w:t xml:space="preserve">Комитет рассмотрел информацию Украины от 13 апреля 2023 года, согласно которой после состоявшихся на пятьдесят первой сессии Комитета (Женева, </w:t>
      </w:r>
      <w:r w:rsidR="007222B3">
        <w:br/>
      </w:r>
      <w:r w:rsidRPr="00292BA7">
        <w:t>4</w:t>
      </w:r>
      <w:r w:rsidR="007222B3" w:rsidRPr="007222B3">
        <w:t>–</w:t>
      </w:r>
      <w:r w:rsidRPr="00292BA7">
        <w:t xml:space="preserve">7 октября 2021 года) неофициальных консультаций между Венгрией и Украиной Украина предложила Венгрии провести поездку на этот объект, которая не состоялась вследствие военной агрессии Российской Федерации против Украины. Украина также уточнила, что добыча полезных ископаемых на золоторудном месторождении не велась, однако мероприятия по утилизации рудных отвалов, накопившихся в результате прошлой горнодобывающей деятельности, продолжаются до сих пор, при этом в связи с военными действиями их продолжительность превысила первоначально предусмотренный срок, составлявший около двух лет. </w:t>
      </w:r>
      <w:bookmarkStart w:id="13" w:name="_Hlk85039254"/>
      <w:bookmarkEnd w:id="13"/>
    </w:p>
    <w:p w14:paraId="04E17F4E" w14:textId="77777777" w:rsidR="00292BA7" w:rsidRPr="00292BA7" w:rsidRDefault="00292BA7" w:rsidP="00292BA7">
      <w:pPr>
        <w:pStyle w:val="SingleTxtG"/>
        <w:rPr>
          <w:rFonts w:eastAsia="SimSun"/>
        </w:rPr>
      </w:pPr>
      <w:r w:rsidRPr="00292BA7">
        <w:t>91.</w:t>
      </w:r>
      <w:r w:rsidRPr="00292BA7">
        <w:tab/>
        <w:t xml:space="preserve">Комитет отметил, что вопросы Венгрии к Украине от 9 декабря 2021 года, переданные Украине Комитетом 15 декабря 2021 года после проведения неофициальных консультаций на его пятьдесят первой сессии и представления Венгрии документации по оценке воздействия на окружающую среду, до сих пор остаются без ответа. Делегация Украины пояснила, что она не была осведомлена о вопросах Венгрии и признала, что с ее стороны имело место упущение, а также подтвердила свою готовность представить ответ. </w:t>
      </w:r>
    </w:p>
    <w:p w14:paraId="59DD7F51" w14:textId="7F579A83" w:rsidR="00292BA7" w:rsidRPr="00D46311" w:rsidRDefault="00292BA7" w:rsidP="00292BA7">
      <w:pPr>
        <w:pStyle w:val="SingleTxtG"/>
        <w:rPr>
          <w:rFonts w:eastAsia="SimSun"/>
        </w:rPr>
      </w:pPr>
      <w:r w:rsidRPr="00292BA7">
        <w:t>92.</w:t>
      </w:r>
      <w:r w:rsidRPr="00292BA7">
        <w:tab/>
        <w:t>Комитет просил своего Председателя повторно направить Украине письмо Венгрии от 9 декабря 2021 года с предложением ответить Венгрии и представить Комитету копию ответа Украины в момент его получения</w:t>
      </w:r>
      <w:r>
        <w:t>.</w:t>
      </w:r>
      <w:r w:rsidR="007222B3">
        <w:t xml:space="preserve"> </w:t>
      </w:r>
    </w:p>
    <w:p w14:paraId="216A382B" w14:textId="3FBBCBA0" w:rsidR="00292BA7" w:rsidRPr="00D46311" w:rsidRDefault="00292BA7" w:rsidP="00292BA7">
      <w:pPr>
        <w:pStyle w:val="H1G"/>
        <w:spacing w:line="240" w:lineRule="auto"/>
        <w:rPr>
          <w:rFonts w:eastAsia="SimSun"/>
        </w:rPr>
      </w:pPr>
      <w:r>
        <w:rPr>
          <w:bCs/>
        </w:rPr>
        <w:lastRenderedPageBreak/>
        <w:tab/>
        <w:t>G.</w:t>
      </w:r>
      <w:r>
        <w:tab/>
      </w:r>
      <w:r>
        <w:tab/>
      </w:r>
      <w:r>
        <w:rPr>
          <w:bCs/>
        </w:rPr>
        <w:t>Сроки проведения следующей сессии</w:t>
      </w:r>
      <w:r>
        <w:t xml:space="preserve"> </w:t>
      </w:r>
    </w:p>
    <w:p w14:paraId="02F99920" w14:textId="6FF16A8E" w:rsidR="00292BA7" w:rsidRPr="00D46311" w:rsidRDefault="00292BA7" w:rsidP="00292BA7">
      <w:pPr>
        <w:pStyle w:val="SingleTxtG"/>
        <w:rPr>
          <w:rFonts w:eastAsia="SimSun"/>
        </w:rPr>
      </w:pPr>
      <w:r>
        <w:t xml:space="preserve">93. </w:t>
      </w:r>
      <w:r>
        <w:tab/>
        <w:t>Комитет подтвердил дату и формат проведения своей пятьдесят седьмой сессии (Женева (очный формат), 29 августа</w:t>
      </w:r>
      <w:r w:rsidR="006E0069">
        <w:t xml:space="preserve"> — </w:t>
      </w:r>
      <w:r>
        <w:t>1 сентября 2023 года). Он подтвердил следующие даты проведения своих сессий на 2024 год: пятьдесят восьмая сессия состоится 27</w:t>
      </w:r>
      <w:r>
        <w:rPr>
          <w:lang w:val="en-US"/>
        </w:rPr>
        <w:t> </w:t>
      </w:r>
      <w:r>
        <w:t>февраля</w:t>
      </w:r>
      <w:r w:rsidR="007222B3" w:rsidRPr="007222B3">
        <w:t xml:space="preserve"> — </w:t>
      </w:r>
      <w:r>
        <w:t xml:space="preserve">1 марта 2024 года; пятьдесят девятая сессия </w:t>
      </w:r>
      <w:r w:rsidR="007222B3" w:rsidRPr="007222B3">
        <w:t>—</w:t>
      </w:r>
      <w:r>
        <w:t xml:space="preserve"> 18</w:t>
      </w:r>
      <w:r w:rsidR="007222B3" w:rsidRPr="007222B3">
        <w:t>–</w:t>
      </w:r>
      <w:r>
        <w:t xml:space="preserve">21 июня 2024 года; и шестидесятая сессия </w:t>
      </w:r>
      <w:r w:rsidR="007222B3" w:rsidRPr="007222B3">
        <w:t>—</w:t>
      </w:r>
      <w:r>
        <w:t xml:space="preserve"> 8</w:t>
      </w:r>
      <w:r w:rsidR="007222B3" w:rsidRPr="007222B3">
        <w:t>–</w:t>
      </w:r>
      <w:r>
        <w:t>11 октября 2024 года. Первоначально Комитет высказался за онлайновый формат проведения своей пятьдесят восьмой сессии, но решил вернуться к рассмотрению этого вопроса после консультаций с членами Комитета, которые будут выдвинуты Сторонами для избрания на следующих сессиях Совещаний Сторон.</w:t>
      </w:r>
      <w:r w:rsidR="007222B3">
        <w:t xml:space="preserve"> </w:t>
      </w:r>
    </w:p>
    <w:p w14:paraId="3C740963" w14:textId="5C900086" w:rsidR="00292BA7" w:rsidRPr="00D46311" w:rsidRDefault="00292BA7" w:rsidP="00292BA7">
      <w:pPr>
        <w:pStyle w:val="HChG"/>
        <w:spacing w:line="240" w:lineRule="auto"/>
        <w:rPr>
          <w:rFonts w:eastAsia="SimSun"/>
        </w:rPr>
      </w:pPr>
      <w:r>
        <w:rPr>
          <w:bCs/>
        </w:rPr>
        <w:tab/>
        <w:t>X.</w:t>
      </w:r>
      <w:r>
        <w:tab/>
      </w:r>
      <w:r>
        <w:tab/>
      </w:r>
      <w:r>
        <w:rPr>
          <w:bCs/>
        </w:rPr>
        <w:t>Представление основных принятых решений и закрытие сессии</w:t>
      </w:r>
    </w:p>
    <w:p w14:paraId="4A98ED9D" w14:textId="034AD542" w:rsidR="00292BA7" w:rsidRPr="00D46311" w:rsidRDefault="00292BA7" w:rsidP="00292BA7">
      <w:pPr>
        <w:pStyle w:val="SingleTxtG"/>
        <w:rPr>
          <w:rFonts w:eastAsia="SimSun"/>
        </w:rPr>
      </w:pPr>
      <w:r>
        <w:t>94.</w:t>
      </w:r>
      <w:r>
        <w:tab/>
        <w:t xml:space="preserve">Комитет рассмотрел основные принятые решения. Затем Председатель официально закрыл </w:t>
      </w:r>
      <w:r w:rsidRPr="00292BA7">
        <w:t>пятьдесят</w:t>
      </w:r>
      <w:r>
        <w:t xml:space="preserve"> </w:t>
      </w:r>
      <w:r w:rsidR="007843EB">
        <w:t>шестую</w:t>
      </w:r>
      <w:r>
        <w:t xml:space="preserve"> сессию. 15 мая 2023 года Комитет утвердил проект доклада о работе своей сессии, подготовленный при поддержке секретариата с использованием электронной процедуры принятия решений.</w:t>
      </w:r>
    </w:p>
    <w:p w14:paraId="368932EC" w14:textId="77777777" w:rsidR="007222B3" w:rsidRDefault="00292BA7" w:rsidP="00292BA7">
      <w:pPr>
        <w:spacing w:before="240" w:line="240" w:lineRule="auto"/>
        <w:jc w:val="center"/>
        <w:rPr>
          <w:rFonts w:eastAsia="SimSun"/>
          <w:u w:val="single"/>
        </w:rPr>
      </w:pPr>
      <w:r w:rsidRPr="00D46311">
        <w:rPr>
          <w:rFonts w:eastAsia="SimSun"/>
          <w:u w:val="single"/>
        </w:rPr>
        <w:tab/>
      </w:r>
      <w:r w:rsidRPr="00D46311">
        <w:rPr>
          <w:rFonts w:eastAsia="SimSun"/>
          <w:u w:val="single"/>
        </w:rPr>
        <w:tab/>
      </w:r>
      <w:r w:rsidRPr="00D46311">
        <w:rPr>
          <w:rFonts w:eastAsia="SimSun"/>
          <w:u w:val="single"/>
        </w:rPr>
        <w:tab/>
      </w:r>
    </w:p>
    <w:bookmarkEnd w:id="0"/>
    <w:p w14:paraId="29659B69" w14:textId="1441ACA7" w:rsidR="00292BA7" w:rsidRPr="00D46311" w:rsidRDefault="00292BA7" w:rsidP="00292BA7">
      <w:pPr>
        <w:spacing w:line="600" w:lineRule="auto"/>
      </w:pPr>
    </w:p>
    <w:sectPr w:rsidR="00292BA7" w:rsidRPr="00D46311" w:rsidSect="00E16E80">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1B66E" w14:textId="77777777" w:rsidR="00EE481C" w:rsidRPr="00A312BC" w:rsidRDefault="00EE481C" w:rsidP="00A312BC"/>
  </w:endnote>
  <w:endnote w:type="continuationSeparator" w:id="0">
    <w:p w14:paraId="43D37CC5" w14:textId="77777777" w:rsidR="00EE481C" w:rsidRPr="00A312BC" w:rsidRDefault="00EE481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3FA9" w14:textId="21A6CE38" w:rsidR="00E16E80" w:rsidRPr="00E16E80" w:rsidRDefault="00E16E80">
    <w:pPr>
      <w:pStyle w:val="a8"/>
    </w:pPr>
    <w:r w:rsidRPr="00E16E80">
      <w:rPr>
        <w:b/>
        <w:sz w:val="18"/>
      </w:rPr>
      <w:fldChar w:fldCharType="begin"/>
    </w:r>
    <w:r w:rsidRPr="00E16E80">
      <w:rPr>
        <w:b/>
        <w:sz w:val="18"/>
      </w:rPr>
      <w:instrText xml:space="preserve"> PAGE  \* MERGEFORMAT </w:instrText>
    </w:r>
    <w:r w:rsidRPr="00E16E80">
      <w:rPr>
        <w:b/>
        <w:sz w:val="18"/>
      </w:rPr>
      <w:fldChar w:fldCharType="separate"/>
    </w:r>
    <w:r w:rsidRPr="00E16E80">
      <w:rPr>
        <w:b/>
        <w:noProof/>
        <w:sz w:val="18"/>
      </w:rPr>
      <w:t>2</w:t>
    </w:r>
    <w:r w:rsidRPr="00E16E80">
      <w:rPr>
        <w:b/>
        <w:sz w:val="18"/>
      </w:rPr>
      <w:fldChar w:fldCharType="end"/>
    </w:r>
    <w:r>
      <w:rPr>
        <w:b/>
        <w:sz w:val="18"/>
      </w:rPr>
      <w:tab/>
    </w:r>
    <w:r>
      <w:t>GE.23-09385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158A" w14:textId="157A5594" w:rsidR="00E16E80" w:rsidRPr="00E16E80" w:rsidRDefault="00E16E80" w:rsidP="00E16E80">
    <w:pPr>
      <w:pStyle w:val="a8"/>
      <w:tabs>
        <w:tab w:val="clear" w:pos="9639"/>
        <w:tab w:val="right" w:pos="9638"/>
      </w:tabs>
      <w:rPr>
        <w:b/>
        <w:sz w:val="18"/>
      </w:rPr>
    </w:pPr>
    <w:r>
      <w:t>GE.23-09385</w:t>
    </w:r>
    <w:r>
      <w:tab/>
    </w:r>
    <w:r w:rsidRPr="00E16E80">
      <w:rPr>
        <w:b/>
        <w:sz w:val="18"/>
      </w:rPr>
      <w:fldChar w:fldCharType="begin"/>
    </w:r>
    <w:r w:rsidRPr="00E16E80">
      <w:rPr>
        <w:b/>
        <w:sz w:val="18"/>
      </w:rPr>
      <w:instrText xml:space="preserve"> PAGE  \* MERGEFORMAT </w:instrText>
    </w:r>
    <w:r w:rsidRPr="00E16E80">
      <w:rPr>
        <w:b/>
        <w:sz w:val="18"/>
      </w:rPr>
      <w:fldChar w:fldCharType="separate"/>
    </w:r>
    <w:r w:rsidRPr="00E16E80">
      <w:rPr>
        <w:b/>
        <w:noProof/>
        <w:sz w:val="18"/>
      </w:rPr>
      <w:t>3</w:t>
    </w:r>
    <w:r w:rsidRPr="00E16E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6899" w14:textId="5952EE45" w:rsidR="00042B72" w:rsidRPr="002275D5" w:rsidRDefault="00E16E80" w:rsidP="00E16E8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74ABD30" wp14:editId="5C35635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23-09385  (R)</w:t>
    </w:r>
    <w:r>
      <w:rPr>
        <w:noProof/>
      </w:rPr>
      <w:drawing>
        <wp:anchor distT="0" distB="0" distL="114300" distR="114300" simplePos="0" relativeHeight="251659264" behindDoc="0" locked="0" layoutInCell="1" allowOverlap="1" wp14:anchorId="010F8D19" wp14:editId="741A53D0">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5D5">
      <w:rPr>
        <w:lang w:val="en-US"/>
      </w:rPr>
      <w:t xml:space="preserve">  131023  241023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D85A" w14:textId="77777777" w:rsidR="00EE481C" w:rsidRPr="001075E9" w:rsidRDefault="00EE481C" w:rsidP="001075E9">
      <w:pPr>
        <w:tabs>
          <w:tab w:val="right" w:pos="2155"/>
        </w:tabs>
        <w:spacing w:after="80" w:line="240" w:lineRule="auto"/>
        <w:ind w:left="680"/>
        <w:rPr>
          <w:u w:val="single"/>
        </w:rPr>
      </w:pPr>
      <w:r>
        <w:rPr>
          <w:u w:val="single"/>
        </w:rPr>
        <w:tab/>
      </w:r>
    </w:p>
  </w:footnote>
  <w:footnote w:type="continuationSeparator" w:id="0">
    <w:p w14:paraId="3CF8FEC2" w14:textId="77777777" w:rsidR="00EE481C" w:rsidRDefault="00EE481C" w:rsidP="00407B78">
      <w:pPr>
        <w:tabs>
          <w:tab w:val="right" w:pos="2155"/>
        </w:tabs>
        <w:spacing w:after="80"/>
        <w:ind w:left="680"/>
        <w:rPr>
          <w:u w:val="single"/>
        </w:rPr>
      </w:pPr>
      <w:r>
        <w:rPr>
          <w:u w:val="single"/>
        </w:rPr>
        <w:tab/>
      </w:r>
    </w:p>
  </w:footnote>
  <w:footnote w:id="1">
    <w:p w14:paraId="3A07DC98" w14:textId="6AD6FD48" w:rsidR="00292BA7" w:rsidRPr="00721195" w:rsidRDefault="00292BA7" w:rsidP="00292BA7">
      <w:pPr>
        <w:pStyle w:val="ad"/>
        <w:rPr>
          <w:lang w:val="en-US"/>
        </w:rPr>
      </w:pPr>
      <w:r>
        <w:tab/>
      </w:r>
      <w:r w:rsidRPr="007222B3">
        <w:rPr>
          <w:rStyle w:val="aa"/>
        </w:rPr>
        <w:footnoteRef/>
      </w:r>
      <w:r w:rsidRPr="00721195">
        <w:rPr>
          <w:lang w:val="en-US"/>
        </w:rPr>
        <w:tab/>
      </w:r>
      <w:r w:rsidRPr="00292BA7">
        <w:rPr>
          <w:color w:val="333333"/>
          <w:szCs w:val="18"/>
          <w:shd w:val="clear" w:color="auto" w:fill="FFFFFF"/>
          <w:lang w:val="en-US"/>
        </w:rPr>
        <w:t>URL:</w:t>
      </w:r>
      <w:r w:rsidRPr="00721195">
        <w:rPr>
          <w:lang w:val="en-US"/>
        </w:rPr>
        <w:t xml:space="preserve"> </w:t>
      </w:r>
      <w:hyperlink r:id="rId1" w:history="1">
        <w:r w:rsidRPr="00F1451B">
          <w:rPr>
            <w:rStyle w:val="af1"/>
            <w:lang w:val="en-US"/>
          </w:rPr>
          <w:t>https://unece.org/environment-policy/environmental-assessment/decisions-taken-meetings-parties</w:t>
        </w:r>
      </w:hyperlink>
      <w:r w:rsidRPr="00C43374">
        <w:rPr>
          <w:lang w:val="en-US"/>
        </w:rPr>
        <w:t>.</w:t>
      </w:r>
    </w:p>
  </w:footnote>
  <w:footnote w:id="2">
    <w:p w14:paraId="3F4B0EFB" w14:textId="44F8AE43" w:rsidR="00292BA7" w:rsidRPr="00F1451B" w:rsidRDefault="00292BA7" w:rsidP="00292BA7">
      <w:pPr>
        <w:pStyle w:val="ad"/>
        <w:rPr>
          <w:spacing w:val="-2"/>
          <w:lang w:val="en-US"/>
        </w:rPr>
      </w:pPr>
      <w:r w:rsidRPr="00721195">
        <w:rPr>
          <w:lang w:val="en-US"/>
        </w:rPr>
        <w:tab/>
      </w:r>
      <w:r w:rsidRPr="007222B3">
        <w:rPr>
          <w:rStyle w:val="aa"/>
        </w:rPr>
        <w:footnoteRef/>
      </w:r>
      <w:r w:rsidRPr="00292BA7">
        <w:rPr>
          <w:lang w:val="en-US"/>
        </w:rPr>
        <w:tab/>
      </w:r>
      <w:r w:rsidRPr="00F1451B">
        <w:rPr>
          <w:spacing w:val="-2"/>
          <w:lang w:val="en-US"/>
        </w:rPr>
        <w:t xml:space="preserve">URL: </w:t>
      </w:r>
      <w:hyperlink r:id="rId2" w:history="1">
        <w:r w:rsidRPr="00F1451B">
          <w:rPr>
            <w:rStyle w:val="af1"/>
            <w:spacing w:val="-2"/>
            <w:lang w:val="en-US"/>
          </w:rPr>
          <w:t>https://unece.org/sites/default/files/2021-02/Implementation%20Committee%20structure%20functions%20procedures%20rules.e%202020.pdf</w:t>
        </w:r>
      </w:hyperlink>
      <w:r w:rsidR="007222B3" w:rsidRPr="00F1451B">
        <w:rPr>
          <w:spacing w:val="-2"/>
          <w:lang w:val="en-US"/>
        </w:rPr>
        <w:t>.</w:t>
      </w:r>
    </w:p>
  </w:footnote>
  <w:footnote w:id="3">
    <w:p w14:paraId="3D8A7DD0" w14:textId="77777777" w:rsidR="00292BA7" w:rsidRPr="00D46311" w:rsidRDefault="00292BA7" w:rsidP="00292BA7">
      <w:pPr>
        <w:pStyle w:val="ad"/>
      </w:pPr>
      <w:r w:rsidRPr="00D46311">
        <w:rPr>
          <w:lang w:val="en-US"/>
        </w:rPr>
        <w:tab/>
      </w:r>
      <w:r w:rsidRPr="007222B3">
        <w:rPr>
          <w:rStyle w:val="aa"/>
        </w:rPr>
        <w:footnoteRef/>
      </w:r>
      <w:r>
        <w:tab/>
        <w:t>Закон Республики Армения о внесении изменений в Закон Республики Армения об оценке и экспертизе воздействия на окружающую среду, представленный в секретариат Конвенции о доступе к информации, участии общественности в процессе принятия решений и доступе к правосудию по вопросам, касающимся окружающей среды (Орхусская конвенция), 10 марта 2023 года.</w:t>
      </w:r>
    </w:p>
  </w:footnote>
  <w:footnote w:id="4">
    <w:p w14:paraId="05096B1C" w14:textId="2C415773" w:rsidR="00292BA7" w:rsidRPr="00F1451B" w:rsidRDefault="00292BA7" w:rsidP="00292BA7">
      <w:pPr>
        <w:pStyle w:val="ad"/>
        <w:rPr>
          <w:lang w:val="en-US"/>
        </w:rPr>
      </w:pPr>
      <w:r w:rsidRPr="004C4C30">
        <w:tab/>
      </w:r>
      <w:r w:rsidRPr="007222B3">
        <w:rPr>
          <w:rStyle w:val="aa"/>
        </w:rPr>
        <w:footnoteRef/>
      </w:r>
      <w:r w:rsidRPr="00F1451B">
        <w:rPr>
          <w:lang w:val="en-US"/>
        </w:rPr>
        <w:tab/>
      </w:r>
      <w:r>
        <w:t>См</w:t>
      </w:r>
      <w:r w:rsidRPr="00F1451B">
        <w:rPr>
          <w:lang w:val="en-US"/>
        </w:rPr>
        <w:t xml:space="preserve">. </w:t>
      </w:r>
      <w:r w:rsidR="00F1451B">
        <w:rPr>
          <w:lang w:val="en-US"/>
        </w:rPr>
        <w:t>URL</w:t>
      </w:r>
      <w:r w:rsidR="00F1451B" w:rsidRPr="00F1451B">
        <w:rPr>
          <w:lang w:val="en-US"/>
        </w:rPr>
        <w:t>:</w:t>
      </w:r>
      <w:r w:rsidR="00F1451B">
        <w:rPr>
          <w:lang w:val="en-US"/>
        </w:rPr>
        <w:t xml:space="preserve"> </w:t>
      </w:r>
      <w:hyperlink r:id="rId3" w:history="1">
        <w:r w:rsidRPr="00F1451B">
          <w:rPr>
            <w:rStyle w:val="af1"/>
            <w:lang w:val="en-US"/>
          </w:rPr>
          <w:t>https://unece.org/submissions-overview</w:t>
        </w:r>
      </w:hyperlink>
      <w:r w:rsidRPr="00F1451B">
        <w:rPr>
          <w:lang w:val="en-US"/>
        </w:rPr>
        <w:t>.</w:t>
      </w:r>
    </w:p>
  </w:footnote>
  <w:footnote w:id="5">
    <w:p w14:paraId="555EBCC7" w14:textId="7763E76F" w:rsidR="00292BA7" w:rsidRPr="00F1451B" w:rsidRDefault="00292BA7" w:rsidP="00292BA7">
      <w:pPr>
        <w:pStyle w:val="ad"/>
        <w:rPr>
          <w:lang w:val="en-US"/>
        </w:rPr>
      </w:pPr>
      <w:r w:rsidRPr="00F1451B">
        <w:rPr>
          <w:lang w:val="en-US"/>
        </w:rPr>
        <w:tab/>
      </w:r>
      <w:r w:rsidRPr="007222B3">
        <w:rPr>
          <w:rStyle w:val="aa"/>
        </w:rPr>
        <w:footnoteRef/>
      </w:r>
      <w:r w:rsidRPr="00F1451B">
        <w:rPr>
          <w:lang w:val="en-US"/>
        </w:rPr>
        <w:tab/>
      </w:r>
      <w:r>
        <w:t>См</w:t>
      </w:r>
      <w:r w:rsidRPr="00F1451B">
        <w:rPr>
          <w:lang w:val="en-US"/>
        </w:rPr>
        <w:t xml:space="preserve">. </w:t>
      </w:r>
      <w:r w:rsidR="00F1451B">
        <w:rPr>
          <w:lang w:val="en-US"/>
        </w:rPr>
        <w:t>URL</w:t>
      </w:r>
      <w:r w:rsidR="00F1451B" w:rsidRPr="00F1451B">
        <w:rPr>
          <w:lang w:val="en-US"/>
        </w:rPr>
        <w:t>:</w:t>
      </w:r>
      <w:r w:rsidR="00F1451B">
        <w:rPr>
          <w:lang w:val="en-US"/>
        </w:rPr>
        <w:t xml:space="preserve"> </w:t>
      </w:r>
      <w:hyperlink r:id="rId4" w:history="1">
        <w:r w:rsidRPr="00F1451B">
          <w:rPr>
            <w:rStyle w:val="af1"/>
            <w:lang w:val="en-US"/>
          </w:rPr>
          <w:t>https://unece.org/environment-policy/environmental-assessment/eiaics7-albania</w:t>
        </w:r>
      </w:hyperlink>
      <w:r w:rsidRPr="00F1451B">
        <w:rPr>
          <w:lang w:val="en-US"/>
        </w:rPr>
        <w:t>.</w:t>
      </w:r>
    </w:p>
  </w:footnote>
  <w:footnote w:id="6">
    <w:p w14:paraId="2E7D138F" w14:textId="18F60E6E" w:rsidR="00292BA7" w:rsidRPr="00F1451B" w:rsidRDefault="00292BA7" w:rsidP="00292BA7">
      <w:pPr>
        <w:pStyle w:val="ad"/>
        <w:rPr>
          <w:lang w:val="en-US"/>
        </w:rPr>
      </w:pPr>
      <w:r w:rsidRPr="00F1451B">
        <w:rPr>
          <w:lang w:val="en-US"/>
        </w:rPr>
        <w:tab/>
      </w:r>
      <w:r w:rsidRPr="007222B3">
        <w:rPr>
          <w:rStyle w:val="aa"/>
        </w:rPr>
        <w:footnoteRef/>
      </w:r>
      <w:r w:rsidRPr="00F1451B">
        <w:rPr>
          <w:lang w:val="en-US"/>
        </w:rPr>
        <w:tab/>
      </w:r>
      <w:r>
        <w:t>См</w:t>
      </w:r>
      <w:r w:rsidRPr="00F1451B">
        <w:rPr>
          <w:lang w:val="en-US"/>
        </w:rPr>
        <w:t xml:space="preserve">. </w:t>
      </w:r>
      <w:r w:rsidR="00F1451B">
        <w:rPr>
          <w:lang w:val="en-US"/>
        </w:rPr>
        <w:t>URL</w:t>
      </w:r>
      <w:r w:rsidR="00F1451B" w:rsidRPr="00F1451B">
        <w:rPr>
          <w:lang w:val="en-US"/>
        </w:rPr>
        <w:t>:</w:t>
      </w:r>
      <w:r w:rsidR="00F1451B">
        <w:rPr>
          <w:lang w:val="en-US"/>
        </w:rPr>
        <w:t xml:space="preserve"> </w:t>
      </w:r>
      <w:hyperlink r:id="rId5" w:history="1">
        <w:r w:rsidRPr="00F1451B">
          <w:rPr>
            <w:rStyle w:val="af1"/>
            <w:lang w:val="en-US"/>
          </w:rPr>
          <w:t>https://unece.org/environment-policy/environmental-assessment/eiaics8seaics1</w:t>
        </w:r>
      </w:hyperlink>
      <w:r w:rsidRPr="00F1451B">
        <w:rPr>
          <w:lang w:val="en-US"/>
        </w:rPr>
        <w:t>.</w:t>
      </w:r>
    </w:p>
  </w:footnote>
  <w:footnote w:id="7">
    <w:p w14:paraId="0F6412B2" w14:textId="77777777" w:rsidR="00292BA7" w:rsidRPr="00292BA7" w:rsidRDefault="00292BA7" w:rsidP="00292BA7">
      <w:pPr>
        <w:pStyle w:val="ad"/>
        <w:rPr>
          <w:lang w:val="en-US"/>
        </w:rPr>
      </w:pPr>
      <w:r w:rsidRPr="00F1451B">
        <w:rPr>
          <w:lang w:val="en-US"/>
        </w:rPr>
        <w:tab/>
      </w:r>
      <w:r w:rsidRPr="007222B3">
        <w:rPr>
          <w:rStyle w:val="aa"/>
        </w:rPr>
        <w:footnoteRef/>
      </w:r>
      <w:r w:rsidRPr="00292BA7">
        <w:rPr>
          <w:lang w:val="en-US"/>
        </w:rPr>
        <w:tab/>
      </w:r>
      <w:r>
        <w:t>См</w:t>
      </w:r>
      <w:r w:rsidRPr="00AD03A0">
        <w:rPr>
          <w:lang w:val="en-US"/>
        </w:rPr>
        <w:t>.</w:t>
      </w:r>
      <w:r w:rsidRPr="00292BA7">
        <w:rPr>
          <w:lang w:val="en-US"/>
        </w:rPr>
        <w:t xml:space="preserve"> ECE/MP.EIA/IC/2023/5.</w:t>
      </w:r>
    </w:p>
  </w:footnote>
  <w:footnote w:id="8">
    <w:p w14:paraId="0D2DDD8E" w14:textId="73FDE865" w:rsidR="00292BA7" w:rsidRPr="00D46311" w:rsidRDefault="00292BA7" w:rsidP="007843EB">
      <w:pPr>
        <w:pStyle w:val="ad"/>
      </w:pPr>
      <w:r w:rsidRPr="00D46311">
        <w:rPr>
          <w:lang w:val="en-US"/>
        </w:rPr>
        <w:tab/>
      </w:r>
      <w:r w:rsidRPr="007222B3">
        <w:rPr>
          <w:rStyle w:val="aa"/>
        </w:rPr>
        <w:footnoteRef/>
      </w:r>
      <w:r>
        <w:tab/>
        <w:t>Директива 2011/92/</w:t>
      </w:r>
      <w:r>
        <w:rPr>
          <w:lang w:val="fr-CH"/>
        </w:rPr>
        <w:t>EU</w:t>
      </w:r>
      <w:r>
        <w:t xml:space="preserve"> Европейского парламента и Совета от </w:t>
      </w:r>
      <w:r w:rsidRPr="00376F76">
        <w:t>13</w:t>
      </w:r>
      <w:r>
        <w:t xml:space="preserve"> декабря 2011 года об оценке воздействия некоторых государственных и частных программ на окружающую среду, </w:t>
      </w:r>
      <w:r w:rsidR="007843EB" w:rsidRPr="005820C7">
        <w:rPr>
          <w:i/>
          <w:iCs/>
        </w:rPr>
        <w:t>Official Journal of the European Union</w:t>
      </w:r>
      <w:r w:rsidR="007843EB" w:rsidRPr="005820C7">
        <w:t>, L 26 (2012), pp. 1</w:t>
      </w:r>
      <w:r w:rsidR="007843EB" w:rsidRPr="002A4E54">
        <w:rPr>
          <w:lang w:eastAsia="en-US"/>
        </w:rPr>
        <w:t>–</w:t>
      </w:r>
      <w:r w:rsidR="007843EB" w:rsidRPr="005820C7">
        <w:t>21</w:t>
      </w:r>
      <w:r w:rsidRPr="007D02B4">
        <w:t>.</w:t>
      </w:r>
    </w:p>
  </w:footnote>
  <w:footnote w:id="9">
    <w:p w14:paraId="33994E7A" w14:textId="6BDCB603" w:rsidR="00292BA7" w:rsidRPr="00D46311" w:rsidRDefault="00292BA7" w:rsidP="00292BA7">
      <w:pPr>
        <w:pStyle w:val="ad"/>
      </w:pPr>
      <w:r>
        <w:tab/>
      </w:r>
      <w:r w:rsidRPr="007222B3">
        <w:rPr>
          <w:rStyle w:val="aa"/>
        </w:rPr>
        <w:footnoteRef/>
      </w:r>
      <w:r>
        <w:tab/>
        <w:t xml:space="preserve">Директива </w:t>
      </w:r>
      <w:r w:rsidRPr="0054356A">
        <w:t xml:space="preserve">2014/52/EU </w:t>
      </w:r>
      <w:r>
        <w:t xml:space="preserve">Европейского </w:t>
      </w:r>
      <w:r w:rsidR="001B7E8A">
        <w:t>п</w:t>
      </w:r>
      <w:r>
        <w:t>арламента и Совета от 16 апреля 2014 года, изменяющая Директиву 2011/92/</w:t>
      </w:r>
      <w:r w:rsidRPr="00C413A0">
        <w:t>EU</w:t>
      </w:r>
      <w:r>
        <w:t xml:space="preserve"> об оценке воздействия некоторых государственных и частных проектов на окружающую среду, </w:t>
      </w:r>
      <w:r w:rsidRPr="00F0568F">
        <w:rPr>
          <w:i/>
          <w:iCs/>
        </w:rPr>
        <w:t>Official Journal of the European Union</w:t>
      </w:r>
      <w:r w:rsidRPr="00CB2CC5">
        <w:t>, L 124 (2014), pp. 1–18.</w:t>
      </w:r>
    </w:p>
  </w:footnote>
  <w:footnote w:id="10">
    <w:p w14:paraId="1B647983" w14:textId="3970A8A5" w:rsidR="00292BA7" w:rsidRPr="00F1451B" w:rsidRDefault="00292BA7" w:rsidP="00292BA7">
      <w:pPr>
        <w:pStyle w:val="ad"/>
        <w:rPr>
          <w:lang w:val="en-US"/>
        </w:rPr>
      </w:pPr>
      <w:r w:rsidRPr="00D46311">
        <w:tab/>
      </w:r>
      <w:r w:rsidRPr="007222B3">
        <w:rPr>
          <w:rStyle w:val="aa"/>
        </w:rPr>
        <w:footnoteRef/>
      </w:r>
      <w:r w:rsidRPr="00F1451B">
        <w:rPr>
          <w:lang w:val="en-US"/>
        </w:rPr>
        <w:tab/>
      </w:r>
      <w:r>
        <w:t>См</w:t>
      </w:r>
      <w:r w:rsidRPr="00F1451B">
        <w:rPr>
          <w:lang w:val="en-US"/>
        </w:rPr>
        <w:t xml:space="preserve">. </w:t>
      </w:r>
      <w:r w:rsidR="00F1451B">
        <w:rPr>
          <w:lang w:val="en-US"/>
        </w:rPr>
        <w:t>URL</w:t>
      </w:r>
      <w:r w:rsidR="00F1451B" w:rsidRPr="00F1451B">
        <w:rPr>
          <w:lang w:val="en-US"/>
        </w:rPr>
        <w:t>:</w:t>
      </w:r>
      <w:r w:rsidR="00F1451B">
        <w:rPr>
          <w:lang w:val="en-US"/>
        </w:rPr>
        <w:t xml:space="preserve"> </w:t>
      </w:r>
      <w:hyperlink r:id="rId6" w:history="1">
        <w:r w:rsidR="009303D1" w:rsidRPr="00D93B0C">
          <w:rPr>
            <w:rStyle w:val="af1"/>
            <w:lang w:val="en-US"/>
          </w:rPr>
          <w:t>https://unece.org/environment-policy/environmental-assessment/committee-initiative-overview</w:t>
        </w:r>
      </w:hyperlink>
      <w:r w:rsidRPr="00F1451B">
        <w:rPr>
          <w:rStyle w:val="af1"/>
          <w:lang w:val="en-US"/>
        </w:rPr>
        <w:t>.</w:t>
      </w:r>
    </w:p>
  </w:footnote>
  <w:footnote w:id="11">
    <w:p w14:paraId="78964C3C" w14:textId="77777777" w:rsidR="00292BA7" w:rsidRPr="00292BA7" w:rsidRDefault="00292BA7" w:rsidP="00292BA7">
      <w:pPr>
        <w:pStyle w:val="ad"/>
        <w:rPr>
          <w:lang w:val="en-US"/>
        </w:rPr>
      </w:pPr>
      <w:r w:rsidRPr="00F1451B">
        <w:rPr>
          <w:lang w:val="en-US"/>
        </w:rPr>
        <w:tab/>
      </w:r>
      <w:r w:rsidRPr="007222B3">
        <w:rPr>
          <w:rStyle w:val="aa"/>
        </w:rPr>
        <w:footnoteRef/>
      </w:r>
      <w:r w:rsidRPr="00D46311">
        <w:rPr>
          <w:lang w:val="en-US"/>
        </w:rPr>
        <w:tab/>
        <w:t>ECE/MP.EIA/IC/2023/6.</w:t>
      </w:r>
    </w:p>
  </w:footnote>
  <w:footnote w:id="12">
    <w:p w14:paraId="38F79C19" w14:textId="315407E5" w:rsidR="00292BA7" w:rsidRPr="00F1451B" w:rsidRDefault="00292BA7" w:rsidP="00292BA7">
      <w:pPr>
        <w:pStyle w:val="ad"/>
        <w:rPr>
          <w:lang w:val="en-US"/>
        </w:rPr>
      </w:pPr>
      <w:r w:rsidRPr="00292BA7">
        <w:rPr>
          <w:lang w:val="en-US"/>
        </w:rPr>
        <w:tab/>
      </w:r>
      <w:r w:rsidRPr="007222B3">
        <w:rPr>
          <w:rStyle w:val="aa"/>
        </w:rPr>
        <w:footnoteRef/>
      </w:r>
      <w:r w:rsidRPr="00F1451B">
        <w:rPr>
          <w:lang w:val="en-US"/>
        </w:rPr>
        <w:tab/>
      </w:r>
      <w:r>
        <w:t>См</w:t>
      </w:r>
      <w:r w:rsidRPr="00F1451B">
        <w:rPr>
          <w:lang w:val="en-US"/>
        </w:rPr>
        <w:t xml:space="preserve">. </w:t>
      </w:r>
      <w:r w:rsidR="00F1451B">
        <w:rPr>
          <w:lang w:val="en-US"/>
        </w:rPr>
        <w:t>URL</w:t>
      </w:r>
      <w:r w:rsidR="00F1451B" w:rsidRPr="00F1451B">
        <w:rPr>
          <w:lang w:val="en-US"/>
        </w:rPr>
        <w:t>:</w:t>
      </w:r>
      <w:r w:rsidR="00F1451B">
        <w:rPr>
          <w:lang w:val="en-US"/>
        </w:rPr>
        <w:t xml:space="preserve"> </w:t>
      </w:r>
      <w:hyperlink r:id="rId7" w:history="1">
        <w:r w:rsidR="00F1451B" w:rsidRPr="00D93B0C">
          <w:rPr>
            <w:rStyle w:val="af1"/>
            <w:lang w:val="en-US"/>
          </w:rPr>
          <w:t>https://unece.org/information-other-sources-0</w:t>
        </w:r>
      </w:hyperlink>
      <w:r w:rsidRPr="00F1451B">
        <w:rPr>
          <w:lang w:val="en-US"/>
        </w:rPr>
        <w:t>.</w:t>
      </w:r>
    </w:p>
  </w:footnote>
  <w:footnote w:id="13">
    <w:p w14:paraId="0E2C4021" w14:textId="616D1629" w:rsidR="00292BA7" w:rsidRPr="00F1451B" w:rsidRDefault="00292BA7" w:rsidP="00292BA7">
      <w:pPr>
        <w:pStyle w:val="ad"/>
        <w:rPr>
          <w:spacing w:val="-4"/>
          <w:lang w:val="en-US"/>
        </w:rPr>
      </w:pPr>
      <w:r w:rsidRPr="00F1451B">
        <w:rPr>
          <w:lang w:val="en-US"/>
        </w:rPr>
        <w:tab/>
      </w:r>
      <w:r w:rsidRPr="007222B3">
        <w:rPr>
          <w:rStyle w:val="aa"/>
        </w:rPr>
        <w:footnoteRef/>
      </w:r>
      <w:r w:rsidRPr="00FA3953">
        <w:rPr>
          <w:lang w:val="en-US"/>
        </w:rPr>
        <w:tab/>
        <w:t xml:space="preserve">URL: </w:t>
      </w:r>
      <w:hyperlink r:id="rId8" w:history="1">
        <w:r w:rsidR="00F1451B" w:rsidRPr="00F1451B">
          <w:rPr>
            <w:rStyle w:val="af1"/>
            <w:spacing w:val="-4"/>
            <w:lang w:val="en-US"/>
          </w:rPr>
          <w:t>https://unece.org/sites/default/files/2021-02/Implementation%20Committee%20structure%20functions%20procedures%20rules.e%202020.pdf</w:t>
        </w:r>
      </w:hyperlink>
      <w:r w:rsidR="00F1451B" w:rsidRPr="00F1451B">
        <w:rPr>
          <w:spacing w:val="-4"/>
          <w:lang w:val="en-US"/>
        </w:rPr>
        <w:t>.</w:t>
      </w:r>
    </w:p>
  </w:footnote>
  <w:footnote w:id="14">
    <w:p w14:paraId="628206C0" w14:textId="1B1E556F" w:rsidR="00CB4C2D" w:rsidRPr="0009386D" w:rsidRDefault="00CB4C2D" w:rsidP="00CB4C2D">
      <w:pPr>
        <w:pStyle w:val="ad"/>
        <w:rPr>
          <w:spacing w:val="-4"/>
        </w:rPr>
      </w:pPr>
      <w:r w:rsidRPr="00292BA7">
        <w:rPr>
          <w:lang w:val="en-US"/>
        </w:rPr>
        <w:tab/>
      </w:r>
      <w:r w:rsidRPr="007222B3">
        <w:rPr>
          <w:rStyle w:val="aa"/>
        </w:rPr>
        <w:footnoteRef/>
      </w:r>
      <w:r w:rsidRPr="0009386D">
        <w:tab/>
      </w:r>
      <w:r w:rsidR="0009386D">
        <w:t>Издание Организации Объединенных Наций, ECE/MP.EIA/31</w:t>
      </w:r>
      <w:r w:rsidRPr="0009386D">
        <w:rPr>
          <w:spacing w:val="-4"/>
        </w:rPr>
        <w:t>.</w:t>
      </w:r>
    </w:p>
  </w:footnote>
  <w:footnote w:id="15">
    <w:p w14:paraId="6A6EA296" w14:textId="417120A2" w:rsidR="00CB4C2D" w:rsidRPr="00D46311" w:rsidRDefault="00CB4C2D" w:rsidP="00CB4C2D">
      <w:pPr>
        <w:pStyle w:val="ad"/>
      </w:pPr>
      <w:r w:rsidRPr="0009386D">
        <w:tab/>
      </w:r>
      <w:r w:rsidRPr="007222B3">
        <w:rPr>
          <w:rStyle w:val="aa"/>
        </w:rPr>
        <w:footnoteRef/>
      </w:r>
      <w:r>
        <w:tab/>
      </w:r>
      <w:r w:rsidR="0009386D">
        <w:t>Дополнительную информацию о количестве энергоблоков см. в документе ECE/MP.EIA/</w:t>
      </w:r>
      <w:r w:rsidR="0009386D">
        <w:br/>
        <w:t>2020/4−ECE/MP.EIA/SEA/2020/4, таблица 4.</w:t>
      </w:r>
    </w:p>
  </w:footnote>
  <w:footnote w:id="16">
    <w:p w14:paraId="7B131C2D" w14:textId="5715A083" w:rsidR="0009386D" w:rsidRPr="00E60C5E" w:rsidRDefault="0009386D" w:rsidP="0009386D">
      <w:pPr>
        <w:pStyle w:val="ad"/>
        <w:rPr>
          <w:lang w:val="en-US"/>
        </w:rPr>
      </w:pPr>
      <w:r>
        <w:tab/>
      </w:r>
      <w:r w:rsidRPr="007222B3">
        <w:rPr>
          <w:rStyle w:val="aa"/>
        </w:rPr>
        <w:footnoteRef/>
      </w:r>
      <w:r w:rsidRPr="00E60C5E">
        <w:rPr>
          <w:lang w:val="en-US"/>
        </w:rPr>
        <w:tab/>
      </w:r>
      <w:r w:rsidR="00E60C5E" w:rsidRPr="0061679C">
        <w:rPr>
          <w:lang w:val="es-ES"/>
        </w:rPr>
        <w:t>ECE/MP.EIA/IC/202</w:t>
      </w:r>
      <w:r w:rsidR="00E60C5E">
        <w:rPr>
          <w:lang w:val="es-ES"/>
        </w:rPr>
        <w:t>3</w:t>
      </w:r>
      <w:r w:rsidR="00E60C5E" w:rsidRPr="0061679C">
        <w:rPr>
          <w:lang w:val="es-ES"/>
        </w:rPr>
        <w:t>/</w:t>
      </w:r>
      <w:r w:rsidR="00E60C5E">
        <w:rPr>
          <w:lang w:val="es-ES"/>
        </w:rPr>
        <w:t>2</w:t>
      </w:r>
      <w:r w:rsidR="00E60C5E" w:rsidRPr="0061679C">
        <w:rPr>
          <w:lang w:val="es-ES"/>
        </w:rPr>
        <w:t xml:space="preserve">, </w:t>
      </w:r>
      <w:r w:rsidR="00E60C5E">
        <w:t>пп</w:t>
      </w:r>
      <w:r w:rsidR="00E60C5E" w:rsidRPr="00E60C5E">
        <w:rPr>
          <w:lang w:val="en-US"/>
        </w:rPr>
        <w:t>.</w:t>
      </w:r>
      <w:r w:rsidR="00E60C5E" w:rsidRPr="0061679C">
        <w:rPr>
          <w:lang w:val="es-ES"/>
        </w:rPr>
        <w:t xml:space="preserve"> </w:t>
      </w:r>
      <w:r w:rsidR="00E60C5E" w:rsidRPr="006705D3">
        <w:rPr>
          <w:lang w:val="es-ES"/>
        </w:rPr>
        <w:t>42–43.</w:t>
      </w:r>
    </w:p>
  </w:footnote>
  <w:footnote w:id="17">
    <w:p w14:paraId="697BBD5B" w14:textId="7745C531" w:rsidR="0009386D" w:rsidRPr="00292BA7" w:rsidRDefault="0009386D" w:rsidP="0009386D">
      <w:pPr>
        <w:pStyle w:val="ad"/>
        <w:rPr>
          <w:lang w:val="en-US"/>
        </w:rPr>
      </w:pPr>
      <w:r w:rsidRPr="00E60C5E">
        <w:rPr>
          <w:lang w:val="en-US"/>
        </w:rPr>
        <w:tab/>
      </w:r>
      <w:r w:rsidRPr="007222B3">
        <w:rPr>
          <w:rStyle w:val="aa"/>
        </w:rPr>
        <w:footnoteRef/>
      </w:r>
      <w:r w:rsidRPr="00D46311">
        <w:rPr>
          <w:lang w:val="en-US"/>
        </w:rPr>
        <w:tab/>
      </w:r>
      <w:r w:rsidR="00E60C5E" w:rsidRPr="00D46311">
        <w:rPr>
          <w:lang w:val="en-US"/>
        </w:rPr>
        <w:t xml:space="preserve">ECE/MP.EIA/IC/2022/7, </w:t>
      </w:r>
      <w:r w:rsidR="00E60C5E">
        <w:t>п</w:t>
      </w:r>
      <w:r w:rsidR="00E60C5E" w:rsidRPr="00D46311">
        <w:rPr>
          <w:lang w:val="en-US"/>
        </w:rPr>
        <w:t>. 57.</w:t>
      </w:r>
    </w:p>
  </w:footnote>
  <w:footnote w:id="18">
    <w:p w14:paraId="5B3E970F" w14:textId="60E6487D" w:rsidR="0009386D" w:rsidRPr="00292BA7" w:rsidRDefault="0009386D" w:rsidP="0009386D">
      <w:pPr>
        <w:pStyle w:val="ad"/>
        <w:rPr>
          <w:lang w:val="en-US"/>
        </w:rPr>
      </w:pPr>
      <w:r w:rsidRPr="00D46311">
        <w:rPr>
          <w:lang w:val="en-US"/>
        </w:rPr>
        <w:tab/>
      </w:r>
      <w:r w:rsidRPr="007222B3">
        <w:rPr>
          <w:rStyle w:val="aa"/>
        </w:rPr>
        <w:footnoteRef/>
      </w:r>
      <w:r w:rsidRPr="00D46311">
        <w:rPr>
          <w:lang w:val="en-US"/>
        </w:rPr>
        <w:tab/>
      </w:r>
      <w:r w:rsidR="00E60C5E" w:rsidRPr="00D46311">
        <w:rPr>
          <w:lang w:val="en-US"/>
        </w:rPr>
        <w:t xml:space="preserve">ECE/MP.EIA/IC/2023/2, </w:t>
      </w:r>
      <w:r w:rsidR="00E60C5E">
        <w:t>пп</w:t>
      </w:r>
      <w:r w:rsidR="00E60C5E" w:rsidRPr="00D46311">
        <w:rPr>
          <w:lang w:val="en-US"/>
        </w:rPr>
        <w:t>. 44–46.</w:t>
      </w:r>
    </w:p>
  </w:footnote>
  <w:footnote w:id="19">
    <w:p w14:paraId="3A54C56C" w14:textId="76B44709" w:rsidR="0009386D" w:rsidRPr="00292BA7" w:rsidRDefault="0009386D" w:rsidP="0009386D">
      <w:pPr>
        <w:pStyle w:val="ad"/>
        <w:rPr>
          <w:lang w:val="en-US"/>
        </w:rPr>
      </w:pPr>
      <w:r w:rsidRPr="00D46311">
        <w:rPr>
          <w:lang w:val="en-US"/>
        </w:rPr>
        <w:tab/>
      </w:r>
      <w:r w:rsidRPr="007222B3">
        <w:rPr>
          <w:rStyle w:val="aa"/>
        </w:rPr>
        <w:footnoteRef/>
      </w:r>
      <w:r w:rsidRPr="00D46311">
        <w:rPr>
          <w:lang w:val="en-US"/>
        </w:rPr>
        <w:tab/>
      </w:r>
      <w:r w:rsidR="00E60C5E">
        <w:rPr>
          <w:lang w:val="es-ES"/>
        </w:rPr>
        <w:t>E</w:t>
      </w:r>
      <w:r w:rsidR="00E60C5E" w:rsidRPr="009122F4">
        <w:rPr>
          <w:lang w:val="es-ES"/>
        </w:rPr>
        <w:t>CE/MP.EIA/2023/10–ECE/MP.EIA/SEA/2023/6</w:t>
      </w:r>
      <w:r w:rsidR="00E60C5E">
        <w:rPr>
          <w:lang w:val="es-ES"/>
        </w:rPr>
        <w:t>.</w:t>
      </w:r>
    </w:p>
  </w:footnote>
  <w:footnote w:id="20">
    <w:p w14:paraId="01E5B38A" w14:textId="277547DB" w:rsidR="0009386D" w:rsidRPr="006C00AA" w:rsidRDefault="0009386D" w:rsidP="0009386D">
      <w:pPr>
        <w:pStyle w:val="ad"/>
        <w:rPr>
          <w:lang w:val="es-ES"/>
        </w:rPr>
      </w:pPr>
      <w:r w:rsidRPr="00D46311">
        <w:rPr>
          <w:lang w:val="en-US"/>
        </w:rPr>
        <w:tab/>
      </w:r>
      <w:r w:rsidRPr="007222B3">
        <w:rPr>
          <w:rStyle w:val="aa"/>
        </w:rPr>
        <w:footnoteRef/>
      </w:r>
      <w:r w:rsidRPr="006C00AA">
        <w:rPr>
          <w:lang w:val="es-ES"/>
        </w:rPr>
        <w:tab/>
      </w:r>
      <w:r w:rsidR="00E60C5E" w:rsidRPr="006C00AA">
        <w:rPr>
          <w:lang w:val="en-US"/>
        </w:rPr>
        <w:t xml:space="preserve">ECE/MP.EIA/IC/2023/2, </w:t>
      </w:r>
      <w:r w:rsidR="00E60C5E">
        <w:t>п</w:t>
      </w:r>
      <w:r w:rsidR="00E60C5E" w:rsidRPr="006C00AA">
        <w:rPr>
          <w:lang w:val="en-US"/>
        </w:rPr>
        <w:t>. 56.</w:t>
      </w:r>
    </w:p>
  </w:footnote>
  <w:footnote w:id="21">
    <w:p w14:paraId="63DCC6BA" w14:textId="3DDF8331" w:rsidR="0009386D" w:rsidRPr="006C00AA" w:rsidRDefault="0009386D" w:rsidP="0009386D">
      <w:pPr>
        <w:pStyle w:val="ad"/>
        <w:rPr>
          <w:lang w:val="en-US"/>
        </w:rPr>
      </w:pPr>
      <w:r w:rsidRPr="009122F4">
        <w:rPr>
          <w:lang w:val="es-ES"/>
        </w:rPr>
        <w:tab/>
      </w:r>
      <w:r w:rsidRPr="007222B3">
        <w:rPr>
          <w:rStyle w:val="aa"/>
        </w:rPr>
        <w:footnoteRef/>
      </w:r>
      <w:r w:rsidRPr="006C00AA">
        <w:rPr>
          <w:lang w:val="en-US"/>
        </w:rPr>
        <w:tab/>
      </w:r>
      <w:r w:rsidR="00E60C5E" w:rsidRPr="007D3037">
        <w:rPr>
          <w:lang w:val="es-ES"/>
        </w:rPr>
        <w:t>ECE/MP.EIA/30/Add.2−ECE/MP.EIA/SEA/13/Add.2</w:t>
      </w:r>
      <w:r w:rsidR="00E60C5E">
        <w:rPr>
          <w:lang w:val="es-ES"/>
        </w:rPr>
        <w:t>.</w:t>
      </w:r>
    </w:p>
  </w:footnote>
  <w:footnote w:id="22">
    <w:p w14:paraId="79C22ABD" w14:textId="571365EC" w:rsidR="0009386D" w:rsidRPr="00D84E54" w:rsidRDefault="0009386D" w:rsidP="0009386D">
      <w:pPr>
        <w:pStyle w:val="ad"/>
        <w:rPr>
          <w:lang w:val="es-ES"/>
        </w:rPr>
      </w:pPr>
      <w:r w:rsidRPr="006C00AA">
        <w:rPr>
          <w:lang w:val="en-US"/>
        </w:rPr>
        <w:tab/>
      </w:r>
      <w:r w:rsidRPr="007222B3">
        <w:rPr>
          <w:rStyle w:val="aa"/>
        </w:rPr>
        <w:footnoteRef/>
      </w:r>
      <w:r>
        <w:rPr>
          <w:lang w:val="es-ES"/>
        </w:rPr>
        <w:tab/>
      </w:r>
      <w:r w:rsidR="00E60C5E" w:rsidRPr="007D3037">
        <w:rPr>
          <w:lang w:val="es-ES"/>
        </w:rPr>
        <w:t>ECE/MP.EIA/30/Add.</w:t>
      </w:r>
      <w:r w:rsidR="00E60C5E">
        <w:rPr>
          <w:lang w:val="es-ES"/>
        </w:rPr>
        <w:t>3</w:t>
      </w:r>
      <w:r w:rsidR="00E60C5E" w:rsidRPr="007D3037">
        <w:rPr>
          <w:lang w:val="es-ES"/>
        </w:rPr>
        <w:t>−ECE/MP.EIA/SEA/13/Add.</w:t>
      </w:r>
      <w:r w:rsidR="00E60C5E">
        <w:rPr>
          <w:lang w:val="es-ES"/>
        </w:rPr>
        <w:t>3.</w:t>
      </w:r>
    </w:p>
  </w:footnote>
  <w:footnote w:id="23">
    <w:p w14:paraId="41101B1E" w14:textId="6D7EB240" w:rsidR="0009386D" w:rsidRPr="002F59E6" w:rsidRDefault="0009386D" w:rsidP="0009386D">
      <w:pPr>
        <w:pStyle w:val="ad"/>
        <w:rPr>
          <w:lang w:val="es-ES"/>
        </w:rPr>
      </w:pPr>
      <w:r>
        <w:rPr>
          <w:lang w:val="es-ES"/>
        </w:rPr>
        <w:tab/>
      </w:r>
      <w:r w:rsidRPr="007222B3">
        <w:rPr>
          <w:rStyle w:val="aa"/>
        </w:rPr>
        <w:footnoteRef/>
      </w:r>
      <w:r>
        <w:rPr>
          <w:lang w:val="es-ES"/>
        </w:rPr>
        <w:tab/>
      </w:r>
      <w:r w:rsidR="00E60C5E" w:rsidRPr="004C4C30">
        <w:rPr>
          <w:lang w:val="es-ES"/>
        </w:rPr>
        <w:t xml:space="preserve">ECE/MP.EIA/30/Add.1–ECE/MP.EIA/SEA/13/Add.1, </w:t>
      </w:r>
      <w:r w:rsidR="00E60C5E">
        <w:t>решение</w:t>
      </w:r>
      <w:r w:rsidR="00E60C5E" w:rsidRPr="004C4C30">
        <w:rPr>
          <w:lang w:val="es-ES"/>
        </w:rPr>
        <w:t xml:space="preserve"> VIII/2–IV/2, </w:t>
      </w:r>
      <w:r w:rsidR="00E60C5E">
        <w:t>приложение</w:t>
      </w:r>
      <w:r w:rsidR="00E60C5E" w:rsidRPr="004C4C30">
        <w:rPr>
          <w:lang w:val="es-ES"/>
        </w:rPr>
        <w:t xml:space="preserve"> I, </w:t>
      </w:r>
      <w:r w:rsidR="00031247">
        <w:rPr>
          <w:lang w:val="es-ES"/>
        </w:rPr>
        <w:br/>
      </w:r>
      <w:r w:rsidR="00031247">
        <w:rPr>
          <w:lang w:eastAsia="en-US"/>
        </w:rPr>
        <w:t>разд</w:t>
      </w:r>
      <w:r w:rsidR="00031247" w:rsidRPr="00031247">
        <w:rPr>
          <w:lang w:val="es-ES" w:eastAsia="en-US"/>
        </w:rPr>
        <w:t>.</w:t>
      </w:r>
      <w:r w:rsidR="00E60C5E" w:rsidRPr="004C4C30">
        <w:rPr>
          <w:lang w:val="es-ES" w:eastAsia="en-US"/>
        </w:rPr>
        <w:t xml:space="preserve"> II.A.3.</w:t>
      </w:r>
    </w:p>
  </w:footnote>
  <w:footnote w:id="24">
    <w:p w14:paraId="72947FE1" w14:textId="77777777" w:rsidR="00292BA7" w:rsidRPr="006C00AA" w:rsidRDefault="00292BA7" w:rsidP="00292BA7">
      <w:pPr>
        <w:pStyle w:val="ad"/>
        <w:rPr>
          <w:lang w:val="en-US"/>
        </w:rPr>
      </w:pPr>
      <w:r>
        <w:rPr>
          <w:lang w:val="es-ES"/>
        </w:rPr>
        <w:tab/>
      </w:r>
      <w:r w:rsidRPr="007222B3">
        <w:rPr>
          <w:rStyle w:val="aa"/>
        </w:rPr>
        <w:footnoteRef/>
      </w:r>
      <w:r w:rsidRPr="006C00AA">
        <w:rPr>
          <w:lang w:val="en-US"/>
        </w:rPr>
        <w:tab/>
        <w:t xml:space="preserve">ECE/MP.EIA/IC/2023/2, </w:t>
      </w:r>
      <w:r>
        <w:t>п</w:t>
      </w:r>
      <w:r w:rsidRPr="006C00AA">
        <w:rPr>
          <w:lang w:val="en-US"/>
        </w:rPr>
        <w:t>. 57.</w:t>
      </w:r>
    </w:p>
  </w:footnote>
  <w:footnote w:id="25">
    <w:p w14:paraId="45FADE76" w14:textId="77777777" w:rsidR="00292BA7" w:rsidRPr="00F107D9" w:rsidRDefault="00292BA7" w:rsidP="00292BA7">
      <w:pPr>
        <w:pStyle w:val="ad"/>
        <w:rPr>
          <w:lang w:val="en-US"/>
        </w:rPr>
      </w:pPr>
      <w:r w:rsidRPr="006C00AA">
        <w:rPr>
          <w:lang w:val="en-US"/>
        </w:rPr>
        <w:tab/>
      </w:r>
      <w:r w:rsidRPr="007222B3">
        <w:rPr>
          <w:rStyle w:val="aa"/>
        </w:rPr>
        <w:footnoteRef/>
      </w:r>
      <w:r w:rsidRPr="006C00AA">
        <w:rPr>
          <w:lang w:val="en-US"/>
        </w:rPr>
        <w:t xml:space="preserve"> </w:t>
      </w:r>
      <w:r w:rsidRPr="006C00AA">
        <w:rPr>
          <w:lang w:val="en-US"/>
        </w:rPr>
        <w:tab/>
        <w:t xml:space="preserve">ECE/MP.EIA/IC/2022/2, </w:t>
      </w:r>
      <w:r>
        <w:t>п</w:t>
      </w:r>
      <w:r w:rsidRPr="006C00AA">
        <w:rPr>
          <w:lang w:val="en-US"/>
        </w:rPr>
        <w:t xml:space="preserve">. </w:t>
      </w:r>
      <w:r w:rsidRPr="00F107D9">
        <w:rPr>
          <w:lang w:val="en-US"/>
        </w:rPr>
        <w:t>3.</w:t>
      </w:r>
    </w:p>
  </w:footnote>
  <w:footnote w:id="26">
    <w:p w14:paraId="44353B4B" w14:textId="79B69C89" w:rsidR="00292BA7" w:rsidRPr="00D46311" w:rsidRDefault="00292BA7" w:rsidP="00292BA7">
      <w:pPr>
        <w:pStyle w:val="ad"/>
      </w:pPr>
      <w:r w:rsidRPr="00F107D9">
        <w:rPr>
          <w:lang w:val="en-US"/>
        </w:rPr>
        <w:tab/>
      </w:r>
      <w:r w:rsidRPr="007222B3">
        <w:rPr>
          <w:rStyle w:val="aa"/>
        </w:rPr>
        <w:footnoteRef/>
      </w:r>
      <w:r>
        <w:tab/>
        <w:t xml:space="preserve">Последующая деятельность во исполнение решения VIII/4d о соблюдении Украиной ее обязательств по Конвенции в связи с проектом строительства глубоководного судоходного канала «Дунай — Черное море» в украинском секторе дельты реки Дуная (EIA/IC/S/1); последующая деятельность во исполнение решения VIII/4e о соблюдении Украиной ее обязательств по Конвенции в отношении продления срока эксплуатации энергоблоков № 1 </w:t>
      </w:r>
      <w:r w:rsidR="007222B3">
        <w:br/>
      </w:r>
      <w:r>
        <w:t xml:space="preserve">и № 2 Ровенской атомной электростанции (EIA/IC/CI/4); инициатива Комитета (EIA/IC/CI/7) относительно соблюдения Украиной своих обязательств по Конвенции в отношении строительства крупного туристического комплекса (горный массив Свидовец, Украина); процедуры сбора информации относительно планируемого строительства энергоблоков № 3 </w:t>
      </w:r>
      <w:r w:rsidR="007222B3">
        <w:br/>
      </w:r>
      <w:r>
        <w:t xml:space="preserve">и № 4 на Хмельницкой АЭС (EIA/IC/INFO/10), деятельность на Мужиевском золоторудном месторождении (EIA/IC/INFO/13), продление сроков эксплуатации Ровенской </w:t>
      </w:r>
      <w:r w:rsidR="007222B3">
        <w:br/>
      </w:r>
      <w:r>
        <w:t>(энергоблоки № 3 и № 4), Южно-Украинской, Запорожской и Хмельницкой атомных электростанций на Украине (EIA/IC/INFO/20).</w:t>
      </w:r>
    </w:p>
  </w:footnote>
  <w:footnote w:id="27">
    <w:p w14:paraId="493091B3" w14:textId="5E7F560E" w:rsidR="00292BA7" w:rsidRPr="00F1451B" w:rsidRDefault="00292BA7" w:rsidP="00292BA7">
      <w:pPr>
        <w:pStyle w:val="ad"/>
        <w:rPr>
          <w:lang w:val="en-US"/>
        </w:rPr>
      </w:pPr>
      <w:r w:rsidRPr="00D46311">
        <w:tab/>
      </w:r>
      <w:r w:rsidRPr="007222B3">
        <w:rPr>
          <w:rStyle w:val="aa"/>
        </w:rPr>
        <w:footnoteRef/>
      </w:r>
      <w:r w:rsidRPr="00F1451B">
        <w:rPr>
          <w:lang w:val="en-US"/>
        </w:rPr>
        <w:tab/>
      </w:r>
      <w:r>
        <w:t>См</w:t>
      </w:r>
      <w:r w:rsidRPr="00F1451B">
        <w:rPr>
          <w:lang w:val="en-US"/>
        </w:rPr>
        <w:t xml:space="preserve">. </w:t>
      </w:r>
      <w:r w:rsidR="00F1451B">
        <w:rPr>
          <w:lang w:val="en-US"/>
        </w:rPr>
        <w:t>URL</w:t>
      </w:r>
      <w:r w:rsidR="00F1451B" w:rsidRPr="00F1451B">
        <w:rPr>
          <w:lang w:val="en-US"/>
        </w:rPr>
        <w:t>:</w:t>
      </w:r>
      <w:r w:rsidR="00F1451B">
        <w:rPr>
          <w:lang w:val="en-US"/>
        </w:rPr>
        <w:t xml:space="preserve"> </w:t>
      </w:r>
      <w:hyperlink r:id="rId9" w:history="1">
        <w:r w:rsidRPr="00F1451B">
          <w:rPr>
            <w:rStyle w:val="af1"/>
            <w:lang w:val="en-US"/>
          </w:rPr>
          <w:t>https://unece.org/environmental-policy/environmental-assessment/eiaics1-ukraine</w:t>
        </w:r>
      </w:hyperlink>
      <w:r w:rsidRPr="00F1451B">
        <w:rPr>
          <w:lang w:val="en-US"/>
        </w:rPr>
        <w:t>.</w:t>
      </w:r>
    </w:p>
  </w:footnote>
  <w:footnote w:id="28">
    <w:p w14:paraId="6752579E" w14:textId="30790458" w:rsidR="00292BA7" w:rsidRPr="00F1451B" w:rsidRDefault="00292BA7" w:rsidP="00292BA7">
      <w:pPr>
        <w:pStyle w:val="ad"/>
        <w:rPr>
          <w:lang w:val="en-US"/>
        </w:rPr>
      </w:pPr>
      <w:r w:rsidRPr="00F1451B">
        <w:rPr>
          <w:lang w:val="en-US"/>
        </w:rPr>
        <w:tab/>
      </w:r>
      <w:r w:rsidRPr="007222B3">
        <w:rPr>
          <w:rStyle w:val="aa"/>
        </w:rPr>
        <w:footnoteRef/>
      </w:r>
      <w:r w:rsidRPr="00F1451B">
        <w:rPr>
          <w:lang w:val="en-US"/>
        </w:rPr>
        <w:tab/>
      </w:r>
      <w:r>
        <w:t>См</w:t>
      </w:r>
      <w:r w:rsidRPr="00F1451B">
        <w:rPr>
          <w:lang w:val="en-US"/>
        </w:rPr>
        <w:t xml:space="preserve">. </w:t>
      </w:r>
      <w:r w:rsidR="00F1451B">
        <w:rPr>
          <w:lang w:val="en-US"/>
        </w:rPr>
        <w:t>URL</w:t>
      </w:r>
      <w:r w:rsidR="00F1451B" w:rsidRPr="00F1451B">
        <w:rPr>
          <w:lang w:val="en-US"/>
        </w:rPr>
        <w:t>:</w:t>
      </w:r>
      <w:r w:rsidR="00F1451B">
        <w:rPr>
          <w:lang w:val="en-US"/>
        </w:rPr>
        <w:t xml:space="preserve"> </w:t>
      </w:r>
      <w:hyperlink r:id="rId10" w:history="1">
        <w:r w:rsidRPr="00F1451B">
          <w:rPr>
            <w:rStyle w:val="af1"/>
            <w:lang w:val="en-US"/>
          </w:rPr>
          <w:t>https://unece.org/environment-policyenvironmental-assessment/eiaicci4-ukraine</w:t>
        </w:r>
      </w:hyperlink>
      <w:r w:rsidRPr="00F1451B">
        <w:rPr>
          <w:lang w:val="en-US"/>
        </w:rPr>
        <w:t>.</w:t>
      </w:r>
    </w:p>
  </w:footnote>
  <w:footnote w:id="29">
    <w:p w14:paraId="5CF82F33" w14:textId="77777777" w:rsidR="00292BA7" w:rsidRPr="00725CD6" w:rsidRDefault="00292BA7" w:rsidP="00292BA7">
      <w:pPr>
        <w:pStyle w:val="ad"/>
      </w:pPr>
      <w:r w:rsidRPr="00F1451B">
        <w:rPr>
          <w:lang w:val="en-US"/>
        </w:rPr>
        <w:tab/>
      </w:r>
      <w:r w:rsidRPr="007222B3">
        <w:rPr>
          <w:rStyle w:val="aa"/>
        </w:rPr>
        <w:footnoteRef/>
      </w:r>
      <w:r w:rsidRPr="00725CD6">
        <w:tab/>
      </w:r>
      <w:r w:rsidRPr="00197020">
        <w:rPr>
          <w:lang w:val="en-US"/>
        </w:rPr>
        <w:t>ECE</w:t>
      </w:r>
      <w:r w:rsidRPr="00725CD6">
        <w:t>/</w:t>
      </w:r>
      <w:r w:rsidRPr="00197020">
        <w:rPr>
          <w:lang w:val="en-US"/>
        </w:rPr>
        <w:t>MP</w:t>
      </w:r>
      <w:r w:rsidRPr="00725CD6">
        <w:t>.</w:t>
      </w:r>
      <w:r w:rsidRPr="00197020">
        <w:rPr>
          <w:lang w:val="en-US"/>
        </w:rPr>
        <w:t>EIA</w:t>
      </w:r>
      <w:r w:rsidRPr="00725CD6">
        <w:t>/</w:t>
      </w:r>
      <w:r w:rsidRPr="00197020">
        <w:rPr>
          <w:lang w:val="en-US"/>
        </w:rPr>
        <w:t>IC</w:t>
      </w:r>
      <w:r w:rsidRPr="00725CD6">
        <w:t xml:space="preserve">/2012/6, </w:t>
      </w:r>
      <w:r>
        <w:t>п</w:t>
      </w:r>
      <w:r w:rsidRPr="00725CD6">
        <w:t xml:space="preserve">. 46, </w:t>
      </w:r>
      <w:r>
        <w:t>вывод одобрен решением</w:t>
      </w:r>
      <w:r w:rsidRPr="00725CD6">
        <w:t xml:space="preserve"> </w:t>
      </w:r>
      <w:r w:rsidRPr="00A30F6A">
        <w:t>VI</w:t>
      </w:r>
      <w:r w:rsidRPr="00725CD6">
        <w:t xml:space="preserve">/2. </w:t>
      </w:r>
    </w:p>
  </w:footnote>
  <w:footnote w:id="30">
    <w:p w14:paraId="38379976" w14:textId="79D6ACB1" w:rsidR="00292BA7" w:rsidRPr="00F1451B" w:rsidRDefault="00292BA7" w:rsidP="00292BA7">
      <w:pPr>
        <w:pStyle w:val="ad"/>
        <w:rPr>
          <w:lang w:val="en-US"/>
        </w:rPr>
      </w:pPr>
      <w:r w:rsidRPr="00725CD6">
        <w:tab/>
      </w:r>
      <w:r w:rsidRPr="007222B3">
        <w:rPr>
          <w:rStyle w:val="aa"/>
        </w:rPr>
        <w:footnoteRef/>
      </w:r>
      <w:r w:rsidRPr="00F1451B">
        <w:rPr>
          <w:lang w:val="en-US"/>
        </w:rPr>
        <w:tab/>
      </w:r>
      <w:r>
        <w:t>См</w:t>
      </w:r>
      <w:r w:rsidRPr="00F1451B">
        <w:rPr>
          <w:lang w:val="en-US"/>
        </w:rPr>
        <w:t xml:space="preserve">. </w:t>
      </w:r>
      <w:r w:rsidR="00F1451B">
        <w:rPr>
          <w:lang w:val="en-US"/>
        </w:rPr>
        <w:t>URL</w:t>
      </w:r>
      <w:r w:rsidR="00F1451B" w:rsidRPr="00F1451B">
        <w:rPr>
          <w:lang w:val="en-US"/>
        </w:rPr>
        <w:t>:</w:t>
      </w:r>
      <w:r w:rsidR="00F1451B">
        <w:rPr>
          <w:lang w:val="en-US"/>
        </w:rPr>
        <w:t xml:space="preserve"> </w:t>
      </w:r>
      <w:hyperlink r:id="rId11" w:history="1">
        <w:r w:rsidRPr="00F1451B">
          <w:rPr>
            <w:rStyle w:val="af1"/>
            <w:lang w:val="en-US"/>
          </w:rPr>
          <w:t>https://unece.org/environment-policy/environmental-assessment/eiaicci7</w:t>
        </w:r>
      </w:hyperlink>
      <w:r w:rsidRPr="00F1451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7EDD" w14:textId="45D33F99" w:rsidR="00E16E80" w:rsidRPr="00E16E80" w:rsidRDefault="00F30E19">
    <w:pPr>
      <w:pStyle w:val="a5"/>
    </w:pPr>
    <w:r>
      <w:fldChar w:fldCharType="begin"/>
    </w:r>
    <w:r>
      <w:instrText xml:space="preserve"> TITLE  \* MERGEFORMAT </w:instrText>
    </w:r>
    <w:r>
      <w:fldChar w:fldCharType="separate"/>
    </w:r>
    <w:r>
      <w:t>ECE/MP.EIA/IC/2023/4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8B72" w14:textId="0F594AAB" w:rsidR="00E16E80" w:rsidRPr="00E16E80" w:rsidRDefault="00F30E19" w:rsidP="00E16E80">
    <w:pPr>
      <w:pStyle w:val="a5"/>
      <w:jc w:val="right"/>
    </w:pPr>
    <w:r>
      <w:fldChar w:fldCharType="begin"/>
    </w:r>
    <w:r>
      <w:instrText xml:space="preserve"> TITLE  \* MERGEFORMAT </w:instrText>
    </w:r>
    <w:r>
      <w:fldChar w:fldCharType="separate"/>
    </w:r>
    <w:r>
      <w:t>ECE/MP.EIA/IC/2023/4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56733885">
    <w:abstractNumId w:val="24"/>
  </w:num>
  <w:num w:numId="2" w16cid:durableId="966817556">
    <w:abstractNumId w:val="18"/>
  </w:num>
  <w:num w:numId="3" w16cid:durableId="1816291531">
    <w:abstractNumId w:val="13"/>
  </w:num>
  <w:num w:numId="4" w16cid:durableId="1492480875">
    <w:abstractNumId w:val="25"/>
  </w:num>
  <w:num w:numId="5" w16cid:durableId="1298685170">
    <w:abstractNumId w:val="20"/>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23"/>
  </w:num>
  <w:num w:numId="17" w16cid:durableId="53941411">
    <w:abstractNumId w:val="19"/>
  </w:num>
  <w:num w:numId="18" w16cid:durableId="961153681">
    <w:abstractNumId w:val="21"/>
  </w:num>
  <w:num w:numId="19" w16cid:durableId="1272468768">
    <w:abstractNumId w:val="23"/>
  </w:num>
  <w:num w:numId="20" w16cid:durableId="807743971">
    <w:abstractNumId w:val="19"/>
  </w:num>
  <w:num w:numId="21" w16cid:durableId="1591162185">
    <w:abstractNumId w:val="21"/>
  </w:num>
  <w:num w:numId="22" w16cid:durableId="1534272750">
    <w:abstractNumId w:val="16"/>
  </w:num>
  <w:num w:numId="23" w16cid:durableId="127672580">
    <w:abstractNumId w:val="15"/>
  </w:num>
  <w:num w:numId="24" w16cid:durableId="1447770401">
    <w:abstractNumId w:val="10"/>
  </w:num>
  <w:num w:numId="25" w16cid:durableId="1990674785">
    <w:abstractNumId w:val="12"/>
  </w:num>
  <w:num w:numId="26" w16cid:durableId="1572929901">
    <w:abstractNumId w:val="17"/>
  </w:num>
  <w:num w:numId="27" w16cid:durableId="1658807147">
    <w:abstractNumId w:val="14"/>
  </w:num>
  <w:num w:numId="28" w16cid:durableId="1095129774">
    <w:abstractNumId w:val="22"/>
  </w:num>
  <w:num w:numId="29" w16cid:durableId="427776540">
    <w:abstractNumId w:val="26"/>
  </w:num>
  <w:num w:numId="30" w16cid:durableId="58434088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1C"/>
    <w:rsid w:val="00031247"/>
    <w:rsid w:val="00033EE1"/>
    <w:rsid w:val="00042B72"/>
    <w:rsid w:val="000558BD"/>
    <w:rsid w:val="00085F3A"/>
    <w:rsid w:val="00086469"/>
    <w:rsid w:val="0009386D"/>
    <w:rsid w:val="000B57E7"/>
    <w:rsid w:val="000B6373"/>
    <w:rsid w:val="000E4E5B"/>
    <w:rsid w:val="000F09DF"/>
    <w:rsid w:val="000F61B2"/>
    <w:rsid w:val="001075E9"/>
    <w:rsid w:val="0014152F"/>
    <w:rsid w:val="00180183"/>
    <w:rsid w:val="0018024D"/>
    <w:rsid w:val="0018649F"/>
    <w:rsid w:val="00196389"/>
    <w:rsid w:val="001B3EF6"/>
    <w:rsid w:val="001B7E8A"/>
    <w:rsid w:val="001C7A89"/>
    <w:rsid w:val="002275D5"/>
    <w:rsid w:val="00255343"/>
    <w:rsid w:val="0027151D"/>
    <w:rsid w:val="00292BA7"/>
    <w:rsid w:val="002A2EFC"/>
    <w:rsid w:val="002B0106"/>
    <w:rsid w:val="002B74B1"/>
    <w:rsid w:val="002C0E18"/>
    <w:rsid w:val="002D5AAC"/>
    <w:rsid w:val="002E5067"/>
    <w:rsid w:val="002F405F"/>
    <w:rsid w:val="002F5427"/>
    <w:rsid w:val="002F7EEC"/>
    <w:rsid w:val="00301299"/>
    <w:rsid w:val="00305C08"/>
    <w:rsid w:val="00307FB6"/>
    <w:rsid w:val="00317339"/>
    <w:rsid w:val="00322004"/>
    <w:rsid w:val="00326A9E"/>
    <w:rsid w:val="003402C2"/>
    <w:rsid w:val="00381C24"/>
    <w:rsid w:val="00387CD4"/>
    <w:rsid w:val="003958D0"/>
    <w:rsid w:val="003A0D43"/>
    <w:rsid w:val="003A48CE"/>
    <w:rsid w:val="003B00E5"/>
    <w:rsid w:val="003E0B46"/>
    <w:rsid w:val="00407B78"/>
    <w:rsid w:val="00414FB5"/>
    <w:rsid w:val="00424203"/>
    <w:rsid w:val="00452493"/>
    <w:rsid w:val="00453318"/>
    <w:rsid w:val="00454AF2"/>
    <w:rsid w:val="00454E07"/>
    <w:rsid w:val="0047010C"/>
    <w:rsid w:val="00472C5C"/>
    <w:rsid w:val="00476D1C"/>
    <w:rsid w:val="00485F8A"/>
    <w:rsid w:val="004E05B7"/>
    <w:rsid w:val="0050108D"/>
    <w:rsid w:val="00513081"/>
    <w:rsid w:val="00517901"/>
    <w:rsid w:val="00526683"/>
    <w:rsid w:val="00526DB8"/>
    <w:rsid w:val="005639C1"/>
    <w:rsid w:val="005709E0"/>
    <w:rsid w:val="00572E19"/>
    <w:rsid w:val="005837B1"/>
    <w:rsid w:val="005961C8"/>
    <w:rsid w:val="005966F1"/>
    <w:rsid w:val="005D7914"/>
    <w:rsid w:val="005E2B41"/>
    <w:rsid w:val="005F0B42"/>
    <w:rsid w:val="00617A43"/>
    <w:rsid w:val="006345DB"/>
    <w:rsid w:val="00640F49"/>
    <w:rsid w:val="00680D03"/>
    <w:rsid w:val="00681A10"/>
    <w:rsid w:val="006A1ED8"/>
    <w:rsid w:val="006C2031"/>
    <w:rsid w:val="006D461A"/>
    <w:rsid w:val="006E0069"/>
    <w:rsid w:val="006F35EE"/>
    <w:rsid w:val="007021FF"/>
    <w:rsid w:val="00712895"/>
    <w:rsid w:val="007222B3"/>
    <w:rsid w:val="00734ACB"/>
    <w:rsid w:val="00757357"/>
    <w:rsid w:val="007843EB"/>
    <w:rsid w:val="00792497"/>
    <w:rsid w:val="00806737"/>
    <w:rsid w:val="00825F8D"/>
    <w:rsid w:val="00834B71"/>
    <w:rsid w:val="0086445C"/>
    <w:rsid w:val="00894693"/>
    <w:rsid w:val="008A08D7"/>
    <w:rsid w:val="008A37C8"/>
    <w:rsid w:val="008B6909"/>
    <w:rsid w:val="008D53B6"/>
    <w:rsid w:val="008F7609"/>
    <w:rsid w:val="00906890"/>
    <w:rsid w:val="00911BE4"/>
    <w:rsid w:val="009303D1"/>
    <w:rsid w:val="00951972"/>
    <w:rsid w:val="009608F3"/>
    <w:rsid w:val="009A24AC"/>
    <w:rsid w:val="009C59D7"/>
    <w:rsid w:val="009C6FE6"/>
    <w:rsid w:val="009D7E7D"/>
    <w:rsid w:val="00A14DA8"/>
    <w:rsid w:val="00A312BC"/>
    <w:rsid w:val="00A42C3D"/>
    <w:rsid w:val="00A84021"/>
    <w:rsid w:val="00A84D35"/>
    <w:rsid w:val="00A917B3"/>
    <w:rsid w:val="00AB4B51"/>
    <w:rsid w:val="00B10CC7"/>
    <w:rsid w:val="00B36DF7"/>
    <w:rsid w:val="00B539E7"/>
    <w:rsid w:val="00B62458"/>
    <w:rsid w:val="00BC18B2"/>
    <w:rsid w:val="00BD33EE"/>
    <w:rsid w:val="00BE1CC7"/>
    <w:rsid w:val="00C106D6"/>
    <w:rsid w:val="00C119AE"/>
    <w:rsid w:val="00C556F4"/>
    <w:rsid w:val="00C60F0C"/>
    <w:rsid w:val="00C71E84"/>
    <w:rsid w:val="00C7708F"/>
    <w:rsid w:val="00C805C9"/>
    <w:rsid w:val="00C92939"/>
    <w:rsid w:val="00C95747"/>
    <w:rsid w:val="00CA1679"/>
    <w:rsid w:val="00CB151C"/>
    <w:rsid w:val="00CB3F9C"/>
    <w:rsid w:val="00CB4C2D"/>
    <w:rsid w:val="00CE5A1A"/>
    <w:rsid w:val="00CF55F6"/>
    <w:rsid w:val="00D33D63"/>
    <w:rsid w:val="00D51A9B"/>
    <w:rsid w:val="00D5253A"/>
    <w:rsid w:val="00D873A8"/>
    <w:rsid w:val="00D90028"/>
    <w:rsid w:val="00D90138"/>
    <w:rsid w:val="00D9145B"/>
    <w:rsid w:val="00DA06C3"/>
    <w:rsid w:val="00DD78D1"/>
    <w:rsid w:val="00DE32CD"/>
    <w:rsid w:val="00DF5767"/>
    <w:rsid w:val="00DF71B9"/>
    <w:rsid w:val="00E12C5F"/>
    <w:rsid w:val="00E16E80"/>
    <w:rsid w:val="00E60C5E"/>
    <w:rsid w:val="00E73F76"/>
    <w:rsid w:val="00EA2C9F"/>
    <w:rsid w:val="00EA420E"/>
    <w:rsid w:val="00ED0BDA"/>
    <w:rsid w:val="00EE142A"/>
    <w:rsid w:val="00EE481C"/>
    <w:rsid w:val="00EF1360"/>
    <w:rsid w:val="00EF3220"/>
    <w:rsid w:val="00F0568F"/>
    <w:rsid w:val="00F1451B"/>
    <w:rsid w:val="00F2523A"/>
    <w:rsid w:val="00F30E19"/>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1C13D"/>
  <w15:docId w15:val="{C691CFE7-C79A-4962-B90D-079D6CC2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qFormat/>
    <w:rsid w:val="009C6FE6"/>
    <w:pPr>
      <w:keepNext/>
      <w:outlineLvl w:val="1"/>
    </w:pPr>
    <w:rPr>
      <w:rFonts w:cs="Arial"/>
      <w:bCs/>
      <w:iCs/>
      <w:szCs w:val="28"/>
    </w:rPr>
  </w:style>
  <w:style w:type="paragraph" w:styleId="3">
    <w:name w:val="heading 3"/>
    <w:basedOn w:val="a"/>
    <w:next w:val="a"/>
    <w:semiHidden/>
    <w:qFormat/>
    <w:rsid w:val="009C6FE6"/>
    <w:pPr>
      <w:keepNext/>
      <w:spacing w:before="240" w:after="60"/>
      <w:outlineLvl w:val="2"/>
    </w:pPr>
    <w:rPr>
      <w:rFonts w:ascii="Arial" w:hAnsi="Arial" w:cs="Arial"/>
      <w:b/>
      <w:bCs/>
      <w:sz w:val="26"/>
      <w:szCs w:val="26"/>
    </w:rPr>
  </w:style>
  <w:style w:type="paragraph" w:styleId="4">
    <w:name w:val="heading 4"/>
    <w:basedOn w:val="a"/>
    <w:next w:val="a"/>
    <w:semiHidden/>
    <w:qFormat/>
    <w:rsid w:val="009C6FE6"/>
    <w:pPr>
      <w:keepNext/>
      <w:spacing w:before="240" w:after="60"/>
      <w:outlineLvl w:val="3"/>
    </w:pPr>
    <w:rPr>
      <w:b/>
      <w:bCs/>
      <w:sz w:val="28"/>
      <w:szCs w:val="28"/>
    </w:rPr>
  </w:style>
  <w:style w:type="paragraph" w:styleId="5">
    <w:name w:val="heading 5"/>
    <w:basedOn w:val="a"/>
    <w:next w:val="a"/>
    <w:semiHidden/>
    <w:qFormat/>
    <w:rsid w:val="009C6FE6"/>
    <w:pPr>
      <w:spacing w:before="240" w:after="60"/>
      <w:outlineLvl w:val="4"/>
    </w:pPr>
    <w:rPr>
      <w:b/>
      <w:bCs/>
      <w:i/>
      <w:iCs/>
      <w:sz w:val="26"/>
      <w:szCs w:val="26"/>
    </w:rPr>
  </w:style>
  <w:style w:type="paragraph" w:styleId="6">
    <w:name w:val="heading 6"/>
    <w:basedOn w:val="a"/>
    <w:next w:val="a"/>
    <w:semiHidden/>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semiHidden/>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ootnote Reference Superscript,BVI fnr,Footnote symbol,Footnote call,SUPERS,(Footnote Reference),Footnote,Voetnootverwijzing,Times 10 Point,Exposant 3 Point,Footnote reference number,note TESI,Footnotes refs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23GChar">
    <w:name w:val="_ H_2/3_G Char"/>
    <w:link w:val="H23G"/>
    <w:rsid w:val="00292BA7"/>
    <w:rPr>
      <w:b/>
      <w:lang w:val="ru-RU" w:eastAsia="ru-RU"/>
    </w:rPr>
  </w:style>
  <w:style w:type="paragraph" w:customStyle="1" w:styleId="ParNoG">
    <w:name w:val="_ParNo_G"/>
    <w:basedOn w:val="a"/>
    <w:qFormat/>
    <w:rsid w:val="00292BA7"/>
    <w:pPr>
      <w:numPr>
        <w:numId w:val="30"/>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character" w:styleId="af3">
    <w:name w:val="annotation reference"/>
    <w:basedOn w:val="a0"/>
    <w:semiHidden/>
    <w:unhideWhenUsed/>
    <w:rsid w:val="00292BA7"/>
    <w:rPr>
      <w:sz w:val="16"/>
      <w:szCs w:val="16"/>
    </w:rPr>
  </w:style>
  <w:style w:type="paragraph" w:styleId="af4">
    <w:name w:val="annotation text"/>
    <w:basedOn w:val="a"/>
    <w:link w:val="af5"/>
    <w:unhideWhenUsed/>
    <w:rsid w:val="00292BA7"/>
    <w:pPr>
      <w:suppressAutoHyphens w:val="0"/>
      <w:spacing w:line="240" w:lineRule="auto"/>
    </w:pPr>
    <w:rPr>
      <w:rFonts w:eastAsia="Times New Roman" w:cs="Times New Roman"/>
      <w:szCs w:val="20"/>
      <w:lang w:val="en-GB" w:eastAsia="fr-FR"/>
    </w:rPr>
  </w:style>
  <w:style w:type="character" w:customStyle="1" w:styleId="af5">
    <w:name w:val="Текст примечания Знак"/>
    <w:basedOn w:val="a0"/>
    <w:link w:val="af4"/>
    <w:rsid w:val="00292BA7"/>
    <w:rPr>
      <w:lang w:val="en-GB" w:eastAsia="fr-FR"/>
    </w:rPr>
  </w:style>
  <w:style w:type="paragraph" w:styleId="af6">
    <w:name w:val="annotation subject"/>
    <w:basedOn w:val="af4"/>
    <w:next w:val="af4"/>
    <w:link w:val="af7"/>
    <w:semiHidden/>
    <w:unhideWhenUsed/>
    <w:rsid w:val="00292BA7"/>
    <w:rPr>
      <w:b/>
      <w:bCs/>
    </w:rPr>
  </w:style>
  <w:style w:type="character" w:customStyle="1" w:styleId="af7">
    <w:name w:val="Тема примечания Знак"/>
    <w:basedOn w:val="af5"/>
    <w:link w:val="af6"/>
    <w:semiHidden/>
    <w:rsid w:val="00292BA7"/>
    <w:rPr>
      <w:b/>
      <w:bCs/>
      <w:lang w:val="en-GB" w:eastAsia="fr-FR"/>
    </w:rPr>
  </w:style>
  <w:style w:type="character" w:styleId="af8">
    <w:name w:val="Unresolved Mention"/>
    <w:basedOn w:val="a0"/>
    <w:uiPriority w:val="99"/>
    <w:semiHidden/>
    <w:unhideWhenUsed/>
    <w:rsid w:val="00292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ece.org/sites/default/files/2021-02/Implementation%20Committee%20structure%20functions%20procedures%20rules.e%202020.pdf" TargetMode="External"/><Relationship Id="rId3" Type="http://schemas.openxmlformats.org/officeDocument/2006/relationships/hyperlink" Target="https://unece.org/submissions-overview" TargetMode="External"/><Relationship Id="rId7" Type="http://schemas.openxmlformats.org/officeDocument/2006/relationships/hyperlink" Target="https://unece.org/information-other-sources-0" TargetMode="External"/><Relationship Id="rId2" Type="http://schemas.openxmlformats.org/officeDocument/2006/relationships/hyperlink" Target="https://unece.org/sites/default/files/2021-02/Implementation%20Committee%20structure%20functions%20procedures%20rules.e%202020.pdf" TargetMode="External"/><Relationship Id="rId1" Type="http://schemas.openxmlformats.org/officeDocument/2006/relationships/hyperlink" Target="https://unece.org/environment-policy/environmental-assessment/decisions-taken-meetings-parties" TargetMode="External"/><Relationship Id="rId6" Type="http://schemas.openxmlformats.org/officeDocument/2006/relationships/hyperlink" Target="https://unece.org/environment-policy/environmental-assessment/committee-initiative-overview" TargetMode="External"/><Relationship Id="rId11" Type="http://schemas.openxmlformats.org/officeDocument/2006/relationships/hyperlink" Target="https://unece.org/environment-policy/environmental-assessment/eiaicci7" TargetMode="External"/><Relationship Id="rId5" Type="http://schemas.openxmlformats.org/officeDocument/2006/relationships/hyperlink" Target="https://unece.org/environment-policy/environmental-assessment/eiaics8seaics1" TargetMode="External"/><Relationship Id="rId10" Type="http://schemas.openxmlformats.org/officeDocument/2006/relationships/hyperlink" Target="https://unece.org/environment-policyenvironmental-assessment/eiaicci4-ukraine" TargetMode="External"/><Relationship Id="rId4" Type="http://schemas.openxmlformats.org/officeDocument/2006/relationships/hyperlink" Target="https://unece.org/environment-policy/environmental-assessment/eiaics7-albania" TargetMode="External"/><Relationship Id="rId9" Type="http://schemas.openxmlformats.org/officeDocument/2006/relationships/hyperlink" Target="https://unece.org/environmental-policy/environmental-assessment/eiaics1-ukrain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E7A35-968E-4B19-907F-A70743A96331}">
  <ds:schemaRefs>
    <ds:schemaRef ds:uri="http://schemas.openxmlformats.org/officeDocument/2006/bibliography"/>
  </ds:schemaRefs>
</ds:datastoreItem>
</file>

<file path=customXml/itemProps2.xml><?xml version="1.0" encoding="utf-8"?>
<ds:datastoreItem xmlns:ds="http://schemas.openxmlformats.org/officeDocument/2006/customXml" ds:itemID="{3EB8CF1E-88F5-4AEB-A86C-367A60AED68E}"/>
</file>

<file path=customXml/itemProps3.xml><?xml version="1.0" encoding="utf-8"?>
<ds:datastoreItem xmlns:ds="http://schemas.openxmlformats.org/officeDocument/2006/customXml" ds:itemID="{992AE396-F919-43D1-AE31-DD6DAB0A5561}"/>
</file>

<file path=docProps/app.xml><?xml version="1.0" encoding="utf-8"?>
<Properties xmlns="http://schemas.openxmlformats.org/officeDocument/2006/extended-properties" xmlns:vt="http://schemas.openxmlformats.org/officeDocument/2006/docPropsVTypes">
  <Template>Normal.dotm</Template>
  <TotalTime>4</TotalTime>
  <Pages>16</Pages>
  <Words>5977</Words>
  <Characters>38636</Characters>
  <Application>Microsoft Office Word</Application>
  <DocSecurity>0</DocSecurity>
  <Lines>677</Lines>
  <Paragraphs>160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ECE/MP.EIA/IC/2023/4</vt:lpstr>
      <vt:lpstr>A/</vt:lpstr>
      <vt:lpstr>A/</vt:lpstr>
    </vt:vector>
  </TitlesOfParts>
  <Company>DCM</Company>
  <LinksUpToDate>false</LinksUpToDate>
  <CharactersWithSpaces>44583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ECE/MP.EIA/IC/2023/4</dc:title>
  <dc:subject/>
  <dc:creator>No author</dc:creator>
  <cp:keywords/>
  <cp:lastModifiedBy>Ioulia Goussarova</cp:lastModifiedBy>
  <cp:revision>3</cp:revision>
  <cp:lastPrinted>2023-10-24T16:11:00Z</cp:lastPrinted>
  <dcterms:created xsi:type="dcterms:W3CDTF">2023-10-24T16:11:00Z</dcterms:created>
  <dcterms:modified xsi:type="dcterms:W3CDTF">2023-10-24T16:12:00Z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