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1C8EB8F2" w14:textId="77777777" w:rsidTr="00DF5712">
        <w:trPr>
          <w:trHeight w:hRule="exact" w:val="851"/>
        </w:trPr>
        <w:tc>
          <w:tcPr>
            <w:tcW w:w="1276" w:type="dxa"/>
            <w:tcBorders>
              <w:bottom w:val="single" w:sz="4" w:space="0" w:color="auto"/>
            </w:tcBorders>
          </w:tcPr>
          <w:p w14:paraId="034D4B69" w14:textId="77777777" w:rsidR="00A14420" w:rsidRPr="00DB58B5" w:rsidRDefault="00A14420" w:rsidP="00A90AAA"/>
        </w:tc>
        <w:tc>
          <w:tcPr>
            <w:tcW w:w="2268" w:type="dxa"/>
            <w:tcBorders>
              <w:bottom w:val="single" w:sz="4" w:space="0" w:color="auto"/>
            </w:tcBorders>
            <w:vAlign w:val="bottom"/>
          </w:tcPr>
          <w:p w14:paraId="4752BCDB"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2402DD" w14:textId="07E46CC8" w:rsidR="00A14420" w:rsidRPr="00DB58B5" w:rsidRDefault="00A90AAA" w:rsidP="00A90AAA">
            <w:pPr>
              <w:jc w:val="right"/>
            </w:pPr>
            <w:r w:rsidRPr="00A90AAA">
              <w:rPr>
                <w:sz w:val="40"/>
              </w:rPr>
              <w:t>ECE</w:t>
            </w:r>
            <w:r>
              <w:t>/MP.EIA/2023/9</w:t>
            </w:r>
          </w:p>
        </w:tc>
      </w:tr>
      <w:tr w:rsidR="00A14420" w:rsidRPr="00DB58B5" w14:paraId="09AB2968" w14:textId="77777777" w:rsidTr="00DF5712">
        <w:trPr>
          <w:trHeight w:hRule="exact" w:val="2835"/>
        </w:trPr>
        <w:tc>
          <w:tcPr>
            <w:tcW w:w="1276" w:type="dxa"/>
            <w:tcBorders>
              <w:top w:val="single" w:sz="4" w:space="0" w:color="auto"/>
              <w:bottom w:val="single" w:sz="12" w:space="0" w:color="auto"/>
            </w:tcBorders>
          </w:tcPr>
          <w:p w14:paraId="2A59DB88" w14:textId="77777777" w:rsidR="00A14420" w:rsidRPr="00DB58B5" w:rsidRDefault="00A14420" w:rsidP="00DF5712">
            <w:pPr>
              <w:spacing w:before="120"/>
              <w:jc w:val="center"/>
            </w:pPr>
            <w:r>
              <w:rPr>
                <w:noProof/>
                <w:lang w:eastAsia="fr-CH"/>
              </w:rPr>
              <w:drawing>
                <wp:inline distT="0" distB="0" distL="0" distR="0" wp14:anchorId="192F2209" wp14:editId="40397A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47AC0C"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C3882C" w14:textId="77777777" w:rsidR="00A14420" w:rsidRDefault="00A90AAA" w:rsidP="00DF5712">
            <w:pPr>
              <w:spacing w:before="240"/>
            </w:pPr>
            <w:r>
              <w:t>Distr. générale</w:t>
            </w:r>
          </w:p>
          <w:p w14:paraId="3C547B1C" w14:textId="77777777" w:rsidR="00A90AAA" w:rsidRDefault="00A90AAA" w:rsidP="00A90AAA">
            <w:pPr>
              <w:spacing w:line="240" w:lineRule="exact"/>
            </w:pPr>
            <w:r>
              <w:t>3 octobre 2023</w:t>
            </w:r>
          </w:p>
          <w:p w14:paraId="641F56FB" w14:textId="77777777" w:rsidR="00A90AAA" w:rsidRDefault="00A90AAA" w:rsidP="00A90AAA">
            <w:pPr>
              <w:spacing w:line="240" w:lineRule="exact"/>
            </w:pPr>
            <w:r>
              <w:t>Français</w:t>
            </w:r>
          </w:p>
          <w:p w14:paraId="5CA038AD" w14:textId="6610D73A" w:rsidR="00A90AAA" w:rsidRPr="00DB58B5" w:rsidRDefault="00A90AAA" w:rsidP="00A90AAA">
            <w:pPr>
              <w:spacing w:line="240" w:lineRule="exact"/>
            </w:pPr>
            <w:r>
              <w:t>Original : anglais</w:t>
            </w:r>
          </w:p>
        </w:tc>
      </w:tr>
    </w:tbl>
    <w:p w14:paraId="0660251F" w14:textId="77777777" w:rsidR="00C554CE" w:rsidRDefault="00C554CE" w:rsidP="00C554CE">
      <w:pPr>
        <w:spacing w:before="120"/>
        <w:rPr>
          <w:b/>
          <w:sz w:val="28"/>
          <w:szCs w:val="28"/>
        </w:rPr>
      </w:pPr>
      <w:r w:rsidRPr="000312C0">
        <w:rPr>
          <w:b/>
          <w:sz w:val="28"/>
          <w:szCs w:val="28"/>
        </w:rPr>
        <w:t>Commission économique pour l’Europe</w:t>
      </w:r>
    </w:p>
    <w:p w14:paraId="452C55C1" w14:textId="548067B8" w:rsidR="00A90AAA" w:rsidRDefault="00A90AAA" w:rsidP="00A90AAA">
      <w:pPr>
        <w:spacing w:before="100" w:after="10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5D17D85B" w14:textId="76D40514" w:rsidR="00A90AAA" w:rsidRDefault="00A90AAA" w:rsidP="00A90AAA">
      <w:pPr>
        <w:spacing w:before="100" w:after="100"/>
        <w:rPr>
          <w:sz w:val="28"/>
          <w:szCs w:val="28"/>
          <w:lang w:val="fr-FR"/>
        </w:rPr>
      </w:pPr>
      <w:r>
        <w:rPr>
          <w:rFonts w:eastAsia="Times New Roman"/>
          <w:b/>
          <w:lang w:val="sv-SE"/>
        </w:rPr>
        <w:t>Neuvième session</w:t>
      </w:r>
    </w:p>
    <w:p w14:paraId="50E2B770" w14:textId="77777777" w:rsidR="00A90AAA" w:rsidRPr="00DC31CF" w:rsidRDefault="00A90AAA" w:rsidP="00A90AAA">
      <w:pPr>
        <w:spacing w:after="10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14:paraId="3A9BD96A" w14:textId="77777777" w:rsidR="00A90AAA" w:rsidRPr="007046DD" w:rsidRDefault="00A90AAA" w:rsidP="00A90AAA">
      <w:pPr>
        <w:kinsoku/>
        <w:overflowPunct/>
        <w:autoSpaceDE/>
        <w:autoSpaceDN/>
        <w:adjustRightInd/>
        <w:snapToGrid/>
        <w:spacing w:before="100"/>
        <w:rPr>
          <w:rFonts w:eastAsia="Times New Roman"/>
          <w:b/>
          <w:lang w:val="sv-SE"/>
        </w:rPr>
      </w:pPr>
      <w:r>
        <w:rPr>
          <w:rFonts w:eastAsia="Times New Roman"/>
          <w:b/>
          <w:lang w:val="sv-SE"/>
        </w:rPr>
        <w:t>Cinquième session</w:t>
      </w:r>
    </w:p>
    <w:p w14:paraId="07F078A0" w14:textId="77777777" w:rsidR="00A90AAA" w:rsidRPr="004573F6" w:rsidRDefault="00A90AAA" w:rsidP="00A90AAA">
      <w:pPr>
        <w:rPr>
          <w:lang w:val="fr-FR"/>
        </w:rPr>
      </w:pPr>
      <w:r w:rsidRPr="004573F6">
        <w:rPr>
          <w:lang w:val="fr-FR"/>
        </w:rPr>
        <w:t>Genève, 1</w:t>
      </w:r>
      <w:r>
        <w:rPr>
          <w:lang w:val="fr-FR"/>
        </w:rPr>
        <w:t>2</w:t>
      </w:r>
      <w:r w:rsidRPr="004573F6">
        <w:rPr>
          <w:lang w:val="fr-FR"/>
        </w:rPr>
        <w:t>-</w:t>
      </w:r>
      <w:r>
        <w:rPr>
          <w:lang w:val="fr-FR"/>
        </w:rPr>
        <w:t>15</w:t>
      </w:r>
      <w:r w:rsidRPr="004573F6">
        <w:rPr>
          <w:lang w:val="fr-FR"/>
        </w:rPr>
        <w:t xml:space="preserve"> décembre 202</w:t>
      </w:r>
      <w:r>
        <w:rPr>
          <w:lang w:val="fr-FR"/>
        </w:rPr>
        <w:t>3</w:t>
      </w:r>
    </w:p>
    <w:p w14:paraId="2F503FAF" w14:textId="6ADD8180" w:rsidR="00A90AAA" w:rsidRPr="004573F6" w:rsidRDefault="00A90AAA" w:rsidP="00A90AAA">
      <w:pPr>
        <w:rPr>
          <w:lang w:val="fr-FR"/>
        </w:rPr>
      </w:pPr>
      <w:r w:rsidRPr="004573F6">
        <w:rPr>
          <w:lang w:val="fr-FR"/>
        </w:rPr>
        <w:t>Point</w:t>
      </w:r>
      <w:r>
        <w:rPr>
          <w:lang w:val="fr-FR"/>
        </w:rPr>
        <w:t>s 3</w:t>
      </w:r>
      <w:r>
        <w:rPr>
          <w:lang w:val="fr-FR"/>
        </w:rPr>
        <w:t> </w:t>
      </w:r>
      <w:r>
        <w:rPr>
          <w:lang w:val="fr-FR"/>
        </w:rPr>
        <w:t>b) et 8</w:t>
      </w:r>
      <w:r>
        <w:rPr>
          <w:lang w:val="fr-FR"/>
        </w:rPr>
        <w:t> </w:t>
      </w:r>
      <w:r>
        <w:rPr>
          <w:lang w:val="fr-FR"/>
        </w:rPr>
        <w:t xml:space="preserve">b) </w:t>
      </w:r>
      <w:r w:rsidRPr="004573F6">
        <w:rPr>
          <w:lang w:val="fr-FR"/>
        </w:rPr>
        <w:t>de l</w:t>
      </w:r>
      <w:r>
        <w:rPr>
          <w:lang w:val="fr-FR"/>
        </w:rPr>
        <w:t>’</w:t>
      </w:r>
      <w:r w:rsidRPr="004573F6">
        <w:rPr>
          <w:lang w:val="fr-FR"/>
        </w:rPr>
        <w:t>ordre du jour provisoire</w:t>
      </w:r>
    </w:p>
    <w:p w14:paraId="34A7E0D6" w14:textId="77777777" w:rsidR="00A90AAA" w:rsidRPr="00EB2114" w:rsidRDefault="00A90AAA" w:rsidP="00A90AAA">
      <w:pPr>
        <w:spacing w:before="100"/>
        <w:rPr>
          <w:b/>
          <w:bCs/>
          <w:lang w:val="sv-SE"/>
        </w:rPr>
      </w:pPr>
      <w:r>
        <w:rPr>
          <w:b/>
          <w:bCs/>
          <w:lang w:val="sv-SE"/>
        </w:rPr>
        <w:t>Questions en suspens </w:t>
      </w:r>
      <w:r w:rsidRPr="00EB2114">
        <w:rPr>
          <w:b/>
          <w:bCs/>
          <w:lang w:val="sv-SE"/>
        </w:rPr>
        <w:t xml:space="preserve">: </w:t>
      </w:r>
      <w:r>
        <w:rPr>
          <w:b/>
          <w:bCs/>
          <w:lang w:val="sv-SE"/>
        </w:rPr>
        <w:t>projets de décision conjointe</w:t>
      </w:r>
    </w:p>
    <w:p w14:paraId="2769376D" w14:textId="77777777" w:rsidR="00A90AAA" w:rsidRDefault="00A90AAA" w:rsidP="00A90AAA">
      <w:pPr>
        <w:spacing w:before="120"/>
        <w:rPr>
          <w:b/>
          <w:bCs/>
          <w:lang w:val="sv-SE"/>
        </w:rPr>
      </w:pPr>
      <w:r>
        <w:rPr>
          <w:b/>
          <w:bCs/>
          <w:lang w:val="sv-SE"/>
        </w:rPr>
        <w:t>Adoption des décisions </w:t>
      </w:r>
      <w:r w:rsidRPr="00EB2114">
        <w:rPr>
          <w:b/>
          <w:bCs/>
          <w:lang w:val="sv-SE"/>
        </w:rPr>
        <w:t xml:space="preserve">: </w:t>
      </w:r>
      <w:r>
        <w:rPr>
          <w:b/>
          <w:bCs/>
          <w:lang w:val="sv-SE"/>
        </w:rPr>
        <w:t>d</w:t>
      </w:r>
      <w:r w:rsidRPr="00FD77E9">
        <w:rPr>
          <w:b/>
          <w:bCs/>
          <w:lang w:val="sv-SE"/>
        </w:rPr>
        <w:t>écisions à adopter par la Réunion des Parties à la Convention</w:t>
      </w:r>
    </w:p>
    <w:p w14:paraId="0A802798" w14:textId="33215BAD" w:rsidR="00A90AAA" w:rsidRPr="004573F6" w:rsidRDefault="00A90AAA" w:rsidP="00CE06A8">
      <w:pPr>
        <w:pStyle w:val="HChG"/>
        <w:spacing w:before="280" w:after="200"/>
        <w:rPr>
          <w:lang w:val="fr-FR"/>
        </w:rPr>
      </w:pPr>
      <w:r w:rsidRPr="00FD77E9">
        <w:rPr>
          <w:lang w:val="fr-FR"/>
        </w:rPr>
        <w:tab/>
      </w:r>
      <w:r w:rsidRPr="00FD77E9">
        <w:rPr>
          <w:lang w:val="fr-FR"/>
        </w:rPr>
        <w:tab/>
      </w:r>
      <w:r>
        <w:rPr>
          <w:lang w:val="fr-FR"/>
        </w:rPr>
        <w:t>Rapport sur le</w:t>
      </w:r>
      <w:r w:rsidRPr="004573F6">
        <w:rPr>
          <w:lang w:val="fr-FR"/>
        </w:rPr>
        <w:t xml:space="preserve"> septième examen de l</w:t>
      </w:r>
      <w:r>
        <w:rPr>
          <w:lang w:val="fr-FR"/>
        </w:rPr>
        <w:t>’</w:t>
      </w:r>
      <w:r w:rsidRPr="004573F6">
        <w:rPr>
          <w:lang w:val="fr-FR"/>
        </w:rPr>
        <w:t xml:space="preserve">application </w:t>
      </w:r>
      <w:r w:rsidR="00F23C47">
        <w:rPr>
          <w:lang w:val="fr-FR"/>
        </w:rPr>
        <w:br/>
      </w:r>
      <w:r w:rsidRPr="004573F6">
        <w:rPr>
          <w:lang w:val="fr-FR"/>
        </w:rPr>
        <w:t>de la Convention sur l</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 dans</w:t>
      </w:r>
      <w:r>
        <w:rPr>
          <w:lang w:val="fr-FR"/>
        </w:rPr>
        <w:t xml:space="preserve"> </w:t>
      </w:r>
      <w:r w:rsidRPr="004573F6">
        <w:rPr>
          <w:lang w:val="fr-FR"/>
        </w:rPr>
        <w:t>un contexte transfrontière</w:t>
      </w:r>
    </w:p>
    <w:p w14:paraId="717BA145" w14:textId="77777777" w:rsidR="00A90AAA" w:rsidRDefault="00A90AAA" w:rsidP="00CE06A8">
      <w:pPr>
        <w:pStyle w:val="H1G"/>
        <w:spacing w:before="280" w:after="200"/>
        <w:rPr>
          <w:lang w:val="fr-FR"/>
        </w:rPr>
      </w:pPr>
      <w:r w:rsidRPr="004573F6">
        <w:rPr>
          <w:lang w:val="fr-FR"/>
        </w:rPr>
        <w:tab/>
      </w:r>
      <w:r w:rsidRPr="004573F6">
        <w:rPr>
          <w:lang w:val="fr-FR"/>
        </w:rPr>
        <w:tab/>
        <w:t xml:space="preserve">Note du </w:t>
      </w:r>
      <w:r w:rsidRPr="00054414">
        <w:rPr>
          <w:lang w:val="fr-FR"/>
        </w:rPr>
        <w:t>Groupe de travail de l</w:t>
      </w:r>
      <w:r>
        <w:rPr>
          <w:lang w:val="fr-FR"/>
        </w:rPr>
        <w:t>’</w:t>
      </w:r>
      <w:r w:rsidRPr="00054414">
        <w:rPr>
          <w:lang w:val="fr-FR"/>
        </w:rPr>
        <w:t>évaluation de l</w:t>
      </w:r>
      <w:r>
        <w:rPr>
          <w:lang w:val="fr-FR"/>
        </w:rPr>
        <w:t>’</w:t>
      </w:r>
      <w:r w:rsidRPr="00054414">
        <w:rPr>
          <w:lang w:val="fr-FR"/>
        </w:rPr>
        <w:t>impact sur l</w:t>
      </w:r>
      <w:r>
        <w:rPr>
          <w:lang w:val="fr-FR"/>
        </w:rPr>
        <w:t>’</w:t>
      </w:r>
      <w:r w:rsidRPr="00054414">
        <w:rPr>
          <w:lang w:val="fr-FR"/>
        </w:rPr>
        <w:t>environnement et de l</w:t>
      </w:r>
      <w:r>
        <w:rPr>
          <w:lang w:val="fr-FR"/>
        </w:rPr>
        <w:t>’</w:t>
      </w:r>
      <w:r w:rsidRPr="00054414">
        <w:rPr>
          <w:lang w:val="fr-FR"/>
        </w:rPr>
        <w:t>évaluation stratégique environnementale</w:t>
      </w:r>
      <w:r w:rsidRPr="00054414" w:rsidDel="00054414">
        <w:rPr>
          <w:lang w:val="fr-FR"/>
        </w:rPr>
        <w:t xml:space="preserve"> </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A90AAA" w14:paraId="191AFDDF" w14:textId="77777777" w:rsidTr="00A90AAA">
        <w:trPr>
          <w:jc w:val="center"/>
        </w:trPr>
        <w:tc>
          <w:tcPr>
            <w:tcW w:w="9628" w:type="dxa"/>
            <w:shd w:val="clear" w:color="auto" w:fill="auto"/>
          </w:tcPr>
          <w:p w14:paraId="514682F6" w14:textId="77777777" w:rsidR="00A90AAA" w:rsidRDefault="00A90AAA" w:rsidP="00CE06A8">
            <w:pPr>
              <w:spacing w:before="200" w:after="100" w:line="220" w:lineRule="atLeast"/>
              <w:ind w:left="255"/>
              <w:rPr>
                <w:i/>
                <w:sz w:val="24"/>
              </w:rPr>
            </w:pPr>
            <w:r>
              <w:rPr>
                <w:i/>
                <w:sz w:val="24"/>
              </w:rPr>
              <w:t>Résumé</w:t>
            </w:r>
          </w:p>
        </w:tc>
      </w:tr>
      <w:tr w:rsidR="00A90AAA" w14:paraId="3C16F802" w14:textId="77777777" w:rsidTr="00A90AAA">
        <w:trPr>
          <w:jc w:val="center"/>
        </w:trPr>
        <w:tc>
          <w:tcPr>
            <w:tcW w:w="9628" w:type="dxa"/>
            <w:tcBorders>
              <w:bottom w:val="nil"/>
            </w:tcBorders>
            <w:shd w:val="clear" w:color="auto" w:fill="auto"/>
          </w:tcPr>
          <w:p w14:paraId="3B8A1A12" w14:textId="6A557B69" w:rsidR="00A90AAA" w:rsidRPr="00A90AAA" w:rsidRDefault="00A90AAA" w:rsidP="00CE06A8">
            <w:pPr>
              <w:pStyle w:val="SingleTxtG"/>
              <w:spacing w:after="100" w:line="230" w:lineRule="atLeast"/>
              <w:ind w:firstLine="567"/>
              <w:rPr>
                <w:spacing w:val="-2"/>
              </w:rPr>
            </w:pPr>
            <w:r w:rsidRPr="00A90AAA">
              <w:rPr>
                <w:spacing w:val="-2"/>
                <w:lang w:val="fr-FR"/>
              </w:rPr>
              <w:t>La Réunion des Parties à la Convention sur l’évaluation de l’impact sur l’environnement dans un contexte transfrontière a décidé qu’un rapport sur le septième examen de l’application de la Convention pendant la période</w:t>
            </w:r>
            <w:r w:rsidRPr="00A90AAA">
              <w:rPr>
                <w:spacing w:val="-2"/>
                <w:lang w:val="fr-FR"/>
              </w:rPr>
              <w:t> </w:t>
            </w:r>
            <w:r w:rsidRPr="00A90AAA">
              <w:rPr>
                <w:spacing w:val="-2"/>
                <w:lang w:val="fr-FR"/>
              </w:rPr>
              <w:t>2019-2021, établi sur la base des rapports soumis par les Parties, serait présenté à sa neuvième session (Genève, 12-15 décembre 2023) (ECE/MP.EIA/30/Add.1-ECE/MP.EIA/SEA/13/Add.1, décision VIII/2-IV/2).</w:t>
            </w:r>
          </w:p>
        </w:tc>
      </w:tr>
      <w:tr w:rsidR="00A90AAA" w14:paraId="0778D5CB" w14:textId="77777777" w:rsidTr="00A90AAA">
        <w:trPr>
          <w:jc w:val="center"/>
        </w:trPr>
        <w:tc>
          <w:tcPr>
            <w:tcW w:w="9628" w:type="dxa"/>
            <w:tcBorders>
              <w:top w:val="nil"/>
              <w:bottom w:val="nil"/>
            </w:tcBorders>
            <w:shd w:val="clear" w:color="auto" w:fill="auto"/>
          </w:tcPr>
          <w:p w14:paraId="2B4B6BF1" w14:textId="6608A547" w:rsidR="00A90AAA" w:rsidRPr="00A90AAA" w:rsidRDefault="00A90AAA" w:rsidP="00CE06A8">
            <w:pPr>
              <w:pStyle w:val="SingleTxtG"/>
              <w:spacing w:after="100" w:line="230" w:lineRule="atLeast"/>
              <w:ind w:firstLine="567"/>
              <w:rPr>
                <w:lang w:val="fr-FR"/>
              </w:rPr>
            </w:pPr>
            <w:r w:rsidRPr="00A90AAA">
              <w:rPr>
                <w:lang w:val="fr-FR"/>
              </w:rPr>
              <w:t>On trouvera dans la présente note le rapport sur le septième examen, élaboré sur la base des rapports nationaux reçus à la date du 30 juin 2022. Ce rapport a été établi sous sa forme définitive compte tenu des observations formulées pendant et après la onzième réunion du Groupe de travail de l’évaluation de l’impact sur l’environnement et de l’évaluation stratégique environnementale (Genève, 19-21 décembre 2022), ainsi que des ajustements dont le Groupe de travail est convenu à sa douzième réunion (Genève, 13-15 juin 2023)</w:t>
            </w:r>
            <w:r>
              <w:rPr>
                <w:lang w:val="fr-FR"/>
              </w:rPr>
              <w:t>.</w:t>
            </w:r>
          </w:p>
        </w:tc>
      </w:tr>
      <w:tr w:rsidR="00A90AAA" w14:paraId="072821CA" w14:textId="77777777" w:rsidTr="00A90AAA">
        <w:trPr>
          <w:jc w:val="center"/>
        </w:trPr>
        <w:tc>
          <w:tcPr>
            <w:tcW w:w="9628" w:type="dxa"/>
            <w:tcBorders>
              <w:top w:val="nil"/>
            </w:tcBorders>
            <w:shd w:val="clear" w:color="auto" w:fill="auto"/>
          </w:tcPr>
          <w:p w14:paraId="09290EC4" w14:textId="032A076C" w:rsidR="00A90AAA" w:rsidRPr="00A90AAA" w:rsidRDefault="00A90AAA" w:rsidP="005B3383">
            <w:pPr>
              <w:pStyle w:val="SingleTxtG"/>
              <w:spacing w:after="0" w:line="230" w:lineRule="atLeast"/>
              <w:ind w:firstLine="567"/>
              <w:rPr>
                <w:lang w:val="fr-FR"/>
              </w:rPr>
            </w:pPr>
            <w:r w:rsidRPr="00A90AAA">
              <w:rPr>
                <w:lang w:val="fr-FR"/>
              </w:rPr>
              <w:lastRenderedPageBreak/>
              <w:t>La Réunion des Parties est invitée à envisager d’adopter le rapport sur le septième examen de l’application de la Convention par sa décision IX/5.</w:t>
            </w:r>
          </w:p>
        </w:tc>
      </w:tr>
      <w:tr w:rsidR="00A90AAA" w14:paraId="0FADBB55" w14:textId="77777777" w:rsidTr="00A90AAA">
        <w:trPr>
          <w:jc w:val="center"/>
        </w:trPr>
        <w:tc>
          <w:tcPr>
            <w:tcW w:w="9628" w:type="dxa"/>
            <w:shd w:val="clear" w:color="auto" w:fill="auto"/>
          </w:tcPr>
          <w:p w14:paraId="58354BE7" w14:textId="77777777" w:rsidR="00A90AAA" w:rsidRDefault="00A90AAA" w:rsidP="00CE06A8">
            <w:pPr>
              <w:spacing w:line="220" w:lineRule="atLeast"/>
            </w:pPr>
          </w:p>
        </w:tc>
      </w:tr>
    </w:tbl>
    <w:p w14:paraId="1A032BDE" w14:textId="77777777" w:rsidR="00A90AAA" w:rsidRPr="004573F6" w:rsidRDefault="00A90AAA" w:rsidP="00CE06A8">
      <w:pPr>
        <w:pStyle w:val="HChG"/>
        <w:rPr>
          <w:rFonts w:eastAsia="DengXian Light"/>
          <w:lang w:val="fr-FR"/>
        </w:rPr>
      </w:pPr>
      <w:bookmarkStart w:id="0" w:name="_Toc13428231"/>
      <w:r>
        <w:rPr>
          <w:lang w:val="fr-FR"/>
        </w:rPr>
        <w:tab/>
      </w:r>
      <w:r w:rsidRPr="004573F6">
        <w:rPr>
          <w:lang w:val="fr-FR"/>
        </w:rPr>
        <w:t>I.</w:t>
      </w:r>
      <w:r w:rsidRPr="004573F6">
        <w:rPr>
          <w:lang w:val="fr-FR"/>
        </w:rPr>
        <w:tab/>
        <w:t>Introduction</w:t>
      </w:r>
      <w:bookmarkEnd w:id="0"/>
    </w:p>
    <w:p w14:paraId="06B6A870" w14:textId="144B3EEF" w:rsidR="00A90AAA" w:rsidRPr="004573F6" w:rsidRDefault="00A90AAA" w:rsidP="00A90AAA">
      <w:pPr>
        <w:pStyle w:val="SingleTxtG"/>
        <w:rPr>
          <w:lang w:val="fr-FR"/>
        </w:rPr>
      </w:pPr>
      <w:r w:rsidRPr="004573F6">
        <w:rPr>
          <w:lang w:val="fr-FR"/>
        </w:rPr>
        <w:t>1.</w:t>
      </w:r>
      <w:r w:rsidRPr="004573F6">
        <w:rPr>
          <w:lang w:val="fr-FR"/>
        </w:rPr>
        <w:tab/>
        <w:t>On trouvera dans le présent document le rapport sur le septième examen de l</w:t>
      </w:r>
      <w:r>
        <w:rPr>
          <w:lang w:val="fr-FR"/>
        </w:rPr>
        <w:t>’</w:t>
      </w:r>
      <w:r w:rsidRPr="004573F6">
        <w:rPr>
          <w:lang w:val="fr-FR"/>
        </w:rPr>
        <w:t>application de la Convention sur l</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 dans un contexte transfrontière. Cet examen a été mené à partir des réponses fournies dans un questionnaire sur l</w:t>
      </w:r>
      <w:r>
        <w:rPr>
          <w:lang w:val="fr-FR"/>
        </w:rPr>
        <w:t>’</w:t>
      </w:r>
      <w:r w:rsidRPr="004573F6">
        <w:rPr>
          <w:lang w:val="fr-FR"/>
        </w:rPr>
        <w:t>expérience pratique des Parties quant à l</w:t>
      </w:r>
      <w:r>
        <w:rPr>
          <w:lang w:val="fr-FR"/>
        </w:rPr>
        <w:t>’</w:t>
      </w:r>
      <w:r w:rsidRPr="004573F6">
        <w:rPr>
          <w:lang w:val="fr-FR"/>
        </w:rPr>
        <w:t>application de la Convention au cours de la période</w:t>
      </w:r>
      <w:r>
        <w:rPr>
          <w:lang w:val="fr-FR"/>
        </w:rPr>
        <w:t> </w:t>
      </w:r>
      <w:r w:rsidRPr="004573F6">
        <w:rPr>
          <w:lang w:val="fr-FR"/>
        </w:rPr>
        <w:t>2019-2021.</w:t>
      </w:r>
    </w:p>
    <w:p w14:paraId="28687A6D" w14:textId="1D74A8FD" w:rsidR="00A90AAA" w:rsidRPr="004573F6" w:rsidRDefault="00A90AAA" w:rsidP="00A90AAA">
      <w:pPr>
        <w:pStyle w:val="SingleTxtG"/>
        <w:rPr>
          <w:lang w:val="fr-FR"/>
        </w:rPr>
      </w:pPr>
      <w:r w:rsidRPr="004573F6">
        <w:rPr>
          <w:lang w:val="fr-FR"/>
        </w:rPr>
        <w:t>2.</w:t>
      </w:r>
      <w:r w:rsidRPr="004573F6">
        <w:rPr>
          <w:lang w:val="fr-FR"/>
        </w:rPr>
        <w:tab/>
        <w:t>La méthode appliquée pour mener ce septième examen est décrite dans la section</w:t>
      </w:r>
      <w:r>
        <w:rPr>
          <w:lang w:val="fr-FR"/>
        </w:rPr>
        <w:t> </w:t>
      </w:r>
      <w:r w:rsidRPr="004573F6">
        <w:rPr>
          <w:lang w:val="fr-FR"/>
        </w:rPr>
        <w:t>II ci-dessous. La section</w:t>
      </w:r>
      <w:r>
        <w:rPr>
          <w:lang w:val="fr-FR"/>
        </w:rPr>
        <w:t> </w:t>
      </w:r>
      <w:r w:rsidRPr="004573F6">
        <w:rPr>
          <w:lang w:val="fr-FR"/>
        </w:rPr>
        <w:t>III est un tour d</w:t>
      </w:r>
      <w:r>
        <w:rPr>
          <w:lang w:val="fr-FR"/>
        </w:rPr>
        <w:t>’</w:t>
      </w:r>
      <w:r w:rsidRPr="004573F6">
        <w:rPr>
          <w:lang w:val="fr-FR"/>
        </w:rPr>
        <w:t>horizon de certains aspects des cadres juridiques et administratifs mis en place par les Parties pour appliquer la Convention. La section</w:t>
      </w:r>
      <w:r>
        <w:rPr>
          <w:lang w:val="fr-FR"/>
        </w:rPr>
        <w:t> </w:t>
      </w:r>
      <w:r w:rsidRPr="004573F6">
        <w:rPr>
          <w:lang w:val="fr-FR"/>
        </w:rPr>
        <w:t>IV donne un aperçu de l</w:t>
      </w:r>
      <w:r>
        <w:rPr>
          <w:lang w:val="fr-FR"/>
        </w:rPr>
        <w:t>’</w:t>
      </w:r>
      <w:r w:rsidRPr="004573F6">
        <w:rPr>
          <w:lang w:val="fr-FR"/>
        </w:rPr>
        <w:t>application concrète de la Convention par les Parties au cours de la période considérée et des données d</w:t>
      </w:r>
      <w:r>
        <w:rPr>
          <w:lang w:val="fr-FR"/>
        </w:rPr>
        <w:t>’</w:t>
      </w:r>
      <w:r w:rsidRPr="004573F6">
        <w:rPr>
          <w:lang w:val="fr-FR"/>
        </w:rPr>
        <w:t>expérience qui en ont résulté</w:t>
      </w:r>
      <w:r>
        <w:rPr>
          <w:lang w:val="fr-FR"/>
        </w:rPr>
        <w:t>.</w:t>
      </w:r>
      <w:r w:rsidRPr="004573F6">
        <w:rPr>
          <w:lang w:val="fr-FR"/>
        </w:rPr>
        <w:t xml:space="preserve"> </w:t>
      </w:r>
      <w:r>
        <w:rPr>
          <w:lang w:val="fr-FR"/>
        </w:rPr>
        <w:t>L</w:t>
      </w:r>
      <w:r w:rsidRPr="004573F6">
        <w:rPr>
          <w:lang w:val="fr-FR"/>
        </w:rPr>
        <w:t>a section</w:t>
      </w:r>
      <w:r>
        <w:rPr>
          <w:lang w:val="fr-FR"/>
        </w:rPr>
        <w:t> </w:t>
      </w:r>
      <w:r w:rsidRPr="004573F6">
        <w:rPr>
          <w:lang w:val="fr-FR"/>
        </w:rPr>
        <w:t>V résum</w:t>
      </w:r>
      <w:r>
        <w:rPr>
          <w:lang w:val="fr-FR"/>
        </w:rPr>
        <w:t>e</w:t>
      </w:r>
      <w:r w:rsidRPr="004573F6">
        <w:rPr>
          <w:lang w:val="fr-FR"/>
        </w:rPr>
        <w:t xml:space="preserve"> </w:t>
      </w:r>
      <w:r>
        <w:rPr>
          <w:lang w:val="fr-FR"/>
        </w:rPr>
        <w:t>l</w:t>
      </w:r>
      <w:r w:rsidRPr="004573F6">
        <w:rPr>
          <w:lang w:val="fr-FR"/>
        </w:rPr>
        <w:t>es principales conclusions du septième examen.</w:t>
      </w:r>
    </w:p>
    <w:p w14:paraId="4B2D61BE" w14:textId="19CE28BB" w:rsidR="00A90AAA" w:rsidRPr="004573F6" w:rsidRDefault="00A90AAA" w:rsidP="00A90AAA">
      <w:pPr>
        <w:pStyle w:val="SingleTxtG"/>
        <w:rPr>
          <w:rFonts w:ascii="Times" w:eastAsia="DengXian Light" w:hAnsi="Times"/>
          <w:color w:val="000000"/>
          <w:lang w:val="fr-FR"/>
        </w:rPr>
      </w:pPr>
      <w:r w:rsidRPr="004573F6">
        <w:rPr>
          <w:lang w:val="fr-FR"/>
        </w:rPr>
        <w:t>3.</w:t>
      </w:r>
      <w:r w:rsidRPr="004573F6">
        <w:rPr>
          <w:lang w:val="fr-FR"/>
        </w:rPr>
        <w:tab/>
        <w:t xml:space="preserve">La </w:t>
      </w:r>
      <w:r>
        <w:rPr>
          <w:lang w:val="fr-FR"/>
        </w:rPr>
        <w:t>longueur</w:t>
      </w:r>
      <w:r w:rsidRPr="004573F6">
        <w:rPr>
          <w:lang w:val="fr-FR"/>
        </w:rPr>
        <w:t xml:space="preserve"> du présent rapport étant limitée, les listes de procédures transfrontières fournies par </w:t>
      </w:r>
      <w:r>
        <w:rPr>
          <w:lang w:val="fr-FR"/>
        </w:rPr>
        <w:t>les</w:t>
      </w:r>
      <w:r w:rsidRPr="004573F6">
        <w:rPr>
          <w:lang w:val="fr-FR"/>
        </w:rPr>
        <w:t xml:space="preserve"> Parties</w:t>
      </w:r>
      <w:r>
        <w:rPr>
          <w:lang w:val="fr-FR"/>
        </w:rPr>
        <w:t xml:space="preserve"> pour la période</w:t>
      </w:r>
      <w:r>
        <w:rPr>
          <w:lang w:val="fr-FR"/>
        </w:rPr>
        <w:t> </w:t>
      </w:r>
      <w:r>
        <w:rPr>
          <w:lang w:val="fr-FR"/>
        </w:rPr>
        <w:t>2019-2021</w:t>
      </w:r>
      <w:r w:rsidRPr="004573F6">
        <w:rPr>
          <w:lang w:val="fr-FR"/>
        </w:rPr>
        <w:t>, ainsi que d</w:t>
      </w:r>
      <w:r>
        <w:rPr>
          <w:lang w:val="fr-FR"/>
        </w:rPr>
        <w:t>’</w:t>
      </w:r>
      <w:r w:rsidRPr="004573F6">
        <w:rPr>
          <w:lang w:val="fr-FR"/>
        </w:rPr>
        <w:t>autres données complémentaires, seront mises en ligne sur le site Web de la Convention</w:t>
      </w:r>
      <w:r w:rsidRPr="00A90AAA">
        <w:rPr>
          <w:rStyle w:val="Appelnotedebasdep"/>
        </w:rPr>
        <w:footnoteReference w:id="2"/>
      </w:r>
      <w:r w:rsidRPr="004573F6">
        <w:rPr>
          <w:lang w:val="fr-FR"/>
        </w:rPr>
        <w:t>.</w:t>
      </w:r>
      <w:bookmarkStart w:id="1" w:name="_Toc13428232"/>
    </w:p>
    <w:p w14:paraId="270B8E11" w14:textId="77777777" w:rsidR="00A90AAA" w:rsidRPr="004573F6" w:rsidRDefault="00A90AAA" w:rsidP="00CE06A8">
      <w:pPr>
        <w:pStyle w:val="HChG"/>
        <w:rPr>
          <w:rFonts w:eastAsia="DengXian Light"/>
          <w:lang w:val="fr-FR"/>
        </w:rPr>
      </w:pPr>
      <w:r w:rsidRPr="004573F6">
        <w:rPr>
          <w:lang w:val="fr-FR"/>
        </w:rPr>
        <w:tab/>
      </w:r>
      <w:r w:rsidRPr="00B17CCA">
        <w:rPr>
          <w:lang w:val="fr-FR"/>
        </w:rPr>
        <w:t>II.</w:t>
      </w:r>
      <w:r w:rsidRPr="00B17CCA">
        <w:rPr>
          <w:lang w:val="fr-FR"/>
        </w:rPr>
        <w:tab/>
        <w:t>Méthode</w:t>
      </w:r>
      <w:bookmarkEnd w:id="1"/>
    </w:p>
    <w:p w14:paraId="0155E611" w14:textId="77777777" w:rsidR="00A90AAA" w:rsidRPr="004573F6" w:rsidRDefault="00A90AAA" w:rsidP="00A90AAA">
      <w:pPr>
        <w:pStyle w:val="SingleTxtG"/>
        <w:rPr>
          <w:lang w:val="fr-FR"/>
        </w:rPr>
      </w:pPr>
      <w:r w:rsidRPr="004573F6">
        <w:rPr>
          <w:lang w:val="fr-FR"/>
        </w:rPr>
        <w:t>4.</w:t>
      </w:r>
      <w:r w:rsidRPr="004573F6">
        <w:rPr>
          <w:lang w:val="fr-FR"/>
        </w:rPr>
        <w:tab/>
        <w:t xml:space="preserve">Le </w:t>
      </w:r>
      <w:r>
        <w:rPr>
          <w:lang w:val="fr-FR"/>
        </w:rPr>
        <w:t>présent</w:t>
      </w:r>
      <w:r w:rsidRPr="004573F6">
        <w:rPr>
          <w:lang w:val="fr-FR"/>
        </w:rPr>
        <w:t xml:space="preserve"> rapport sur le septième examen de l</w:t>
      </w:r>
      <w:r>
        <w:rPr>
          <w:lang w:val="fr-FR"/>
        </w:rPr>
        <w:t>’</w:t>
      </w:r>
      <w:r w:rsidRPr="004573F6">
        <w:rPr>
          <w:lang w:val="fr-FR"/>
        </w:rPr>
        <w:t>application de la Convention a été établi conformément au plan de travail adopté par la Réunion des Parties à sa</w:t>
      </w:r>
      <w:r w:rsidRPr="004573F6">
        <w:rPr>
          <w:i/>
          <w:iCs/>
          <w:lang w:val="fr-FR"/>
        </w:rPr>
        <w:t xml:space="preserve"> </w:t>
      </w:r>
      <w:r w:rsidRPr="004573F6">
        <w:rPr>
          <w:lang w:val="fr-FR"/>
        </w:rPr>
        <w:t>huitième session (Vilnius (en ligne), 8-11 décembre 2020) (ECE/MP.EIA/30/Add.1-ECE/MP.EIA/</w:t>
      </w:r>
      <w:r>
        <w:rPr>
          <w:lang w:val="fr-FR"/>
        </w:rPr>
        <w:br/>
      </w:r>
      <w:r w:rsidRPr="004573F6">
        <w:rPr>
          <w:lang w:val="fr-FR"/>
        </w:rPr>
        <w:t>SEA/13/Add.1, décision VIII/2-IV/2). Les Parties ont rendu compte de la manière dont elles avaient appliqué la Convention et fait part des données d</w:t>
      </w:r>
      <w:r>
        <w:rPr>
          <w:lang w:val="fr-FR"/>
        </w:rPr>
        <w:t>’</w:t>
      </w:r>
      <w:r w:rsidRPr="004573F6">
        <w:rPr>
          <w:lang w:val="fr-FR"/>
        </w:rPr>
        <w:t>expérience qu</w:t>
      </w:r>
      <w:r>
        <w:rPr>
          <w:lang w:val="fr-FR"/>
        </w:rPr>
        <w:t>’</w:t>
      </w:r>
      <w:r w:rsidRPr="004573F6">
        <w:rPr>
          <w:lang w:val="fr-FR"/>
        </w:rPr>
        <w:t>elles avaient recueillies à cet égard en répondant à un questionnaire élaboré par le Comité d</w:t>
      </w:r>
      <w:r>
        <w:rPr>
          <w:lang w:val="fr-FR"/>
        </w:rPr>
        <w:t>’</w:t>
      </w:r>
      <w:r w:rsidRPr="004573F6">
        <w:rPr>
          <w:lang w:val="fr-FR"/>
        </w:rPr>
        <w:t>application et approuvé par le Groupe de travail de l</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 et de l</w:t>
      </w:r>
      <w:r>
        <w:rPr>
          <w:lang w:val="fr-FR"/>
        </w:rPr>
        <w:t>’</w:t>
      </w:r>
      <w:r w:rsidRPr="004573F6">
        <w:rPr>
          <w:lang w:val="fr-FR"/>
        </w:rPr>
        <w:t>évaluation stratégique environnementale. Le questionnaire vierge (en anglais, français et russe) et les questionnaires remplis sont disponibles sur le site Web de la Convention</w:t>
      </w:r>
      <w:r w:rsidRPr="00A90AAA">
        <w:rPr>
          <w:rStyle w:val="Appelnotedebasdep"/>
        </w:rPr>
        <w:footnoteReference w:id="3"/>
      </w:r>
      <w:r w:rsidRPr="004573F6">
        <w:rPr>
          <w:lang w:val="fr-FR"/>
        </w:rPr>
        <w:t>.</w:t>
      </w:r>
    </w:p>
    <w:p w14:paraId="5767BD04" w14:textId="77777777" w:rsidR="00A90AAA" w:rsidRPr="004573F6" w:rsidRDefault="00A90AAA" w:rsidP="00A90AAA">
      <w:pPr>
        <w:pStyle w:val="SingleTxtG"/>
        <w:rPr>
          <w:lang w:val="fr-FR"/>
        </w:rPr>
      </w:pPr>
      <w:r w:rsidRPr="004573F6">
        <w:rPr>
          <w:lang w:val="fr-FR"/>
        </w:rPr>
        <w:t>5.</w:t>
      </w:r>
      <w:r w:rsidRPr="004573F6">
        <w:rPr>
          <w:lang w:val="fr-FR"/>
        </w:rPr>
        <w:tab/>
        <w:t>En s</w:t>
      </w:r>
      <w:r>
        <w:rPr>
          <w:lang w:val="fr-FR"/>
        </w:rPr>
        <w:t>’</w:t>
      </w:r>
      <w:r w:rsidRPr="004573F6">
        <w:rPr>
          <w:lang w:val="fr-FR"/>
        </w:rPr>
        <w:t>appuyant sur les questionnaires remplis reçus à la date du 30</w:t>
      </w:r>
      <w:r>
        <w:rPr>
          <w:lang w:val="fr-FR"/>
        </w:rPr>
        <w:t> </w:t>
      </w:r>
      <w:r w:rsidRPr="004573F6">
        <w:rPr>
          <w:lang w:val="fr-FR"/>
        </w:rPr>
        <w:t>juin 2022, le secrétariat a élaboré, avec le concours d</w:t>
      </w:r>
      <w:r>
        <w:rPr>
          <w:lang w:val="fr-FR"/>
        </w:rPr>
        <w:t>’</w:t>
      </w:r>
      <w:r w:rsidRPr="004573F6">
        <w:rPr>
          <w:lang w:val="fr-FR"/>
        </w:rPr>
        <w:t xml:space="preserve">un consultant, un projet de rapport destiné à être examiné par le Groupe de travail à sa onzième réunion (Genève, 19-21 décembre 2022). </w:t>
      </w:r>
      <w:r>
        <w:rPr>
          <w:lang w:val="fr-FR"/>
        </w:rPr>
        <w:t>Le</w:t>
      </w:r>
      <w:r w:rsidRPr="004573F6">
        <w:rPr>
          <w:lang w:val="fr-FR"/>
        </w:rPr>
        <w:t xml:space="preserve"> rapport</w:t>
      </w:r>
      <w:r>
        <w:rPr>
          <w:lang w:val="fr-FR"/>
        </w:rPr>
        <w:t xml:space="preserve"> a ensuite été</w:t>
      </w:r>
      <w:r w:rsidRPr="004573F6">
        <w:rPr>
          <w:lang w:val="fr-FR"/>
        </w:rPr>
        <w:t xml:space="preserve"> établi</w:t>
      </w:r>
      <w:r>
        <w:rPr>
          <w:lang w:val="fr-FR"/>
        </w:rPr>
        <w:t xml:space="preserve"> sous sa forme définitive</w:t>
      </w:r>
      <w:r w:rsidRPr="004573F6">
        <w:rPr>
          <w:lang w:val="fr-FR"/>
        </w:rPr>
        <w:t xml:space="preserve"> compte </w:t>
      </w:r>
      <w:r>
        <w:rPr>
          <w:lang w:val="fr-FR"/>
        </w:rPr>
        <w:t xml:space="preserve">tenu </w:t>
      </w:r>
      <w:r w:rsidRPr="004573F6">
        <w:rPr>
          <w:lang w:val="fr-FR"/>
        </w:rPr>
        <w:t xml:space="preserve">des observations formulées par les Parties pendant et après la réunion, </w:t>
      </w:r>
      <w:r>
        <w:rPr>
          <w:lang w:val="fr-FR"/>
        </w:rPr>
        <w:t>puis</w:t>
      </w:r>
      <w:r w:rsidRPr="004573F6">
        <w:rPr>
          <w:lang w:val="fr-FR"/>
        </w:rPr>
        <w:t xml:space="preserve"> soumis pour adoption </w:t>
      </w:r>
      <w:r>
        <w:rPr>
          <w:lang w:val="fr-FR"/>
        </w:rPr>
        <w:t>par</w:t>
      </w:r>
      <w:r w:rsidRPr="004573F6">
        <w:rPr>
          <w:lang w:val="fr-FR"/>
        </w:rPr>
        <w:t xml:space="preserve"> la </w:t>
      </w:r>
      <w:bookmarkStart w:id="2" w:name="_Hlk117954869"/>
      <w:r w:rsidRPr="004573F6">
        <w:rPr>
          <w:lang w:val="fr-FR"/>
        </w:rPr>
        <w:t xml:space="preserve">Réunion des Parties </w:t>
      </w:r>
      <w:bookmarkEnd w:id="2"/>
      <w:r w:rsidRPr="004573F6">
        <w:rPr>
          <w:lang w:val="fr-FR"/>
        </w:rPr>
        <w:t>à sa neuvième session (Genève, 12-15 décembre 2023).</w:t>
      </w:r>
    </w:p>
    <w:p w14:paraId="41CB2E0D" w14:textId="2CCE6112" w:rsidR="00A90AAA" w:rsidRPr="004573F6" w:rsidRDefault="00A90AAA" w:rsidP="00A90AAA">
      <w:pPr>
        <w:pStyle w:val="SingleTxtG"/>
        <w:rPr>
          <w:lang w:val="fr-FR"/>
        </w:rPr>
      </w:pPr>
      <w:r w:rsidRPr="004573F6">
        <w:rPr>
          <w:lang w:val="fr-FR"/>
        </w:rPr>
        <w:t>6.</w:t>
      </w:r>
      <w:r w:rsidRPr="004573F6">
        <w:rPr>
          <w:lang w:val="fr-FR"/>
        </w:rPr>
        <w:tab/>
        <w:t>Seules 21</w:t>
      </w:r>
      <w:r>
        <w:rPr>
          <w:lang w:val="fr-FR"/>
        </w:rPr>
        <w:t> </w:t>
      </w:r>
      <w:r w:rsidRPr="004573F6">
        <w:rPr>
          <w:lang w:val="fr-FR"/>
        </w:rPr>
        <w:t>Parties sur 45 (47</w:t>
      </w:r>
      <w:r>
        <w:rPr>
          <w:lang w:val="fr-FR"/>
        </w:rPr>
        <w:t> </w:t>
      </w:r>
      <w:r w:rsidRPr="004573F6">
        <w:rPr>
          <w:lang w:val="fr-FR"/>
        </w:rPr>
        <w:t xml:space="preserve">%) ont soumis </w:t>
      </w:r>
      <w:r>
        <w:rPr>
          <w:lang w:val="fr-FR"/>
        </w:rPr>
        <w:t>leur questionnaire rempli</w:t>
      </w:r>
      <w:r w:rsidRPr="004573F6">
        <w:rPr>
          <w:lang w:val="fr-FR"/>
        </w:rPr>
        <w:t xml:space="preserve"> avant la date limite du 30</w:t>
      </w:r>
      <w:r>
        <w:rPr>
          <w:lang w:val="fr-FR"/>
        </w:rPr>
        <w:t> </w:t>
      </w:r>
      <w:r w:rsidRPr="004573F6">
        <w:rPr>
          <w:lang w:val="fr-FR"/>
        </w:rPr>
        <w:t>avril 2022. Au 30</w:t>
      </w:r>
      <w:r>
        <w:rPr>
          <w:lang w:val="fr-FR"/>
        </w:rPr>
        <w:t> </w:t>
      </w:r>
      <w:r w:rsidRPr="004573F6">
        <w:rPr>
          <w:lang w:val="fr-FR"/>
        </w:rPr>
        <w:t>juin 2022, 34</w:t>
      </w:r>
      <w:r>
        <w:rPr>
          <w:lang w:val="fr-FR"/>
        </w:rPr>
        <w:t> </w:t>
      </w:r>
      <w:r w:rsidRPr="004573F6">
        <w:rPr>
          <w:lang w:val="fr-FR"/>
        </w:rPr>
        <w:t>Parties (75</w:t>
      </w:r>
      <w:r>
        <w:rPr>
          <w:lang w:val="fr-FR"/>
        </w:rPr>
        <w:t> </w:t>
      </w:r>
      <w:r w:rsidRPr="004573F6">
        <w:rPr>
          <w:lang w:val="fr-FR"/>
        </w:rPr>
        <w:t>%) avaient renvoyé leur questionnaire rempli</w:t>
      </w:r>
      <w:r>
        <w:rPr>
          <w:lang w:val="fr-FR"/>
        </w:rPr>
        <w:t>.</w:t>
      </w:r>
      <w:r w:rsidRPr="004573F6">
        <w:rPr>
          <w:i/>
          <w:iCs/>
          <w:lang w:val="fr-FR"/>
        </w:rPr>
        <w:t xml:space="preserve"> </w:t>
      </w:r>
      <w:r>
        <w:rPr>
          <w:lang w:val="fr-FR"/>
        </w:rPr>
        <w:t>L</w:t>
      </w:r>
      <w:r w:rsidRPr="004573F6">
        <w:rPr>
          <w:lang w:val="fr-FR"/>
        </w:rPr>
        <w:t xml:space="preserve">es réponses </w:t>
      </w:r>
      <w:r>
        <w:rPr>
          <w:lang w:val="fr-FR"/>
        </w:rPr>
        <w:t>de ces 34</w:t>
      </w:r>
      <w:r>
        <w:rPr>
          <w:lang w:val="fr-FR"/>
        </w:rPr>
        <w:t> </w:t>
      </w:r>
      <w:r>
        <w:rPr>
          <w:lang w:val="fr-FR"/>
        </w:rPr>
        <w:t xml:space="preserve">Parties </w:t>
      </w:r>
      <w:r w:rsidRPr="004573F6">
        <w:rPr>
          <w:lang w:val="fr-FR"/>
        </w:rPr>
        <w:t xml:space="preserve">sont analysées dans le présent </w:t>
      </w:r>
      <w:r>
        <w:rPr>
          <w:lang w:val="fr-FR"/>
        </w:rPr>
        <w:t>rapport</w:t>
      </w:r>
      <w:r w:rsidRPr="004573F6">
        <w:rPr>
          <w:lang w:val="fr-FR"/>
        </w:rPr>
        <w:t xml:space="preserve">. </w:t>
      </w:r>
      <w:r>
        <w:rPr>
          <w:lang w:val="fr-FR"/>
        </w:rPr>
        <w:t>Le questionnaire</w:t>
      </w:r>
      <w:r w:rsidRPr="004573F6">
        <w:rPr>
          <w:lang w:val="fr-FR"/>
        </w:rPr>
        <w:t xml:space="preserve"> de la Belgique a été rempli par quatre entités administratives, à savoir la Région flamande, la Région wallonne, la Région de Bruxelles-Capitale et l</w:t>
      </w:r>
      <w:r>
        <w:rPr>
          <w:lang w:val="fr-FR"/>
        </w:rPr>
        <w:t>’</w:t>
      </w:r>
      <w:r w:rsidRPr="004573F6">
        <w:rPr>
          <w:lang w:val="fr-FR"/>
        </w:rPr>
        <w:t>État fédéral, dont les réponses différaient considérablement. Conformément à la pratique établie, il a donc été tenu compte des réponses de chacune de ces entités administratives dans la synthèse présentée dans le présent rapport.</w:t>
      </w:r>
    </w:p>
    <w:p w14:paraId="2AB287BC" w14:textId="4094F868" w:rsidR="00A90AAA" w:rsidRPr="004573F6" w:rsidRDefault="00A90AAA" w:rsidP="00A90AAA">
      <w:pPr>
        <w:pStyle w:val="SingleTxtG"/>
        <w:rPr>
          <w:lang w:val="fr-FR"/>
        </w:rPr>
      </w:pPr>
      <w:r w:rsidRPr="004573F6">
        <w:rPr>
          <w:lang w:val="fr-FR"/>
        </w:rPr>
        <w:t>7.</w:t>
      </w:r>
      <w:r w:rsidRPr="004573F6">
        <w:rPr>
          <w:lang w:val="fr-FR"/>
        </w:rPr>
        <w:tab/>
        <w:t>Au moment de l</w:t>
      </w:r>
      <w:r>
        <w:rPr>
          <w:lang w:val="fr-FR"/>
        </w:rPr>
        <w:t>’</w:t>
      </w:r>
      <w:r w:rsidRPr="004573F6">
        <w:rPr>
          <w:lang w:val="fr-FR"/>
        </w:rPr>
        <w:t xml:space="preserve">établissement du </w:t>
      </w:r>
      <w:r>
        <w:rPr>
          <w:lang w:val="fr-FR"/>
        </w:rPr>
        <w:t>projet de rapport (juillet-septembre 2022)</w:t>
      </w:r>
      <w:r w:rsidRPr="004573F6">
        <w:rPr>
          <w:lang w:val="fr-FR"/>
        </w:rPr>
        <w:t>, l</w:t>
      </w:r>
      <w:r>
        <w:rPr>
          <w:lang w:val="fr-FR"/>
        </w:rPr>
        <w:t>’</w:t>
      </w:r>
      <w:r w:rsidRPr="004573F6">
        <w:rPr>
          <w:lang w:val="fr-FR"/>
        </w:rPr>
        <w:t>Allemagne, la Bulgarie, Chypre, l</w:t>
      </w:r>
      <w:r>
        <w:rPr>
          <w:lang w:val="fr-FR"/>
        </w:rPr>
        <w:t>’</w:t>
      </w:r>
      <w:r w:rsidRPr="004573F6">
        <w:rPr>
          <w:lang w:val="fr-FR"/>
        </w:rPr>
        <w:t>Italie, le Kirghizistan, le Liechtenstein, la Macédoine du Nord, le Portugal, la Serbie et l</w:t>
      </w:r>
      <w:r>
        <w:rPr>
          <w:lang w:val="fr-FR"/>
        </w:rPr>
        <w:t>’</w:t>
      </w:r>
      <w:r w:rsidRPr="004573F6">
        <w:rPr>
          <w:lang w:val="fr-FR"/>
        </w:rPr>
        <w:t>Ukraine n</w:t>
      </w:r>
      <w:r>
        <w:rPr>
          <w:lang w:val="fr-FR"/>
        </w:rPr>
        <w:t>’</w:t>
      </w:r>
      <w:r w:rsidRPr="004573F6">
        <w:rPr>
          <w:lang w:val="fr-FR"/>
        </w:rPr>
        <w:t xml:space="preserve">avaient pas répondu au questionnaire. </w:t>
      </w:r>
      <w:r>
        <w:rPr>
          <w:lang w:val="fr-FR"/>
        </w:rPr>
        <w:t xml:space="preserve">L’Allemagne, Chypre, l’Italie et le Portugal ont depuis soumis leurs réponses. </w:t>
      </w:r>
      <w:r w:rsidRPr="004573F6">
        <w:rPr>
          <w:lang w:val="fr-FR"/>
        </w:rPr>
        <w:t>L</w:t>
      </w:r>
      <w:r>
        <w:rPr>
          <w:lang w:val="fr-FR"/>
        </w:rPr>
        <w:t>’</w:t>
      </w:r>
      <w:r w:rsidRPr="004573F6">
        <w:rPr>
          <w:lang w:val="fr-FR"/>
        </w:rPr>
        <w:t>Union européenne n</w:t>
      </w:r>
      <w:r>
        <w:rPr>
          <w:lang w:val="fr-FR"/>
        </w:rPr>
        <w:t>’</w:t>
      </w:r>
      <w:r w:rsidRPr="004573F6">
        <w:rPr>
          <w:lang w:val="fr-FR"/>
        </w:rPr>
        <w:t xml:space="preserve">a pas non plus </w:t>
      </w:r>
      <w:r>
        <w:rPr>
          <w:lang w:val="fr-FR"/>
        </w:rPr>
        <w:t>complété</w:t>
      </w:r>
      <w:r w:rsidRPr="004573F6">
        <w:rPr>
          <w:lang w:val="fr-FR"/>
        </w:rPr>
        <w:t xml:space="preserve"> questionnaire, mais elle a fourni des renseignements </w:t>
      </w:r>
      <w:r w:rsidRPr="004573F6">
        <w:rPr>
          <w:lang w:val="fr-FR"/>
        </w:rPr>
        <w:lastRenderedPageBreak/>
        <w:t>concernant</w:t>
      </w:r>
      <w:r>
        <w:rPr>
          <w:lang w:val="fr-FR"/>
        </w:rPr>
        <w:t> </w:t>
      </w:r>
      <w:r w:rsidRPr="004573F6">
        <w:rPr>
          <w:lang w:val="fr-FR"/>
        </w:rPr>
        <w:t>: le suivi de la mise en application de sa législation relative à l</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 ; la publication d</w:t>
      </w:r>
      <w:r>
        <w:rPr>
          <w:lang w:val="fr-FR"/>
        </w:rPr>
        <w:t>’</w:t>
      </w:r>
      <w:r w:rsidRPr="004573F6">
        <w:rPr>
          <w:lang w:val="fr-FR"/>
        </w:rPr>
        <w:t xml:space="preserve">une note sur les modifications apportées aux projets et les prolongations de projets ; </w:t>
      </w:r>
      <w:r>
        <w:rPr>
          <w:lang w:val="fr-FR"/>
        </w:rPr>
        <w:t>la</w:t>
      </w:r>
      <w:r w:rsidRPr="004573F6">
        <w:rPr>
          <w:lang w:val="fr-FR"/>
        </w:rPr>
        <w:t xml:space="preserve"> nouvelle jurisprudence. </w:t>
      </w:r>
      <w:r>
        <w:rPr>
          <w:lang w:val="fr-FR"/>
        </w:rPr>
        <w:t>L</w:t>
      </w:r>
      <w:r w:rsidRPr="004573F6">
        <w:rPr>
          <w:lang w:val="fr-FR"/>
        </w:rPr>
        <w:t xml:space="preserve">es Parties </w:t>
      </w:r>
      <w:r>
        <w:rPr>
          <w:lang w:val="fr-FR"/>
        </w:rPr>
        <w:t xml:space="preserve">susmentionnées </w:t>
      </w:r>
      <w:r w:rsidRPr="004573F6">
        <w:rPr>
          <w:lang w:val="fr-FR"/>
        </w:rPr>
        <w:t>ne sont pas prises en considération dans les résultats de l</w:t>
      </w:r>
      <w:r>
        <w:rPr>
          <w:lang w:val="fr-FR"/>
        </w:rPr>
        <w:t>’</w:t>
      </w:r>
      <w:r w:rsidRPr="004573F6">
        <w:rPr>
          <w:lang w:val="fr-FR"/>
        </w:rPr>
        <w:t>examen.</w:t>
      </w:r>
      <w:r>
        <w:rPr>
          <w:lang w:val="fr-FR"/>
        </w:rPr>
        <w:t xml:space="preserve"> Bien qu’ils n’aient pas été analysés aux fins de l’établissement du présent rapport, les questionnaires soumis après la date limite sont disponibles sur le site Web de la Convention.</w:t>
      </w:r>
    </w:p>
    <w:p w14:paraId="1E0DF710" w14:textId="77777777" w:rsidR="00A90AAA" w:rsidRPr="004573F6" w:rsidRDefault="00A90AAA" w:rsidP="00A90AAA">
      <w:pPr>
        <w:pStyle w:val="SingleTxtG"/>
        <w:rPr>
          <w:lang w:val="fr-FR"/>
        </w:rPr>
      </w:pPr>
      <w:r w:rsidRPr="004573F6">
        <w:rPr>
          <w:lang w:val="fr-FR"/>
        </w:rPr>
        <w:t>8.</w:t>
      </w:r>
      <w:r w:rsidRPr="004573F6">
        <w:rPr>
          <w:lang w:val="fr-FR"/>
        </w:rPr>
        <w:tab/>
        <w:t>La Géorgie, qui n</w:t>
      </w:r>
      <w:r>
        <w:rPr>
          <w:lang w:val="fr-FR"/>
        </w:rPr>
        <w:t>’</w:t>
      </w:r>
      <w:r w:rsidRPr="004573F6">
        <w:rPr>
          <w:lang w:val="fr-FR"/>
        </w:rPr>
        <w:t>est pas encore Partie à la Convention, a également répondu au questionnaire. Les informations qu</w:t>
      </w:r>
      <w:r>
        <w:rPr>
          <w:lang w:val="fr-FR"/>
        </w:rPr>
        <w:t>’</w:t>
      </w:r>
      <w:r w:rsidRPr="004573F6">
        <w:rPr>
          <w:lang w:val="fr-FR"/>
        </w:rPr>
        <w:t>elle a communiquées ont été prises en compte dans l</w:t>
      </w:r>
      <w:r>
        <w:rPr>
          <w:lang w:val="fr-FR"/>
        </w:rPr>
        <w:t>’</w:t>
      </w:r>
      <w:r w:rsidRPr="004573F6">
        <w:rPr>
          <w:lang w:val="fr-FR"/>
        </w:rPr>
        <w:t>analyse.</w:t>
      </w:r>
    </w:p>
    <w:p w14:paraId="18CBEA65" w14:textId="26B51C7E" w:rsidR="00A90AAA" w:rsidRPr="004573F6" w:rsidRDefault="00A90AAA" w:rsidP="00A90AAA">
      <w:pPr>
        <w:pStyle w:val="SingleTxtG"/>
        <w:rPr>
          <w:lang w:val="fr-FR"/>
        </w:rPr>
      </w:pPr>
      <w:r w:rsidRPr="004573F6">
        <w:rPr>
          <w:lang w:val="fr-FR"/>
        </w:rPr>
        <w:t>9.</w:t>
      </w:r>
      <w:r w:rsidRPr="004573F6">
        <w:rPr>
          <w:lang w:val="fr-FR"/>
        </w:rPr>
        <w:tab/>
        <w:t>Toutes les Parties (et le pays non Partie) n</w:t>
      </w:r>
      <w:r>
        <w:rPr>
          <w:lang w:val="fr-FR"/>
        </w:rPr>
        <w:t>’</w:t>
      </w:r>
      <w:r w:rsidRPr="004573F6">
        <w:rPr>
          <w:lang w:val="fr-FR"/>
        </w:rPr>
        <w:t xml:space="preserve">ayant pas répondu à la totalité des questions, le nombre de réponses </w:t>
      </w:r>
      <w:r>
        <w:rPr>
          <w:lang w:val="fr-FR"/>
        </w:rPr>
        <w:t>aux</w:t>
      </w:r>
      <w:r w:rsidRPr="004573F6">
        <w:rPr>
          <w:lang w:val="fr-FR"/>
        </w:rPr>
        <w:t xml:space="preserve"> différentes questions </w:t>
      </w:r>
      <w:r>
        <w:rPr>
          <w:lang w:val="fr-FR"/>
        </w:rPr>
        <w:t xml:space="preserve">(« n ») </w:t>
      </w:r>
      <w:r w:rsidRPr="004573F6">
        <w:rPr>
          <w:lang w:val="fr-FR"/>
        </w:rPr>
        <w:t xml:space="preserve">est parfois inférieur au maximum, </w:t>
      </w:r>
      <w:r>
        <w:rPr>
          <w:lang w:val="fr-FR"/>
        </w:rPr>
        <w:t>à savoir</w:t>
      </w:r>
      <w:r>
        <w:rPr>
          <w:lang w:val="fr-FR"/>
        </w:rPr>
        <w:t> </w:t>
      </w:r>
      <w:r w:rsidRPr="004573F6">
        <w:rPr>
          <w:lang w:val="fr-FR"/>
        </w:rPr>
        <w:t>38. Sauf indication contraire, le nombre de répondants aux questions est de 38 (n=38).</w:t>
      </w:r>
    </w:p>
    <w:p w14:paraId="61EBE667" w14:textId="77777777" w:rsidR="00A90AAA" w:rsidRPr="004573F6" w:rsidRDefault="00A90AAA" w:rsidP="00CE06A8">
      <w:pPr>
        <w:pStyle w:val="HChG"/>
        <w:rPr>
          <w:lang w:val="fr-FR"/>
        </w:rPr>
      </w:pPr>
      <w:r w:rsidRPr="004573F6">
        <w:rPr>
          <w:lang w:val="fr-FR"/>
        </w:rPr>
        <w:tab/>
        <w:t>III.</w:t>
      </w:r>
      <w:r w:rsidRPr="004573F6">
        <w:rPr>
          <w:lang w:val="fr-FR"/>
        </w:rPr>
        <w:tab/>
        <w:t>Examen de l</w:t>
      </w:r>
      <w:r>
        <w:rPr>
          <w:lang w:val="fr-FR"/>
        </w:rPr>
        <w:t>’</w:t>
      </w:r>
      <w:r w:rsidRPr="004573F6">
        <w:rPr>
          <w:lang w:val="fr-FR"/>
        </w:rPr>
        <w:t xml:space="preserve">application </w:t>
      </w:r>
      <w:bookmarkStart w:id="3" w:name="_Toc13428233"/>
      <w:bookmarkEnd w:id="3"/>
    </w:p>
    <w:p w14:paraId="31F2E2B9" w14:textId="77777777" w:rsidR="00A90AAA" w:rsidRPr="004573F6" w:rsidRDefault="00A90AAA" w:rsidP="00A90AAA">
      <w:pPr>
        <w:pStyle w:val="SingleTxtG"/>
        <w:rPr>
          <w:lang w:val="fr-FR"/>
        </w:rPr>
      </w:pPr>
      <w:r w:rsidRPr="004573F6">
        <w:rPr>
          <w:lang w:val="fr-FR"/>
        </w:rPr>
        <w:t>10.</w:t>
      </w:r>
      <w:r w:rsidRPr="004573F6">
        <w:rPr>
          <w:lang w:val="fr-FR"/>
        </w:rPr>
        <w:tab/>
        <w:t xml:space="preserve">On trouvera dans </w:t>
      </w:r>
      <w:r>
        <w:rPr>
          <w:lang w:val="fr-FR"/>
        </w:rPr>
        <w:t>la présente</w:t>
      </w:r>
      <w:r w:rsidRPr="004573F6">
        <w:rPr>
          <w:lang w:val="fr-FR"/>
        </w:rPr>
        <w:t xml:space="preserve"> section les principales conclusions </w:t>
      </w:r>
      <w:r>
        <w:rPr>
          <w:lang w:val="fr-FR"/>
        </w:rPr>
        <w:t>de l’analyse</w:t>
      </w:r>
      <w:r w:rsidRPr="004573F6">
        <w:rPr>
          <w:lang w:val="fr-FR"/>
        </w:rPr>
        <w:t xml:space="preserve"> de la première partie du questionnaire, qui porte sur les cadres juridiques et administratifs </w:t>
      </w:r>
      <w:r w:rsidRPr="00E130BB">
        <w:rPr>
          <w:lang w:val="fr-FR"/>
        </w:rPr>
        <w:t>mis en place par les Parties pour appliquer la Convention</w:t>
      </w:r>
      <w:r w:rsidRPr="004573F6">
        <w:rPr>
          <w:lang w:val="fr-FR"/>
        </w:rPr>
        <w:t>.</w:t>
      </w:r>
    </w:p>
    <w:p w14:paraId="4DF09CDC" w14:textId="77777777" w:rsidR="00A90AAA" w:rsidRPr="004573F6" w:rsidRDefault="00A90AAA" w:rsidP="00CE06A8">
      <w:pPr>
        <w:pStyle w:val="H1G"/>
        <w:rPr>
          <w:lang w:val="fr-FR"/>
        </w:rPr>
      </w:pPr>
      <w:bookmarkStart w:id="4" w:name="_Toc13428234"/>
      <w:r w:rsidRPr="004573F6">
        <w:rPr>
          <w:lang w:val="fr-FR"/>
        </w:rPr>
        <w:tab/>
        <w:t>A.</w:t>
      </w:r>
      <w:r w:rsidRPr="004573F6">
        <w:rPr>
          <w:lang w:val="fr-FR"/>
        </w:rPr>
        <w:tab/>
        <w:t>Principales notions</w:t>
      </w:r>
      <w:bookmarkEnd w:id="4"/>
    </w:p>
    <w:p w14:paraId="22BE92F8" w14:textId="77777777" w:rsidR="00A90AAA" w:rsidRPr="004573F6" w:rsidRDefault="00A90AAA" w:rsidP="00A90AAA">
      <w:pPr>
        <w:pStyle w:val="SingleTxtG"/>
        <w:rPr>
          <w:lang w:val="fr-FR"/>
        </w:rPr>
      </w:pPr>
      <w:r w:rsidRPr="004573F6">
        <w:rPr>
          <w:lang w:val="fr-FR"/>
        </w:rPr>
        <w:t>11.</w:t>
      </w:r>
      <w:r w:rsidRPr="004573F6">
        <w:rPr>
          <w:lang w:val="fr-FR"/>
        </w:rPr>
        <w:tab/>
        <w:t>Les questions I.1.1 et I.1.2 du questionnaire portent sur le sens que donnent les Parties au</w:t>
      </w:r>
      <w:r>
        <w:rPr>
          <w:lang w:val="fr-FR"/>
        </w:rPr>
        <w:t>x</w:t>
      </w:r>
      <w:r w:rsidRPr="004573F6">
        <w:rPr>
          <w:lang w:val="fr-FR"/>
        </w:rPr>
        <w:t xml:space="preserve"> terme</w:t>
      </w:r>
      <w:r>
        <w:rPr>
          <w:lang w:val="fr-FR"/>
        </w:rPr>
        <w:t>s</w:t>
      </w:r>
      <w:r w:rsidRPr="004573F6">
        <w:rPr>
          <w:lang w:val="fr-FR"/>
        </w:rPr>
        <w:t xml:space="preserve"> «</w:t>
      </w:r>
      <w:r>
        <w:rPr>
          <w:lang w:val="fr-FR"/>
        </w:rPr>
        <w:t> </w:t>
      </w:r>
      <w:r w:rsidRPr="004573F6">
        <w:rPr>
          <w:lang w:val="fr-FR"/>
        </w:rPr>
        <w:t>impact</w:t>
      </w:r>
      <w:r>
        <w:rPr>
          <w:lang w:val="fr-FR"/>
        </w:rPr>
        <w:t> </w:t>
      </w:r>
      <w:r w:rsidRPr="004573F6">
        <w:rPr>
          <w:lang w:val="fr-FR"/>
        </w:rPr>
        <w:t>» «</w:t>
      </w:r>
      <w:r>
        <w:rPr>
          <w:lang w:val="fr-FR"/>
        </w:rPr>
        <w:t> </w:t>
      </w:r>
      <w:r w:rsidRPr="004573F6">
        <w:rPr>
          <w:lang w:val="fr-FR"/>
        </w:rPr>
        <w:t>impact transfrontière</w:t>
      </w:r>
      <w:r>
        <w:rPr>
          <w:lang w:val="fr-FR"/>
        </w:rPr>
        <w:t> </w:t>
      </w:r>
      <w:r w:rsidRPr="004573F6">
        <w:rPr>
          <w:lang w:val="fr-FR"/>
        </w:rPr>
        <w:t>» dans leur législation. Les réponses indiquent que nombre d</w:t>
      </w:r>
      <w:r>
        <w:rPr>
          <w:lang w:val="fr-FR"/>
        </w:rPr>
        <w:t>’</w:t>
      </w:r>
      <w:r w:rsidRPr="004573F6">
        <w:rPr>
          <w:lang w:val="fr-FR"/>
        </w:rPr>
        <w:t>entre elles ont soit trans</w:t>
      </w:r>
      <w:r>
        <w:rPr>
          <w:lang w:val="fr-FR"/>
        </w:rPr>
        <w:t>posé</w:t>
      </w:r>
      <w:r w:rsidRPr="004573F6">
        <w:rPr>
          <w:lang w:val="fr-FR"/>
        </w:rPr>
        <w:t xml:space="preserve"> dans leur législation les définitions énoncées dans la Convention (13 pour « impact » et</w:t>
      </w:r>
      <w:r>
        <w:rPr>
          <w:lang w:val="fr-FR"/>
        </w:rPr>
        <w:t> </w:t>
      </w:r>
      <w:r w:rsidRPr="004573F6">
        <w:rPr>
          <w:lang w:val="fr-FR"/>
        </w:rPr>
        <w:t>15 pour « impact transfrontière »), soit utilisé des définitions semblables à celles de la Convention (15 pour « impact » et 6 pour « impact transfrontière ») (voir fig.</w:t>
      </w:r>
      <w:r>
        <w:rPr>
          <w:lang w:val="fr-FR"/>
        </w:rPr>
        <w:t> </w:t>
      </w:r>
      <w:r w:rsidRPr="004573F6">
        <w:rPr>
          <w:lang w:val="fr-FR"/>
        </w:rPr>
        <w:t>1 ci-dessous).</w:t>
      </w:r>
    </w:p>
    <w:p w14:paraId="0418EEEB" w14:textId="27BCB5AF" w:rsidR="00A90AAA" w:rsidRDefault="00A90AAA" w:rsidP="00A90AAA">
      <w:pPr>
        <w:pStyle w:val="Titre1"/>
        <w:spacing w:after="120"/>
        <w:rPr>
          <w:b/>
          <w:bCs/>
          <w:lang w:val="fr-FR"/>
        </w:rPr>
      </w:pPr>
      <w:r w:rsidRPr="004573F6">
        <w:rPr>
          <w:lang w:val="fr-FR"/>
        </w:rPr>
        <w:t>Figure</w:t>
      </w:r>
      <w:r>
        <w:rPr>
          <w:lang w:val="fr-FR"/>
        </w:rPr>
        <w:t> </w:t>
      </w:r>
      <w:r w:rsidRPr="004573F6">
        <w:rPr>
          <w:lang w:val="fr-FR"/>
        </w:rPr>
        <w:t>1</w:t>
      </w:r>
      <w:r>
        <w:rPr>
          <w:lang w:val="fr-FR"/>
        </w:rPr>
        <w:br/>
      </w:r>
      <w:r w:rsidRPr="004573F6">
        <w:rPr>
          <w:b/>
          <w:bCs/>
          <w:lang w:val="fr-FR"/>
        </w:rPr>
        <w:t>Réponses aux questions I.1.1 et I.1.2</w:t>
      </w:r>
      <w:r w:rsidRPr="004573F6">
        <w:rPr>
          <w:lang w:val="fr-FR"/>
        </w:rPr>
        <w:t xml:space="preserve"> </w:t>
      </w:r>
      <w:r w:rsidRPr="004573F6">
        <w:rPr>
          <w:b/>
          <w:bCs/>
          <w:lang w:val="fr-FR"/>
        </w:rPr>
        <w:t>(n=38)</w:t>
      </w:r>
    </w:p>
    <w:p w14:paraId="27A8599A" w14:textId="77777777" w:rsidR="00A90AAA" w:rsidRPr="007E069C" w:rsidRDefault="00A90AAA" w:rsidP="00A90AAA">
      <w:pPr>
        <w:pStyle w:val="SingleTxtG"/>
        <w:rPr>
          <w:lang w:val="fr-FR"/>
        </w:rPr>
      </w:pPr>
      <w:r>
        <w:rPr>
          <w:noProof/>
          <w:lang w:val="en-US" w:eastAsia="zh-CN"/>
        </w:rPr>
        <w:drawing>
          <wp:inline distT="0" distB="0" distL="0" distR="0" wp14:anchorId="0F058313" wp14:editId="618225C6">
            <wp:extent cx="5379720" cy="2967990"/>
            <wp:effectExtent l="0" t="0" r="11430" b="381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8242A4" w14:textId="0D92D158" w:rsidR="00A90AAA" w:rsidRPr="004573F6" w:rsidRDefault="00A90AAA" w:rsidP="00CE06A8">
      <w:pPr>
        <w:pStyle w:val="SingleTxtG"/>
        <w:spacing w:before="240"/>
        <w:rPr>
          <w:lang w:val="fr-FR"/>
        </w:rPr>
      </w:pPr>
      <w:r w:rsidRPr="004573F6">
        <w:rPr>
          <w:lang w:val="fr-FR"/>
        </w:rPr>
        <w:t>12.</w:t>
      </w:r>
      <w:r w:rsidRPr="004573F6">
        <w:rPr>
          <w:lang w:val="fr-FR"/>
        </w:rPr>
        <w:tab/>
        <w:t>Dix-sept répondants</w:t>
      </w:r>
      <w:r w:rsidRPr="004573F6">
        <w:rPr>
          <w:b/>
          <w:bCs/>
          <w:lang w:val="fr-FR"/>
        </w:rPr>
        <w:t xml:space="preserve"> </w:t>
      </w:r>
      <w:r w:rsidRPr="004573F6">
        <w:rPr>
          <w:lang w:val="fr-FR"/>
        </w:rPr>
        <w:t>ne définissent pas le terme «</w:t>
      </w:r>
      <w:r>
        <w:rPr>
          <w:lang w:val="fr-FR"/>
        </w:rPr>
        <w:t> </w:t>
      </w:r>
      <w:r w:rsidRPr="004573F6">
        <w:rPr>
          <w:lang w:val="fr-FR"/>
        </w:rPr>
        <w:t>impact transfrontière</w:t>
      </w:r>
      <w:r>
        <w:rPr>
          <w:lang w:val="fr-FR"/>
        </w:rPr>
        <w:t> </w:t>
      </w:r>
      <w:r w:rsidRPr="004573F6">
        <w:rPr>
          <w:lang w:val="fr-FR"/>
        </w:rPr>
        <w:t>» dans leur législation. Un certain nombre de Parties (la France et la Suède, par exemple) déclarent que leur examen de l</w:t>
      </w:r>
      <w:r>
        <w:rPr>
          <w:lang w:val="fr-FR"/>
        </w:rPr>
        <w:t>’</w:t>
      </w:r>
      <w:r w:rsidRPr="004573F6">
        <w:rPr>
          <w:lang w:val="fr-FR"/>
        </w:rPr>
        <w:t>impact n</w:t>
      </w:r>
      <w:r>
        <w:rPr>
          <w:lang w:val="fr-FR"/>
        </w:rPr>
        <w:t>’</w:t>
      </w:r>
      <w:r w:rsidRPr="004573F6">
        <w:rPr>
          <w:lang w:val="fr-FR"/>
        </w:rPr>
        <w:t>est pas délimité géographique</w:t>
      </w:r>
      <w:r>
        <w:rPr>
          <w:lang w:val="fr-FR"/>
        </w:rPr>
        <w:t>ment</w:t>
      </w:r>
      <w:r w:rsidRPr="004573F6">
        <w:rPr>
          <w:lang w:val="fr-FR"/>
        </w:rPr>
        <w:t xml:space="preserve"> et devrait donc automatiquement prendre en considération les questions transfrontières, le cas échéant. L</w:t>
      </w:r>
      <w:r>
        <w:rPr>
          <w:lang w:val="fr-FR"/>
        </w:rPr>
        <w:t>a législation du</w:t>
      </w:r>
      <w:r w:rsidRPr="004573F6">
        <w:rPr>
          <w:lang w:val="fr-FR"/>
        </w:rPr>
        <w:t xml:space="preserve"> Royaume-Uni de Grande-Bretagne et d</w:t>
      </w:r>
      <w:r>
        <w:rPr>
          <w:lang w:val="fr-FR"/>
        </w:rPr>
        <w:t>’</w:t>
      </w:r>
      <w:r w:rsidRPr="004573F6">
        <w:rPr>
          <w:lang w:val="fr-FR"/>
        </w:rPr>
        <w:t xml:space="preserve">Irlande du Nord </w:t>
      </w:r>
      <w:r>
        <w:rPr>
          <w:lang w:val="fr-FR"/>
        </w:rPr>
        <w:t>fait référence aux</w:t>
      </w:r>
      <w:r w:rsidRPr="004573F6">
        <w:rPr>
          <w:lang w:val="fr-FR"/>
        </w:rPr>
        <w:t xml:space="preserve"> </w:t>
      </w:r>
      <w:r>
        <w:rPr>
          <w:lang w:val="fr-FR"/>
        </w:rPr>
        <w:t xml:space="preserve">activités susceptibles d’avoir </w:t>
      </w:r>
      <w:r w:rsidRPr="004573F6">
        <w:rPr>
          <w:lang w:val="fr-FR"/>
        </w:rPr>
        <w:t xml:space="preserve">des effets notables </w:t>
      </w:r>
      <w:r>
        <w:rPr>
          <w:lang w:val="fr-FR"/>
        </w:rPr>
        <w:t>sur l’environnement</w:t>
      </w:r>
      <w:r w:rsidRPr="004573F6">
        <w:rPr>
          <w:lang w:val="fr-FR"/>
        </w:rPr>
        <w:t xml:space="preserve"> </w:t>
      </w:r>
      <w:r>
        <w:rPr>
          <w:lang w:val="fr-FR"/>
        </w:rPr>
        <w:t>d’un autre</w:t>
      </w:r>
      <w:r w:rsidRPr="004573F6">
        <w:rPr>
          <w:lang w:val="fr-FR"/>
        </w:rPr>
        <w:t xml:space="preserve"> État de l</w:t>
      </w:r>
      <w:r>
        <w:rPr>
          <w:lang w:val="fr-FR"/>
        </w:rPr>
        <w:t>’</w:t>
      </w:r>
      <w:r w:rsidRPr="004573F6">
        <w:rPr>
          <w:lang w:val="fr-FR"/>
        </w:rPr>
        <w:t>Espace économique européen.</w:t>
      </w:r>
    </w:p>
    <w:p w14:paraId="20432AF4" w14:textId="77777777" w:rsidR="00A90AAA" w:rsidRPr="004573F6" w:rsidRDefault="00A90AAA" w:rsidP="00A90AAA">
      <w:pPr>
        <w:pStyle w:val="SingleTxtG"/>
        <w:keepNext/>
        <w:keepLines/>
        <w:rPr>
          <w:lang w:val="fr-FR"/>
        </w:rPr>
      </w:pPr>
      <w:r w:rsidRPr="004573F6">
        <w:rPr>
          <w:lang w:val="fr-FR"/>
        </w:rPr>
        <w:t>13.</w:t>
      </w:r>
      <w:r w:rsidRPr="004573F6">
        <w:rPr>
          <w:lang w:val="fr-FR"/>
        </w:rPr>
        <w:tab/>
        <w:t>Un plus petit nombre de répondants (9) ne définissent pas le terme «</w:t>
      </w:r>
      <w:r>
        <w:rPr>
          <w:lang w:val="fr-FR"/>
        </w:rPr>
        <w:t> </w:t>
      </w:r>
      <w:r w:rsidRPr="004573F6">
        <w:rPr>
          <w:lang w:val="fr-FR"/>
        </w:rPr>
        <w:t>impact</w:t>
      </w:r>
      <w:r>
        <w:rPr>
          <w:lang w:val="fr-FR"/>
        </w:rPr>
        <w:t> </w:t>
      </w:r>
      <w:r w:rsidRPr="004573F6">
        <w:rPr>
          <w:lang w:val="fr-FR"/>
        </w:rPr>
        <w:t>». Cela semble généralement dû à l</w:t>
      </w:r>
      <w:r>
        <w:rPr>
          <w:lang w:val="fr-FR"/>
        </w:rPr>
        <w:t>’</w:t>
      </w:r>
      <w:r w:rsidRPr="004573F6">
        <w:rPr>
          <w:lang w:val="fr-FR"/>
        </w:rPr>
        <w:t>utilisation d</w:t>
      </w:r>
      <w:r>
        <w:rPr>
          <w:lang w:val="fr-FR"/>
        </w:rPr>
        <w:t>’</w:t>
      </w:r>
      <w:r w:rsidRPr="004573F6">
        <w:rPr>
          <w:lang w:val="fr-FR"/>
        </w:rPr>
        <w:t>une terminologie différente. Par exemple, la législation du Royaume-Uni de Grande-Bretagne et d</w:t>
      </w:r>
      <w:r>
        <w:rPr>
          <w:lang w:val="fr-FR"/>
        </w:rPr>
        <w:t>’</w:t>
      </w:r>
      <w:r w:rsidRPr="004573F6">
        <w:rPr>
          <w:lang w:val="fr-FR"/>
        </w:rPr>
        <w:t>Irlande du Nord fait référence aux « aspects de l</w:t>
      </w:r>
      <w:r>
        <w:rPr>
          <w:lang w:val="fr-FR"/>
        </w:rPr>
        <w:t>’</w:t>
      </w:r>
      <w:r w:rsidRPr="004573F6">
        <w:rPr>
          <w:lang w:val="fr-FR"/>
        </w:rPr>
        <w:t>environnement sur lesquels l</w:t>
      </w:r>
      <w:r>
        <w:rPr>
          <w:lang w:val="fr-FR"/>
        </w:rPr>
        <w:t>’</w:t>
      </w:r>
      <w:r w:rsidRPr="004573F6">
        <w:rPr>
          <w:lang w:val="fr-FR"/>
        </w:rPr>
        <w:t>activité est susceptible d</w:t>
      </w:r>
      <w:r>
        <w:rPr>
          <w:lang w:val="fr-FR"/>
        </w:rPr>
        <w:t>’</w:t>
      </w:r>
      <w:r w:rsidRPr="004573F6">
        <w:rPr>
          <w:lang w:val="fr-FR"/>
        </w:rPr>
        <w:t xml:space="preserve">avoir des effets </w:t>
      </w:r>
      <w:r>
        <w:rPr>
          <w:lang w:val="fr-FR"/>
        </w:rPr>
        <w:t>notables</w:t>
      </w:r>
      <w:r w:rsidRPr="004573F6">
        <w:rPr>
          <w:lang w:val="fr-FR"/>
        </w:rPr>
        <w:t> » plutôt qu</w:t>
      </w:r>
      <w:r>
        <w:rPr>
          <w:lang w:val="fr-FR"/>
        </w:rPr>
        <w:t>’</w:t>
      </w:r>
      <w:r w:rsidRPr="004573F6">
        <w:rPr>
          <w:lang w:val="fr-FR"/>
        </w:rPr>
        <w:t>à des « impacts », tandis que la législation canadienne fait référence à « une évaluation des effets ». Tous les répondants, sauf trois (Azerbaïdjan, Bélarus et Irlande), prennent en considération les impacts cumulatifs dans le cadre des procédures transfrontières (question I.1.6). L</w:t>
      </w:r>
      <w:r>
        <w:rPr>
          <w:lang w:val="fr-FR"/>
        </w:rPr>
        <w:t>’</w:t>
      </w:r>
      <w:r w:rsidRPr="004573F6">
        <w:rPr>
          <w:lang w:val="fr-FR"/>
        </w:rPr>
        <w:t>Azerbaïdjan et l</w:t>
      </w:r>
      <w:r>
        <w:rPr>
          <w:lang w:val="fr-FR"/>
        </w:rPr>
        <w:t>’</w:t>
      </w:r>
      <w:r w:rsidRPr="004573F6">
        <w:rPr>
          <w:lang w:val="fr-FR"/>
        </w:rPr>
        <w:t>Irlande indiquent qu</w:t>
      </w:r>
      <w:r>
        <w:rPr>
          <w:lang w:val="fr-FR"/>
        </w:rPr>
        <w:t>’</w:t>
      </w:r>
      <w:r w:rsidRPr="004573F6">
        <w:rPr>
          <w:lang w:val="fr-FR"/>
        </w:rPr>
        <w:t>ils ont mis en place des mécanismes permettant de garantir la prise en compte des impacts cumulatifs, le cas échéant. Le Bélarus ne donne pas d</w:t>
      </w:r>
      <w:r>
        <w:rPr>
          <w:lang w:val="fr-FR"/>
        </w:rPr>
        <w:t>’</w:t>
      </w:r>
      <w:r w:rsidRPr="004573F6">
        <w:rPr>
          <w:lang w:val="fr-FR"/>
        </w:rPr>
        <w:t>explication à sa réponse.</w:t>
      </w:r>
    </w:p>
    <w:p w14:paraId="4BD38DE9" w14:textId="77777777" w:rsidR="00A90AAA" w:rsidRPr="004573F6" w:rsidRDefault="00A90AAA" w:rsidP="00A90AAA">
      <w:pPr>
        <w:pStyle w:val="SingleTxtG"/>
        <w:rPr>
          <w:lang w:val="fr-FR"/>
        </w:rPr>
      </w:pPr>
      <w:r w:rsidRPr="004573F6">
        <w:rPr>
          <w:lang w:val="fr-FR"/>
        </w:rPr>
        <w:t>14.</w:t>
      </w:r>
      <w:r w:rsidRPr="004573F6">
        <w:rPr>
          <w:lang w:val="fr-FR"/>
        </w:rPr>
        <w:tab/>
        <w:t>Il est impossible, à partir des données du questionnaire, d</w:t>
      </w:r>
      <w:r>
        <w:rPr>
          <w:lang w:val="fr-FR"/>
        </w:rPr>
        <w:t>’</w:t>
      </w:r>
      <w:r w:rsidRPr="004573F6">
        <w:rPr>
          <w:lang w:val="fr-FR"/>
        </w:rPr>
        <w:t>évaluer dans quelle mesure les définitions du terme «</w:t>
      </w:r>
      <w:r>
        <w:rPr>
          <w:lang w:val="fr-FR"/>
        </w:rPr>
        <w:t> </w:t>
      </w:r>
      <w:r w:rsidRPr="004573F6">
        <w:rPr>
          <w:lang w:val="fr-FR"/>
        </w:rPr>
        <w:t>impact</w:t>
      </w:r>
      <w:r>
        <w:rPr>
          <w:lang w:val="fr-FR"/>
        </w:rPr>
        <w:t> </w:t>
      </w:r>
      <w:r w:rsidRPr="004573F6">
        <w:rPr>
          <w:lang w:val="fr-FR"/>
        </w:rPr>
        <w:t>» figurant dans les législations des Parties sont compatibles, au sens strictement juridique, avec celles de la Convention. Toutefois, certaines Parties expliquent que leurs définitions du terme «</w:t>
      </w:r>
      <w:r>
        <w:rPr>
          <w:lang w:val="fr-FR"/>
        </w:rPr>
        <w:t> </w:t>
      </w:r>
      <w:r w:rsidRPr="004573F6">
        <w:rPr>
          <w:lang w:val="fr-FR"/>
        </w:rPr>
        <w:t>impact</w:t>
      </w:r>
      <w:r>
        <w:rPr>
          <w:lang w:val="fr-FR"/>
        </w:rPr>
        <w:t> </w:t>
      </w:r>
      <w:r w:rsidRPr="004573F6">
        <w:rPr>
          <w:lang w:val="fr-FR"/>
        </w:rPr>
        <w:t>» sont plus larges que dans la Convention. Les éléments suivants sont par exemple pris en compte dans ces définitions</w:t>
      </w:r>
      <w:r>
        <w:rPr>
          <w:lang w:val="fr-FR"/>
        </w:rPr>
        <w:t> </w:t>
      </w:r>
      <w:r w:rsidRPr="004573F6">
        <w:rPr>
          <w:lang w:val="fr-FR"/>
        </w:rPr>
        <w:t>:</w:t>
      </w:r>
    </w:p>
    <w:p w14:paraId="0DF7FCA0" w14:textId="77777777" w:rsidR="00A90AAA" w:rsidRPr="004573F6" w:rsidRDefault="00A90AAA" w:rsidP="00A90AAA">
      <w:pPr>
        <w:pStyle w:val="SingleTxtG"/>
        <w:ind w:firstLine="567"/>
        <w:rPr>
          <w:lang w:val="fr-FR"/>
        </w:rPr>
      </w:pPr>
      <w:r w:rsidRPr="004573F6">
        <w:rPr>
          <w:lang w:val="fr-FR"/>
        </w:rPr>
        <w:t>a)</w:t>
      </w:r>
      <w:r w:rsidRPr="004573F6">
        <w:rPr>
          <w:lang w:val="fr-FR"/>
        </w:rPr>
        <w:tab/>
        <w:t xml:space="preserve">Les impacts de second ordre et </w:t>
      </w:r>
      <w:r>
        <w:rPr>
          <w:lang w:val="fr-FR"/>
        </w:rPr>
        <w:t xml:space="preserve">les impacts </w:t>
      </w:r>
      <w:r w:rsidRPr="004573F6">
        <w:rPr>
          <w:lang w:val="fr-FR"/>
        </w:rPr>
        <w:t>cumulatifs</w:t>
      </w:r>
      <w:r>
        <w:rPr>
          <w:lang w:val="fr-FR"/>
        </w:rPr>
        <w:t> </w:t>
      </w:r>
      <w:r w:rsidRPr="004573F6">
        <w:rPr>
          <w:lang w:val="fr-FR"/>
        </w:rPr>
        <w:t>;</w:t>
      </w:r>
    </w:p>
    <w:p w14:paraId="7DA3412A" w14:textId="77777777" w:rsidR="00A90AAA" w:rsidRPr="004573F6" w:rsidRDefault="00A90AAA" w:rsidP="00A90AAA">
      <w:pPr>
        <w:pStyle w:val="SingleTxtG"/>
        <w:ind w:firstLine="567"/>
        <w:rPr>
          <w:lang w:val="fr-FR"/>
        </w:rPr>
      </w:pPr>
      <w:r w:rsidRPr="004573F6">
        <w:rPr>
          <w:lang w:val="fr-FR"/>
        </w:rPr>
        <w:t>b)</w:t>
      </w:r>
      <w:r w:rsidRPr="004573F6">
        <w:rPr>
          <w:lang w:val="fr-FR"/>
        </w:rPr>
        <w:tab/>
        <w:t>Les structures et physionomies urbaines</w:t>
      </w:r>
      <w:r>
        <w:rPr>
          <w:lang w:val="fr-FR"/>
        </w:rPr>
        <w:t> </w:t>
      </w:r>
      <w:r w:rsidRPr="004573F6">
        <w:rPr>
          <w:lang w:val="fr-FR"/>
        </w:rPr>
        <w:t>;</w:t>
      </w:r>
    </w:p>
    <w:p w14:paraId="7B07ED8D" w14:textId="77777777" w:rsidR="00A90AAA" w:rsidRPr="004573F6" w:rsidRDefault="00A90AAA" w:rsidP="00A90AAA">
      <w:pPr>
        <w:pStyle w:val="SingleTxtG"/>
        <w:ind w:firstLine="567"/>
        <w:rPr>
          <w:lang w:val="fr-FR"/>
        </w:rPr>
      </w:pPr>
      <w:r w:rsidRPr="004573F6">
        <w:rPr>
          <w:lang w:val="fr-FR"/>
        </w:rPr>
        <w:t>c)</w:t>
      </w:r>
      <w:r w:rsidRPr="004573F6">
        <w:rPr>
          <w:lang w:val="fr-FR"/>
        </w:rPr>
        <w:tab/>
        <w:t>Les risques naturels.</w:t>
      </w:r>
    </w:p>
    <w:p w14:paraId="7A313FD1" w14:textId="6F6087BA" w:rsidR="00A90AAA" w:rsidRPr="004573F6" w:rsidRDefault="00A90AAA" w:rsidP="00A90AAA">
      <w:pPr>
        <w:pStyle w:val="SingleTxtG"/>
        <w:rPr>
          <w:lang w:val="fr-FR"/>
        </w:rPr>
      </w:pPr>
      <w:r w:rsidRPr="004573F6">
        <w:rPr>
          <w:lang w:val="fr-FR"/>
        </w:rPr>
        <w:t>15.</w:t>
      </w:r>
      <w:r w:rsidRPr="004573F6">
        <w:rPr>
          <w:lang w:val="fr-FR"/>
        </w:rPr>
        <w:tab/>
        <w:t xml:space="preserve">Dans </w:t>
      </w:r>
      <w:r w:rsidRPr="00AC53DD">
        <w:rPr>
          <w:lang w:val="fr-FR"/>
        </w:rPr>
        <w:t>la question I.1.3,</w:t>
      </w:r>
      <w:r w:rsidRPr="004573F6">
        <w:rPr>
          <w:lang w:val="fr-FR"/>
        </w:rPr>
        <w:t xml:space="preserve"> il est demandé de préciser comment est définie la notion de « modification sensible</w:t>
      </w:r>
      <w:r>
        <w:rPr>
          <w:lang w:val="fr-FR"/>
        </w:rPr>
        <w:t> </w:t>
      </w:r>
      <w:r w:rsidRPr="004573F6">
        <w:rPr>
          <w:lang w:val="fr-FR"/>
        </w:rPr>
        <w:t>» dans la législation nationale. Un certain nombre de répondants (12) déclarent ne pas l</w:t>
      </w:r>
      <w:r>
        <w:rPr>
          <w:lang w:val="fr-FR"/>
        </w:rPr>
        <w:t>’</w:t>
      </w:r>
      <w:r w:rsidRPr="004573F6">
        <w:rPr>
          <w:lang w:val="fr-FR"/>
        </w:rPr>
        <w:t>utiliser, mais dans la plupart des cas, ils donnent des exemples d</w:t>
      </w:r>
      <w:r>
        <w:rPr>
          <w:lang w:val="fr-FR"/>
        </w:rPr>
        <w:t>’</w:t>
      </w:r>
      <w:r w:rsidRPr="004573F6">
        <w:rPr>
          <w:lang w:val="fr-FR"/>
        </w:rPr>
        <w:t>autres notions qu</w:t>
      </w:r>
      <w:r>
        <w:rPr>
          <w:lang w:val="fr-FR"/>
        </w:rPr>
        <w:t>’</w:t>
      </w:r>
      <w:r w:rsidRPr="004573F6">
        <w:rPr>
          <w:lang w:val="fr-FR"/>
        </w:rPr>
        <w:t>ils utilisent. Certains indiquent qu</w:t>
      </w:r>
      <w:r>
        <w:rPr>
          <w:lang w:val="fr-FR"/>
        </w:rPr>
        <w:t>’</w:t>
      </w:r>
      <w:r w:rsidRPr="004573F6">
        <w:rPr>
          <w:lang w:val="fr-FR"/>
        </w:rPr>
        <w:t xml:space="preserve">ils utilisent des seuils (12), des critères (12) ou une analyse au cas par cas (13) pour déterminer si des </w:t>
      </w:r>
      <w:r>
        <w:rPr>
          <w:lang w:val="fr-FR"/>
        </w:rPr>
        <w:t>modifications sensibles</w:t>
      </w:r>
      <w:r w:rsidRPr="004573F6">
        <w:rPr>
          <w:lang w:val="fr-FR"/>
        </w:rPr>
        <w:t xml:space="preserve"> seront apporté</w:t>
      </w:r>
      <w:r>
        <w:rPr>
          <w:lang w:val="fr-FR"/>
        </w:rPr>
        <w:t>e</w:t>
      </w:r>
      <w:r w:rsidRPr="004573F6">
        <w:rPr>
          <w:lang w:val="fr-FR"/>
        </w:rPr>
        <w:t xml:space="preserve">s à un projet existant, et </w:t>
      </w:r>
      <w:r>
        <w:rPr>
          <w:lang w:val="fr-FR"/>
        </w:rPr>
        <w:t>7</w:t>
      </w:r>
      <w:r>
        <w:rPr>
          <w:lang w:val="fr-FR"/>
        </w:rPr>
        <w:t> </w:t>
      </w:r>
      <w:r w:rsidRPr="004573F6">
        <w:rPr>
          <w:lang w:val="fr-FR"/>
        </w:rPr>
        <w:t>répondants disent recourir à une combinaison de ces méthodes. Par exemple, le Canada indique qu</w:t>
      </w:r>
      <w:r>
        <w:rPr>
          <w:lang w:val="fr-FR"/>
        </w:rPr>
        <w:t>’</w:t>
      </w:r>
      <w:r w:rsidRPr="004573F6">
        <w:rPr>
          <w:lang w:val="fr-FR"/>
        </w:rPr>
        <w:t>il utilise des seuils et des critères, en plus des consultations menées avec les Parties potentiellement touchées. La Pologne fait observer que, pour déterminer si une proposition entraîne un</w:t>
      </w:r>
      <w:r>
        <w:rPr>
          <w:lang w:val="fr-FR"/>
        </w:rPr>
        <w:t>e</w:t>
      </w:r>
      <w:r w:rsidRPr="004573F6">
        <w:rPr>
          <w:lang w:val="fr-FR"/>
        </w:rPr>
        <w:t xml:space="preserve"> </w:t>
      </w:r>
      <w:r>
        <w:rPr>
          <w:lang w:val="fr-FR"/>
        </w:rPr>
        <w:t>modification sensible</w:t>
      </w:r>
      <w:r w:rsidRPr="004573F6">
        <w:rPr>
          <w:lang w:val="fr-FR"/>
        </w:rPr>
        <w:t>, l</w:t>
      </w:r>
      <w:r>
        <w:rPr>
          <w:lang w:val="fr-FR"/>
        </w:rPr>
        <w:t>’</w:t>
      </w:r>
      <w:r w:rsidRPr="004573F6">
        <w:rPr>
          <w:lang w:val="fr-FR"/>
        </w:rPr>
        <w:t>autorité compétente peut tenir compte des caractéristiques de l</w:t>
      </w:r>
      <w:r>
        <w:rPr>
          <w:lang w:val="fr-FR"/>
        </w:rPr>
        <w:t>’</w:t>
      </w:r>
      <w:r w:rsidRPr="004573F6">
        <w:rPr>
          <w:lang w:val="fr-FR"/>
        </w:rPr>
        <w:t>activité proposée, du type de technologie utilisée et des caractéristiques de celle-ci, des caractéristiques de l</w:t>
      </w:r>
      <w:r>
        <w:rPr>
          <w:lang w:val="fr-FR"/>
        </w:rPr>
        <w:t>’</w:t>
      </w:r>
      <w:r w:rsidRPr="004573F6">
        <w:rPr>
          <w:lang w:val="fr-FR"/>
        </w:rPr>
        <w:t xml:space="preserve">environnement potentiellement </w:t>
      </w:r>
      <w:r w:rsidRPr="004573F6">
        <w:rPr>
          <w:lang w:val="fr-FR"/>
        </w:rPr>
        <w:lastRenderedPageBreak/>
        <w:t>touché, de l</w:t>
      </w:r>
      <w:r>
        <w:rPr>
          <w:lang w:val="fr-FR"/>
        </w:rPr>
        <w:t>’</w:t>
      </w:r>
      <w:r w:rsidRPr="004573F6">
        <w:rPr>
          <w:lang w:val="fr-FR"/>
        </w:rPr>
        <w:t xml:space="preserve">ampleur </w:t>
      </w:r>
      <w:r>
        <w:rPr>
          <w:lang w:val="fr-FR"/>
        </w:rPr>
        <w:t>des modifications</w:t>
      </w:r>
      <w:r w:rsidRPr="004573F6">
        <w:rPr>
          <w:lang w:val="fr-FR"/>
        </w:rPr>
        <w:t xml:space="preserve"> et d</w:t>
      </w:r>
      <w:r>
        <w:rPr>
          <w:lang w:val="fr-FR"/>
        </w:rPr>
        <w:t>’</w:t>
      </w:r>
      <w:r w:rsidRPr="004573F6">
        <w:rPr>
          <w:lang w:val="fr-FR"/>
        </w:rPr>
        <w:t>autres facteurs importants pour la zone concernée.</w:t>
      </w:r>
    </w:p>
    <w:p w14:paraId="4E6A3008" w14:textId="77777777" w:rsidR="00A90AAA" w:rsidRPr="004573F6" w:rsidRDefault="00A90AAA" w:rsidP="00A90AAA">
      <w:pPr>
        <w:pStyle w:val="SingleTxtG"/>
        <w:rPr>
          <w:lang w:val="fr-FR"/>
        </w:rPr>
      </w:pPr>
      <w:r w:rsidRPr="004573F6">
        <w:rPr>
          <w:lang w:val="fr-FR"/>
        </w:rPr>
        <w:t>16.</w:t>
      </w:r>
      <w:r w:rsidRPr="004573F6">
        <w:rPr>
          <w:lang w:val="fr-FR"/>
        </w:rPr>
        <w:tab/>
        <w:t xml:space="preserve">Trente pays </w:t>
      </w:r>
      <w:r>
        <w:rPr>
          <w:lang w:val="fr-FR"/>
        </w:rPr>
        <w:t>identifient</w:t>
      </w:r>
      <w:r w:rsidRPr="004573F6">
        <w:rPr>
          <w:lang w:val="fr-FR"/>
        </w:rPr>
        <w:t xml:space="preserve"> «</w:t>
      </w:r>
      <w:r>
        <w:rPr>
          <w:lang w:val="fr-FR"/>
        </w:rPr>
        <w:t> </w:t>
      </w:r>
      <w:r w:rsidRPr="004573F6">
        <w:rPr>
          <w:lang w:val="fr-FR"/>
        </w:rPr>
        <w:t>le public de la Partie touchée dans les zones susceptibles d</w:t>
      </w:r>
      <w:r>
        <w:rPr>
          <w:lang w:val="fr-FR"/>
        </w:rPr>
        <w:t>’</w:t>
      </w:r>
      <w:r w:rsidRPr="004573F6">
        <w:rPr>
          <w:lang w:val="fr-FR"/>
        </w:rPr>
        <w:t>être touchées</w:t>
      </w:r>
      <w:r>
        <w:rPr>
          <w:lang w:val="fr-FR"/>
        </w:rPr>
        <w:t> </w:t>
      </w:r>
      <w:r w:rsidRPr="004573F6">
        <w:rPr>
          <w:lang w:val="fr-FR"/>
        </w:rPr>
        <w:t>» (question I.1.4) en fonction de la localisation géographique du projet, et</w:t>
      </w:r>
      <w:r>
        <w:rPr>
          <w:lang w:val="fr-FR"/>
        </w:rPr>
        <w:t> </w:t>
      </w:r>
      <w:r w:rsidRPr="004573F6">
        <w:rPr>
          <w:lang w:val="fr-FR"/>
        </w:rPr>
        <w:t>29 en mettant les informations à la disposition de tous les membres du public et en laissant le public visé se manifester. Les autres méthodes utilisées sont notamment la prise en considération de l</w:t>
      </w:r>
      <w:r>
        <w:rPr>
          <w:lang w:val="fr-FR"/>
        </w:rPr>
        <w:t>’</w:t>
      </w:r>
      <w:r w:rsidRPr="004573F6">
        <w:rPr>
          <w:lang w:val="fr-FR"/>
        </w:rPr>
        <w:t>étendue et de l</w:t>
      </w:r>
      <w:r>
        <w:rPr>
          <w:lang w:val="fr-FR"/>
        </w:rPr>
        <w:t>’</w:t>
      </w:r>
      <w:r w:rsidRPr="004573F6">
        <w:rPr>
          <w:lang w:val="fr-FR"/>
        </w:rPr>
        <w:t>importance des impacts potentiels (Estonie et Royaume</w:t>
      </w:r>
      <w:r>
        <w:rPr>
          <w:lang w:val="fr-FR"/>
        </w:rPr>
        <w:noBreakHyphen/>
      </w:r>
      <w:r w:rsidRPr="004573F6">
        <w:rPr>
          <w:lang w:val="fr-FR"/>
        </w:rPr>
        <w:t>Uni de Grande-Bretagne et d</w:t>
      </w:r>
      <w:r>
        <w:rPr>
          <w:lang w:val="fr-FR"/>
        </w:rPr>
        <w:t>’</w:t>
      </w:r>
      <w:r w:rsidRPr="004573F6">
        <w:rPr>
          <w:lang w:val="fr-FR"/>
        </w:rPr>
        <w:t>Irlande du Nord) et l</w:t>
      </w:r>
      <w:r>
        <w:rPr>
          <w:lang w:val="fr-FR"/>
        </w:rPr>
        <w:t>e</w:t>
      </w:r>
      <w:r w:rsidRPr="004573F6">
        <w:rPr>
          <w:lang w:val="fr-FR"/>
        </w:rPr>
        <w:t xml:space="preserve"> r</w:t>
      </w:r>
      <w:r>
        <w:rPr>
          <w:lang w:val="fr-FR"/>
        </w:rPr>
        <w:t>ecours</w:t>
      </w:r>
      <w:r w:rsidRPr="004573F6">
        <w:rPr>
          <w:lang w:val="fr-FR"/>
        </w:rPr>
        <w:t xml:space="preserve"> à une définition de </w:t>
      </w:r>
      <w:r>
        <w:rPr>
          <w:lang w:val="fr-FR"/>
        </w:rPr>
        <w:t>des</w:t>
      </w:r>
      <w:r w:rsidRPr="004573F6">
        <w:rPr>
          <w:lang w:val="fr-FR"/>
        </w:rPr>
        <w:t xml:space="preserve"> caractéristique</w:t>
      </w:r>
      <w:r>
        <w:rPr>
          <w:lang w:val="fr-FR"/>
        </w:rPr>
        <w:t>s</w:t>
      </w:r>
      <w:r w:rsidRPr="004573F6">
        <w:rPr>
          <w:lang w:val="fr-FR"/>
        </w:rPr>
        <w:t xml:space="preserve"> </w:t>
      </w:r>
      <w:r>
        <w:rPr>
          <w:lang w:val="fr-FR"/>
        </w:rPr>
        <w:t>qu’un public donné doit présenter</w:t>
      </w:r>
      <w:r w:rsidRPr="004573F6">
        <w:rPr>
          <w:lang w:val="fr-FR"/>
        </w:rPr>
        <w:t xml:space="preserve"> pour </w:t>
      </w:r>
      <w:r>
        <w:rPr>
          <w:lang w:val="fr-FR"/>
        </w:rPr>
        <w:t>être considéré comme</w:t>
      </w:r>
      <w:r w:rsidRPr="004573F6">
        <w:rPr>
          <w:lang w:val="fr-FR"/>
        </w:rPr>
        <w:t xml:space="preserve"> « public concerné » (Tchéquie).</w:t>
      </w:r>
    </w:p>
    <w:p w14:paraId="5AC18D87" w14:textId="687F2056" w:rsidR="00A90AAA" w:rsidRPr="004573F6" w:rsidRDefault="00A90AAA" w:rsidP="00A90AAA">
      <w:pPr>
        <w:pStyle w:val="SingleTxtG"/>
        <w:rPr>
          <w:lang w:val="fr-FR"/>
        </w:rPr>
      </w:pPr>
      <w:r w:rsidRPr="004573F6">
        <w:rPr>
          <w:lang w:val="fr-FR"/>
        </w:rPr>
        <w:t>17.</w:t>
      </w:r>
      <w:r w:rsidRPr="004573F6">
        <w:rPr>
          <w:lang w:val="fr-FR"/>
        </w:rPr>
        <w:tab/>
        <w:t>Le tableau</w:t>
      </w:r>
      <w:r>
        <w:rPr>
          <w:lang w:val="fr-FR"/>
        </w:rPr>
        <w:t> </w:t>
      </w:r>
      <w:r w:rsidRPr="004573F6">
        <w:rPr>
          <w:lang w:val="fr-FR"/>
        </w:rPr>
        <w:t>1 récapitule les méthodes utilisées pour déterminer «</w:t>
      </w:r>
      <w:r>
        <w:rPr>
          <w:lang w:val="fr-FR"/>
        </w:rPr>
        <w:t> </w:t>
      </w:r>
      <w:r w:rsidRPr="004573F6">
        <w:rPr>
          <w:lang w:val="fr-FR"/>
        </w:rPr>
        <w:t>l</w:t>
      </w:r>
      <w:r>
        <w:rPr>
          <w:lang w:val="fr-FR"/>
        </w:rPr>
        <w:t>’</w:t>
      </w:r>
      <w:r w:rsidRPr="004573F6">
        <w:rPr>
          <w:lang w:val="fr-FR"/>
        </w:rPr>
        <w:t>importance » de l</w:t>
      </w:r>
      <w:r>
        <w:rPr>
          <w:lang w:val="fr-FR"/>
        </w:rPr>
        <w:t>’</w:t>
      </w:r>
      <w:r w:rsidRPr="004573F6">
        <w:rPr>
          <w:lang w:val="fr-FR"/>
        </w:rPr>
        <w:t>impact que les activités relevant du champ d</w:t>
      </w:r>
      <w:r>
        <w:rPr>
          <w:lang w:val="fr-FR"/>
        </w:rPr>
        <w:t>’</w:t>
      </w:r>
      <w:r w:rsidRPr="004573F6">
        <w:rPr>
          <w:lang w:val="fr-FR"/>
        </w:rPr>
        <w:t>application de la Convention peuvent avoir sur l</w:t>
      </w:r>
      <w:r>
        <w:rPr>
          <w:lang w:val="fr-FR"/>
        </w:rPr>
        <w:t>’</w:t>
      </w:r>
      <w:r w:rsidRPr="004573F6">
        <w:rPr>
          <w:lang w:val="fr-FR"/>
        </w:rPr>
        <w:t>environnement (question I.1.5).</w:t>
      </w:r>
    </w:p>
    <w:p w14:paraId="4E5F6017" w14:textId="10DE4724" w:rsidR="00A90AAA" w:rsidRPr="007E069C" w:rsidRDefault="00A90AAA" w:rsidP="00A90AAA">
      <w:pPr>
        <w:pStyle w:val="Titre1"/>
        <w:spacing w:after="120"/>
        <w:rPr>
          <w:lang w:val="fr-FR"/>
        </w:rPr>
      </w:pPr>
      <w:r w:rsidRPr="004573F6">
        <w:rPr>
          <w:lang w:val="fr-FR"/>
        </w:rPr>
        <w:t>Tableau</w:t>
      </w:r>
      <w:r>
        <w:rPr>
          <w:lang w:val="fr-FR"/>
        </w:rPr>
        <w:t> </w:t>
      </w:r>
      <w:r w:rsidRPr="004573F6">
        <w:rPr>
          <w:lang w:val="fr-FR"/>
        </w:rPr>
        <w:t>1</w:t>
      </w:r>
      <w:r>
        <w:rPr>
          <w:lang w:val="fr-FR"/>
        </w:rPr>
        <w:br/>
      </w:r>
      <w:r w:rsidRPr="004573F6">
        <w:rPr>
          <w:b/>
          <w:bCs/>
          <w:lang w:val="fr-FR"/>
        </w:rPr>
        <w:t>Méthodes utilisées pour déterminer l</w:t>
      </w:r>
      <w:r>
        <w:rPr>
          <w:b/>
          <w:bCs/>
          <w:lang w:val="fr-FR"/>
        </w:rPr>
        <w:t>’</w:t>
      </w:r>
      <w:r w:rsidRPr="004573F6">
        <w:rPr>
          <w:b/>
          <w:bCs/>
          <w:lang w:val="fr-FR"/>
        </w:rPr>
        <w:t>importance</w:t>
      </w:r>
      <w:r w:rsidRPr="004573F6">
        <w:rPr>
          <w:b/>
          <w:bCs/>
          <w:i/>
          <w:iCs/>
          <w:lang w:val="fr-FR"/>
        </w:rPr>
        <w:t xml:space="preserve"> </w:t>
      </w:r>
      <w:r w:rsidRPr="004573F6">
        <w:rPr>
          <w:b/>
          <w:bCs/>
          <w:lang w:val="fr-FR"/>
        </w:rPr>
        <w:t>(n=38)</w:t>
      </w:r>
    </w:p>
    <w:tbl>
      <w:tblPr>
        <w:tblW w:w="7370" w:type="dxa"/>
        <w:tblInd w:w="1134" w:type="dxa"/>
        <w:tblLayout w:type="fixed"/>
        <w:tblCellMar>
          <w:left w:w="0" w:type="dxa"/>
          <w:right w:w="0" w:type="dxa"/>
        </w:tblCellMar>
        <w:tblLook w:val="04A0" w:firstRow="1" w:lastRow="0" w:firstColumn="1" w:lastColumn="0" w:noHBand="0" w:noVBand="1"/>
      </w:tblPr>
      <w:tblGrid>
        <w:gridCol w:w="4676"/>
        <w:gridCol w:w="2694"/>
      </w:tblGrid>
      <w:tr w:rsidR="00A90AAA" w:rsidRPr="007E069C" w14:paraId="3D987249" w14:textId="77777777" w:rsidTr="007F6BCD">
        <w:trPr>
          <w:tblHeader/>
        </w:trPr>
        <w:tc>
          <w:tcPr>
            <w:tcW w:w="4676" w:type="dxa"/>
            <w:tcBorders>
              <w:top w:val="single" w:sz="4" w:space="0" w:color="auto"/>
              <w:bottom w:val="single" w:sz="12" w:space="0" w:color="auto"/>
            </w:tcBorders>
            <w:shd w:val="clear" w:color="auto" w:fill="auto"/>
            <w:vAlign w:val="bottom"/>
          </w:tcPr>
          <w:p w14:paraId="3BF62959" w14:textId="77777777" w:rsidR="00A90AAA" w:rsidRPr="007E069C" w:rsidRDefault="00A90AAA" w:rsidP="007F6BCD">
            <w:pPr>
              <w:suppressAutoHyphens w:val="0"/>
              <w:spacing w:before="80" w:after="80" w:line="200" w:lineRule="exact"/>
              <w:rPr>
                <w:i/>
                <w:sz w:val="16"/>
                <w:lang w:val="fr-FR"/>
              </w:rPr>
            </w:pPr>
            <w:r w:rsidRPr="007E069C">
              <w:rPr>
                <w:i/>
                <w:sz w:val="16"/>
                <w:lang w:val="fr-FR"/>
              </w:rPr>
              <w:t>Méthode</w:t>
            </w:r>
          </w:p>
        </w:tc>
        <w:tc>
          <w:tcPr>
            <w:tcW w:w="2694" w:type="dxa"/>
            <w:tcBorders>
              <w:top w:val="single" w:sz="4" w:space="0" w:color="auto"/>
              <w:bottom w:val="single" w:sz="12" w:space="0" w:color="auto"/>
            </w:tcBorders>
            <w:shd w:val="clear" w:color="auto" w:fill="auto"/>
            <w:vAlign w:val="bottom"/>
          </w:tcPr>
          <w:p w14:paraId="6D9D10BF" w14:textId="77777777" w:rsidR="00A90AAA" w:rsidRPr="007E069C" w:rsidRDefault="00A90AAA" w:rsidP="007F6BCD">
            <w:pPr>
              <w:suppressAutoHyphens w:val="0"/>
              <w:spacing w:before="80" w:after="80" w:line="200" w:lineRule="exact"/>
              <w:jc w:val="right"/>
              <w:rPr>
                <w:i/>
                <w:sz w:val="16"/>
                <w:lang w:val="fr-FR"/>
              </w:rPr>
            </w:pPr>
            <w:r w:rsidRPr="007E069C">
              <w:rPr>
                <w:i/>
                <w:sz w:val="16"/>
                <w:lang w:val="fr-FR"/>
              </w:rPr>
              <w:t>Nombre de répondants</w:t>
            </w:r>
          </w:p>
        </w:tc>
      </w:tr>
      <w:tr w:rsidR="00A90AAA" w:rsidRPr="007E069C" w14:paraId="13CC12BE" w14:textId="77777777" w:rsidTr="007F6BCD">
        <w:trPr>
          <w:trHeight w:hRule="exact" w:val="113"/>
        </w:trPr>
        <w:tc>
          <w:tcPr>
            <w:tcW w:w="4676" w:type="dxa"/>
            <w:tcBorders>
              <w:top w:val="single" w:sz="12" w:space="0" w:color="auto"/>
            </w:tcBorders>
            <w:shd w:val="clear" w:color="auto" w:fill="auto"/>
          </w:tcPr>
          <w:p w14:paraId="1C6540F3" w14:textId="77777777" w:rsidR="00A90AAA" w:rsidRPr="007E069C" w:rsidRDefault="00A90AAA" w:rsidP="007F6BCD">
            <w:pPr>
              <w:suppressAutoHyphens w:val="0"/>
              <w:spacing w:before="40" w:after="40" w:line="220" w:lineRule="exact"/>
              <w:rPr>
                <w:sz w:val="18"/>
                <w:lang w:val="fr-FR"/>
              </w:rPr>
            </w:pPr>
          </w:p>
        </w:tc>
        <w:tc>
          <w:tcPr>
            <w:tcW w:w="2694" w:type="dxa"/>
            <w:tcBorders>
              <w:top w:val="single" w:sz="12" w:space="0" w:color="auto"/>
            </w:tcBorders>
            <w:shd w:val="clear" w:color="auto" w:fill="auto"/>
            <w:vAlign w:val="bottom"/>
          </w:tcPr>
          <w:p w14:paraId="7379695D" w14:textId="77777777" w:rsidR="00A90AAA" w:rsidRPr="007E069C" w:rsidRDefault="00A90AAA" w:rsidP="007F6BCD">
            <w:pPr>
              <w:suppressAutoHyphens w:val="0"/>
              <w:spacing w:before="40" w:after="40" w:line="220" w:lineRule="exact"/>
              <w:jc w:val="right"/>
              <w:rPr>
                <w:sz w:val="18"/>
                <w:lang w:val="fr-FR"/>
              </w:rPr>
            </w:pPr>
          </w:p>
        </w:tc>
      </w:tr>
      <w:tr w:rsidR="00A90AAA" w:rsidRPr="007E069C" w14:paraId="5D6B5059" w14:textId="77777777" w:rsidTr="007F6BCD">
        <w:tc>
          <w:tcPr>
            <w:tcW w:w="4676" w:type="dxa"/>
            <w:shd w:val="clear" w:color="auto" w:fill="auto"/>
          </w:tcPr>
          <w:p w14:paraId="16F7C38A" w14:textId="77777777" w:rsidR="00A90AAA" w:rsidRPr="007E069C" w:rsidRDefault="00A90AAA" w:rsidP="007F6BCD">
            <w:pPr>
              <w:suppressAutoHyphens w:val="0"/>
              <w:spacing w:before="40" w:after="40" w:line="220" w:lineRule="exact"/>
              <w:rPr>
                <w:sz w:val="18"/>
                <w:lang w:val="fr-FR"/>
              </w:rPr>
            </w:pPr>
            <w:r w:rsidRPr="007E069C">
              <w:rPr>
                <w:sz w:val="18"/>
                <w:lang w:val="fr-FR"/>
              </w:rPr>
              <w:t>Seuils</w:t>
            </w:r>
          </w:p>
        </w:tc>
        <w:tc>
          <w:tcPr>
            <w:tcW w:w="2694" w:type="dxa"/>
            <w:shd w:val="clear" w:color="auto" w:fill="auto"/>
            <w:vAlign w:val="bottom"/>
          </w:tcPr>
          <w:p w14:paraId="3A1547AB"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25</w:t>
            </w:r>
          </w:p>
        </w:tc>
      </w:tr>
      <w:tr w:rsidR="00A90AAA" w:rsidRPr="007E069C" w14:paraId="4B37634D" w14:textId="77777777" w:rsidTr="007F6BCD">
        <w:tc>
          <w:tcPr>
            <w:tcW w:w="4676" w:type="dxa"/>
            <w:shd w:val="clear" w:color="auto" w:fill="auto"/>
          </w:tcPr>
          <w:p w14:paraId="78F64F61" w14:textId="77777777" w:rsidR="00A90AAA" w:rsidRPr="007E069C" w:rsidRDefault="00A90AAA" w:rsidP="007F6BCD">
            <w:pPr>
              <w:suppressAutoHyphens w:val="0"/>
              <w:spacing w:before="40" w:after="40" w:line="220" w:lineRule="exact"/>
              <w:rPr>
                <w:sz w:val="18"/>
                <w:lang w:val="fr-FR"/>
              </w:rPr>
            </w:pPr>
            <w:r w:rsidRPr="007E069C">
              <w:rPr>
                <w:sz w:val="18"/>
                <w:lang w:val="fr-FR"/>
              </w:rPr>
              <w:t>Critères liés à la localisation géographique des activités</w:t>
            </w:r>
          </w:p>
        </w:tc>
        <w:tc>
          <w:tcPr>
            <w:tcW w:w="2694" w:type="dxa"/>
            <w:shd w:val="clear" w:color="auto" w:fill="auto"/>
            <w:vAlign w:val="bottom"/>
          </w:tcPr>
          <w:p w14:paraId="1C502F68"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31</w:t>
            </w:r>
          </w:p>
        </w:tc>
      </w:tr>
      <w:tr w:rsidR="00A90AAA" w:rsidRPr="007E069C" w14:paraId="66C10BF2" w14:textId="77777777" w:rsidTr="007F6BCD">
        <w:tc>
          <w:tcPr>
            <w:tcW w:w="4676" w:type="dxa"/>
            <w:shd w:val="clear" w:color="auto" w:fill="auto"/>
          </w:tcPr>
          <w:p w14:paraId="26E9557E" w14:textId="77777777" w:rsidR="00A90AAA" w:rsidRPr="007E069C" w:rsidRDefault="00A90AAA" w:rsidP="007F6BCD">
            <w:pPr>
              <w:suppressAutoHyphens w:val="0"/>
              <w:spacing w:before="40" w:after="40" w:line="220" w:lineRule="exact"/>
              <w:rPr>
                <w:sz w:val="18"/>
                <w:lang w:val="fr-FR"/>
              </w:rPr>
            </w:pPr>
            <w:r w:rsidRPr="007E069C">
              <w:rPr>
                <w:sz w:val="18"/>
                <w:lang w:val="fr-FR"/>
              </w:rPr>
              <w:t>Critères liés à la nature de l</w:t>
            </w:r>
            <w:r>
              <w:rPr>
                <w:sz w:val="18"/>
                <w:lang w:val="fr-FR"/>
              </w:rPr>
              <w:t>’</w:t>
            </w:r>
            <w:r w:rsidRPr="007E069C">
              <w:rPr>
                <w:sz w:val="18"/>
                <w:lang w:val="fr-FR"/>
              </w:rPr>
              <w:t>activité proposée</w:t>
            </w:r>
          </w:p>
        </w:tc>
        <w:tc>
          <w:tcPr>
            <w:tcW w:w="2694" w:type="dxa"/>
            <w:shd w:val="clear" w:color="auto" w:fill="auto"/>
            <w:vAlign w:val="bottom"/>
          </w:tcPr>
          <w:p w14:paraId="6081986A"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26</w:t>
            </w:r>
          </w:p>
        </w:tc>
      </w:tr>
      <w:tr w:rsidR="00A90AAA" w:rsidRPr="007E069C" w14:paraId="37193936" w14:textId="77777777" w:rsidTr="007F6BCD">
        <w:tc>
          <w:tcPr>
            <w:tcW w:w="4676" w:type="dxa"/>
            <w:shd w:val="clear" w:color="auto" w:fill="auto"/>
          </w:tcPr>
          <w:p w14:paraId="16F44345" w14:textId="77777777" w:rsidR="00A90AAA" w:rsidRPr="007E069C" w:rsidRDefault="00A90AAA" w:rsidP="007F6BCD">
            <w:pPr>
              <w:suppressAutoHyphens w:val="0"/>
              <w:spacing w:before="40" w:after="40" w:line="220" w:lineRule="exact"/>
              <w:rPr>
                <w:sz w:val="18"/>
                <w:lang w:val="fr-FR"/>
              </w:rPr>
            </w:pPr>
            <w:r w:rsidRPr="007E069C">
              <w:rPr>
                <w:sz w:val="18"/>
                <w:lang w:val="fr-FR"/>
              </w:rPr>
              <w:t>Critères liés à l</w:t>
            </w:r>
            <w:r>
              <w:rPr>
                <w:sz w:val="18"/>
                <w:lang w:val="fr-FR"/>
              </w:rPr>
              <w:t>’</w:t>
            </w:r>
            <w:r w:rsidRPr="007E069C">
              <w:rPr>
                <w:sz w:val="18"/>
                <w:lang w:val="fr-FR"/>
              </w:rPr>
              <w:t>ampleur de l</w:t>
            </w:r>
            <w:r>
              <w:rPr>
                <w:sz w:val="18"/>
                <w:lang w:val="fr-FR"/>
              </w:rPr>
              <w:t>’</w:t>
            </w:r>
            <w:r w:rsidRPr="007E069C">
              <w:rPr>
                <w:sz w:val="18"/>
                <w:lang w:val="fr-FR"/>
              </w:rPr>
              <w:t>activité proposée</w:t>
            </w:r>
          </w:p>
        </w:tc>
        <w:tc>
          <w:tcPr>
            <w:tcW w:w="2694" w:type="dxa"/>
            <w:shd w:val="clear" w:color="auto" w:fill="auto"/>
            <w:vAlign w:val="bottom"/>
          </w:tcPr>
          <w:p w14:paraId="33C56750"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25</w:t>
            </w:r>
          </w:p>
        </w:tc>
      </w:tr>
      <w:tr w:rsidR="00A90AAA" w:rsidRPr="007E069C" w14:paraId="4BF8A597" w14:textId="77777777" w:rsidTr="007F6BCD">
        <w:tc>
          <w:tcPr>
            <w:tcW w:w="4676" w:type="dxa"/>
            <w:shd w:val="clear" w:color="auto" w:fill="auto"/>
          </w:tcPr>
          <w:p w14:paraId="5DB49B97" w14:textId="77777777" w:rsidR="00A90AAA" w:rsidRPr="007E069C" w:rsidRDefault="00A90AAA" w:rsidP="007F6BCD">
            <w:pPr>
              <w:suppressAutoHyphens w:val="0"/>
              <w:spacing w:before="40" w:after="40" w:line="220" w:lineRule="exact"/>
              <w:rPr>
                <w:sz w:val="18"/>
                <w:lang w:val="fr-FR"/>
              </w:rPr>
            </w:pPr>
            <w:r w:rsidRPr="007E069C">
              <w:rPr>
                <w:sz w:val="18"/>
                <w:lang w:val="fr-FR"/>
              </w:rPr>
              <w:t>Critères liés aux effets des activités</w:t>
            </w:r>
          </w:p>
        </w:tc>
        <w:tc>
          <w:tcPr>
            <w:tcW w:w="2694" w:type="dxa"/>
            <w:shd w:val="clear" w:color="auto" w:fill="auto"/>
            <w:vAlign w:val="bottom"/>
          </w:tcPr>
          <w:p w14:paraId="74C1DAED"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27</w:t>
            </w:r>
          </w:p>
        </w:tc>
      </w:tr>
      <w:tr w:rsidR="00A90AAA" w:rsidRPr="007E069C" w14:paraId="1E7215E4" w14:textId="77777777" w:rsidTr="007F6BCD">
        <w:tc>
          <w:tcPr>
            <w:tcW w:w="4676" w:type="dxa"/>
            <w:tcBorders>
              <w:bottom w:val="single" w:sz="12" w:space="0" w:color="auto"/>
            </w:tcBorders>
            <w:shd w:val="clear" w:color="auto" w:fill="auto"/>
          </w:tcPr>
          <w:p w14:paraId="1CF5767D" w14:textId="77777777" w:rsidR="00A90AAA" w:rsidRPr="007E069C" w:rsidRDefault="00A90AAA" w:rsidP="007F6BCD">
            <w:pPr>
              <w:suppressAutoHyphens w:val="0"/>
              <w:spacing w:before="40" w:after="40" w:line="220" w:lineRule="exact"/>
              <w:rPr>
                <w:sz w:val="18"/>
                <w:lang w:val="fr-FR"/>
              </w:rPr>
            </w:pPr>
            <w:r w:rsidRPr="007E069C">
              <w:rPr>
                <w:sz w:val="18"/>
                <w:lang w:val="fr-FR"/>
              </w:rPr>
              <w:t>Autres</w:t>
            </w:r>
          </w:p>
        </w:tc>
        <w:tc>
          <w:tcPr>
            <w:tcW w:w="2694" w:type="dxa"/>
            <w:tcBorders>
              <w:bottom w:val="single" w:sz="12" w:space="0" w:color="auto"/>
            </w:tcBorders>
            <w:shd w:val="clear" w:color="auto" w:fill="auto"/>
            <w:vAlign w:val="bottom"/>
          </w:tcPr>
          <w:p w14:paraId="0FCF4AB7"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4</w:t>
            </w:r>
          </w:p>
        </w:tc>
      </w:tr>
    </w:tbl>
    <w:p w14:paraId="19BE8347" w14:textId="77777777" w:rsidR="00A90AAA" w:rsidRPr="004573F6" w:rsidRDefault="00A90AAA" w:rsidP="00CE06A8">
      <w:pPr>
        <w:pStyle w:val="H1G"/>
        <w:rPr>
          <w:lang w:val="fr-FR"/>
        </w:rPr>
      </w:pPr>
      <w:bookmarkStart w:id="5" w:name="_Toc13428235"/>
      <w:r w:rsidRPr="004573F6">
        <w:rPr>
          <w:lang w:val="fr-FR"/>
        </w:rPr>
        <w:tab/>
        <w:t>B.</w:t>
      </w:r>
      <w:r w:rsidRPr="004573F6">
        <w:rPr>
          <w:lang w:val="fr-FR"/>
        </w:rPr>
        <w:tab/>
        <w:t>Dispositions générales</w:t>
      </w:r>
      <w:bookmarkEnd w:id="5"/>
    </w:p>
    <w:p w14:paraId="3CBEFE27" w14:textId="77777777" w:rsidR="00A90AAA" w:rsidRPr="004573F6" w:rsidRDefault="00A90AAA" w:rsidP="00A90AAA">
      <w:pPr>
        <w:pStyle w:val="SingleTxtG"/>
        <w:rPr>
          <w:lang w:val="fr-FR"/>
        </w:rPr>
      </w:pPr>
      <w:r w:rsidRPr="004573F6">
        <w:rPr>
          <w:lang w:val="fr-FR"/>
        </w:rPr>
        <w:t>18.</w:t>
      </w:r>
      <w:r w:rsidRPr="004573F6">
        <w:rPr>
          <w:lang w:val="fr-FR"/>
        </w:rPr>
        <w:tab/>
        <w:t>Quinze répondants signalent de légères différences entre la liste des activités figurant dans leur législation et le contenu de l</w:t>
      </w:r>
      <w:r>
        <w:rPr>
          <w:lang w:val="fr-FR"/>
        </w:rPr>
        <w:t>’</w:t>
      </w:r>
      <w:r w:rsidRPr="004573F6">
        <w:rPr>
          <w:lang w:val="fr-FR"/>
        </w:rPr>
        <w:t>appendice I de la Convention (question I.2.2). Ces différences résultent principalement du fait que leur législation nationale s</w:t>
      </w:r>
      <w:r>
        <w:rPr>
          <w:lang w:val="fr-FR"/>
        </w:rPr>
        <w:t>’</w:t>
      </w:r>
      <w:r w:rsidRPr="004573F6">
        <w:rPr>
          <w:lang w:val="fr-FR"/>
        </w:rPr>
        <w:t>applique à un plus grand nombre d</w:t>
      </w:r>
      <w:r>
        <w:rPr>
          <w:lang w:val="fr-FR"/>
        </w:rPr>
        <w:t>’</w:t>
      </w:r>
      <w:r w:rsidRPr="004573F6">
        <w:rPr>
          <w:lang w:val="fr-FR"/>
        </w:rPr>
        <w:t>activités que dans l</w:t>
      </w:r>
      <w:r>
        <w:rPr>
          <w:lang w:val="fr-FR"/>
        </w:rPr>
        <w:t>’</w:t>
      </w:r>
      <w:r w:rsidRPr="004573F6">
        <w:rPr>
          <w:lang w:val="fr-FR"/>
        </w:rPr>
        <w:t>appendice I ou qu</w:t>
      </w:r>
      <w:r>
        <w:rPr>
          <w:lang w:val="fr-FR"/>
        </w:rPr>
        <w:t>’</w:t>
      </w:r>
      <w:r w:rsidRPr="004573F6">
        <w:rPr>
          <w:lang w:val="fr-FR"/>
        </w:rPr>
        <w:t>elle se conforme aux prescriptions de la législation de l</w:t>
      </w:r>
      <w:r>
        <w:rPr>
          <w:lang w:val="fr-FR"/>
        </w:rPr>
        <w:t>’</w:t>
      </w:r>
      <w:r w:rsidRPr="004573F6">
        <w:rPr>
          <w:lang w:val="fr-FR"/>
        </w:rPr>
        <w:t>Union européenne en matière d</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 xml:space="preserve">environnement. </w:t>
      </w:r>
      <w:r>
        <w:rPr>
          <w:lang w:val="fr-FR"/>
        </w:rPr>
        <w:t>L</w:t>
      </w:r>
      <w:r w:rsidRPr="004573F6">
        <w:rPr>
          <w:lang w:val="fr-FR"/>
        </w:rPr>
        <w:t xml:space="preserve">e nombre réel de pays dans lesquels il existe de légères différences est </w:t>
      </w:r>
      <w:r>
        <w:rPr>
          <w:lang w:val="fr-FR"/>
        </w:rPr>
        <w:t>en réalité supérieur à 15</w:t>
      </w:r>
      <w:r w:rsidRPr="004573F6">
        <w:rPr>
          <w:lang w:val="fr-FR"/>
        </w:rPr>
        <w:t>, car plusieurs répondants ayant sélectionné l</w:t>
      </w:r>
      <w:r>
        <w:rPr>
          <w:lang w:val="fr-FR"/>
        </w:rPr>
        <w:t>’</w:t>
      </w:r>
      <w:r w:rsidRPr="004573F6">
        <w:rPr>
          <w:lang w:val="fr-FR"/>
        </w:rPr>
        <w:t xml:space="preserve">option a) (aucune différence) ont </w:t>
      </w:r>
      <w:r>
        <w:rPr>
          <w:lang w:val="fr-FR"/>
        </w:rPr>
        <w:t xml:space="preserve">ensuite </w:t>
      </w:r>
      <w:r w:rsidRPr="004573F6">
        <w:rPr>
          <w:lang w:val="fr-FR"/>
        </w:rPr>
        <w:t>précisé que le champ d</w:t>
      </w:r>
      <w:r>
        <w:rPr>
          <w:lang w:val="fr-FR"/>
        </w:rPr>
        <w:t>’</w:t>
      </w:r>
      <w:r w:rsidRPr="004573F6">
        <w:rPr>
          <w:lang w:val="fr-FR"/>
        </w:rPr>
        <w:t>application de leurs dispositions était plus étendu.</w:t>
      </w:r>
    </w:p>
    <w:p w14:paraId="06290353" w14:textId="77777777" w:rsidR="00A90AAA" w:rsidRPr="004573F6" w:rsidRDefault="00A90AAA" w:rsidP="00A90AAA">
      <w:pPr>
        <w:pStyle w:val="SingleTxtG"/>
        <w:rPr>
          <w:lang w:val="fr-FR"/>
        </w:rPr>
      </w:pPr>
      <w:r w:rsidRPr="004573F6">
        <w:rPr>
          <w:lang w:val="fr-FR"/>
        </w:rPr>
        <w:t>19.</w:t>
      </w:r>
      <w:r w:rsidRPr="004573F6">
        <w:rPr>
          <w:lang w:val="fr-FR"/>
        </w:rPr>
        <w:tab/>
        <w:t>Aucun répondant n</w:t>
      </w:r>
      <w:r>
        <w:rPr>
          <w:lang w:val="fr-FR"/>
        </w:rPr>
        <w:t>’</w:t>
      </w:r>
      <w:r w:rsidRPr="004573F6">
        <w:rPr>
          <w:lang w:val="fr-FR"/>
        </w:rPr>
        <w:t>a signalé de lacunes (option c)) dans sa transposition des activités visées à l</w:t>
      </w:r>
      <w:r>
        <w:rPr>
          <w:lang w:val="fr-FR"/>
        </w:rPr>
        <w:t>’</w:t>
      </w:r>
      <w:r w:rsidRPr="004573F6">
        <w:rPr>
          <w:lang w:val="fr-FR"/>
        </w:rPr>
        <w:t>appendice I. Toutefois, le Luxembourg fait observer que la production d</w:t>
      </w:r>
      <w:r>
        <w:rPr>
          <w:lang w:val="fr-FR"/>
        </w:rPr>
        <w:t>’</w:t>
      </w:r>
      <w:r w:rsidRPr="004573F6">
        <w:rPr>
          <w:lang w:val="fr-FR"/>
        </w:rPr>
        <w:t>hydrocarbures en mer (point 15, première ligne) est omise car le pays n</w:t>
      </w:r>
      <w:r>
        <w:rPr>
          <w:lang w:val="fr-FR"/>
        </w:rPr>
        <w:t>’</w:t>
      </w:r>
      <w:r w:rsidRPr="004573F6">
        <w:rPr>
          <w:lang w:val="fr-FR"/>
        </w:rPr>
        <w:t>a pas de littoral. Deux autres Parties (Bélarus et Canada) indiquent que leur législation nationale ne couvre pas toutes les activités énumérées à l</w:t>
      </w:r>
      <w:r>
        <w:rPr>
          <w:lang w:val="fr-FR"/>
        </w:rPr>
        <w:t>’</w:t>
      </w:r>
      <w:r w:rsidRPr="004573F6">
        <w:rPr>
          <w:lang w:val="fr-FR"/>
        </w:rPr>
        <w:t>appendice I, mais qu</w:t>
      </w:r>
      <w:r>
        <w:rPr>
          <w:lang w:val="fr-FR"/>
        </w:rPr>
        <w:t>’</w:t>
      </w:r>
      <w:r w:rsidRPr="004573F6">
        <w:rPr>
          <w:lang w:val="fr-FR"/>
        </w:rPr>
        <w:t>ils ont établi des mécanismes permettant d</w:t>
      </w:r>
      <w:r>
        <w:rPr>
          <w:lang w:val="fr-FR"/>
        </w:rPr>
        <w:t>’</w:t>
      </w:r>
      <w:r w:rsidRPr="004573F6">
        <w:rPr>
          <w:lang w:val="fr-FR"/>
        </w:rPr>
        <w:t>analyser les activités omises afin de déterminer s</w:t>
      </w:r>
      <w:r>
        <w:rPr>
          <w:lang w:val="fr-FR"/>
        </w:rPr>
        <w:t>’</w:t>
      </w:r>
      <w:r w:rsidRPr="004573F6">
        <w:rPr>
          <w:lang w:val="fr-FR"/>
        </w:rPr>
        <w:t>il est nécessaire d</w:t>
      </w:r>
      <w:r>
        <w:rPr>
          <w:lang w:val="fr-FR"/>
        </w:rPr>
        <w:t>’</w:t>
      </w:r>
      <w:r w:rsidRPr="004573F6">
        <w:rPr>
          <w:lang w:val="fr-FR"/>
        </w:rPr>
        <w:t>évaluer leur impact sur l</w:t>
      </w:r>
      <w:r>
        <w:rPr>
          <w:lang w:val="fr-FR"/>
        </w:rPr>
        <w:t>’</w:t>
      </w:r>
      <w:r w:rsidRPr="004573F6">
        <w:rPr>
          <w:lang w:val="fr-FR"/>
        </w:rPr>
        <w:t>environnement. Il convient de noter que six des Parties ayant répondu (Arménie, Bélarus, Belgique, Bosnie-Herzégovine, Irlande et Kazakhstan) n</w:t>
      </w:r>
      <w:r>
        <w:rPr>
          <w:lang w:val="fr-FR"/>
        </w:rPr>
        <w:t>’</w:t>
      </w:r>
      <w:r w:rsidRPr="004573F6">
        <w:rPr>
          <w:lang w:val="fr-FR"/>
        </w:rPr>
        <w:t>ont pas encore ratifié le deuxième amendement (2004) à la Convention, qui modifie le contenu de l</w:t>
      </w:r>
      <w:r>
        <w:rPr>
          <w:lang w:val="fr-FR"/>
        </w:rPr>
        <w:t>’</w:t>
      </w:r>
      <w:r w:rsidRPr="004573F6">
        <w:rPr>
          <w:lang w:val="fr-FR"/>
        </w:rPr>
        <w:t>appendice I. Par conséquent, les répondants utilisent deux versions différentes de l</w:t>
      </w:r>
      <w:r>
        <w:rPr>
          <w:lang w:val="fr-FR"/>
        </w:rPr>
        <w:t>’</w:t>
      </w:r>
      <w:r w:rsidRPr="004573F6">
        <w:rPr>
          <w:lang w:val="fr-FR"/>
        </w:rPr>
        <w:t>appendice I et leurs réponses se basent sur ces différentes versions.</w:t>
      </w:r>
    </w:p>
    <w:p w14:paraId="6E7142DE" w14:textId="77777777" w:rsidR="00A90AAA" w:rsidRPr="004573F6" w:rsidRDefault="00A90AAA" w:rsidP="00A90AAA">
      <w:pPr>
        <w:pStyle w:val="SingleTxtG"/>
        <w:rPr>
          <w:lang w:val="fr-FR"/>
        </w:rPr>
      </w:pPr>
      <w:r w:rsidRPr="004573F6">
        <w:rPr>
          <w:lang w:val="fr-FR"/>
        </w:rPr>
        <w:t>20.</w:t>
      </w:r>
      <w:r w:rsidRPr="004573F6">
        <w:rPr>
          <w:lang w:val="fr-FR"/>
        </w:rPr>
        <w:tab/>
        <w:t>Sept répondants n</w:t>
      </w:r>
      <w:r>
        <w:rPr>
          <w:lang w:val="fr-FR"/>
        </w:rPr>
        <w:t>’</w:t>
      </w:r>
      <w:r w:rsidRPr="004573F6">
        <w:rPr>
          <w:lang w:val="fr-FR"/>
        </w:rPr>
        <w:t>ont pas d</w:t>
      </w:r>
      <w:r>
        <w:rPr>
          <w:lang w:val="fr-FR"/>
        </w:rPr>
        <w:t>’</w:t>
      </w:r>
      <w:r w:rsidRPr="004573F6">
        <w:rPr>
          <w:lang w:val="fr-FR"/>
        </w:rPr>
        <w:t xml:space="preserve">autorité chargée de réunir les informations sur </w:t>
      </w:r>
      <w:r>
        <w:rPr>
          <w:lang w:val="fr-FR"/>
        </w:rPr>
        <w:t>toutes les</w:t>
      </w:r>
      <w:r w:rsidRPr="004573F6">
        <w:rPr>
          <w:lang w:val="fr-FR"/>
        </w:rPr>
        <w:t xml:space="preserve"> évaluation</w:t>
      </w:r>
      <w:r>
        <w:rPr>
          <w:lang w:val="fr-FR"/>
        </w:rPr>
        <w:t>s</w:t>
      </w:r>
      <w:r w:rsidRPr="004573F6">
        <w:rPr>
          <w:lang w:val="fr-FR"/>
        </w:rPr>
        <w:t xml:space="preserve"> de l</w:t>
      </w:r>
      <w:r>
        <w:rPr>
          <w:lang w:val="fr-FR"/>
        </w:rPr>
        <w:t>’</w:t>
      </w:r>
      <w:r w:rsidRPr="004573F6">
        <w:rPr>
          <w:lang w:val="fr-FR"/>
        </w:rPr>
        <w:t>impact sur l</w:t>
      </w:r>
      <w:r>
        <w:rPr>
          <w:lang w:val="fr-FR"/>
        </w:rPr>
        <w:t>’</w:t>
      </w:r>
      <w:r w:rsidRPr="004573F6">
        <w:rPr>
          <w:lang w:val="fr-FR"/>
        </w:rPr>
        <w:t xml:space="preserve">environnement </w:t>
      </w:r>
      <w:r>
        <w:rPr>
          <w:lang w:val="fr-FR"/>
        </w:rPr>
        <w:t xml:space="preserve">dans un contexte </w:t>
      </w:r>
      <w:r w:rsidRPr="004573F6">
        <w:rPr>
          <w:lang w:val="fr-FR"/>
        </w:rPr>
        <w:t>transfrontière (question I.2.4). Les autres indiquent généralement que les données sont collectées par une entité publique (un ministère, un organisme/bureau charg</w:t>
      </w:r>
      <w:r>
        <w:rPr>
          <w:lang w:val="fr-FR"/>
        </w:rPr>
        <w:t>é</w:t>
      </w:r>
      <w:r w:rsidRPr="004573F6">
        <w:rPr>
          <w:lang w:val="fr-FR"/>
        </w:rPr>
        <w:t xml:space="preserve"> de</w:t>
      </w:r>
      <w:r>
        <w:rPr>
          <w:lang w:val="fr-FR"/>
        </w:rPr>
        <w:t>s questions</w:t>
      </w:r>
      <w:r w:rsidRPr="004573F6">
        <w:rPr>
          <w:lang w:val="fr-FR"/>
        </w:rPr>
        <w:t xml:space="preserve"> environnement</w:t>
      </w:r>
      <w:r>
        <w:rPr>
          <w:lang w:val="fr-FR"/>
        </w:rPr>
        <w:t>ales</w:t>
      </w:r>
      <w:r w:rsidRPr="004573F6">
        <w:rPr>
          <w:lang w:val="fr-FR"/>
        </w:rPr>
        <w:t xml:space="preserve"> ou une entité fédérale). </w:t>
      </w:r>
    </w:p>
    <w:p w14:paraId="0A1F35F0" w14:textId="77777777" w:rsidR="00A90AAA" w:rsidRPr="004573F6" w:rsidRDefault="00A90AAA" w:rsidP="00CE06A8">
      <w:pPr>
        <w:pStyle w:val="H1G"/>
        <w:rPr>
          <w:lang w:val="fr-FR"/>
        </w:rPr>
      </w:pPr>
      <w:bookmarkStart w:id="6" w:name="_Toc13428236"/>
      <w:r w:rsidRPr="004573F6">
        <w:rPr>
          <w:lang w:val="fr-FR"/>
        </w:rPr>
        <w:lastRenderedPageBreak/>
        <w:tab/>
        <w:t>C.</w:t>
      </w:r>
      <w:r w:rsidRPr="004573F6">
        <w:rPr>
          <w:lang w:val="fr-FR"/>
        </w:rPr>
        <w:tab/>
        <w:t>Dossier d</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w:t>
      </w:r>
      <w:bookmarkEnd w:id="6"/>
    </w:p>
    <w:p w14:paraId="6A64F241" w14:textId="0E304509" w:rsidR="00A90AAA" w:rsidRPr="00CE06A8" w:rsidRDefault="00A90AAA" w:rsidP="00A90AAA">
      <w:pPr>
        <w:pStyle w:val="SingleTxtG"/>
        <w:rPr>
          <w:spacing w:val="-2"/>
          <w:lang w:val="fr-FR"/>
        </w:rPr>
      </w:pPr>
      <w:r w:rsidRPr="00CE06A8">
        <w:rPr>
          <w:spacing w:val="-2"/>
          <w:lang w:val="fr-FR"/>
        </w:rPr>
        <w:t>21.</w:t>
      </w:r>
      <w:r w:rsidRPr="00CE06A8">
        <w:rPr>
          <w:spacing w:val="-2"/>
          <w:lang w:val="fr-FR"/>
        </w:rPr>
        <w:tab/>
        <w:t>La question I.4.1 porte sur la manière dont les Parties déterminent « les renseignements à inclure dans le dossier d’évaluation de l’impact sur l’environnement en application de l’article</w:t>
      </w:r>
      <w:r w:rsidRPr="00CE06A8">
        <w:rPr>
          <w:spacing w:val="-2"/>
          <w:lang w:val="fr-FR"/>
        </w:rPr>
        <w:t> </w:t>
      </w:r>
      <w:r w:rsidRPr="00CE06A8">
        <w:rPr>
          <w:spacing w:val="-2"/>
          <w:lang w:val="fr-FR"/>
        </w:rPr>
        <w:t>4.1 », selon lequel « le dossier d’évaluation de l’impact sur l’environnement [...] contient, au moins, les renseignements visés à l’appendice</w:t>
      </w:r>
      <w:r w:rsidRPr="00CE06A8">
        <w:rPr>
          <w:spacing w:val="-2"/>
          <w:lang w:val="fr-FR"/>
        </w:rPr>
        <w:t> </w:t>
      </w:r>
      <w:r w:rsidRPr="00CE06A8">
        <w:rPr>
          <w:spacing w:val="-2"/>
          <w:lang w:val="fr-FR"/>
        </w:rPr>
        <w:t>II ». Les façons de procéder des différents répondants</w:t>
      </w:r>
      <w:r w:rsidRPr="00CE06A8">
        <w:rPr>
          <w:b/>
          <w:spacing w:val="-2"/>
          <w:lang w:val="fr-FR"/>
        </w:rPr>
        <w:t xml:space="preserve"> </w:t>
      </w:r>
      <w:r w:rsidRPr="00CE06A8">
        <w:rPr>
          <w:spacing w:val="-2"/>
          <w:lang w:val="fr-FR"/>
        </w:rPr>
        <w:t>sont présentées dans le tableau</w:t>
      </w:r>
      <w:r w:rsidRPr="00CE06A8">
        <w:rPr>
          <w:spacing w:val="-2"/>
          <w:lang w:val="fr-FR"/>
        </w:rPr>
        <w:t> </w:t>
      </w:r>
      <w:r w:rsidRPr="00CE06A8">
        <w:rPr>
          <w:spacing w:val="-2"/>
          <w:lang w:val="fr-FR"/>
        </w:rPr>
        <w:t>2 ci-dessous. Il apparaît clairement que la plupart des répondants utilisent une combinaison de méthodes, notamment qu’ils se réfèrent à l’appendice II et aux observations recueillies dans le cadre des consultations et de la procédure de participation du public. Un certain nombre de répondants qui ont sélectionné l’option e) (« par d’autres moyens ») renvoient aux prescriptions de leur législation nationale quant au contenu du dossier d’évaluation de l’impact sur l’environnement. Il est également fait référence à des listes de vérification (Roumanie) et à des réunions avec l’initiateur de l’activité et le ou les experts principaux (Belgique, État fédéral).</w:t>
      </w:r>
    </w:p>
    <w:p w14:paraId="3DAE9F0D" w14:textId="463F386F" w:rsidR="00A90AAA" w:rsidRPr="007E069C" w:rsidRDefault="00A90AAA" w:rsidP="00A90AAA">
      <w:pPr>
        <w:pStyle w:val="Titre1"/>
        <w:spacing w:after="120"/>
        <w:rPr>
          <w:lang w:val="fr-FR"/>
        </w:rPr>
      </w:pPr>
      <w:r w:rsidRPr="004573F6">
        <w:rPr>
          <w:lang w:val="fr-FR"/>
        </w:rPr>
        <w:t>Tableau</w:t>
      </w:r>
      <w:r>
        <w:rPr>
          <w:lang w:val="fr-FR"/>
        </w:rPr>
        <w:t> </w:t>
      </w:r>
      <w:r w:rsidRPr="004573F6">
        <w:rPr>
          <w:lang w:val="fr-FR"/>
        </w:rPr>
        <w:t>2</w:t>
      </w:r>
      <w:r>
        <w:rPr>
          <w:lang w:val="fr-FR"/>
        </w:rPr>
        <w:br/>
      </w:r>
      <w:r w:rsidRPr="004573F6">
        <w:rPr>
          <w:b/>
          <w:bCs/>
          <w:lang w:val="fr-FR"/>
        </w:rPr>
        <w:t>Détermination des renseignements à inclure dans le dossier d</w:t>
      </w:r>
      <w:r>
        <w:rPr>
          <w:b/>
          <w:bCs/>
          <w:lang w:val="fr-FR"/>
        </w:rPr>
        <w:t>’</w:t>
      </w:r>
      <w:r w:rsidRPr="004573F6">
        <w:rPr>
          <w:b/>
          <w:bCs/>
          <w:lang w:val="fr-FR"/>
        </w:rPr>
        <w:t>évaluation de l</w:t>
      </w:r>
      <w:r>
        <w:rPr>
          <w:b/>
          <w:bCs/>
          <w:lang w:val="fr-FR"/>
        </w:rPr>
        <w:t>’</w:t>
      </w:r>
      <w:r w:rsidRPr="004573F6">
        <w:rPr>
          <w:b/>
          <w:bCs/>
          <w:lang w:val="fr-FR"/>
        </w:rPr>
        <w:t xml:space="preserve">impact </w:t>
      </w:r>
      <w:r>
        <w:rPr>
          <w:b/>
          <w:bCs/>
          <w:lang w:val="fr-FR"/>
        </w:rPr>
        <w:br/>
      </w:r>
      <w:r w:rsidRPr="004573F6">
        <w:rPr>
          <w:b/>
          <w:bCs/>
          <w:lang w:val="fr-FR"/>
        </w:rPr>
        <w:t>sur l</w:t>
      </w:r>
      <w:r>
        <w:rPr>
          <w:b/>
          <w:bCs/>
          <w:lang w:val="fr-FR"/>
        </w:rPr>
        <w:t>’</w:t>
      </w:r>
      <w:r w:rsidRPr="004573F6">
        <w:rPr>
          <w:b/>
          <w:bCs/>
          <w:lang w:val="fr-FR"/>
        </w:rPr>
        <w:t>environnement (n=38)</w:t>
      </w:r>
    </w:p>
    <w:tbl>
      <w:tblPr>
        <w:tblW w:w="7370" w:type="dxa"/>
        <w:tblInd w:w="1134" w:type="dxa"/>
        <w:tblLayout w:type="fixed"/>
        <w:tblCellMar>
          <w:left w:w="0" w:type="dxa"/>
          <w:right w:w="0" w:type="dxa"/>
        </w:tblCellMar>
        <w:tblLook w:val="04A0" w:firstRow="1" w:lastRow="0" w:firstColumn="1" w:lastColumn="0" w:noHBand="0" w:noVBand="1"/>
      </w:tblPr>
      <w:tblGrid>
        <w:gridCol w:w="5102"/>
        <w:gridCol w:w="2268"/>
      </w:tblGrid>
      <w:tr w:rsidR="00A90AAA" w:rsidRPr="007E069C" w14:paraId="191422F6" w14:textId="77777777" w:rsidTr="007F6BCD">
        <w:trPr>
          <w:tblHeader/>
        </w:trPr>
        <w:tc>
          <w:tcPr>
            <w:tcW w:w="5103" w:type="dxa"/>
            <w:tcBorders>
              <w:top w:val="single" w:sz="4" w:space="0" w:color="auto"/>
              <w:bottom w:val="single" w:sz="12" w:space="0" w:color="auto"/>
            </w:tcBorders>
            <w:shd w:val="clear" w:color="auto" w:fill="auto"/>
            <w:vAlign w:val="bottom"/>
          </w:tcPr>
          <w:p w14:paraId="6F187DBA" w14:textId="77777777" w:rsidR="00A90AAA" w:rsidRPr="007E069C" w:rsidRDefault="00A90AAA" w:rsidP="007F6BCD">
            <w:pPr>
              <w:suppressAutoHyphens w:val="0"/>
              <w:spacing w:before="80" w:after="80" w:line="200" w:lineRule="exact"/>
              <w:rPr>
                <w:i/>
                <w:sz w:val="16"/>
                <w:lang w:val="fr-FR"/>
              </w:rPr>
            </w:pPr>
            <w:r w:rsidRPr="007E069C">
              <w:rPr>
                <w:i/>
                <w:sz w:val="16"/>
                <w:lang w:val="fr-FR"/>
              </w:rPr>
              <w:t>Approche utilisée</w:t>
            </w:r>
          </w:p>
        </w:tc>
        <w:tc>
          <w:tcPr>
            <w:tcW w:w="2268" w:type="dxa"/>
            <w:tcBorders>
              <w:top w:val="single" w:sz="4" w:space="0" w:color="auto"/>
              <w:bottom w:val="single" w:sz="12" w:space="0" w:color="auto"/>
            </w:tcBorders>
            <w:shd w:val="clear" w:color="auto" w:fill="auto"/>
            <w:vAlign w:val="bottom"/>
          </w:tcPr>
          <w:p w14:paraId="199C37C4" w14:textId="77777777" w:rsidR="00A90AAA" w:rsidRPr="007E069C" w:rsidRDefault="00A90AAA" w:rsidP="007F6BCD">
            <w:pPr>
              <w:suppressAutoHyphens w:val="0"/>
              <w:spacing w:before="80" w:after="80" w:line="200" w:lineRule="exact"/>
              <w:jc w:val="right"/>
              <w:rPr>
                <w:i/>
                <w:sz w:val="16"/>
                <w:lang w:val="fr-FR"/>
              </w:rPr>
            </w:pPr>
            <w:r w:rsidRPr="007E069C">
              <w:rPr>
                <w:i/>
                <w:sz w:val="16"/>
                <w:lang w:val="fr-FR"/>
              </w:rPr>
              <w:t xml:space="preserve">Nombre de répondants </w:t>
            </w:r>
          </w:p>
        </w:tc>
      </w:tr>
      <w:tr w:rsidR="00A90AAA" w:rsidRPr="007E069C" w14:paraId="15546996" w14:textId="77777777" w:rsidTr="007F6BCD">
        <w:trPr>
          <w:trHeight w:hRule="exact" w:val="113"/>
        </w:trPr>
        <w:tc>
          <w:tcPr>
            <w:tcW w:w="5103" w:type="dxa"/>
            <w:tcBorders>
              <w:top w:val="single" w:sz="12" w:space="0" w:color="auto"/>
            </w:tcBorders>
            <w:shd w:val="clear" w:color="auto" w:fill="auto"/>
          </w:tcPr>
          <w:p w14:paraId="348DF928" w14:textId="77777777" w:rsidR="00A90AAA" w:rsidRPr="007E069C" w:rsidRDefault="00A90AAA" w:rsidP="007F6BCD">
            <w:pPr>
              <w:suppressAutoHyphens w:val="0"/>
              <w:spacing w:before="40" w:after="40" w:line="220" w:lineRule="exact"/>
              <w:rPr>
                <w:sz w:val="18"/>
                <w:lang w:val="fr-FR"/>
              </w:rPr>
            </w:pPr>
          </w:p>
        </w:tc>
        <w:tc>
          <w:tcPr>
            <w:tcW w:w="2268" w:type="dxa"/>
            <w:tcBorders>
              <w:top w:val="single" w:sz="12" w:space="0" w:color="auto"/>
            </w:tcBorders>
            <w:shd w:val="clear" w:color="auto" w:fill="auto"/>
            <w:vAlign w:val="bottom"/>
          </w:tcPr>
          <w:p w14:paraId="459C3970" w14:textId="77777777" w:rsidR="00A90AAA" w:rsidRPr="007E069C" w:rsidRDefault="00A90AAA" w:rsidP="007F6BCD">
            <w:pPr>
              <w:suppressAutoHyphens w:val="0"/>
              <w:spacing w:before="40" w:after="40" w:line="220" w:lineRule="exact"/>
              <w:jc w:val="right"/>
              <w:rPr>
                <w:sz w:val="18"/>
                <w:lang w:val="fr-FR"/>
              </w:rPr>
            </w:pPr>
          </w:p>
        </w:tc>
      </w:tr>
      <w:tr w:rsidR="00A90AAA" w:rsidRPr="007E069C" w14:paraId="3850EA1B" w14:textId="77777777" w:rsidTr="007F6BCD">
        <w:tc>
          <w:tcPr>
            <w:tcW w:w="5103" w:type="dxa"/>
            <w:shd w:val="clear" w:color="auto" w:fill="auto"/>
          </w:tcPr>
          <w:p w14:paraId="6263688C" w14:textId="70742934" w:rsidR="00A90AAA" w:rsidRPr="007E069C" w:rsidRDefault="00A90AAA" w:rsidP="007F6BCD">
            <w:pPr>
              <w:suppressAutoHyphens w:val="0"/>
              <w:spacing w:before="40" w:after="40" w:line="220" w:lineRule="exact"/>
              <w:rPr>
                <w:sz w:val="18"/>
                <w:lang w:val="fr-FR"/>
              </w:rPr>
            </w:pPr>
            <w:r w:rsidRPr="007E069C">
              <w:rPr>
                <w:sz w:val="18"/>
                <w:lang w:val="fr-FR"/>
              </w:rPr>
              <w:t>À partir de l</w:t>
            </w:r>
            <w:r>
              <w:rPr>
                <w:sz w:val="18"/>
                <w:lang w:val="fr-FR"/>
              </w:rPr>
              <w:t>’</w:t>
            </w:r>
            <w:r w:rsidRPr="007E069C">
              <w:rPr>
                <w:sz w:val="18"/>
                <w:lang w:val="fr-FR"/>
              </w:rPr>
              <w:t>appendice</w:t>
            </w:r>
            <w:r>
              <w:rPr>
                <w:sz w:val="18"/>
                <w:lang w:val="fr-FR"/>
              </w:rPr>
              <w:t> </w:t>
            </w:r>
            <w:r w:rsidRPr="007E069C">
              <w:rPr>
                <w:sz w:val="18"/>
                <w:lang w:val="fr-FR"/>
              </w:rPr>
              <w:t>II</w:t>
            </w:r>
          </w:p>
        </w:tc>
        <w:tc>
          <w:tcPr>
            <w:tcW w:w="2268" w:type="dxa"/>
            <w:shd w:val="clear" w:color="auto" w:fill="auto"/>
            <w:vAlign w:val="bottom"/>
          </w:tcPr>
          <w:p w14:paraId="1AAEA086"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31</w:t>
            </w:r>
          </w:p>
        </w:tc>
      </w:tr>
      <w:tr w:rsidR="00A90AAA" w:rsidRPr="007E069C" w14:paraId="33D929A8" w14:textId="77777777" w:rsidTr="007F6BCD">
        <w:tc>
          <w:tcPr>
            <w:tcW w:w="5103" w:type="dxa"/>
            <w:shd w:val="clear" w:color="auto" w:fill="auto"/>
          </w:tcPr>
          <w:p w14:paraId="1331D4D8" w14:textId="77777777" w:rsidR="00A90AAA" w:rsidRPr="007E069C" w:rsidRDefault="00A90AAA" w:rsidP="007F6BCD">
            <w:pPr>
              <w:suppressAutoHyphens w:val="0"/>
              <w:spacing w:before="40" w:after="40" w:line="220" w:lineRule="exact"/>
              <w:rPr>
                <w:sz w:val="18"/>
                <w:lang w:val="fr-FR"/>
              </w:rPr>
            </w:pPr>
            <w:r w:rsidRPr="007E069C">
              <w:rPr>
                <w:sz w:val="18"/>
                <w:lang w:val="fr-FR"/>
              </w:rPr>
              <w:t xml:space="preserve">À partir des observations reçues des autorités concernées pendant </w:t>
            </w:r>
            <w:r>
              <w:rPr>
                <w:sz w:val="18"/>
                <w:lang w:val="fr-FR"/>
              </w:rPr>
              <w:br/>
            </w:r>
            <w:r w:rsidRPr="007E069C">
              <w:rPr>
                <w:sz w:val="18"/>
                <w:lang w:val="fr-FR"/>
              </w:rPr>
              <w:t>la phase de délimitation du champ de l</w:t>
            </w:r>
            <w:r>
              <w:rPr>
                <w:sz w:val="18"/>
                <w:lang w:val="fr-FR"/>
              </w:rPr>
              <w:t>’</w:t>
            </w:r>
            <w:r w:rsidRPr="007E069C">
              <w:rPr>
                <w:sz w:val="18"/>
                <w:lang w:val="fr-FR"/>
              </w:rPr>
              <w:t>évaluation, le cas échéant</w:t>
            </w:r>
          </w:p>
        </w:tc>
        <w:tc>
          <w:tcPr>
            <w:tcW w:w="2268" w:type="dxa"/>
            <w:shd w:val="clear" w:color="auto" w:fill="auto"/>
            <w:vAlign w:val="bottom"/>
          </w:tcPr>
          <w:p w14:paraId="79BF1D6F"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30</w:t>
            </w:r>
          </w:p>
        </w:tc>
      </w:tr>
      <w:tr w:rsidR="00A90AAA" w:rsidRPr="007E069C" w14:paraId="41CA8BF3" w14:textId="77777777" w:rsidTr="007F6BCD">
        <w:tc>
          <w:tcPr>
            <w:tcW w:w="5103" w:type="dxa"/>
            <w:shd w:val="clear" w:color="auto" w:fill="auto"/>
          </w:tcPr>
          <w:p w14:paraId="2D1FCF19" w14:textId="77777777" w:rsidR="00A90AAA" w:rsidRPr="007E069C" w:rsidRDefault="00A90AAA" w:rsidP="007F6BCD">
            <w:pPr>
              <w:suppressAutoHyphens w:val="0"/>
              <w:spacing w:before="40" w:after="40" w:line="220" w:lineRule="exact"/>
              <w:rPr>
                <w:spacing w:val="-2"/>
                <w:sz w:val="18"/>
                <w:lang w:val="fr-FR"/>
              </w:rPr>
            </w:pPr>
            <w:r w:rsidRPr="007E069C">
              <w:rPr>
                <w:spacing w:val="-2"/>
                <w:sz w:val="18"/>
                <w:lang w:val="fr-FR"/>
              </w:rPr>
              <w:t>À partir des observations formulées par des membres du public pendant la phase de délimitation du champ de l</w:t>
            </w:r>
            <w:r>
              <w:rPr>
                <w:spacing w:val="-2"/>
                <w:sz w:val="18"/>
                <w:lang w:val="fr-FR"/>
              </w:rPr>
              <w:t>’</w:t>
            </w:r>
            <w:r w:rsidRPr="007E069C">
              <w:rPr>
                <w:spacing w:val="-2"/>
                <w:sz w:val="18"/>
                <w:lang w:val="fr-FR"/>
              </w:rPr>
              <w:t>évaluation, le cas échéant</w:t>
            </w:r>
          </w:p>
        </w:tc>
        <w:tc>
          <w:tcPr>
            <w:tcW w:w="2268" w:type="dxa"/>
            <w:shd w:val="clear" w:color="auto" w:fill="auto"/>
            <w:vAlign w:val="bottom"/>
          </w:tcPr>
          <w:p w14:paraId="3858CD58"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27</w:t>
            </w:r>
          </w:p>
        </w:tc>
      </w:tr>
      <w:tr w:rsidR="00A90AAA" w:rsidRPr="007E069C" w14:paraId="6C4EBA61" w14:textId="77777777" w:rsidTr="007F6BCD">
        <w:tc>
          <w:tcPr>
            <w:tcW w:w="5103" w:type="dxa"/>
            <w:shd w:val="clear" w:color="auto" w:fill="auto"/>
          </w:tcPr>
          <w:p w14:paraId="1267C119" w14:textId="77777777" w:rsidR="00A90AAA" w:rsidRPr="007E069C" w:rsidRDefault="00A90AAA" w:rsidP="007F6BCD">
            <w:pPr>
              <w:suppressAutoHyphens w:val="0"/>
              <w:spacing w:before="40" w:after="40" w:line="220" w:lineRule="exact"/>
              <w:rPr>
                <w:sz w:val="18"/>
                <w:lang w:val="fr-FR"/>
              </w:rPr>
            </w:pPr>
            <w:r w:rsidRPr="007E069C">
              <w:rPr>
                <w:sz w:val="18"/>
                <w:lang w:val="fr-FR"/>
              </w:rPr>
              <w:t>En prenant les éléments spécifiés par l</w:t>
            </w:r>
            <w:r>
              <w:rPr>
                <w:sz w:val="18"/>
                <w:lang w:val="fr-FR"/>
              </w:rPr>
              <w:t>’</w:t>
            </w:r>
            <w:r w:rsidRPr="007E069C">
              <w:rPr>
                <w:sz w:val="18"/>
                <w:lang w:val="fr-FR"/>
              </w:rPr>
              <w:t>initiateur de l</w:t>
            </w:r>
            <w:r>
              <w:rPr>
                <w:sz w:val="18"/>
                <w:lang w:val="fr-FR"/>
              </w:rPr>
              <w:t>’</w:t>
            </w:r>
            <w:r w:rsidRPr="007E069C">
              <w:rPr>
                <w:sz w:val="18"/>
                <w:lang w:val="fr-FR"/>
              </w:rPr>
              <w:t xml:space="preserve">activité sur </w:t>
            </w:r>
            <w:r>
              <w:rPr>
                <w:sz w:val="18"/>
                <w:lang w:val="fr-FR"/>
              </w:rPr>
              <w:br/>
            </w:r>
            <w:r w:rsidRPr="007E069C">
              <w:rPr>
                <w:sz w:val="18"/>
                <w:lang w:val="fr-FR"/>
              </w:rPr>
              <w:t>la base de ses propres connaissances spécialisées</w:t>
            </w:r>
          </w:p>
        </w:tc>
        <w:tc>
          <w:tcPr>
            <w:tcW w:w="2268" w:type="dxa"/>
            <w:shd w:val="clear" w:color="auto" w:fill="auto"/>
            <w:vAlign w:val="bottom"/>
          </w:tcPr>
          <w:p w14:paraId="31678B10"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9</w:t>
            </w:r>
          </w:p>
        </w:tc>
      </w:tr>
      <w:tr w:rsidR="00A90AAA" w:rsidRPr="007E069C" w14:paraId="3453712D" w14:textId="77777777" w:rsidTr="007F6BCD">
        <w:tc>
          <w:tcPr>
            <w:tcW w:w="5103" w:type="dxa"/>
            <w:tcBorders>
              <w:bottom w:val="single" w:sz="12" w:space="0" w:color="auto"/>
            </w:tcBorders>
            <w:shd w:val="clear" w:color="auto" w:fill="auto"/>
          </w:tcPr>
          <w:p w14:paraId="235105B7" w14:textId="77777777" w:rsidR="00A90AAA" w:rsidRPr="007E069C" w:rsidRDefault="00A90AAA" w:rsidP="007F6BCD">
            <w:pPr>
              <w:suppressAutoHyphens w:val="0"/>
              <w:spacing w:before="40" w:after="40" w:line="220" w:lineRule="exact"/>
              <w:rPr>
                <w:sz w:val="18"/>
                <w:lang w:val="fr-FR"/>
              </w:rPr>
            </w:pPr>
            <w:r w:rsidRPr="007E069C">
              <w:rPr>
                <w:sz w:val="18"/>
                <w:lang w:val="fr-FR"/>
              </w:rPr>
              <w:t>Autres</w:t>
            </w:r>
            <w:r>
              <w:rPr>
                <w:sz w:val="18"/>
                <w:lang w:val="fr-FR"/>
              </w:rPr>
              <w:t xml:space="preserve"> moyens</w:t>
            </w:r>
          </w:p>
        </w:tc>
        <w:tc>
          <w:tcPr>
            <w:tcW w:w="2268" w:type="dxa"/>
            <w:tcBorders>
              <w:bottom w:val="single" w:sz="12" w:space="0" w:color="auto"/>
            </w:tcBorders>
            <w:shd w:val="clear" w:color="auto" w:fill="auto"/>
            <w:vAlign w:val="bottom"/>
          </w:tcPr>
          <w:p w14:paraId="7654F54D"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8</w:t>
            </w:r>
          </w:p>
        </w:tc>
      </w:tr>
    </w:tbl>
    <w:p w14:paraId="00299BE6" w14:textId="2B703A73" w:rsidR="00A90AAA" w:rsidRPr="004573F6" w:rsidRDefault="00A90AAA" w:rsidP="00A90AAA">
      <w:pPr>
        <w:pStyle w:val="SingleTxtG"/>
        <w:rPr>
          <w:lang w:val="fr-FR"/>
        </w:rPr>
      </w:pPr>
      <w:r w:rsidRPr="004573F6">
        <w:rPr>
          <w:lang w:val="fr-FR"/>
        </w:rPr>
        <w:t>22.</w:t>
      </w:r>
      <w:r w:rsidRPr="004573F6">
        <w:rPr>
          <w:lang w:val="fr-FR"/>
        </w:rPr>
        <w:tab/>
        <w:t>Les mesures de contrôle prises pour s</w:t>
      </w:r>
      <w:r>
        <w:rPr>
          <w:lang w:val="fr-FR"/>
        </w:rPr>
        <w:t>’</w:t>
      </w:r>
      <w:r w:rsidRPr="004573F6">
        <w:rPr>
          <w:lang w:val="fr-FR"/>
        </w:rPr>
        <w:t>assurer que les dossiers d</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 xml:space="preserve">environnement ont la qualité voulue (question I.4.2) reposent principalement sur la vérification par </w:t>
      </w:r>
      <w:r>
        <w:rPr>
          <w:lang w:val="fr-FR"/>
        </w:rPr>
        <w:t>l’</w:t>
      </w:r>
      <w:r w:rsidRPr="004573F6">
        <w:rPr>
          <w:lang w:val="fr-FR"/>
        </w:rPr>
        <w:t>autorité compétente de la Partie d</w:t>
      </w:r>
      <w:r>
        <w:rPr>
          <w:lang w:val="fr-FR"/>
        </w:rPr>
        <w:t>’</w:t>
      </w:r>
      <w:r w:rsidRPr="004573F6">
        <w:rPr>
          <w:lang w:val="fr-FR"/>
        </w:rPr>
        <w:t xml:space="preserve">origine de la conformité du contenu </w:t>
      </w:r>
      <w:r>
        <w:rPr>
          <w:lang w:val="fr-FR"/>
        </w:rPr>
        <w:t>du dossier</w:t>
      </w:r>
      <w:r w:rsidRPr="004573F6">
        <w:rPr>
          <w:lang w:val="fr-FR"/>
        </w:rPr>
        <w:t xml:space="preserve"> aux dispositions de l</w:t>
      </w:r>
      <w:r>
        <w:rPr>
          <w:lang w:val="fr-FR"/>
        </w:rPr>
        <w:t>’</w:t>
      </w:r>
      <w:r w:rsidRPr="004573F6">
        <w:rPr>
          <w:lang w:val="fr-FR"/>
        </w:rPr>
        <w:t>appendice</w:t>
      </w:r>
      <w:r>
        <w:rPr>
          <w:lang w:val="fr-FR"/>
        </w:rPr>
        <w:t> </w:t>
      </w:r>
      <w:r w:rsidRPr="004573F6">
        <w:rPr>
          <w:lang w:val="fr-FR"/>
        </w:rPr>
        <w:t xml:space="preserve">II de la Convention (35), et des listes de vérification de la qualité sont également utilisées par </w:t>
      </w:r>
      <w:r w:rsidRPr="007814AE">
        <w:rPr>
          <w:lang w:val="fr-FR"/>
        </w:rPr>
        <w:t>six</w:t>
      </w:r>
      <w:r w:rsidRPr="004573F6">
        <w:rPr>
          <w:lang w:val="fr-FR"/>
        </w:rPr>
        <w:t xml:space="preserve"> répondants. D</w:t>
      </w:r>
      <w:r>
        <w:rPr>
          <w:lang w:val="fr-FR"/>
        </w:rPr>
        <w:t>’</w:t>
      </w:r>
      <w:r w:rsidRPr="004573F6">
        <w:rPr>
          <w:lang w:val="fr-FR"/>
        </w:rPr>
        <w:t>autres mesures de contrôle de la qualité sont utilisées, notamment le recours</w:t>
      </w:r>
      <w:r>
        <w:rPr>
          <w:lang w:val="fr-FR"/>
        </w:rPr>
        <w:t>,</w:t>
      </w:r>
      <w:r w:rsidRPr="0029441F">
        <w:rPr>
          <w:lang w:val="fr-FR"/>
        </w:rPr>
        <w:t xml:space="preserve"> </w:t>
      </w:r>
      <w:r w:rsidRPr="004573F6">
        <w:rPr>
          <w:lang w:val="fr-FR"/>
        </w:rPr>
        <w:t>en sus de l</w:t>
      </w:r>
      <w:r>
        <w:rPr>
          <w:lang w:val="fr-FR"/>
        </w:rPr>
        <w:t>’</w:t>
      </w:r>
      <w:r w:rsidRPr="004573F6">
        <w:rPr>
          <w:lang w:val="fr-FR"/>
        </w:rPr>
        <w:t>autorité nationale compétente</w:t>
      </w:r>
      <w:r>
        <w:rPr>
          <w:lang w:val="fr-FR"/>
        </w:rPr>
        <w:t>,</w:t>
      </w:r>
      <w:r w:rsidRPr="004573F6">
        <w:rPr>
          <w:lang w:val="fr-FR"/>
        </w:rPr>
        <w:t xml:space="preserve"> à d</w:t>
      </w:r>
      <w:r>
        <w:rPr>
          <w:lang w:val="fr-FR"/>
        </w:rPr>
        <w:t>’</w:t>
      </w:r>
      <w:r w:rsidRPr="004573F6">
        <w:rPr>
          <w:lang w:val="fr-FR"/>
        </w:rPr>
        <w:t>autres intervenants chargés d</w:t>
      </w:r>
      <w:r>
        <w:rPr>
          <w:lang w:val="fr-FR"/>
        </w:rPr>
        <w:t>’</w:t>
      </w:r>
      <w:r w:rsidRPr="004573F6">
        <w:rPr>
          <w:lang w:val="fr-FR"/>
        </w:rPr>
        <w:t>évaluer la qualité. Par exemple, aux Pays-Bas, un organisme indépendant spécialisé (la Commission néerlandaise pour l</w:t>
      </w:r>
      <w:r>
        <w:rPr>
          <w:lang w:val="fr-FR"/>
        </w:rPr>
        <w:t>’</w:t>
      </w:r>
      <w:r w:rsidRPr="004573F6">
        <w:rPr>
          <w:lang w:val="fr-FR"/>
        </w:rPr>
        <w:t>évaluation environnementale) doit fournir des avis indépendants concernant certaines activités. Les autorités compétentes des Pays-Bas peuvent également prendre l</w:t>
      </w:r>
      <w:r>
        <w:rPr>
          <w:lang w:val="fr-FR"/>
        </w:rPr>
        <w:t>’</w:t>
      </w:r>
      <w:r w:rsidRPr="004573F6">
        <w:rPr>
          <w:lang w:val="fr-FR"/>
        </w:rPr>
        <w:t>initiative de demander l</w:t>
      </w:r>
      <w:r>
        <w:rPr>
          <w:lang w:val="fr-FR"/>
        </w:rPr>
        <w:t>’</w:t>
      </w:r>
      <w:r w:rsidRPr="004573F6">
        <w:rPr>
          <w:lang w:val="fr-FR"/>
        </w:rPr>
        <w:t>avis de cet organisme spécialisé lorsque sa participation n</w:t>
      </w:r>
      <w:r>
        <w:rPr>
          <w:lang w:val="fr-FR"/>
        </w:rPr>
        <w:t>’</w:t>
      </w:r>
      <w:r w:rsidRPr="004573F6">
        <w:rPr>
          <w:lang w:val="fr-FR"/>
        </w:rPr>
        <w:t>est pas obligatoire. L</w:t>
      </w:r>
      <w:r>
        <w:rPr>
          <w:lang w:val="fr-FR"/>
        </w:rPr>
        <w:t>’</w:t>
      </w:r>
      <w:r w:rsidRPr="004573F6">
        <w:rPr>
          <w:lang w:val="fr-FR"/>
        </w:rPr>
        <w:t>obligation, en vertu de la législation de l</w:t>
      </w:r>
      <w:r>
        <w:rPr>
          <w:lang w:val="fr-FR"/>
        </w:rPr>
        <w:t>’</w:t>
      </w:r>
      <w:r w:rsidRPr="004573F6">
        <w:rPr>
          <w:lang w:val="fr-FR"/>
        </w:rPr>
        <w:t>Union européenne sur l</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 de veiller à ce que le travail soit effectué par un ou plusieurs experts compétents</w:t>
      </w:r>
      <w:r>
        <w:rPr>
          <w:lang w:val="fr-FR"/>
        </w:rPr>
        <w:t>,</w:t>
      </w:r>
      <w:r w:rsidRPr="004573F6">
        <w:rPr>
          <w:lang w:val="fr-FR"/>
        </w:rPr>
        <w:t xml:space="preserve"> a également été mentionnée par plusieurs Parties.</w:t>
      </w:r>
    </w:p>
    <w:p w14:paraId="574E8425" w14:textId="6EF9D9F0" w:rsidR="00A90AAA" w:rsidRPr="004573F6" w:rsidRDefault="00A90AAA" w:rsidP="00A90AAA">
      <w:pPr>
        <w:pStyle w:val="SingleTxtG"/>
        <w:rPr>
          <w:lang w:val="fr-FR"/>
        </w:rPr>
      </w:pPr>
      <w:r w:rsidRPr="00AC53DD">
        <w:rPr>
          <w:lang w:val="fr-FR"/>
        </w:rPr>
        <w:t>23.</w:t>
      </w:r>
      <w:r w:rsidRPr="00AC53DD">
        <w:rPr>
          <w:lang w:val="fr-FR"/>
        </w:rPr>
        <w:tab/>
        <w:t>Ce que recouvre la notion de « solutions de remplacement qui peuvent être raisonnablement envisagées » (appendice</w:t>
      </w:r>
      <w:r>
        <w:rPr>
          <w:lang w:val="fr-FR"/>
        </w:rPr>
        <w:t> </w:t>
      </w:r>
      <w:r w:rsidRPr="00AC53DD">
        <w:rPr>
          <w:lang w:val="fr-FR"/>
        </w:rPr>
        <w:t>II, al.</w:t>
      </w:r>
      <w:r w:rsidR="006C3EBB">
        <w:rPr>
          <w:lang w:val="fr-FR"/>
        </w:rPr>
        <w:t> </w:t>
      </w:r>
      <w:r w:rsidRPr="00AC53DD">
        <w:rPr>
          <w:lang w:val="fr-FR"/>
        </w:rPr>
        <w:t xml:space="preserve">b)) </w:t>
      </w:r>
      <w:r>
        <w:rPr>
          <w:lang w:val="fr-FR"/>
        </w:rPr>
        <w:t>(</w:t>
      </w:r>
      <w:r w:rsidRPr="00AC53DD">
        <w:rPr>
          <w:lang w:val="fr-FR"/>
        </w:rPr>
        <w:t>question I.4.3)</w:t>
      </w:r>
      <w:r>
        <w:rPr>
          <w:lang w:val="fr-FR"/>
        </w:rPr>
        <w:t xml:space="preserve"> </w:t>
      </w:r>
      <w:r w:rsidRPr="00AC53DD">
        <w:rPr>
          <w:lang w:val="fr-FR"/>
        </w:rPr>
        <w:t>est généralement déterminé au cas par cas</w:t>
      </w:r>
      <w:r w:rsidRPr="00AC53DD">
        <w:rPr>
          <w:i/>
          <w:iCs/>
          <w:lang w:val="fr-FR"/>
        </w:rPr>
        <w:t xml:space="preserve"> </w:t>
      </w:r>
      <w:r w:rsidRPr="00AC53DD">
        <w:rPr>
          <w:lang w:val="fr-FR"/>
        </w:rPr>
        <w:t xml:space="preserve">(23) ou à partir de la définition qui en est donnée dans la législation nationale du répondant (14). Dans la pratique, les interprétations de ce qui constitue des « solutions de remplacement </w:t>
      </w:r>
      <w:r>
        <w:rPr>
          <w:lang w:val="fr-FR"/>
        </w:rPr>
        <w:t xml:space="preserve">qui </w:t>
      </w:r>
      <w:r w:rsidRPr="00AC53DD">
        <w:rPr>
          <w:lang w:val="fr-FR"/>
        </w:rPr>
        <w:t>p</w:t>
      </w:r>
      <w:r>
        <w:rPr>
          <w:lang w:val="fr-FR"/>
        </w:rPr>
        <w:t>e</w:t>
      </w:r>
      <w:r w:rsidRPr="00AC53DD">
        <w:rPr>
          <w:lang w:val="fr-FR"/>
        </w:rPr>
        <w:t>uv</w:t>
      </w:r>
      <w:r>
        <w:rPr>
          <w:lang w:val="fr-FR"/>
        </w:rPr>
        <w:t>e</w:t>
      </w:r>
      <w:r w:rsidRPr="00AC53DD">
        <w:rPr>
          <w:lang w:val="fr-FR"/>
        </w:rPr>
        <w:t>nt être raisonnablement envisagées » semblent varier considérablement d</w:t>
      </w:r>
      <w:r>
        <w:rPr>
          <w:lang w:val="fr-FR"/>
        </w:rPr>
        <w:t>’</w:t>
      </w:r>
      <w:r w:rsidRPr="00AC53DD">
        <w:rPr>
          <w:lang w:val="fr-FR"/>
        </w:rPr>
        <w:t>un répondant à l</w:t>
      </w:r>
      <w:r>
        <w:rPr>
          <w:lang w:val="fr-FR"/>
        </w:rPr>
        <w:t>’</w:t>
      </w:r>
      <w:r w:rsidRPr="00AC53DD">
        <w:rPr>
          <w:lang w:val="fr-FR"/>
        </w:rPr>
        <w:t>autre. Afin de structurer l</w:t>
      </w:r>
      <w:r>
        <w:rPr>
          <w:lang w:val="fr-FR"/>
        </w:rPr>
        <w:t>’</w:t>
      </w:r>
      <w:r w:rsidRPr="00AC53DD">
        <w:rPr>
          <w:lang w:val="fr-FR"/>
        </w:rPr>
        <w:t>examen de</w:t>
      </w:r>
      <w:r>
        <w:rPr>
          <w:lang w:val="fr-FR"/>
        </w:rPr>
        <w:t xml:space="preserve"> ce</w:t>
      </w:r>
      <w:r w:rsidRPr="00AC53DD">
        <w:rPr>
          <w:lang w:val="fr-FR"/>
        </w:rPr>
        <w:t xml:space="preserve">s solutions de remplacement, la politique opérationnelle du Canada établit une distinction entre les </w:t>
      </w:r>
      <w:r>
        <w:rPr>
          <w:lang w:val="fr-FR"/>
        </w:rPr>
        <w:t>alternatives au projet prévu</w:t>
      </w:r>
      <w:r w:rsidRPr="00AC53DD">
        <w:rPr>
          <w:lang w:val="fr-FR"/>
        </w:rPr>
        <w:t xml:space="preserve"> et les </w:t>
      </w:r>
      <w:r>
        <w:rPr>
          <w:lang w:val="fr-FR"/>
        </w:rPr>
        <w:t>moyens alternatifs d’exécution du projet prévu</w:t>
      </w:r>
      <w:r w:rsidRPr="00AC53DD">
        <w:rPr>
          <w:lang w:val="fr-FR"/>
        </w:rPr>
        <w:t>. En Slovaquie, deux types de solution</w:t>
      </w:r>
      <w:r>
        <w:rPr>
          <w:lang w:val="fr-FR"/>
        </w:rPr>
        <w:t>s</w:t>
      </w:r>
      <w:r w:rsidRPr="00AC53DD">
        <w:rPr>
          <w:lang w:val="fr-FR"/>
        </w:rPr>
        <w:t xml:space="preserve"> de remplacement sont généralement envisagées (</w:t>
      </w:r>
      <w:r>
        <w:rPr>
          <w:lang w:val="fr-FR"/>
        </w:rPr>
        <w:t>autres</w:t>
      </w:r>
      <w:r w:rsidRPr="00AC53DD">
        <w:rPr>
          <w:lang w:val="fr-FR"/>
        </w:rPr>
        <w:t xml:space="preserve"> localisations ou </w:t>
      </w:r>
      <w:r>
        <w:rPr>
          <w:lang w:val="fr-FR"/>
        </w:rPr>
        <w:t>autres</w:t>
      </w:r>
      <w:r w:rsidRPr="00AC53DD">
        <w:rPr>
          <w:lang w:val="fr-FR"/>
        </w:rPr>
        <w:t xml:space="preserve"> technologies) tandis que le Monténégro semble avoir élaboré des lignes directrices détaillées à ce sujet. Certains répondants relèvent que des solutions de remplacement raisonnablement envisageables peuvent être spécifiées par l</w:t>
      </w:r>
      <w:r>
        <w:rPr>
          <w:lang w:val="fr-FR"/>
        </w:rPr>
        <w:t>’</w:t>
      </w:r>
      <w:r w:rsidRPr="00AC53DD">
        <w:rPr>
          <w:lang w:val="fr-FR"/>
        </w:rPr>
        <w:t xml:space="preserve">autorité compétente ou les organes spécialisés </w:t>
      </w:r>
      <w:r>
        <w:rPr>
          <w:lang w:val="fr-FR"/>
        </w:rPr>
        <w:t>au stade</w:t>
      </w:r>
      <w:r w:rsidRPr="00AC53DD">
        <w:rPr>
          <w:lang w:val="fr-FR"/>
        </w:rPr>
        <w:t xml:space="preserve"> de la délimitation du champ de l</w:t>
      </w:r>
      <w:r>
        <w:rPr>
          <w:lang w:val="fr-FR"/>
        </w:rPr>
        <w:t>’</w:t>
      </w:r>
      <w:r w:rsidRPr="00AC53DD">
        <w:rPr>
          <w:lang w:val="fr-FR"/>
        </w:rPr>
        <w:t>évaluation. La législation nationale autrichienne n</w:t>
      </w:r>
      <w:r>
        <w:rPr>
          <w:lang w:val="fr-FR"/>
        </w:rPr>
        <w:t>’</w:t>
      </w:r>
      <w:r w:rsidRPr="00AC53DD">
        <w:rPr>
          <w:lang w:val="fr-FR"/>
        </w:rPr>
        <w:t xml:space="preserve">explique pas la nature exacte des solutions de </w:t>
      </w:r>
      <w:r w:rsidRPr="00AC53DD">
        <w:rPr>
          <w:lang w:val="fr-FR"/>
        </w:rPr>
        <w:lastRenderedPageBreak/>
        <w:t>remplacement à envisager ; au lieu de cela, elle demande à l</w:t>
      </w:r>
      <w:r>
        <w:rPr>
          <w:lang w:val="fr-FR"/>
        </w:rPr>
        <w:t>’</w:t>
      </w:r>
      <w:r w:rsidRPr="00AC53DD">
        <w:rPr>
          <w:lang w:val="fr-FR"/>
        </w:rPr>
        <w:t>initiateur de l</w:t>
      </w:r>
      <w:r>
        <w:rPr>
          <w:lang w:val="fr-FR"/>
        </w:rPr>
        <w:t>’</w:t>
      </w:r>
      <w:r w:rsidRPr="00AC53DD">
        <w:rPr>
          <w:lang w:val="fr-FR"/>
        </w:rPr>
        <w:t>activité de présenter le raisonnement qui sous-tend le choix des solutions de remplacement proposées.</w:t>
      </w:r>
    </w:p>
    <w:p w14:paraId="7A30651E" w14:textId="77777777" w:rsidR="00A90AAA" w:rsidRPr="004573F6" w:rsidRDefault="00A90AAA" w:rsidP="00A90AAA">
      <w:pPr>
        <w:pStyle w:val="H1G"/>
        <w:rPr>
          <w:lang w:val="fr-FR"/>
        </w:rPr>
      </w:pPr>
      <w:bookmarkStart w:id="7" w:name="_Toc13428237"/>
      <w:r w:rsidRPr="004573F6">
        <w:rPr>
          <w:lang w:val="fr-FR"/>
        </w:rPr>
        <w:tab/>
        <w:t>D.</w:t>
      </w:r>
      <w:r w:rsidRPr="004573F6">
        <w:rPr>
          <w:lang w:val="fr-FR"/>
        </w:rPr>
        <w:tab/>
        <w:t xml:space="preserve">Participation du public et consultation des autorités responsables </w:t>
      </w:r>
      <w:r>
        <w:rPr>
          <w:lang w:val="fr-FR"/>
        </w:rPr>
        <w:br/>
      </w:r>
      <w:r w:rsidRPr="004573F6">
        <w:rPr>
          <w:lang w:val="fr-FR"/>
        </w:rPr>
        <w:t>de l</w:t>
      </w:r>
      <w:r>
        <w:rPr>
          <w:lang w:val="fr-FR"/>
        </w:rPr>
        <w:t>’</w:t>
      </w:r>
      <w:r w:rsidRPr="004573F6">
        <w:rPr>
          <w:lang w:val="fr-FR"/>
        </w:rPr>
        <w:t>environnement et de la santé</w:t>
      </w:r>
      <w:bookmarkEnd w:id="7"/>
    </w:p>
    <w:p w14:paraId="2DA42AC8" w14:textId="77777777" w:rsidR="00A90AAA" w:rsidRPr="004573F6" w:rsidRDefault="00A90AAA" w:rsidP="00A90AAA">
      <w:pPr>
        <w:pStyle w:val="H23G"/>
        <w:rPr>
          <w:szCs w:val="24"/>
          <w:lang w:val="fr-FR"/>
        </w:rPr>
      </w:pPr>
      <w:bookmarkStart w:id="8" w:name="_Toc13428238"/>
      <w:r w:rsidRPr="004573F6">
        <w:rPr>
          <w:lang w:val="fr-FR"/>
        </w:rPr>
        <w:tab/>
        <w:t>1.</w:t>
      </w:r>
      <w:r w:rsidRPr="004573F6">
        <w:rPr>
          <w:lang w:val="fr-FR"/>
        </w:rPr>
        <w:tab/>
        <w:t>Notification</w:t>
      </w:r>
      <w:bookmarkEnd w:id="8"/>
    </w:p>
    <w:p w14:paraId="0E0A104D" w14:textId="77777777" w:rsidR="00A90AAA" w:rsidRPr="004573F6" w:rsidRDefault="00A90AAA" w:rsidP="00A90AAA">
      <w:pPr>
        <w:pStyle w:val="SingleTxtG"/>
        <w:rPr>
          <w:lang w:val="fr-FR"/>
        </w:rPr>
      </w:pPr>
      <w:r w:rsidRPr="007F0C13">
        <w:rPr>
          <w:lang w:val="fr-FR"/>
        </w:rPr>
        <w:t>24.</w:t>
      </w:r>
      <w:r w:rsidRPr="007F0C13">
        <w:rPr>
          <w:lang w:val="fr-FR"/>
        </w:rPr>
        <w:tab/>
        <w:t>Les répondants déclarent que, lorsqu’ils agissent en tant que Partie d’origine, ils notifient les Parties touchées principalement au mo</w:t>
      </w:r>
      <w:r w:rsidRPr="004573F6">
        <w:rPr>
          <w:lang w:val="fr-FR"/>
        </w:rPr>
        <w:t>ment de la délimitation du champ de l</w:t>
      </w:r>
      <w:r>
        <w:rPr>
          <w:lang w:val="fr-FR"/>
        </w:rPr>
        <w:t>’</w:t>
      </w:r>
      <w:r w:rsidRPr="004573F6">
        <w:rPr>
          <w:lang w:val="fr-FR"/>
        </w:rPr>
        <w:t>évaluation (24), ou après qu</w:t>
      </w:r>
      <w:r>
        <w:rPr>
          <w:lang w:val="fr-FR"/>
        </w:rPr>
        <w:t>’</w:t>
      </w:r>
      <w:r w:rsidRPr="004573F6">
        <w:rPr>
          <w:lang w:val="fr-FR"/>
        </w:rPr>
        <w:t>un rapport d</w:t>
      </w:r>
      <w:r>
        <w:rPr>
          <w:lang w:val="fr-FR"/>
        </w:rPr>
        <w:t>’</w:t>
      </w:r>
      <w:r w:rsidRPr="006679EA">
        <w:rPr>
          <w:lang w:val="fr-FR"/>
        </w:rPr>
        <w:t>évaluation de l</w:t>
      </w:r>
      <w:r>
        <w:rPr>
          <w:lang w:val="fr-FR"/>
        </w:rPr>
        <w:t>’</w:t>
      </w:r>
      <w:r w:rsidRPr="006679EA">
        <w:rPr>
          <w:lang w:val="fr-FR"/>
        </w:rPr>
        <w:t>impact sur l</w:t>
      </w:r>
      <w:r>
        <w:rPr>
          <w:lang w:val="fr-FR"/>
        </w:rPr>
        <w:t>’</w:t>
      </w:r>
      <w:r w:rsidRPr="006679EA">
        <w:rPr>
          <w:lang w:val="fr-FR"/>
        </w:rPr>
        <w:t>environnement</w:t>
      </w:r>
      <w:r w:rsidRPr="004573F6">
        <w:rPr>
          <w:lang w:val="fr-FR"/>
        </w:rPr>
        <w:t xml:space="preserve"> a été établi et que la procédure nationale a été engagée (17</w:t>
      </w:r>
      <w:r>
        <w:rPr>
          <w:lang w:val="fr-FR"/>
        </w:rPr>
        <w:t>)</w:t>
      </w:r>
      <w:r w:rsidRPr="004573F6">
        <w:rPr>
          <w:lang w:val="fr-FR"/>
        </w:rPr>
        <w:t xml:space="preserve"> </w:t>
      </w:r>
      <w:r>
        <w:rPr>
          <w:lang w:val="fr-FR"/>
        </w:rPr>
        <w:t>(</w:t>
      </w:r>
      <w:r w:rsidRPr="004573F6">
        <w:rPr>
          <w:lang w:val="fr-FR"/>
        </w:rPr>
        <w:t>question I.3.1). Un certain nombre de pays (le Royaume-Uni de Grande</w:t>
      </w:r>
      <w:r>
        <w:rPr>
          <w:lang w:val="fr-FR"/>
        </w:rPr>
        <w:noBreakHyphen/>
      </w:r>
      <w:r w:rsidRPr="004573F6">
        <w:rPr>
          <w:lang w:val="fr-FR"/>
        </w:rPr>
        <w:t>Bretagne et d</w:t>
      </w:r>
      <w:r>
        <w:rPr>
          <w:lang w:val="fr-FR"/>
        </w:rPr>
        <w:t>’</w:t>
      </w:r>
      <w:r w:rsidRPr="004573F6">
        <w:rPr>
          <w:lang w:val="fr-FR"/>
        </w:rPr>
        <w:t>Irlande du Nord, par exemple) expliquent que la date de la notification dépend souvent du délai nécessaire à leur administration pour prendre connaissance de l</w:t>
      </w:r>
      <w:r>
        <w:rPr>
          <w:lang w:val="fr-FR"/>
        </w:rPr>
        <w:t>’</w:t>
      </w:r>
      <w:r w:rsidRPr="004573F6">
        <w:rPr>
          <w:lang w:val="fr-FR"/>
        </w:rPr>
        <w:t>activité proposée. Lorsque les autorités participent à la délimitation du champ de l</w:t>
      </w:r>
      <w:r>
        <w:rPr>
          <w:lang w:val="fr-FR"/>
        </w:rPr>
        <w:t>’</w:t>
      </w:r>
      <w:r w:rsidRPr="004573F6">
        <w:rPr>
          <w:lang w:val="fr-FR"/>
        </w:rPr>
        <w:t>évaluation, la notification peut être faite dès cette étape, mais plusieurs répondants indiquent que cette délimitation n</w:t>
      </w:r>
      <w:r>
        <w:rPr>
          <w:lang w:val="fr-FR"/>
        </w:rPr>
        <w:t>’</w:t>
      </w:r>
      <w:r w:rsidRPr="004573F6">
        <w:rPr>
          <w:lang w:val="fr-FR"/>
        </w:rPr>
        <w:t>est pas obligatoire pour toutes les activités.</w:t>
      </w:r>
    </w:p>
    <w:p w14:paraId="3320250D" w14:textId="77777777" w:rsidR="00A90AAA" w:rsidRPr="004573F6" w:rsidRDefault="00A90AAA" w:rsidP="00A90AAA">
      <w:pPr>
        <w:pStyle w:val="SingleTxtG"/>
        <w:rPr>
          <w:lang w:val="fr-FR"/>
        </w:rPr>
      </w:pPr>
      <w:r w:rsidRPr="004573F6">
        <w:rPr>
          <w:lang w:val="fr-FR"/>
        </w:rPr>
        <w:t>25.</w:t>
      </w:r>
      <w:r w:rsidRPr="004573F6">
        <w:rPr>
          <w:lang w:val="fr-FR"/>
        </w:rPr>
        <w:tab/>
        <w:t>Certains répondants indiquent que le délai de notification fluctue, mais que celle-ci intervient toujours avant ou en même temps que la consultation publique au niveau national. Seules deux Parties (l</w:t>
      </w:r>
      <w:r>
        <w:rPr>
          <w:lang w:val="fr-FR"/>
        </w:rPr>
        <w:t>’</w:t>
      </w:r>
      <w:r w:rsidRPr="004573F6">
        <w:rPr>
          <w:lang w:val="fr-FR"/>
        </w:rPr>
        <w:t>Irlande et le Royaume-Uni de Grande-Bretagne et d</w:t>
      </w:r>
      <w:r>
        <w:rPr>
          <w:lang w:val="fr-FR"/>
        </w:rPr>
        <w:t>’</w:t>
      </w:r>
      <w:r w:rsidRPr="004573F6">
        <w:rPr>
          <w:lang w:val="fr-FR"/>
        </w:rPr>
        <w:t>Irlande du Nord) font observer que la notification peut intervenir, dans certains cas, à la fin de la procédure nationale, mais il semble que l</w:t>
      </w:r>
      <w:r>
        <w:rPr>
          <w:lang w:val="fr-FR"/>
        </w:rPr>
        <w:t>’</w:t>
      </w:r>
      <w:r w:rsidRPr="004573F6">
        <w:rPr>
          <w:lang w:val="fr-FR"/>
        </w:rPr>
        <w:t xml:space="preserve">Irlande veuille dire que les Parties touchées sont informées de la décision </w:t>
      </w:r>
      <w:r>
        <w:rPr>
          <w:lang w:val="fr-FR"/>
        </w:rPr>
        <w:t>définitive</w:t>
      </w:r>
      <w:r w:rsidRPr="004573F6">
        <w:rPr>
          <w:lang w:val="fr-FR"/>
        </w:rPr>
        <w:t>.</w:t>
      </w:r>
    </w:p>
    <w:p w14:paraId="733A3DB5" w14:textId="77777777" w:rsidR="00A90AAA" w:rsidRPr="004573F6" w:rsidRDefault="00A90AAA" w:rsidP="00A90AAA">
      <w:pPr>
        <w:pStyle w:val="SingleTxtG"/>
        <w:rPr>
          <w:lang w:val="fr-FR"/>
        </w:rPr>
      </w:pPr>
      <w:r w:rsidRPr="004573F6">
        <w:rPr>
          <w:lang w:val="fr-FR"/>
        </w:rPr>
        <w:t>26.</w:t>
      </w:r>
      <w:r w:rsidRPr="004573F6">
        <w:rPr>
          <w:lang w:val="fr-FR"/>
        </w:rPr>
        <w:tab/>
        <w:t xml:space="preserve">Les réponses aux questions I.3.2 (sur le modèle de notification) et I.3.3 (sur les </w:t>
      </w:r>
      <w:r>
        <w:rPr>
          <w:lang w:val="fr-FR"/>
        </w:rPr>
        <w:t>renseignements</w:t>
      </w:r>
      <w:r w:rsidRPr="004573F6">
        <w:rPr>
          <w:lang w:val="fr-FR"/>
        </w:rPr>
        <w:t xml:space="preserve"> figurant dans la notification) sont respectivement résumées dans les tableaux</w:t>
      </w:r>
      <w:r>
        <w:rPr>
          <w:lang w:val="fr-FR"/>
        </w:rPr>
        <w:t> </w:t>
      </w:r>
      <w:r w:rsidRPr="004573F6">
        <w:rPr>
          <w:lang w:val="fr-FR"/>
        </w:rPr>
        <w:t>3 et</w:t>
      </w:r>
      <w:r>
        <w:rPr>
          <w:lang w:val="fr-FR"/>
        </w:rPr>
        <w:t> </w:t>
      </w:r>
      <w:r w:rsidRPr="004573F6">
        <w:rPr>
          <w:lang w:val="fr-FR"/>
        </w:rPr>
        <w:t xml:space="preserve">4 ci-dessous. </w:t>
      </w:r>
    </w:p>
    <w:p w14:paraId="1C5E4EBA" w14:textId="27A5960E" w:rsidR="00A90AAA" w:rsidRPr="007E069C" w:rsidRDefault="00A90AAA" w:rsidP="00A90AAA">
      <w:pPr>
        <w:pStyle w:val="Titre1"/>
        <w:spacing w:after="120"/>
        <w:rPr>
          <w:lang w:val="fr-FR"/>
        </w:rPr>
      </w:pPr>
      <w:r w:rsidRPr="004573F6">
        <w:rPr>
          <w:lang w:val="fr-FR"/>
        </w:rPr>
        <w:t>Tableau</w:t>
      </w:r>
      <w:r>
        <w:rPr>
          <w:lang w:val="fr-FR"/>
        </w:rPr>
        <w:t> </w:t>
      </w:r>
      <w:r w:rsidRPr="004573F6">
        <w:rPr>
          <w:lang w:val="fr-FR"/>
        </w:rPr>
        <w:t>3</w:t>
      </w:r>
      <w:r>
        <w:rPr>
          <w:lang w:val="fr-FR"/>
        </w:rPr>
        <w:br/>
      </w:r>
      <w:r w:rsidRPr="004573F6">
        <w:rPr>
          <w:b/>
          <w:bCs/>
          <w:lang w:val="fr-FR"/>
        </w:rPr>
        <w:t>Modèle de notification (n=36)</w:t>
      </w:r>
      <w:r w:rsidRPr="004573F6">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5252"/>
        <w:gridCol w:w="2118"/>
      </w:tblGrid>
      <w:tr w:rsidR="00A90AAA" w:rsidRPr="007E069C" w14:paraId="28E73000" w14:textId="77777777" w:rsidTr="007F6BCD">
        <w:trPr>
          <w:tblHeader/>
        </w:trPr>
        <w:tc>
          <w:tcPr>
            <w:tcW w:w="5252" w:type="dxa"/>
            <w:tcBorders>
              <w:top w:val="single" w:sz="4" w:space="0" w:color="auto"/>
              <w:bottom w:val="single" w:sz="12" w:space="0" w:color="auto"/>
            </w:tcBorders>
            <w:shd w:val="clear" w:color="auto" w:fill="auto"/>
            <w:vAlign w:val="bottom"/>
          </w:tcPr>
          <w:p w14:paraId="68FF06B7" w14:textId="77777777" w:rsidR="00A90AAA" w:rsidRPr="007E069C" w:rsidRDefault="00A90AAA" w:rsidP="007F6BCD">
            <w:pPr>
              <w:suppressAutoHyphens w:val="0"/>
              <w:spacing w:before="80" w:after="80" w:line="200" w:lineRule="exact"/>
              <w:rPr>
                <w:i/>
                <w:sz w:val="16"/>
                <w:lang w:val="fr-FR"/>
              </w:rPr>
            </w:pPr>
            <w:r w:rsidRPr="007E069C">
              <w:rPr>
                <w:i/>
                <w:sz w:val="16"/>
                <w:lang w:val="fr-FR"/>
              </w:rPr>
              <w:t>Modèle utilisé</w:t>
            </w:r>
          </w:p>
        </w:tc>
        <w:tc>
          <w:tcPr>
            <w:tcW w:w="2118" w:type="dxa"/>
            <w:tcBorders>
              <w:top w:val="single" w:sz="4" w:space="0" w:color="auto"/>
              <w:bottom w:val="single" w:sz="12" w:space="0" w:color="auto"/>
            </w:tcBorders>
            <w:shd w:val="clear" w:color="auto" w:fill="auto"/>
            <w:vAlign w:val="bottom"/>
          </w:tcPr>
          <w:p w14:paraId="1AB18FD2" w14:textId="77777777" w:rsidR="00A90AAA" w:rsidRPr="007E069C" w:rsidRDefault="00A90AAA" w:rsidP="007F6BCD">
            <w:pPr>
              <w:suppressAutoHyphens w:val="0"/>
              <w:spacing w:before="80" w:after="80" w:line="200" w:lineRule="exact"/>
              <w:jc w:val="right"/>
              <w:rPr>
                <w:i/>
                <w:sz w:val="16"/>
                <w:lang w:val="fr-FR"/>
              </w:rPr>
            </w:pPr>
            <w:r w:rsidRPr="007E069C">
              <w:rPr>
                <w:i/>
                <w:sz w:val="16"/>
                <w:lang w:val="fr-FR"/>
              </w:rPr>
              <w:t xml:space="preserve">Nombre de répondants </w:t>
            </w:r>
          </w:p>
        </w:tc>
      </w:tr>
      <w:tr w:rsidR="00A90AAA" w:rsidRPr="007E069C" w14:paraId="34D60411" w14:textId="77777777" w:rsidTr="007F6BCD">
        <w:trPr>
          <w:trHeight w:hRule="exact" w:val="113"/>
          <w:tblHeader/>
        </w:trPr>
        <w:tc>
          <w:tcPr>
            <w:tcW w:w="5252" w:type="dxa"/>
            <w:tcBorders>
              <w:top w:val="single" w:sz="12" w:space="0" w:color="auto"/>
            </w:tcBorders>
            <w:shd w:val="clear" w:color="auto" w:fill="auto"/>
          </w:tcPr>
          <w:p w14:paraId="48293921" w14:textId="77777777" w:rsidR="00A90AAA" w:rsidRPr="007E069C" w:rsidRDefault="00A90AAA" w:rsidP="007F6BCD">
            <w:pPr>
              <w:suppressAutoHyphens w:val="0"/>
              <w:spacing w:before="40" w:after="40" w:line="220" w:lineRule="exact"/>
              <w:rPr>
                <w:sz w:val="18"/>
                <w:lang w:val="fr-FR"/>
              </w:rPr>
            </w:pPr>
          </w:p>
        </w:tc>
        <w:tc>
          <w:tcPr>
            <w:tcW w:w="2118" w:type="dxa"/>
            <w:tcBorders>
              <w:top w:val="single" w:sz="12" w:space="0" w:color="auto"/>
            </w:tcBorders>
            <w:shd w:val="clear" w:color="auto" w:fill="auto"/>
            <w:vAlign w:val="bottom"/>
          </w:tcPr>
          <w:p w14:paraId="70818B9D" w14:textId="77777777" w:rsidR="00A90AAA" w:rsidRPr="007E069C" w:rsidRDefault="00A90AAA" w:rsidP="007F6BCD">
            <w:pPr>
              <w:suppressAutoHyphens w:val="0"/>
              <w:spacing w:before="40" w:after="40" w:line="220" w:lineRule="exact"/>
              <w:jc w:val="right"/>
              <w:rPr>
                <w:sz w:val="18"/>
                <w:lang w:val="fr-FR"/>
              </w:rPr>
            </w:pPr>
          </w:p>
        </w:tc>
      </w:tr>
      <w:tr w:rsidR="00A90AAA" w:rsidRPr="007E069C" w14:paraId="1069C0B2" w14:textId="77777777" w:rsidTr="007F6BCD">
        <w:tc>
          <w:tcPr>
            <w:tcW w:w="5252" w:type="dxa"/>
            <w:shd w:val="clear" w:color="auto" w:fill="auto"/>
          </w:tcPr>
          <w:p w14:paraId="1166C7BC" w14:textId="108297EF" w:rsidR="00A90AAA" w:rsidRPr="007E069C" w:rsidRDefault="00A90AAA" w:rsidP="007F6BCD">
            <w:pPr>
              <w:suppressAutoHyphens w:val="0"/>
              <w:spacing w:before="40" w:after="40" w:line="220" w:lineRule="exact"/>
              <w:rPr>
                <w:sz w:val="18"/>
                <w:lang w:val="fr-FR"/>
              </w:rPr>
            </w:pPr>
            <w:r>
              <w:rPr>
                <w:sz w:val="18"/>
                <w:lang w:val="fr-FR"/>
              </w:rPr>
              <w:t>T</w:t>
            </w:r>
            <w:r w:rsidRPr="007E069C">
              <w:rPr>
                <w:sz w:val="18"/>
                <w:lang w:val="fr-FR"/>
              </w:rPr>
              <w:t>ableau (ECE/MP.EIA/2, annexe IV, décision I/4, appendice, tableau</w:t>
            </w:r>
            <w:r>
              <w:rPr>
                <w:sz w:val="18"/>
                <w:lang w:val="fr-FR"/>
              </w:rPr>
              <w:t> </w:t>
            </w:r>
            <w:r w:rsidRPr="007E069C">
              <w:rPr>
                <w:sz w:val="18"/>
                <w:lang w:val="fr-FR"/>
              </w:rPr>
              <w:t>1)</w:t>
            </w:r>
          </w:p>
        </w:tc>
        <w:tc>
          <w:tcPr>
            <w:tcW w:w="2118" w:type="dxa"/>
            <w:shd w:val="clear" w:color="auto" w:fill="auto"/>
            <w:vAlign w:val="bottom"/>
          </w:tcPr>
          <w:p w14:paraId="2F093CAF"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7</w:t>
            </w:r>
          </w:p>
        </w:tc>
      </w:tr>
      <w:tr w:rsidR="00A90AAA" w:rsidRPr="007E069C" w14:paraId="32EEF58A" w14:textId="77777777" w:rsidTr="007F6BCD">
        <w:tc>
          <w:tcPr>
            <w:tcW w:w="5252" w:type="dxa"/>
            <w:shd w:val="clear" w:color="auto" w:fill="auto"/>
          </w:tcPr>
          <w:p w14:paraId="44122C34" w14:textId="77777777" w:rsidR="00A90AAA" w:rsidRPr="007E069C" w:rsidRDefault="00A90AAA" w:rsidP="007F6BCD">
            <w:pPr>
              <w:suppressAutoHyphens w:val="0"/>
              <w:spacing w:before="40" w:after="40" w:line="220" w:lineRule="exact"/>
              <w:rPr>
                <w:sz w:val="18"/>
                <w:lang w:val="fr-FR"/>
              </w:rPr>
            </w:pPr>
            <w:r w:rsidRPr="007E069C">
              <w:rPr>
                <w:sz w:val="18"/>
                <w:lang w:val="fr-FR"/>
              </w:rPr>
              <w:t xml:space="preserve">Lettre dans laquelle figurent toutes les informations détaillées dans </w:t>
            </w:r>
            <w:r>
              <w:rPr>
                <w:sz w:val="18"/>
                <w:lang w:val="fr-FR"/>
              </w:rPr>
              <w:br/>
            </w:r>
            <w:r w:rsidRPr="007E069C">
              <w:rPr>
                <w:sz w:val="18"/>
                <w:lang w:val="fr-FR"/>
              </w:rPr>
              <w:t xml:space="preserve">la décision I/4 </w:t>
            </w:r>
          </w:p>
        </w:tc>
        <w:tc>
          <w:tcPr>
            <w:tcW w:w="2118" w:type="dxa"/>
            <w:shd w:val="clear" w:color="auto" w:fill="auto"/>
            <w:vAlign w:val="bottom"/>
          </w:tcPr>
          <w:p w14:paraId="0836A1EF"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8</w:t>
            </w:r>
          </w:p>
        </w:tc>
      </w:tr>
      <w:tr w:rsidR="00A90AAA" w:rsidRPr="007E069C" w14:paraId="36863A45" w14:textId="77777777" w:rsidTr="007F6BCD">
        <w:tc>
          <w:tcPr>
            <w:tcW w:w="5252" w:type="dxa"/>
            <w:shd w:val="clear" w:color="auto" w:fill="auto"/>
          </w:tcPr>
          <w:p w14:paraId="144E6CF4" w14:textId="77777777" w:rsidR="00A90AAA" w:rsidRPr="007E069C" w:rsidRDefault="00A90AAA" w:rsidP="007F6BCD">
            <w:pPr>
              <w:suppressAutoHyphens w:val="0"/>
              <w:spacing w:before="40" w:after="40" w:line="220" w:lineRule="exact"/>
              <w:rPr>
                <w:sz w:val="18"/>
                <w:lang w:val="fr-FR"/>
              </w:rPr>
            </w:pPr>
            <w:r>
              <w:rPr>
                <w:sz w:val="18"/>
                <w:lang w:val="fr-FR"/>
              </w:rPr>
              <w:t>T</w:t>
            </w:r>
            <w:r w:rsidRPr="007E069C">
              <w:rPr>
                <w:sz w:val="18"/>
                <w:lang w:val="fr-FR"/>
              </w:rPr>
              <w:t>ableau et lettre</w:t>
            </w:r>
          </w:p>
        </w:tc>
        <w:tc>
          <w:tcPr>
            <w:tcW w:w="2118" w:type="dxa"/>
            <w:shd w:val="clear" w:color="auto" w:fill="auto"/>
            <w:vAlign w:val="bottom"/>
          </w:tcPr>
          <w:p w14:paraId="1FB67A80"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2</w:t>
            </w:r>
          </w:p>
        </w:tc>
      </w:tr>
      <w:tr w:rsidR="00A90AAA" w:rsidRPr="007E069C" w14:paraId="637FE083" w14:textId="77777777" w:rsidTr="007F6BCD">
        <w:tc>
          <w:tcPr>
            <w:tcW w:w="5252" w:type="dxa"/>
            <w:shd w:val="clear" w:color="auto" w:fill="auto"/>
          </w:tcPr>
          <w:p w14:paraId="567644A1" w14:textId="77777777" w:rsidR="00A90AAA" w:rsidRPr="007E069C" w:rsidRDefault="00A90AAA" w:rsidP="007F6BCD">
            <w:pPr>
              <w:suppressAutoHyphens w:val="0"/>
              <w:spacing w:before="40" w:after="40" w:line="220" w:lineRule="exact"/>
              <w:rPr>
                <w:sz w:val="18"/>
                <w:lang w:val="fr-FR"/>
              </w:rPr>
            </w:pPr>
            <w:r w:rsidRPr="007E069C">
              <w:rPr>
                <w:sz w:val="18"/>
                <w:lang w:val="fr-FR"/>
              </w:rPr>
              <w:t>Modèle national normalisé</w:t>
            </w:r>
          </w:p>
        </w:tc>
        <w:tc>
          <w:tcPr>
            <w:tcW w:w="2118" w:type="dxa"/>
            <w:shd w:val="clear" w:color="auto" w:fill="auto"/>
            <w:vAlign w:val="bottom"/>
          </w:tcPr>
          <w:p w14:paraId="1233ACFB"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2</w:t>
            </w:r>
          </w:p>
        </w:tc>
      </w:tr>
      <w:tr w:rsidR="00A90AAA" w:rsidRPr="007E069C" w14:paraId="24DA48A3" w14:textId="77777777" w:rsidTr="007F6BCD">
        <w:tc>
          <w:tcPr>
            <w:tcW w:w="5252" w:type="dxa"/>
            <w:tcBorders>
              <w:bottom w:val="single" w:sz="12" w:space="0" w:color="auto"/>
            </w:tcBorders>
            <w:shd w:val="clear" w:color="auto" w:fill="auto"/>
          </w:tcPr>
          <w:p w14:paraId="3BD4FECC" w14:textId="77777777" w:rsidR="00A90AAA" w:rsidRPr="007E069C" w:rsidRDefault="00A90AAA" w:rsidP="007F6BCD">
            <w:pPr>
              <w:suppressAutoHyphens w:val="0"/>
              <w:spacing w:before="40" w:after="40" w:line="220" w:lineRule="exact"/>
              <w:rPr>
                <w:sz w:val="18"/>
                <w:lang w:val="fr-FR"/>
              </w:rPr>
            </w:pPr>
            <w:r w:rsidRPr="007E069C">
              <w:rPr>
                <w:sz w:val="18"/>
                <w:lang w:val="fr-FR"/>
              </w:rPr>
              <w:t>Aucun modèle officiel</w:t>
            </w:r>
          </w:p>
        </w:tc>
        <w:tc>
          <w:tcPr>
            <w:tcW w:w="2118" w:type="dxa"/>
            <w:tcBorders>
              <w:bottom w:val="single" w:sz="12" w:space="0" w:color="auto"/>
            </w:tcBorders>
            <w:shd w:val="clear" w:color="auto" w:fill="auto"/>
            <w:vAlign w:val="bottom"/>
          </w:tcPr>
          <w:p w14:paraId="753F9F97"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17</w:t>
            </w:r>
          </w:p>
        </w:tc>
      </w:tr>
    </w:tbl>
    <w:p w14:paraId="65215487" w14:textId="47C13B0D" w:rsidR="00A90AAA" w:rsidRPr="007E069C" w:rsidRDefault="00A90AAA" w:rsidP="00A90AAA">
      <w:pPr>
        <w:pStyle w:val="Titre1"/>
        <w:spacing w:before="240" w:after="120"/>
        <w:rPr>
          <w:lang w:val="fr-FR"/>
        </w:rPr>
      </w:pPr>
      <w:r w:rsidRPr="004573F6">
        <w:rPr>
          <w:lang w:val="fr-FR"/>
        </w:rPr>
        <w:t>Tableau</w:t>
      </w:r>
      <w:r>
        <w:rPr>
          <w:lang w:val="fr-FR"/>
        </w:rPr>
        <w:t> </w:t>
      </w:r>
      <w:r w:rsidRPr="004573F6">
        <w:rPr>
          <w:lang w:val="fr-FR"/>
        </w:rPr>
        <w:t>4</w:t>
      </w:r>
      <w:r>
        <w:rPr>
          <w:lang w:val="fr-FR"/>
        </w:rPr>
        <w:br/>
      </w:r>
      <w:r w:rsidRPr="004573F6">
        <w:rPr>
          <w:b/>
          <w:bCs/>
          <w:lang w:val="fr-FR"/>
        </w:rPr>
        <w:t>Informations figurant dans la notification (n=36)</w:t>
      </w:r>
    </w:p>
    <w:tbl>
      <w:tblPr>
        <w:tblW w:w="7370" w:type="dxa"/>
        <w:tblInd w:w="1134" w:type="dxa"/>
        <w:tblLayout w:type="fixed"/>
        <w:tblCellMar>
          <w:left w:w="0" w:type="dxa"/>
          <w:right w:w="0" w:type="dxa"/>
        </w:tblCellMar>
        <w:tblLook w:val="04A0" w:firstRow="1" w:lastRow="0" w:firstColumn="1" w:lastColumn="0" w:noHBand="0" w:noVBand="1"/>
      </w:tblPr>
      <w:tblGrid>
        <w:gridCol w:w="5252"/>
        <w:gridCol w:w="2118"/>
      </w:tblGrid>
      <w:tr w:rsidR="00A90AAA" w:rsidRPr="001D0152" w14:paraId="0F9A6F19" w14:textId="77777777" w:rsidTr="007F6BCD">
        <w:trPr>
          <w:tblHeader/>
        </w:trPr>
        <w:tc>
          <w:tcPr>
            <w:tcW w:w="5252" w:type="dxa"/>
            <w:tcBorders>
              <w:top w:val="single" w:sz="4" w:space="0" w:color="auto"/>
              <w:bottom w:val="single" w:sz="12" w:space="0" w:color="auto"/>
            </w:tcBorders>
            <w:shd w:val="clear" w:color="auto" w:fill="auto"/>
            <w:vAlign w:val="bottom"/>
          </w:tcPr>
          <w:p w14:paraId="4AB4AB8A" w14:textId="74145586" w:rsidR="00A90AAA" w:rsidRPr="001D0152" w:rsidRDefault="00A90AAA" w:rsidP="007F6BCD">
            <w:pPr>
              <w:suppressAutoHyphens w:val="0"/>
              <w:spacing w:before="80" w:after="80" w:line="200" w:lineRule="exact"/>
              <w:rPr>
                <w:i/>
                <w:sz w:val="16"/>
                <w:lang w:val="fr-FR"/>
              </w:rPr>
            </w:pPr>
            <w:r w:rsidRPr="001D0152">
              <w:rPr>
                <w:i/>
                <w:sz w:val="16"/>
                <w:lang w:val="fr-FR"/>
              </w:rPr>
              <w:t>Informations prévues à l</w:t>
            </w:r>
            <w:r>
              <w:rPr>
                <w:i/>
                <w:sz w:val="16"/>
                <w:lang w:val="fr-FR"/>
              </w:rPr>
              <w:t>’</w:t>
            </w:r>
            <w:r w:rsidRPr="001D0152">
              <w:rPr>
                <w:i/>
                <w:sz w:val="16"/>
                <w:lang w:val="fr-FR"/>
              </w:rPr>
              <w:t>art</w:t>
            </w:r>
            <w:r w:rsidR="007F0C13">
              <w:rPr>
                <w:i/>
                <w:sz w:val="16"/>
                <w:lang w:val="fr-FR"/>
              </w:rPr>
              <w:t>icle</w:t>
            </w:r>
            <w:r>
              <w:rPr>
                <w:i/>
                <w:sz w:val="16"/>
                <w:lang w:val="fr-FR"/>
              </w:rPr>
              <w:t> :</w:t>
            </w:r>
          </w:p>
        </w:tc>
        <w:tc>
          <w:tcPr>
            <w:tcW w:w="2118" w:type="dxa"/>
            <w:tcBorders>
              <w:top w:val="single" w:sz="4" w:space="0" w:color="auto"/>
              <w:bottom w:val="single" w:sz="12" w:space="0" w:color="auto"/>
            </w:tcBorders>
            <w:shd w:val="clear" w:color="auto" w:fill="auto"/>
            <w:vAlign w:val="bottom"/>
          </w:tcPr>
          <w:p w14:paraId="1025A793" w14:textId="77777777" w:rsidR="00A90AAA" w:rsidRPr="001D0152" w:rsidRDefault="00A90AAA" w:rsidP="007F6BCD">
            <w:pPr>
              <w:suppressAutoHyphens w:val="0"/>
              <w:spacing w:before="80" w:after="80" w:line="200" w:lineRule="exact"/>
              <w:jc w:val="right"/>
              <w:rPr>
                <w:i/>
                <w:sz w:val="16"/>
                <w:lang w:val="fr-FR"/>
              </w:rPr>
            </w:pPr>
            <w:r w:rsidRPr="001D0152">
              <w:rPr>
                <w:i/>
                <w:sz w:val="16"/>
                <w:lang w:val="fr-FR"/>
              </w:rPr>
              <w:t>Nombre de répondants</w:t>
            </w:r>
          </w:p>
        </w:tc>
      </w:tr>
      <w:tr w:rsidR="00A90AAA" w:rsidRPr="001D0152" w14:paraId="5DE689EF" w14:textId="77777777" w:rsidTr="007F6BCD">
        <w:trPr>
          <w:trHeight w:hRule="exact" w:val="113"/>
          <w:tblHeader/>
        </w:trPr>
        <w:tc>
          <w:tcPr>
            <w:tcW w:w="5252" w:type="dxa"/>
            <w:tcBorders>
              <w:top w:val="single" w:sz="12" w:space="0" w:color="auto"/>
            </w:tcBorders>
            <w:shd w:val="clear" w:color="auto" w:fill="auto"/>
          </w:tcPr>
          <w:p w14:paraId="32A4CA81" w14:textId="77777777" w:rsidR="00A90AAA" w:rsidRPr="001D0152" w:rsidRDefault="00A90AAA" w:rsidP="007F6BCD">
            <w:pPr>
              <w:suppressAutoHyphens w:val="0"/>
              <w:spacing w:before="40" w:after="40" w:line="220" w:lineRule="exact"/>
              <w:rPr>
                <w:sz w:val="18"/>
                <w:lang w:val="fr-FR"/>
              </w:rPr>
            </w:pPr>
          </w:p>
        </w:tc>
        <w:tc>
          <w:tcPr>
            <w:tcW w:w="2118" w:type="dxa"/>
            <w:tcBorders>
              <w:top w:val="single" w:sz="12" w:space="0" w:color="auto"/>
            </w:tcBorders>
            <w:shd w:val="clear" w:color="auto" w:fill="auto"/>
            <w:vAlign w:val="bottom"/>
          </w:tcPr>
          <w:p w14:paraId="76F98815" w14:textId="77777777" w:rsidR="00A90AAA" w:rsidRPr="001D0152" w:rsidRDefault="00A90AAA" w:rsidP="007F6BCD">
            <w:pPr>
              <w:suppressAutoHyphens w:val="0"/>
              <w:spacing w:before="40" w:after="40" w:line="220" w:lineRule="exact"/>
              <w:jc w:val="right"/>
              <w:rPr>
                <w:sz w:val="18"/>
                <w:lang w:val="fr-FR"/>
              </w:rPr>
            </w:pPr>
          </w:p>
        </w:tc>
      </w:tr>
      <w:tr w:rsidR="00A90AAA" w:rsidRPr="001D0152" w14:paraId="6FD18841" w14:textId="77777777" w:rsidTr="007F6BCD">
        <w:tc>
          <w:tcPr>
            <w:tcW w:w="5252" w:type="dxa"/>
            <w:shd w:val="clear" w:color="auto" w:fill="auto"/>
          </w:tcPr>
          <w:p w14:paraId="70467CD9" w14:textId="77777777" w:rsidR="00A90AAA" w:rsidRPr="001D0152" w:rsidRDefault="00A90AAA" w:rsidP="007F6BCD">
            <w:pPr>
              <w:suppressAutoHyphens w:val="0"/>
              <w:spacing w:before="40" w:after="40" w:line="220" w:lineRule="exact"/>
              <w:rPr>
                <w:sz w:val="18"/>
                <w:lang w:val="fr-FR"/>
              </w:rPr>
            </w:pPr>
            <w:r w:rsidRPr="001D0152">
              <w:rPr>
                <w:sz w:val="18"/>
                <w:lang w:val="fr-FR"/>
              </w:rPr>
              <w:t>3 (par. 2 a))</w:t>
            </w:r>
          </w:p>
        </w:tc>
        <w:tc>
          <w:tcPr>
            <w:tcW w:w="2118" w:type="dxa"/>
            <w:shd w:val="clear" w:color="auto" w:fill="auto"/>
            <w:vAlign w:val="bottom"/>
          </w:tcPr>
          <w:p w14:paraId="5B3087AB" w14:textId="77777777" w:rsidR="00A90AAA" w:rsidRPr="001D0152" w:rsidRDefault="00A90AAA" w:rsidP="007F6BCD">
            <w:pPr>
              <w:suppressAutoHyphens w:val="0"/>
              <w:spacing w:before="40" w:after="40" w:line="220" w:lineRule="exact"/>
              <w:jc w:val="right"/>
              <w:rPr>
                <w:sz w:val="18"/>
                <w:lang w:val="fr-FR"/>
              </w:rPr>
            </w:pPr>
            <w:r w:rsidRPr="001D0152">
              <w:rPr>
                <w:sz w:val="18"/>
                <w:lang w:val="fr-FR"/>
              </w:rPr>
              <w:t>35</w:t>
            </w:r>
          </w:p>
        </w:tc>
      </w:tr>
      <w:tr w:rsidR="00A90AAA" w:rsidRPr="001D0152" w14:paraId="650A8D11" w14:textId="77777777" w:rsidTr="007F6BCD">
        <w:tc>
          <w:tcPr>
            <w:tcW w:w="5252" w:type="dxa"/>
            <w:shd w:val="clear" w:color="auto" w:fill="auto"/>
          </w:tcPr>
          <w:p w14:paraId="54651D59" w14:textId="23C38F80" w:rsidR="00A90AAA" w:rsidRPr="001D0152" w:rsidRDefault="00A90AAA" w:rsidP="007F6BCD">
            <w:pPr>
              <w:suppressAutoHyphens w:val="0"/>
              <w:spacing w:before="40" w:after="40" w:line="220" w:lineRule="exact"/>
              <w:rPr>
                <w:sz w:val="18"/>
                <w:lang w:val="fr-FR"/>
              </w:rPr>
            </w:pPr>
            <w:r w:rsidRPr="001D0152">
              <w:rPr>
                <w:sz w:val="18"/>
                <w:lang w:val="fr-FR"/>
              </w:rPr>
              <w:t>3 (par. 2</w:t>
            </w:r>
            <w:r>
              <w:rPr>
                <w:sz w:val="18"/>
                <w:lang w:val="fr-FR"/>
              </w:rPr>
              <w:t> </w:t>
            </w:r>
            <w:r w:rsidRPr="001D0152">
              <w:rPr>
                <w:sz w:val="18"/>
                <w:lang w:val="fr-FR"/>
              </w:rPr>
              <w:t>b))</w:t>
            </w:r>
          </w:p>
        </w:tc>
        <w:tc>
          <w:tcPr>
            <w:tcW w:w="2118" w:type="dxa"/>
            <w:shd w:val="clear" w:color="auto" w:fill="auto"/>
            <w:vAlign w:val="bottom"/>
          </w:tcPr>
          <w:p w14:paraId="4623C35C" w14:textId="77777777" w:rsidR="00A90AAA" w:rsidRPr="001D0152" w:rsidRDefault="00A90AAA" w:rsidP="007F6BCD">
            <w:pPr>
              <w:suppressAutoHyphens w:val="0"/>
              <w:spacing w:before="40" w:after="40" w:line="220" w:lineRule="exact"/>
              <w:jc w:val="right"/>
              <w:rPr>
                <w:sz w:val="18"/>
                <w:lang w:val="fr-FR"/>
              </w:rPr>
            </w:pPr>
            <w:r w:rsidRPr="001D0152">
              <w:rPr>
                <w:sz w:val="18"/>
                <w:lang w:val="fr-FR"/>
              </w:rPr>
              <w:t>29</w:t>
            </w:r>
          </w:p>
        </w:tc>
      </w:tr>
      <w:tr w:rsidR="00A90AAA" w:rsidRPr="001D0152" w14:paraId="23F199CE" w14:textId="77777777" w:rsidTr="007F6BCD">
        <w:tc>
          <w:tcPr>
            <w:tcW w:w="5252" w:type="dxa"/>
            <w:shd w:val="clear" w:color="auto" w:fill="auto"/>
          </w:tcPr>
          <w:p w14:paraId="60D2AD8D" w14:textId="5759ABD8" w:rsidR="00A90AAA" w:rsidRPr="001D0152" w:rsidRDefault="00A90AAA" w:rsidP="007F6BCD">
            <w:pPr>
              <w:suppressAutoHyphens w:val="0"/>
              <w:spacing w:before="40" w:after="40" w:line="220" w:lineRule="exact"/>
              <w:rPr>
                <w:sz w:val="18"/>
                <w:lang w:val="fr-FR"/>
              </w:rPr>
            </w:pPr>
            <w:r w:rsidRPr="001D0152">
              <w:rPr>
                <w:sz w:val="18"/>
                <w:lang w:val="fr-FR"/>
              </w:rPr>
              <w:t>3 (par. 2</w:t>
            </w:r>
            <w:r>
              <w:rPr>
                <w:sz w:val="18"/>
                <w:lang w:val="fr-FR"/>
              </w:rPr>
              <w:t> </w:t>
            </w:r>
            <w:r w:rsidRPr="001D0152">
              <w:rPr>
                <w:sz w:val="18"/>
                <w:lang w:val="fr-FR"/>
              </w:rPr>
              <w:t>c))</w:t>
            </w:r>
          </w:p>
        </w:tc>
        <w:tc>
          <w:tcPr>
            <w:tcW w:w="2118" w:type="dxa"/>
            <w:shd w:val="clear" w:color="auto" w:fill="auto"/>
            <w:vAlign w:val="bottom"/>
          </w:tcPr>
          <w:p w14:paraId="0D58D50A" w14:textId="77777777" w:rsidR="00A90AAA" w:rsidRPr="001D0152" w:rsidRDefault="00A90AAA" w:rsidP="007F6BCD">
            <w:pPr>
              <w:suppressAutoHyphens w:val="0"/>
              <w:spacing w:before="40" w:after="40" w:line="220" w:lineRule="exact"/>
              <w:jc w:val="right"/>
              <w:rPr>
                <w:sz w:val="18"/>
                <w:lang w:val="fr-FR"/>
              </w:rPr>
            </w:pPr>
            <w:r w:rsidRPr="001D0152">
              <w:rPr>
                <w:sz w:val="18"/>
                <w:lang w:val="fr-FR"/>
              </w:rPr>
              <w:t>33</w:t>
            </w:r>
          </w:p>
        </w:tc>
      </w:tr>
      <w:tr w:rsidR="00A90AAA" w:rsidRPr="001D0152" w14:paraId="2356CF8F" w14:textId="77777777" w:rsidTr="007F6BCD">
        <w:tc>
          <w:tcPr>
            <w:tcW w:w="5252" w:type="dxa"/>
            <w:shd w:val="clear" w:color="auto" w:fill="auto"/>
          </w:tcPr>
          <w:p w14:paraId="06A63E05" w14:textId="77777777" w:rsidR="00A90AAA" w:rsidRPr="001D0152" w:rsidRDefault="00A90AAA" w:rsidP="007F6BCD">
            <w:pPr>
              <w:suppressAutoHyphens w:val="0"/>
              <w:spacing w:before="40" w:after="40" w:line="220" w:lineRule="exact"/>
              <w:rPr>
                <w:sz w:val="18"/>
                <w:lang w:val="fr-FR"/>
              </w:rPr>
            </w:pPr>
            <w:r w:rsidRPr="001D0152">
              <w:rPr>
                <w:sz w:val="18"/>
                <w:lang w:val="fr-FR"/>
              </w:rPr>
              <w:t>3 (par. 5 a))</w:t>
            </w:r>
          </w:p>
        </w:tc>
        <w:tc>
          <w:tcPr>
            <w:tcW w:w="2118" w:type="dxa"/>
            <w:shd w:val="clear" w:color="auto" w:fill="auto"/>
            <w:vAlign w:val="bottom"/>
          </w:tcPr>
          <w:p w14:paraId="32A5F28D" w14:textId="77777777" w:rsidR="00A90AAA" w:rsidRPr="001D0152" w:rsidRDefault="00A90AAA" w:rsidP="007F6BCD">
            <w:pPr>
              <w:suppressAutoHyphens w:val="0"/>
              <w:spacing w:before="40" w:after="40" w:line="220" w:lineRule="exact"/>
              <w:jc w:val="right"/>
              <w:rPr>
                <w:sz w:val="18"/>
                <w:lang w:val="fr-FR"/>
              </w:rPr>
            </w:pPr>
            <w:r w:rsidRPr="001D0152">
              <w:rPr>
                <w:sz w:val="18"/>
                <w:lang w:val="fr-FR"/>
              </w:rPr>
              <w:t>33</w:t>
            </w:r>
          </w:p>
        </w:tc>
      </w:tr>
      <w:tr w:rsidR="00A90AAA" w:rsidRPr="001D0152" w14:paraId="43764AB8" w14:textId="77777777" w:rsidTr="007F6BCD">
        <w:tc>
          <w:tcPr>
            <w:tcW w:w="5252" w:type="dxa"/>
            <w:shd w:val="clear" w:color="auto" w:fill="auto"/>
          </w:tcPr>
          <w:p w14:paraId="54656D9A" w14:textId="11144580" w:rsidR="00A90AAA" w:rsidRPr="001D0152" w:rsidRDefault="00A90AAA" w:rsidP="007F6BCD">
            <w:pPr>
              <w:suppressAutoHyphens w:val="0"/>
              <w:spacing w:before="40" w:after="40" w:line="220" w:lineRule="exact"/>
              <w:rPr>
                <w:sz w:val="18"/>
                <w:lang w:val="fr-FR"/>
              </w:rPr>
            </w:pPr>
            <w:r w:rsidRPr="001D0152">
              <w:rPr>
                <w:sz w:val="18"/>
                <w:lang w:val="fr-FR"/>
              </w:rPr>
              <w:t>3 (par. 5</w:t>
            </w:r>
            <w:r>
              <w:rPr>
                <w:sz w:val="18"/>
                <w:lang w:val="fr-FR"/>
              </w:rPr>
              <w:t> </w:t>
            </w:r>
            <w:r w:rsidRPr="001D0152">
              <w:rPr>
                <w:sz w:val="18"/>
                <w:lang w:val="fr-FR"/>
              </w:rPr>
              <w:t>b))</w:t>
            </w:r>
          </w:p>
        </w:tc>
        <w:tc>
          <w:tcPr>
            <w:tcW w:w="2118" w:type="dxa"/>
            <w:shd w:val="clear" w:color="auto" w:fill="auto"/>
            <w:vAlign w:val="bottom"/>
          </w:tcPr>
          <w:p w14:paraId="522A7FD1" w14:textId="77777777" w:rsidR="00A90AAA" w:rsidRPr="001D0152" w:rsidRDefault="00A90AAA" w:rsidP="007F6BCD">
            <w:pPr>
              <w:suppressAutoHyphens w:val="0"/>
              <w:spacing w:before="40" w:after="40" w:line="220" w:lineRule="exact"/>
              <w:jc w:val="right"/>
              <w:rPr>
                <w:sz w:val="18"/>
                <w:lang w:val="fr-FR"/>
              </w:rPr>
            </w:pPr>
            <w:r w:rsidRPr="001D0152">
              <w:rPr>
                <w:sz w:val="18"/>
                <w:lang w:val="fr-FR"/>
              </w:rPr>
              <w:t>31</w:t>
            </w:r>
          </w:p>
        </w:tc>
      </w:tr>
      <w:tr w:rsidR="00A90AAA" w:rsidRPr="001D0152" w14:paraId="7E78FA7A" w14:textId="77777777" w:rsidTr="007F6BCD">
        <w:tc>
          <w:tcPr>
            <w:tcW w:w="5252" w:type="dxa"/>
            <w:tcBorders>
              <w:bottom w:val="single" w:sz="12" w:space="0" w:color="auto"/>
            </w:tcBorders>
            <w:shd w:val="clear" w:color="auto" w:fill="auto"/>
          </w:tcPr>
          <w:p w14:paraId="2C1D4DDC" w14:textId="77777777" w:rsidR="00A90AAA" w:rsidRPr="001D0152" w:rsidRDefault="00A90AAA" w:rsidP="007F6BCD">
            <w:pPr>
              <w:suppressAutoHyphens w:val="0"/>
              <w:spacing w:before="40" w:after="40" w:line="220" w:lineRule="exact"/>
              <w:rPr>
                <w:sz w:val="18"/>
                <w:lang w:val="fr-FR"/>
              </w:rPr>
            </w:pPr>
            <w:r w:rsidRPr="001D0152">
              <w:rPr>
                <w:sz w:val="18"/>
                <w:lang w:val="fr-FR"/>
              </w:rPr>
              <w:t>Informations supplémentaires</w:t>
            </w:r>
          </w:p>
        </w:tc>
        <w:tc>
          <w:tcPr>
            <w:tcW w:w="2118" w:type="dxa"/>
            <w:tcBorders>
              <w:bottom w:val="single" w:sz="12" w:space="0" w:color="auto"/>
            </w:tcBorders>
            <w:shd w:val="clear" w:color="auto" w:fill="auto"/>
            <w:vAlign w:val="bottom"/>
          </w:tcPr>
          <w:p w14:paraId="7B40C2AA" w14:textId="77777777" w:rsidR="00A90AAA" w:rsidRPr="001D0152" w:rsidRDefault="00A90AAA" w:rsidP="007F6BCD">
            <w:pPr>
              <w:suppressAutoHyphens w:val="0"/>
              <w:spacing w:before="40" w:after="40" w:line="220" w:lineRule="exact"/>
              <w:jc w:val="right"/>
              <w:rPr>
                <w:sz w:val="18"/>
                <w:lang w:val="fr-FR"/>
              </w:rPr>
            </w:pPr>
            <w:r w:rsidRPr="001D0152">
              <w:rPr>
                <w:sz w:val="18"/>
                <w:lang w:val="fr-FR"/>
              </w:rPr>
              <w:t>4</w:t>
            </w:r>
          </w:p>
        </w:tc>
      </w:tr>
    </w:tbl>
    <w:p w14:paraId="022E0AF1" w14:textId="77777777" w:rsidR="00A90AAA" w:rsidRPr="004573F6" w:rsidRDefault="00A90AAA" w:rsidP="00CE06A8">
      <w:pPr>
        <w:pStyle w:val="SingleTxtG"/>
        <w:spacing w:before="240"/>
        <w:rPr>
          <w:lang w:val="fr-FR"/>
        </w:rPr>
      </w:pPr>
      <w:r w:rsidRPr="004573F6">
        <w:rPr>
          <w:lang w:val="fr-FR"/>
        </w:rPr>
        <w:t>27.</w:t>
      </w:r>
      <w:r w:rsidRPr="004573F6">
        <w:rPr>
          <w:lang w:val="fr-FR"/>
        </w:rPr>
        <w:tab/>
        <w:t>Les informations supplémentaires fournies dans l</w:t>
      </w:r>
      <w:r>
        <w:rPr>
          <w:lang w:val="fr-FR"/>
        </w:rPr>
        <w:t>a</w:t>
      </w:r>
      <w:r w:rsidRPr="004573F6">
        <w:rPr>
          <w:lang w:val="fr-FR"/>
        </w:rPr>
        <w:t xml:space="preserve"> notification (voir tableau</w:t>
      </w:r>
      <w:r>
        <w:rPr>
          <w:lang w:val="fr-FR"/>
        </w:rPr>
        <w:t> </w:t>
      </w:r>
      <w:r w:rsidRPr="004573F6">
        <w:rPr>
          <w:lang w:val="fr-FR"/>
        </w:rPr>
        <w:t xml:space="preserve">4) </w:t>
      </w:r>
      <w:r>
        <w:rPr>
          <w:lang w:val="fr-FR"/>
        </w:rPr>
        <w:t>peuvent notamment être</w:t>
      </w:r>
      <w:r w:rsidRPr="004573F6">
        <w:rPr>
          <w:lang w:val="fr-FR"/>
        </w:rPr>
        <w:t xml:space="preserve"> des renseignements sur les experts accrédités et le coordonnateur qui établiront le dossier d</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 xml:space="preserve">environnement (Région flamande de </w:t>
      </w:r>
      <w:r w:rsidRPr="004573F6">
        <w:rPr>
          <w:lang w:val="fr-FR"/>
        </w:rPr>
        <w:lastRenderedPageBreak/>
        <w:t>Belgique)</w:t>
      </w:r>
      <w:r>
        <w:rPr>
          <w:lang w:val="fr-FR"/>
        </w:rPr>
        <w:t>,</w:t>
      </w:r>
      <w:r w:rsidRPr="004573F6">
        <w:rPr>
          <w:lang w:val="fr-FR"/>
        </w:rPr>
        <w:t xml:space="preserve"> </w:t>
      </w:r>
      <w:r>
        <w:rPr>
          <w:lang w:val="fr-FR"/>
        </w:rPr>
        <w:t>une notification d’intention (</w:t>
      </w:r>
      <w:proofErr w:type="spellStart"/>
      <w:r w:rsidRPr="004D6AE3">
        <w:rPr>
          <w:i/>
          <w:iCs/>
          <w:lang w:val="fr-FR"/>
        </w:rPr>
        <w:t>intended</w:t>
      </w:r>
      <w:proofErr w:type="spellEnd"/>
      <w:r w:rsidRPr="004D6AE3">
        <w:rPr>
          <w:i/>
          <w:iCs/>
          <w:lang w:val="fr-FR"/>
        </w:rPr>
        <w:t xml:space="preserve"> </w:t>
      </w:r>
      <w:proofErr w:type="spellStart"/>
      <w:r w:rsidRPr="004D6AE3">
        <w:rPr>
          <w:i/>
          <w:iCs/>
          <w:lang w:val="fr-FR"/>
        </w:rPr>
        <w:t>activity</w:t>
      </w:r>
      <w:proofErr w:type="spellEnd"/>
      <w:r w:rsidRPr="004D6AE3">
        <w:rPr>
          <w:i/>
          <w:iCs/>
          <w:lang w:val="fr-FR"/>
        </w:rPr>
        <w:t xml:space="preserve"> </w:t>
      </w:r>
      <w:proofErr w:type="spellStart"/>
      <w:r w:rsidRPr="004D6AE3">
        <w:rPr>
          <w:i/>
          <w:iCs/>
          <w:lang w:val="fr-FR"/>
        </w:rPr>
        <w:t>submission</w:t>
      </w:r>
      <w:proofErr w:type="spellEnd"/>
      <w:r>
        <w:rPr>
          <w:lang w:val="fr-FR"/>
        </w:rPr>
        <w:t>)</w:t>
      </w:r>
      <w:r w:rsidRPr="004573F6">
        <w:rPr>
          <w:lang w:val="fr-FR"/>
        </w:rPr>
        <w:t xml:space="preserve"> (Lettonie) </w:t>
      </w:r>
      <w:r>
        <w:rPr>
          <w:lang w:val="fr-FR"/>
        </w:rPr>
        <w:t>ou encore</w:t>
      </w:r>
      <w:r w:rsidRPr="004573F6">
        <w:rPr>
          <w:lang w:val="fr-FR"/>
        </w:rPr>
        <w:t xml:space="preserve"> </w:t>
      </w:r>
      <w:r>
        <w:rPr>
          <w:lang w:val="fr-FR"/>
        </w:rPr>
        <w:t>une</w:t>
      </w:r>
      <w:r w:rsidRPr="004573F6">
        <w:rPr>
          <w:lang w:val="fr-FR"/>
        </w:rPr>
        <w:t xml:space="preserve"> demande d</w:t>
      </w:r>
      <w:r>
        <w:rPr>
          <w:lang w:val="fr-FR"/>
        </w:rPr>
        <w:t>’</w:t>
      </w:r>
      <w:r w:rsidRPr="004573F6">
        <w:rPr>
          <w:lang w:val="fr-FR"/>
        </w:rPr>
        <w:t xml:space="preserve">autorisation </w:t>
      </w:r>
      <w:r>
        <w:rPr>
          <w:lang w:val="fr-FR"/>
        </w:rPr>
        <w:t>soumise par</w:t>
      </w:r>
      <w:r w:rsidRPr="004573F6">
        <w:rPr>
          <w:lang w:val="fr-FR"/>
        </w:rPr>
        <w:t xml:space="preserve"> </w:t>
      </w:r>
      <w:r>
        <w:rPr>
          <w:lang w:val="fr-FR"/>
        </w:rPr>
        <w:t>l’</w:t>
      </w:r>
      <w:r w:rsidRPr="004573F6">
        <w:rPr>
          <w:lang w:val="fr-FR"/>
        </w:rPr>
        <w:t>initiateur</w:t>
      </w:r>
      <w:r>
        <w:rPr>
          <w:lang w:val="fr-FR"/>
        </w:rPr>
        <w:t xml:space="preserve"> de l’activité</w:t>
      </w:r>
      <w:r w:rsidRPr="004573F6">
        <w:rPr>
          <w:i/>
          <w:iCs/>
          <w:lang w:val="fr-FR"/>
        </w:rPr>
        <w:t xml:space="preserve"> </w:t>
      </w:r>
      <w:r w:rsidRPr="004573F6">
        <w:rPr>
          <w:lang w:val="fr-FR"/>
        </w:rPr>
        <w:t>(Estonie).</w:t>
      </w:r>
    </w:p>
    <w:p w14:paraId="3B667354" w14:textId="77777777" w:rsidR="00A90AAA" w:rsidRPr="004573F6" w:rsidRDefault="00A90AAA" w:rsidP="00A90AAA">
      <w:pPr>
        <w:pStyle w:val="SingleTxtG"/>
        <w:rPr>
          <w:lang w:val="fr-FR"/>
        </w:rPr>
      </w:pPr>
      <w:r w:rsidRPr="004573F6">
        <w:rPr>
          <w:lang w:val="fr-FR"/>
        </w:rPr>
        <w:t>28.</w:t>
      </w:r>
      <w:r w:rsidRPr="004573F6">
        <w:rPr>
          <w:lang w:val="fr-FR"/>
        </w:rPr>
        <w:tab/>
        <w:t>Le délai dont dispose la Partie touchée pour répondre à la notification varie d</w:t>
      </w:r>
      <w:r>
        <w:rPr>
          <w:lang w:val="fr-FR"/>
        </w:rPr>
        <w:t>’</w:t>
      </w:r>
      <w:r w:rsidRPr="004573F6">
        <w:rPr>
          <w:lang w:val="fr-FR"/>
        </w:rPr>
        <w:t>une Partie d</w:t>
      </w:r>
      <w:r>
        <w:rPr>
          <w:lang w:val="fr-FR"/>
        </w:rPr>
        <w:t>’</w:t>
      </w:r>
      <w:r w:rsidRPr="004573F6">
        <w:rPr>
          <w:lang w:val="fr-FR"/>
        </w:rPr>
        <w:t>origine à l</w:t>
      </w:r>
      <w:r>
        <w:rPr>
          <w:lang w:val="fr-FR"/>
        </w:rPr>
        <w:t>’</w:t>
      </w:r>
      <w:r w:rsidRPr="004573F6">
        <w:rPr>
          <w:lang w:val="fr-FR"/>
        </w:rPr>
        <w:t>autre (question I.3.4), mais il est généralement d</w:t>
      </w:r>
      <w:r>
        <w:rPr>
          <w:lang w:val="fr-FR"/>
        </w:rPr>
        <w:t>’</w:t>
      </w:r>
      <w:r w:rsidRPr="004573F6">
        <w:rPr>
          <w:lang w:val="fr-FR"/>
        </w:rPr>
        <w:t>un à deux mois. Dans la plupart des cas (18, n=36), le délai de réponse n</w:t>
      </w:r>
      <w:r>
        <w:rPr>
          <w:lang w:val="fr-FR"/>
        </w:rPr>
        <w:t>’</w:t>
      </w:r>
      <w:r w:rsidRPr="004573F6">
        <w:rPr>
          <w:lang w:val="fr-FR"/>
        </w:rPr>
        <w:t>est pas spécifié dans la législation nationale de la Partie d</w:t>
      </w:r>
      <w:r>
        <w:rPr>
          <w:lang w:val="fr-FR"/>
        </w:rPr>
        <w:t>’</w:t>
      </w:r>
      <w:r w:rsidRPr="004573F6">
        <w:rPr>
          <w:lang w:val="fr-FR"/>
        </w:rPr>
        <w:t>origine</w:t>
      </w:r>
      <w:r>
        <w:rPr>
          <w:lang w:val="fr-FR"/>
        </w:rPr>
        <w:t>. Treize</w:t>
      </w:r>
      <w:r w:rsidRPr="004573F6">
        <w:rPr>
          <w:lang w:val="fr-FR"/>
        </w:rPr>
        <w:t xml:space="preserve"> répondants indiquent que le délai est fixé au cas par cas</w:t>
      </w:r>
      <w:r>
        <w:rPr>
          <w:lang w:val="fr-FR"/>
        </w:rPr>
        <w:t>,</w:t>
      </w:r>
      <w:r w:rsidRPr="004573F6">
        <w:rPr>
          <w:lang w:val="fr-FR"/>
        </w:rPr>
        <w:t xml:space="preserve"> et trois font observer que leur législation prévoit seulement qu</w:t>
      </w:r>
      <w:r>
        <w:rPr>
          <w:lang w:val="fr-FR"/>
        </w:rPr>
        <w:t>’</w:t>
      </w:r>
      <w:r w:rsidRPr="004573F6">
        <w:rPr>
          <w:lang w:val="fr-FR"/>
        </w:rPr>
        <w:t xml:space="preserve">ils doivent </w:t>
      </w:r>
      <w:r>
        <w:rPr>
          <w:lang w:val="fr-FR"/>
        </w:rPr>
        <w:t>fixer</w:t>
      </w:r>
      <w:r w:rsidRPr="004573F6">
        <w:rPr>
          <w:lang w:val="fr-FR"/>
        </w:rPr>
        <w:t xml:space="preserve"> un délai de réponse raisonnable, ce qui témoigne d</w:t>
      </w:r>
      <w:r>
        <w:rPr>
          <w:lang w:val="fr-FR"/>
        </w:rPr>
        <w:t>’</w:t>
      </w:r>
      <w:r w:rsidRPr="004573F6">
        <w:rPr>
          <w:lang w:val="fr-FR"/>
        </w:rPr>
        <w:t>un certain niveau de flexibilité.</w:t>
      </w:r>
    </w:p>
    <w:p w14:paraId="646324B3" w14:textId="77777777" w:rsidR="00A90AAA" w:rsidRPr="004573F6" w:rsidRDefault="00A90AAA" w:rsidP="00A90AAA">
      <w:pPr>
        <w:pStyle w:val="SingleTxtG"/>
        <w:rPr>
          <w:lang w:val="fr-FR"/>
        </w:rPr>
      </w:pPr>
      <w:r w:rsidRPr="004573F6">
        <w:rPr>
          <w:lang w:val="fr-FR"/>
        </w:rPr>
        <w:t>29.</w:t>
      </w:r>
      <w:r w:rsidRPr="004573F6">
        <w:rPr>
          <w:lang w:val="fr-FR"/>
        </w:rPr>
        <w:tab/>
        <w:t>Les seules dispositions procédurales ou «</w:t>
      </w:r>
      <w:r>
        <w:rPr>
          <w:lang w:val="fr-FR"/>
        </w:rPr>
        <w:t> </w:t>
      </w:r>
      <w:r w:rsidRPr="004573F6">
        <w:rPr>
          <w:lang w:val="fr-FR"/>
        </w:rPr>
        <w:t>conséquences</w:t>
      </w:r>
      <w:r>
        <w:rPr>
          <w:lang w:val="fr-FR"/>
        </w:rPr>
        <w:t> </w:t>
      </w:r>
      <w:r w:rsidRPr="004573F6">
        <w:rPr>
          <w:lang w:val="fr-FR"/>
        </w:rPr>
        <w:t>» signalées si une Partie touchée ne répond pas dans les délais impartis (question I.3.5) consistent dans le fait que la Partie concernée risque d</w:t>
      </w:r>
      <w:r>
        <w:rPr>
          <w:lang w:val="fr-FR"/>
        </w:rPr>
        <w:t>’</w:t>
      </w:r>
      <w:r w:rsidRPr="004573F6">
        <w:rPr>
          <w:lang w:val="fr-FR"/>
        </w:rPr>
        <w:t>être exclue des consultations transfrontières. La plupart des répondants se disent prêts à proroger le délai</w:t>
      </w:r>
      <w:r w:rsidRPr="004573F6">
        <w:rPr>
          <w:i/>
          <w:iCs/>
          <w:lang w:val="fr-FR"/>
        </w:rPr>
        <w:t xml:space="preserve"> </w:t>
      </w:r>
      <w:r w:rsidRPr="004573F6">
        <w:rPr>
          <w:lang w:val="fr-FR"/>
        </w:rPr>
        <w:t>si cela leur est demandé, même si le Danemark fait observer que cela n</w:t>
      </w:r>
      <w:r>
        <w:rPr>
          <w:lang w:val="fr-FR"/>
        </w:rPr>
        <w:t>’</w:t>
      </w:r>
      <w:r w:rsidRPr="004573F6">
        <w:rPr>
          <w:lang w:val="fr-FR"/>
        </w:rPr>
        <w:t>est pas toujours possible en raison de</w:t>
      </w:r>
      <w:r>
        <w:rPr>
          <w:lang w:val="fr-FR"/>
        </w:rPr>
        <w:t xml:space="preserve"> contrainte</w:t>
      </w:r>
      <w:r w:rsidRPr="004573F6">
        <w:rPr>
          <w:lang w:val="fr-FR"/>
        </w:rPr>
        <w:t xml:space="preserve">s </w:t>
      </w:r>
      <w:r>
        <w:rPr>
          <w:lang w:val="fr-FR"/>
        </w:rPr>
        <w:t xml:space="preserve">de </w:t>
      </w:r>
      <w:r w:rsidRPr="004573F6">
        <w:rPr>
          <w:lang w:val="fr-FR"/>
        </w:rPr>
        <w:t>calendrier.</w:t>
      </w:r>
    </w:p>
    <w:p w14:paraId="4A83C6EF" w14:textId="77777777" w:rsidR="00A90AAA" w:rsidRPr="004573F6" w:rsidRDefault="00A90AAA" w:rsidP="00A90AAA">
      <w:pPr>
        <w:pStyle w:val="SingleTxtG"/>
        <w:rPr>
          <w:lang w:val="fr-FR"/>
        </w:rPr>
      </w:pPr>
      <w:r w:rsidRPr="004573F6">
        <w:rPr>
          <w:lang w:val="fr-FR"/>
        </w:rPr>
        <w:t>30.</w:t>
      </w:r>
      <w:r w:rsidRPr="004573F6">
        <w:rPr>
          <w:lang w:val="fr-FR"/>
        </w:rPr>
        <w:tab/>
        <w:t>Les Parties d</w:t>
      </w:r>
      <w:r>
        <w:rPr>
          <w:lang w:val="fr-FR"/>
        </w:rPr>
        <w:t>’</w:t>
      </w:r>
      <w:r w:rsidRPr="004573F6">
        <w:rPr>
          <w:lang w:val="fr-FR"/>
        </w:rPr>
        <w:t>origine informent généralement le public et les autorités de la Partie touchée par l</w:t>
      </w:r>
      <w:r>
        <w:rPr>
          <w:lang w:val="fr-FR"/>
        </w:rPr>
        <w:t>’</w:t>
      </w:r>
      <w:r w:rsidRPr="004573F6">
        <w:rPr>
          <w:lang w:val="fr-FR"/>
        </w:rPr>
        <w:t>intermédiaire du « point de contact</w:t>
      </w:r>
      <w:r>
        <w:rPr>
          <w:lang w:val="fr-FR"/>
        </w:rPr>
        <w:t>/</w:t>
      </w:r>
      <w:r w:rsidRPr="004573F6">
        <w:rPr>
          <w:lang w:val="fr-FR"/>
        </w:rPr>
        <w:t xml:space="preserve">correspondant » </w:t>
      </w:r>
      <w:r>
        <w:rPr>
          <w:lang w:val="fr-FR"/>
        </w:rPr>
        <w:t>pour</w:t>
      </w:r>
      <w:r w:rsidRPr="004573F6">
        <w:rPr>
          <w:lang w:val="fr-FR"/>
        </w:rPr>
        <w:t xml:space="preserve"> la Convention (33,</w:t>
      </w:r>
      <w:r>
        <w:rPr>
          <w:lang w:val="fr-FR"/>
        </w:rPr>
        <w:t> </w:t>
      </w:r>
      <w:r w:rsidRPr="004573F6">
        <w:rPr>
          <w:lang w:val="fr-FR"/>
        </w:rPr>
        <w:t>n=37</w:t>
      </w:r>
      <w:r>
        <w:rPr>
          <w:lang w:val="fr-FR"/>
        </w:rPr>
        <w:t>)</w:t>
      </w:r>
      <w:r w:rsidRPr="004573F6">
        <w:rPr>
          <w:lang w:val="fr-FR"/>
        </w:rPr>
        <w:t xml:space="preserve"> </w:t>
      </w:r>
      <w:r>
        <w:rPr>
          <w:lang w:val="fr-FR"/>
        </w:rPr>
        <w:t>(</w:t>
      </w:r>
      <w:r w:rsidRPr="004573F6">
        <w:rPr>
          <w:lang w:val="fr-FR"/>
        </w:rPr>
        <w:t>question I.3.6). Certaines ont recours à d</w:t>
      </w:r>
      <w:r>
        <w:rPr>
          <w:lang w:val="fr-FR"/>
        </w:rPr>
        <w:t>’</w:t>
      </w:r>
      <w:r w:rsidRPr="004573F6">
        <w:rPr>
          <w:lang w:val="fr-FR"/>
        </w:rPr>
        <w:t>autres pratiques, qui remplacent ou complètent la mise en rapport avec le point de contact/correspondant</w:t>
      </w:r>
      <w:r>
        <w:rPr>
          <w:lang w:val="fr-FR"/>
        </w:rPr>
        <w:t> </w:t>
      </w:r>
      <w:r w:rsidRPr="004573F6">
        <w:rPr>
          <w:lang w:val="fr-FR"/>
        </w:rPr>
        <w:t>: elles peuvent ainsi contacter l</w:t>
      </w:r>
      <w:r>
        <w:rPr>
          <w:lang w:val="fr-FR"/>
        </w:rPr>
        <w:t>’</w:t>
      </w:r>
      <w:r w:rsidRPr="004573F6">
        <w:rPr>
          <w:lang w:val="fr-FR"/>
        </w:rPr>
        <w:t>autorité nationale compétente en matière d</w:t>
      </w:r>
      <w:r>
        <w:rPr>
          <w:lang w:val="fr-FR"/>
        </w:rPr>
        <w:t>’</w:t>
      </w:r>
      <w:r w:rsidRPr="004573F6">
        <w:rPr>
          <w:lang w:val="fr-FR"/>
        </w:rPr>
        <w:t>environnement ou publier la notification dans les journaux (les Pays-Bas, par exemple). Lorsqu</w:t>
      </w:r>
      <w:r>
        <w:rPr>
          <w:lang w:val="fr-FR"/>
        </w:rPr>
        <w:t>’</w:t>
      </w:r>
      <w:r w:rsidRPr="004573F6">
        <w:rPr>
          <w:lang w:val="fr-FR"/>
        </w:rPr>
        <w:t>il existe des accords bilatéraux, ceux-ci précisent normalement avec quelle(s) organisation(s) il convient de prendre contact.</w:t>
      </w:r>
    </w:p>
    <w:p w14:paraId="3C73ABD8" w14:textId="0800B570" w:rsidR="00A90AAA" w:rsidRPr="004573F6" w:rsidRDefault="00A90AAA" w:rsidP="00A90AAA">
      <w:pPr>
        <w:pStyle w:val="SingleTxtG"/>
        <w:rPr>
          <w:lang w:val="fr-FR"/>
        </w:rPr>
      </w:pPr>
      <w:r w:rsidRPr="00AC53DD">
        <w:rPr>
          <w:lang w:val="fr-FR"/>
        </w:rPr>
        <w:t>31.</w:t>
      </w:r>
      <w:r w:rsidRPr="00AC53DD">
        <w:rPr>
          <w:lang w:val="fr-FR"/>
        </w:rPr>
        <w:tab/>
        <w:t>L</w:t>
      </w:r>
      <w:r>
        <w:rPr>
          <w:lang w:val="fr-FR"/>
        </w:rPr>
        <w:t>a</w:t>
      </w:r>
      <w:r w:rsidRPr="00AC53DD">
        <w:rPr>
          <w:lang w:val="fr-FR"/>
        </w:rPr>
        <w:t xml:space="preserve"> décision de participer ou non à </w:t>
      </w:r>
      <w:r>
        <w:rPr>
          <w:lang w:val="fr-FR"/>
        </w:rPr>
        <w:t>une</w:t>
      </w:r>
      <w:r w:rsidRPr="00AC53DD">
        <w:rPr>
          <w:lang w:val="fr-FR"/>
        </w:rPr>
        <w:t xml:space="preserve"> procédure transfrontière en tant que Partie touchée (question I.3.7) </w:t>
      </w:r>
      <w:r>
        <w:rPr>
          <w:lang w:val="fr-FR"/>
        </w:rPr>
        <w:t>est</w:t>
      </w:r>
      <w:r w:rsidRPr="00AC53DD">
        <w:rPr>
          <w:lang w:val="fr-FR"/>
        </w:rPr>
        <w:t xml:space="preserve"> principalement prise par l</w:t>
      </w:r>
      <w:r>
        <w:rPr>
          <w:lang w:val="fr-FR"/>
        </w:rPr>
        <w:t>’</w:t>
      </w:r>
      <w:r w:rsidRPr="00AC53DD">
        <w:rPr>
          <w:lang w:val="fr-FR"/>
        </w:rPr>
        <w:t xml:space="preserve">autorité notifiée elle-même (18, n=37), </w:t>
      </w:r>
      <w:r>
        <w:rPr>
          <w:lang w:val="fr-FR"/>
        </w:rPr>
        <w:t>en fonction</w:t>
      </w:r>
      <w:r w:rsidRPr="00AC53DD">
        <w:rPr>
          <w:lang w:val="fr-FR"/>
        </w:rPr>
        <w:t xml:space="preserve"> de l</w:t>
      </w:r>
      <w:r>
        <w:rPr>
          <w:lang w:val="fr-FR"/>
        </w:rPr>
        <w:t>’</w:t>
      </w:r>
      <w:r w:rsidRPr="00AC53DD">
        <w:rPr>
          <w:lang w:val="fr-FR"/>
        </w:rPr>
        <w:t xml:space="preserve">avis des autorités compétentes (16), ou </w:t>
      </w:r>
      <w:r>
        <w:rPr>
          <w:lang w:val="fr-FR"/>
        </w:rPr>
        <w:t>en fonction des</w:t>
      </w:r>
      <w:r w:rsidRPr="00AC53DD">
        <w:rPr>
          <w:lang w:val="fr-FR"/>
        </w:rPr>
        <w:t xml:space="preserve"> avis des autorités compétentes et du public (20)</w:t>
      </w:r>
      <w:r w:rsidRPr="00A90AAA">
        <w:rPr>
          <w:rStyle w:val="Appelnotedebasdep"/>
        </w:rPr>
        <w:footnoteReference w:id="4"/>
      </w:r>
      <w:r w:rsidRPr="00AC53DD">
        <w:rPr>
          <w:lang w:val="fr-FR"/>
        </w:rPr>
        <w:t>. La question I.3.8 porte sur la manière dont la Partie d</w:t>
      </w:r>
      <w:r>
        <w:rPr>
          <w:lang w:val="fr-FR"/>
        </w:rPr>
        <w:t>’</w:t>
      </w:r>
      <w:r w:rsidRPr="00AC53DD">
        <w:rPr>
          <w:lang w:val="fr-FR"/>
        </w:rPr>
        <w:t xml:space="preserve">origine </w:t>
      </w:r>
      <w:r>
        <w:rPr>
          <w:lang w:val="fr-FR"/>
        </w:rPr>
        <w:t>établit</w:t>
      </w:r>
      <w:r w:rsidRPr="00AC53DD">
        <w:rPr>
          <w:lang w:val="fr-FR"/>
        </w:rPr>
        <w:t xml:space="preserve"> l</w:t>
      </w:r>
      <w:r>
        <w:rPr>
          <w:lang w:val="fr-FR"/>
        </w:rPr>
        <w:t>’</w:t>
      </w:r>
      <w:r w:rsidRPr="00AC53DD">
        <w:rPr>
          <w:lang w:val="fr-FR"/>
        </w:rPr>
        <w:t>échéancier pour la communication d</w:t>
      </w:r>
      <w:r>
        <w:rPr>
          <w:lang w:val="fr-FR"/>
        </w:rPr>
        <w:t>’</w:t>
      </w:r>
      <w:r w:rsidRPr="00AC53DD">
        <w:rPr>
          <w:lang w:val="fr-FR"/>
        </w:rPr>
        <w:t xml:space="preserve">observations </w:t>
      </w:r>
      <w:r>
        <w:rPr>
          <w:lang w:val="fr-FR"/>
        </w:rPr>
        <w:t>visé à</w:t>
      </w:r>
      <w:r w:rsidRPr="00AC53DD">
        <w:rPr>
          <w:lang w:val="fr-FR"/>
        </w:rPr>
        <w:t xml:space="preserve"> l</w:t>
      </w:r>
      <w:r>
        <w:rPr>
          <w:lang w:val="fr-FR"/>
        </w:rPr>
        <w:t>’</w:t>
      </w:r>
      <w:r w:rsidRPr="00AC53DD">
        <w:rPr>
          <w:lang w:val="fr-FR"/>
        </w:rPr>
        <w:t>article</w:t>
      </w:r>
      <w:r>
        <w:rPr>
          <w:lang w:val="fr-FR"/>
        </w:rPr>
        <w:t> </w:t>
      </w:r>
      <w:r w:rsidRPr="00AC53DD">
        <w:rPr>
          <w:lang w:val="fr-FR"/>
        </w:rPr>
        <w:t xml:space="preserve">3 (par. 5 a)). La plupart des répondants (24, n=37) </w:t>
      </w:r>
      <w:r>
        <w:rPr>
          <w:lang w:val="fr-FR"/>
        </w:rPr>
        <w:t>établissent</w:t>
      </w:r>
      <w:r w:rsidRPr="00AC53DD">
        <w:rPr>
          <w:lang w:val="fr-FR"/>
        </w:rPr>
        <w:t xml:space="preserve"> cet échéancier sur la base de leurs règles nationales, mais dans certains cas (7)</w:t>
      </w:r>
      <w:r>
        <w:rPr>
          <w:lang w:val="fr-FR"/>
        </w:rPr>
        <w:t>,</w:t>
      </w:r>
      <w:r w:rsidRPr="00AC53DD">
        <w:rPr>
          <w:lang w:val="fr-FR"/>
        </w:rPr>
        <w:t xml:space="preserve"> les répondants se réfèrent à la fois aux règles de la Partie d</w:t>
      </w:r>
      <w:r>
        <w:rPr>
          <w:lang w:val="fr-FR"/>
        </w:rPr>
        <w:t>’</w:t>
      </w:r>
      <w:r w:rsidRPr="00AC53DD">
        <w:rPr>
          <w:lang w:val="fr-FR"/>
        </w:rPr>
        <w:t>origine et à celles de la Partie touchée. Un petit nombre de répondants (4) décident de cette question au cas par cas (par exemple, la Géorgie et Malte).</w:t>
      </w:r>
    </w:p>
    <w:p w14:paraId="3C946253" w14:textId="77777777" w:rsidR="00A90AAA" w:rsidRPr="004573F6" w:rsidRDefault="00A90AAA" w:rsidP="00A90AAA">
      <w:pPr>
        <w:pStyle w:val="H23G"/>
        <w:rPr>
          <w:rFonts w:eastAsia="DengXian Light"/>
          <w:szCs w:val="24"/>
          <w:lang w:val="fr-FR"/>
        </w:rPr>
      </w:pPr>
      <w:bookmarkStart w:id="9" w:name="_Toc13428239"/>
      <w:r w:rsidRPr="004573F6">
        <w:rPr>
          <w:lang w:val="fr-FR"/>
        </w:rPr>
        <w:tab/>
        <w:t>2.</w:t>
      </w:r>
      <w:r w:rsidRPr="004573F6">
        <w:rPr>
          <w:lang w:val="fr-FR"/>
        </w:rPr>
        <w:tab/>
        <w:t>Participation du public</w:t>
      </w:r>
      <w:bookmarkEnd w:id="9"/>
    </w:p>
    <w:p w14:paraId="238CD05D" w14:textId="77777777" w:rsidR="00A90AAA" w:rsidRPr="004573F6" w:rsidRDefault="00A90AAA" w:rsidP="00A90AAA">
      <w:pPr>
        <w:pStyle w:val="SingleTxtG"/>
        <w:rPr>
          <w:lang w:val="fr-FR"/>
        </w:rPr>
      </w:pPr>
      <w:r w:rsidRPr="004573F6">
        <w:rPr>
          <w:lang w:val="fr-FR"/>
        </w:rPr>
        <w:t>32.</w:t>
      </w:r>
      <w:r w:rsidRPr="004573F6">
        <w:rPr>
          <w:lang w:val="fr-FR"/>
        </w:rPr>
        <w:tab/>
        <w:t>La question I.3.9 porte sur l</w:t>
      </w:r>
      <w:r>
        <w:rPr>
          <w:lang w:val="fr-FR"/>
        </w:rPr>
        <w:t>’</w:t>
      </w:r>
      <w:r w:rsidRPr="004573F6">
        <w:rPr>
          <w:lang w:val="fr-FR"/>
        </w:rPr>
        <w:t>application par les Parties de l</w:t>
      </w:r>
      <w:r>
        <w:rPr>
          <w:lang w:val="fr-FR"/>
        </w:rPr>
        <w:t>’</w:t>
      </w:r>
      <w:r w:rsidRPr="004573F6">
        <w:rPr>
          <w:lang w:val="fr-FR"/>
        </w:rPr>
        <w:t>article</w:t>
      </w:r>
      <w:r>
        <w:rPr>
          <w:lang w:val="fr-FR"/>
        </w:rPr>
        <w:t> </w:t>
      </w:r>
      <w:r w:rsidRPr="004573F6">
        <w:rPr>
          <w:lang w:val="fr-FR"/>
        </w:rPr>
        <w:t xml:space="preserve">2 </w:t>
      </w:r>
      <w:r>
        <w:rPr>
          <w:lang w:val="fr-FR"/>
        </w:rPr>
        <w:t xml:space="preserve">(par. 6) </w:t>
      </w:r>
      <w:r w:rsidRPr="004573F6">
        <w:rPr>
          <w:lang w:val="fr-FR"/>
        </w:rPr>
        <w:t>de la Convention. Lorsqu</w:t>
      </w:r>
      <w:r>
        <w:rPr>
          <w:lang w:val="fr-FR"/>
        </w:rPr>
        <w:t>’</w:t>
      </w:r>
      <w:r w:rsidRPr="004573F6">
        <w:rPr>
          <w:lang w:val="fr-FR"/>
        </w:rPr>
        <w:t>il s</w:t>
      </w:r>
      <w:r>
        <w:rPr>
          <w:lang w:val="fr-FR"/>
        </w:rPr>
        <w:t>’</w:t>
      </w:r>
      <w:r w:rsidRPr="004573F6">
        <w:rPr>
          <w:lang w:val="fr-FR"/>
        </w:rPr>
        <w:t>agit de la Partie d</w:t>
      </w:r>
      <w:r>
        <w:rPr>
          <w:lang w:val="fr-FR"/>
        </w:rPr>
        <w:t>’</w:t>
      </w:r>
      <w:r w:rsidRPr="004573F6">
        <w:rPr>
          <w:lang w:val="fr-FR"/>
        </w:rPr>
        <w:t>origine, la possibilité de participer de manière équivalente est prévue le plus souvent dans la législation nationale (24, n=34), tandis que dans 12</w:t>
      </w:r>
      <w:r>
        <w:rPr>
          <w:lang w:val="fr-FR"/>
        </w:rPr>
        <w:t> </w:t>
      </w:r>
      <w:r w:rsidRPr="004573F6">
        <w:rPr>
          <w:lang w:val="fr-FR"/>
        </w:rPr>
        <w:t>cas, elle est déterminée au cas par cas en consultation avec la ou les Parties concernées. Lorsqu</w:t>
      </w:r>
      <w:r>
        <w:rPr>
          <w:lang w:val="fr-FR"/>
        </w:rPr>
        <w:t>’</w:t>
      </w:r>
      <w:r w:rsidRPr="004573F6">
        <w:rPr>
          <w:lang w:val="fr-FR"/>
        </w:rPr>
        <w:t>il s</w:t>
      </w:r>
      <w:r>
        <w:rPr>
          <w:lang w:val="fr-FR"/>
        </w:rPr>
        <w:t>’</w:t>
      </w:r>
      <w:r w:rsidRPr="004573F6">
        <w:rPr>
          <w:lang w:val="fr-FR"/>
        </w:rPr>
        <w:t>agit de la Partie touchée, les répondants indiquent que la possibilité de participer de manière équivalente est convenue avec la Partie d</w:t>
      </w:r>
      <w:r>
        <w:rPr>
          <w:lang w:val="fr-FR"/>
        </w:rPr>
        <w:t>’</w:t>
      </w:r>
      <w:r w:rsidRPr="004573F6">
        <w:rPr>
          <w:lang w:val="fr-FR"/>
        </w:rPr>
        <w:t>origine au cas par cas (17,</w:t>
      </w:r>
      <w:r>
        <w:rPr>
          <w:lang w:val="fr-FR"/>
        </w:rPr>
        <w:t> </w:t>
      </w:r>
      <w:r w:rsidRPr="004573F6">
        <w:rPr>
          <w:lang w:val="fr-FR"/>
        </w:rPr>
        <w:t>n=33) ou est précisée dans la législation nationale (16).</w:t>
      </w:r>
    </w:p>
    <w:p w14:paraId="6C223AD4" w14:textId="77777777" w:rsidR="00A90AAA" w:rsidRPr="004573F6" w:rsidRDefault="00A90AAA" w:rsidP="00A90AAA">
      <w:pPr>
        <w:pStyle w:val="SingleTxtG"/>
        <w:rPr>
          <w:lang w:val="fr-FR"/>
        </w:rPr>
      </w:pPr>
      <w:r w:rsidRPr="004573F6">
        <w:rPr>
          <w:lang w:val="fr-FR"/>
        </w:rPr>
        <w:t>33.</w:t>
      </w:r>
      <w:r w:rsidRPr="004573F6">
        <w:rPr>
          <w:lang w:val="fr-FR"/>
        </w:rPr>
        <w:tab/>
        <w:t>Les réponses à la question I.3.10</w:t>
      </w:r>
      <w:r>
        <w:rPr>
          <w:lang w:val="fr-FR"/>
        </w:rPr>
        <w:t>, qui</w:t>
      </w:r>
      <w:r w:rsidRPr="004573F6">
        <w:rPr>
          <w:lang w:val="fr-FR"/>
        </w:rPr>
        <w:t xml:space="preserve"> concern</w:t>
      </w:r>
      <w:r>
        <w:rPr>
          <w:lang w:val="fr-FR"/>
        </w:rPr>
        <w:t>e</w:t>
      </w:r>
      <w:r w:rsidRPr="004573F6">
        <w:rPr>
          <w:lang w:val="fr-FR"/>
        </w:rPr>
        <w:t xml:space="preserve"> la manière dont le public d</w:t>
      </w:r>
      <w:r>
        <w:rPr>
          <w:lang w:val="fr-FR"/>
        </w:rPr>
        <w:t>’</w:t>
      </w:r>
      <w:r w:rsidRPr="004573F6">
        <w:rPr>
          <w:lang w:val="fr-FR"/>
        </w:rPr>
        <w:t>une Partie touchée peut donner son avis sur le dossier d</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 dans le cadre du processus de participation</w:t>
      </w:r>
      <w:r>
        <w:rPr>
          <w:lang w:val="fr-FR"/>
        </w:rPr>
        <w:t>,</w:t>
      </w:r>
      <w:r w:rsidRPr="004573F6">
        <w:rPr>
          <w:lang w:val="fr-FR"/>
        </w:rPr>
        <w:t xml:space="preserve"> sont résumées dans le tableau</w:t>
      </w:r>
      <w:r>
        <w:rPr>
          <w:lang w:val="fr-FR"/>
        </w:rPr>
        <w:t> </w:t>
      </w:r>
      <w:r w:rsidRPr="004573F6">
        <w:rPr>
          <w:lang w:val="fr-FR"/>
        </w:rPr>
        <w:t>5. Bien que certains répondants aient indiqué que d</w:t>
      </w:r>
      <w:r>
        <w:rPr>
          <w:lang w:val="fr-FR"/>
        </w:rPr>
        <w:t>’</w:t>
      </w:r>
      <w:r w:rsidRPr="004573F6">
        <w:rPr>
          <w:lang w:val="fr-FR"/>
        </w:rPr>
        <w:t>autres méthodes étaient utilisées (option</w:t>
      </w:r>
      <w:r>
        <w:rPr>
          <w:lang w:val="fr-FR"/>
        </w:rPr>
        <w:t> </w:t>
      </w:r>
      <w:r w:rsidRPr="004573F6">
        <w:rPr>
          <w:lang w:val="fr-FR"/>
        </w:rPr>
        <w:t>d)), ces méthodes étaient très semblables aux options a) à c) ou, dans certains cas, étaient couvertes par celles</w:t>
      </w:r>
      <w:r>
        <w:rPr>
          <w:lang w:val="fr-FR"/>
        </w:rPr>
        <w:noBreakHyphen/>
      </w:r>
      <w:r w:rsidRPr="004573F6">
        <w:rPr>
          <w:lang w:val="fr-FR"/>
        </w:rPr>
        <w:t>ci.</w:t>
      </w:r>
    </w:p>
    <w:p w14:paraId="7837B5F2" w14:textId="2BE222A4" w:rsidR="00A90AAA" w:rsidRPr="007E069C" w:rsidRDefault="00A90AAA" w:rsidP="00A90AAA">
      <w:pPr>
        <w:pStyle w:val="Titre1"/>
        <w:spacing w:after="120"/>
        <w:rPr>
          <w:rFonts w:eastAsia="Calibri"/>
          <w:lang w:val="fr-FR"/>
        </w:rPr>
      </w:pPr>
      <w:r w:rsidRPr="004573F6">
        <w:rPr>
          <w:lang w:val="fr-FR"/>
        </w:rPr>
        <w:t>Tableau</w:t>
      </w:r>
      <w:r>
        <w:rPr>
          <w:lang w:val="fr-FR"/>
        </w:rPr>
        <w:t> </w:t>
      </w:r>
      <w:r w:rsidRPr="004573F6">
        <w:rPr>
          <w:lang w:val="fr-FR"/>
        </w:rPr>
        <w:t>5</w:t>
      </w:r>
      <w:r>
        <w:rPr>
          <w:lang w:val="fr-FR"/>
        </w:rPr>
        <w:br/>
      </w:r>
      <w:r w:rsidRPr="004573F6">
        <w:rPr>
          <w:b/>
          <w:bCs/>
          <w:lang w:val="fr-FR"/>
        </w:rPr>
        <w:t>Modalités de participation du public d</w:t>
      </w:r>
      <w:r>
        <w:rPr>
          <w:b/>
          <w:bCs/>
          <w:lang w:val="fr-FR"/>
        </w:rPr>
        <w:t>’</w:t>
      </w:r>
      <w:r w:rsidRPr="004573F6">
        <w:rPr>
          <w:b/>
          <w:bCs/>
          <w:lang w:val="fr-FR"/>
        </w:rPr>
        <w:t>une Partie touchée (n=38)</w:t>
      </w:r>
    </w:p>
    <w:tbl>
      <w:tblPr>
        <w:tblW w:w="7370" w:type="dxa"/>
        <w:tblInd w:w="1134" w:type="dxa"/>
        <w:tblLayout w:type="fixed"/>
        <w:tblCellMar>
          <w:left w:w="0" w:type="dxa"/>
          <w:right w:w="0" w:type="dxa"/>
        </w:tblCellMar>
        <w:tblLook w:val="04A0" w:firstRow="1" w:lastRow="0" w:firstColumn="1" w:lastColumn="0" w:noHBand="0" w:noVBand="1"/>
      </w:tblPr>
      <w:tblGrid>
        <w:gridCol w:w="5954"/>
        <w:gridCol w:w="1416"/>
      </w:tblGrid>
      <w:tr w:rsidR="00A90AAA" w:rsidRPr="007E069C" w14:paraId="087E5F6E" w14:textId="77777777" w:rsidTr="005B44E6">
        <w:trPr>
          <w:tblHeader/>
        </w:trPr>
        <w:tc>
          <w:tcPr>
            <w:tcW w:w="5954" w:type="dxa"/>
            <w:tcBorders>
              <w:top w:val="single" w:sz="4" w:space="0" w:color="auto"/>
              <w:bottom w:val="single" w:sz="12" w:space="0" w:color="auto"/>
            </w:tcBorders>
            <w:shd w:val="clear" w:color="auto" w:fill="auto"/>
            <w:vAlign w:val="bottom"/>
          </w:tcPr>
          <w:p w14:paraId="0C4C0A84" w14:textId="77777777" w:rsidR="00A90AAA" w:rsidRPr="007E069C" w:rsidRDefault="00A90AAA" w:rsidP="007F6BCD">
            <w:pPr>
              <w:suppressAutoHyphens w:val="0"/>
              <w:spacing w:before="80" w:after="80" w:line="200" w:lineRule="exact"/>
              <w:rPr>
                <w:i/>
                <w:sz w:val="16"/>
                <w:lang w:val="fr-FR"/>
              </w:rPr>
            </w:pPr>
            <w:r w:rsidRPr="007E069C">
              <w:rPr>
                <w:i/>
                <w:sz w:val="16"/>
                <w:lang w:val="fr-FR"/>
              </w:rPr>
              <w:t>Modalités de participation</w:t>
            </w:r>
          </w:p>
        </w:tc>
        <w:tc>
          <w:tcPr>
            <w:tcW w:w="1416" w:type="dxa"/>
            <w:tcBorders>
              <w:top w:val="single" w:sz="4" w:space="0" w:color="auto"/>
              <w:bottom w:val="single" w:sz="12" w:space="0" w:color="auto"/>
            </w:tcBorders>
            <w:shd w:val="clear" w:color="auto" w:fill="auto"/>
            <w:vAlign w:val="bottom"/>
          </w:tcPr>
          <w:p w14:paraId="5C3C1855" w14:textId="77777777" w:rsidR="00A90AAA" w:rsidRPr="007E069C" w:rsidRDefault="00A90AAA" w:rsidP="007F6BCD">
            <w:pPr>
              <w:suppressAutoHyphens w:val="0"/>
              <w:spacing w:before="80" w:after="80" w:line="200" w:lineRule="exact"/>
              <w:jc w:val="right"/>
              <w:rPr>
                <w:i/>
                <w:sz w:val="16"/>
                <w:lang w:val="fr-FR"/>
              </w:rPr>
            </w:pPr>
            <w:r w:rsidRPr="007E069C">
              <w:rPr>
                <w:i/>
                <w:sz w:val="16"/>
                <w:lang w:val="fr-FR"/>
              </w:rPr>
              <w:t>Nombre de réponses</w:t>
            </w:r>
          </w:p>
        </w:tc>
      </w:tr>
      <w:tr w:rsidR="00A90AAA" w:rsidRPr="007E069C" w14:paraId="0F46626A" w14:textId="77777777" w:rsidTr="005B44E6">
        <w:trPr>
          <w:trHeight w:hRule="exact" w:val="113"/>
          <w:tblHeader/>
        </w:trPr>
        <w:tc>
          <w:tcPr>
            <w:tcW w:w="5954" w:type="dxa"/>
            <w:tcBorders>
              <w:top w:val="single" w:sz="12" w:space="0" w:color="auto"/>
            </w:tcBorders>
            <w:shd w:val="clear" w:color="auto" w:fill="auto"/>
          </w:tcPr>
          <w:p w14:paraId="731FBDAC" w14:textId="77777777" w:rsidR="00A90AAA" w:rsidRPr="007E069C" w:rsidRDefault="00A90AAA" w:rsidP="007F6BCD">
            <w:pPr>
              <w:suppressAutoHyphens w:val="0"/>
              <w:spacing w:before="40" w:after="40" w:line="220" w:lineRule="exact"/>
              <w:rPr>
                <w:sz w:val="18"/>
                <w:lang w:val="fr-FR"/>
              </w:rPr>
            </w:pPr>
          </w:p>
        </w:tc>
        <w:tc>
          <w:tcPr>
            <w:tcW w:w="1416" w:type="dxa"/>
            <w:tcBorders>
              <w:top w:val="single" w:sz="12" w:space="0" w:color="auto"/>
            </w:tcBorders>
            <w:shd w:val="clear" w:color="auto" w:fill="auto"/>
            <w:vAlign w:val="bottom"/>
          </w:tcPr>
          <w:p w14:paraId="23BC70F6" w14:textId="77777777" w:rsidR="00A90AAA" w:rsidRPr="007E069C" w:rsidRDefault="00A90AAA" w:rsidP="007F6BCD">
            <w:pPr>
              <w:suppressAutoHyphens w:val="0"/>
              <w:spacing w:before="40" w:after="40" w:line="220" w:lineRule="exact"/>
              <w:jc w:val="right"/>
              <w:rPr>
                <w:sz w:val="18"/>
                <w:lang w:val="fr-FR"/>
              </w:rPr>
            </w:pPr>
          </w:p>
        </w:tc>
      </w:tr>
      <w:tr w:rsidR="00A90AAA" w:rsidRPr="007E069C" w14:paraId="5CC99AA8" w14:textId="77777777" w:rsidTr="005B44E6">
        <w:tc>
          <w:tcPr>
            <w:tcW w:w="5954" w:type="dxa"/>
            <w:shd w:val="clear" w:color="auto" w:fill="auto"/>
          </w:tcPr>
          <w:p w14:paraId="1A3A3635" w14:textId="77777777" w:rsidR="00A90AAA" w:rsidRPr="007E069C" w:rsidRDefault="00A90AAA" w:rsidP="007F6BCD">
            <w:pPr>
              <w:suppressAutoHyphens w:val="0"/>
              <w:spacing w:before="40" w:after="40" w:line="220" w:lineRule="exact"/>
              <w:rPr>
                <w:sz w:val="18"/>
                <w:lang w:val="fr-FR"/>
              </w:rPr>
            </w:pPr>
            <w:r w:rsidRPr="007E069C">
              <w:rPr>
                <w:sz w:val="18"/>
                <w:lang w:val="fr-FR"/>
              </w:rPr>
              <w:t>A.</w:t>
            </w:r>
            <w:r w:rsidRPr="007E069C">
              <w:rPr>
                <w:sz w:val="18"/>
                <w:lang w:val="fr-FR"/>
              </w:rPr>
              <w:tab/>
              <w:t>Envoi des observations à l</w:t>
            </w:r>
            <w:r>
              <w:rPr>
                <w:sz w:val="18"/>
                <w:lang w:val="fr-FR"/>
              </w:rPr>
              <w:t>’</w:t>
            </w:r>
            <w:r w:rsidRPr="007E069C">
              <w:rPr>
                <w:sz w:val="18"/>
                <w:lang w:val="fr-FR"/>
              </w:rPr>
              <w:t xml:space="preserve">autorité compétente </w:t>
            </w:r>
          </w:p>
        </w:tc>
        <w:tc>
          <w:tcPr>
            <w:tcW w:w="1416" w:type="dxa"/>
            <w:shd w:val="clear" w:color="auto" w:fill="auto"/>
          </w:tcPr>
          <w:p w14:paraId="463E3D7C"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29</w:t>
            </w:r>
          </w:p>
        </w:tc>
      </w:tr>
      <w:tr w:rsidR="00A90AAA" w:rsidRPr="007E069C" w14:paraId="72E72289" w14:textId="77777777" w:rsidTr="005B44E6">
        <w:tc>
          <w:tcPr>
            <w:tcW w:w="5954" w:type="dxa"/>
            <w:shd w:val="clear" w:color="auto" w:fill="auto"/>
          </w:tcPr>
          <w:p w14:paraId="3D3F0C5A" w14:textId="38040D1E" w:rsidR="00A90AAA" w:rsidRPr="007E069C" w:rsidRDefault="00A90AAA" w:rsidP="007F6BCD">
            <w:pPr>
              <w:suppressAutoHyphens w:val="0"/>
              <w:spacing w:before="40" w:after="40" w:line="220" w:lineRule="exact"/>
              <w:ind w:left="567" w:hanging="567"/>
              <w:rPr>
                <w:sz w:val="18"/>
                <w:lang w:val="fr-FR"/>
              </w:rPr>
            </w:pPr>
            <w:r w:rsidRPr="007E069C">
              <w:rPr>
                <w:sz w:val="18"/>
                <w:lang w:val="fr-FR"/>
              </w:rPr>
              <w:t>B.</w:t>
            </w:r>
            <w:r w:rsidRPr="007E069C">
              <w:rPr>
                <w:sz w:val="18"/>
                <w:lang w:val="fr-FR"/>
              </w:rPr>
              <w:tab/>
              <w:t>Participation à une audition publique sur le territoire de la Partie touchée</w:t>
            </w:r>
          </w:p>
        </w:tc>
        <w:tc>
          <w:tcPr>
            <w:tcW w:w="1416" w:type="dxa"/>
            <w:shd w:val="clear" w:color="auto" w:fill="auto"/>
          </w:tcPr>
          <w:p w14:paraId="36C9B30F"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25</w:t>
            </w:r>
          </w:p>
        </w:tc>
      </w:tr>
      <w:tr w:rsidR="00A90AAA" w:rsidRPr="007E069C" w14:paraId="1DDA1321" w14:textId="77777777" w:rsidTr="005B44E6">
        <w:tc>
          <w:tcPr>
            <w:tcW w:w="5954" w:type="dxa"/>
            <w:shd w:val="clear" w:color="auto" w:fill="auto"/>
          </w:tcPr>
          <w:p w14:paraId="2824C4AD" w14:textId="0E780EF8" w:rsidR="00A90AAA" w:rsidRPr="007E069C" w:rsidRDefault="00A90AAA" w:rsidP="007F6BCD">
            <w:pPr>
              <w:suppressAutoHyphens w:val="0"/>
              <w:spacing w:before="40" w:after="40" w:line="220" w:lineRule="exact"/>
              <w:ind w:left="567" w:hanging="567"/>
              <w:rPr>
                <w:sz w:val="18"/>
                <w:lang w:val="fr-FR"/>
              </w:rPr>
            </w:pPr>
            <w:r w:rsidRPr="007E069C">
              <w:rPr>
                <w:sz w:val="18"/>
                <w:lang w:val="fr-FR"/>
              </w:rPr>
              <w:t>C.</w:t>
            </w:r>
            <w:r w:rsidRPr="007E069C">
              <w:rPr>
                <w:sz w:val="18"/>
                <w:lang w:val="fr-FR"/>
              </w:rPr>
              <w:tab/>
              <w:t>Participation à une audition publique sur le territoire de la Partie d</w:t>
            </w:r>
            <w:r>
              <w:rPr>
                <w:sz w:val="18"/>
                <w:lang w:val="fr-FR"/>
              </w:rPr>
              <w:t>’</w:t>
            </w:r>
            <w:r w:rsidRPr="007E069C">
              <w:rPr>
                <w:sz w:val="18"/>
                <w:lang w:val="fr-FR"/>
              </w:rPr>
              <w:t>origine</w:t>
            </w:r>
          </w:p>
        </w:tc>
        <w:tc>
          <w:tcPr>
            <w:tcW w:w="1416" w:type="dxa"/>
            <w:shd w:val="clear" w:color="auto" w:fill="auto"/>
          </w:tcPr>
          <w:p w14:paraId="2599F1B2"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19</w:t>
            </w:r>
          </w:p>
        </w:tc>
      </w:tr>
      <w:tr w:rsidR="00A90AAA" w:rsidRPr="007E069C" w14:paraId="5981D41B" w14:textId="77777777" w:rsidTr="005B44E6">
        <w:tc>
          <w:tcPr>
            <w:tcW w:w="5954" w:type="dxa"/>
            <w:tcBorders>
              <w:bottom w:val="single" w:sz="12" w:space="0" w:color="auto"/>
            </w:tcBorders>
            <w:shd w:val="clear" w:color="auto" w:fill="auto"/>
          </w:tcPr>
          <w:p w14:paraId="521CAE2E" w14:textId="77777777" w:rsidR="00A90AAA" w:rsidRPr="007E069C" w:rsidRDefault="00A90AAA" w:rsidP="007F6BCD">
            <w:pPr>
              <w:suppressAutoHyphens w:val="0"/>
              <w:spacing w:before="40" w:after="40" w:line="220" w:lineRule="exact"/>
              <w:rPr>
                <w:sz w:val="18"/>
                <w:lang w:val="fr-FR"/>
              </w:rPr>
            </w:pPr>
            <w:r w:rsidRPr="007E069C">
              <w:rPr>
                <w:sz w:val="18"/>
                <w:lang w:val="fr-FR"/>
              </w:rPr>
              <w:t>D.</w:t>
            </w:r>
            <w:r w:rsidRPr="007E069C">
              <w:rPr>
                <w:sz w:val="18"/>
                <w:lang w:val="fr-FR"/>
              </w:rPr>
              <w:tab/>
              <w:t>Autres</w:t>
            </w:r>
          </w:p>
        </w:tc>
        <w:tc>
          <w:tcPr>
            <w:tcW w:w="1416" w:type="dxa"/>
            <w:tcBorders>
              <w:bottom w:val="single" w:sz="12" w:space="0" w:color="auto"/>
            </w:tcBorders>
            <w:shd w:val="clear" w:color="auto" w:fill="auto"/>
          </w:tcPr>
          <w:p w14:paraId="315308B5" w14:textId="77777777" w:rsidR="00A90AAA" w:rsidRPr="007E069C" w:rsidRDefault="00A90AAA" w:rsidP="007F6BCD">
            <w:pPr>
              <w:suppressAutoHyphens w:val="0"/>
              <w:spacing w:before="40" w:after="40" w:line="220" w:lineRule="exact"/>
              <w:jc w:val="right"/>
              <w:rPr>
                <w:sz w:val="18"/>
                <w:lang w:val="fr-FR"/>
              </w:rPr>
            </w:pPr>
            <w:r w:rsidRPr="007E069C">
              <w:rPr>
                <w:sz w:val="18"/>
                <w:lang w:val="fr-FR"/>
              </w:rPr>
              <w:t>7</w:t>
            </w:r>
          </w:p>
        </w:tc>
      </w:tr>
    </w:tbl>
    <w:p w14:paraId="64B2ED2B" w14:textId="77777777" w:rsidR="00A90AAA" w:rsidRPr="004573F6" w:rsidRDefault="00A90AAA" w:rsidP="00A90AAA">
      <w:pPr>
        <w:pStyle w:val="H23G"/>
        <w:rPr>
          <w:lang w:val="fr-FR"/>
        </w:rPr>
      </w:pPr>
      <w:bookmarkStart w:id="10" w:name="_Toc13428240"/>
      <w:r w:rsidRPr="004573F6">
        <w:rPr>
          <w:lang w:val="fr-FR"/>
        </w:rPr>
        <w:tab/>
        <w:t>3.</w:t>
      </w:r>
      <w:r w:rsidRPr="004573F6">
        <w:rPr>
          <w:lang w:val="fr-FR"/>
        </w:rPr>
        <w:tab/>
        <w:t>Consultations avec les autorités</w:t>
      </w:r>
      <w:bookmarkEnd w:id="10"/>
    </w:p>
    <w:p w14:paraId="3F4170E6" w14:textId="48D667A8" w:rsidR="00A90AAA" w:rsidRPr="004573F6" w:rsidRDefault="00A90AAA" w:rsidP="00A90AAA">
      <w:pPr>
        <w:pStyle w:val="SingleTxtG"/>
        <w:rPr>
          <w:rFonts w:ascii="Times" w:hAnsi="Times"/>
          <w:sz w:val="24"/>
          <w:szCs w:val="24"/>
          <w:lang w:val="fr-FR"/>
        </w:rPr>
      </w:pPr>
      <w:r w:rsidRPr="004573F6">
        <w:rPr>
          <w:lang w:val="fr-FR"/>
        </w:rPr>
        <w:t>34.</w:t>
      </w:r>
      <w:r w:rsidRPr="004573F6">
        <w:rPr>
          <w:lang w:val="fr-FR"/>
        </w:rPr>
        <w:tab/>
        <w:t xml:space="preserve">La question I.5 </w:t>
      </w:r>
      <w:r>
        <w:rPr>
          <w:lang w:val="fr-FR"/>
        </w:rPr>
        <w:t>concerne</w:t>
      </w:r>
      <w:r w:rsidRPr="004573F6">
        <w:rPr>
          <w:lang w:val="fr-FR"/>
        </w:rPr>
        <w:t xml:space="preserve"> les dispositions juridiques </w:t>
      </w:r>
      <w:r>
        <w:rPr>
          <w:lang w:val="fr-FR"/>
        </w:rPr>
        <w:t>que</w:t>
      </w:r>
      <w:r w:rsidRPr="004573F6">
        <w:rPr>
          <w:lang w:val="fr-FR"/>
        </w:rPr>
        <w:t xml:space="preserve"> </w:t>
      </w:r>
      <w:r>
        <w:rPr>
          <w:lang w:val="fr-FR"/>
        </w:rPr>
        <w:t>l</w:t>
      </w:r>
      <w:r w:rsidRPr="004573F6">
        <w:rPr>
          <w:lang w:val="fr-FR"/>
        </w:rPr>
        <w:t xml:space="preserve">es Parties </w:t>
      </w:r>
      <w:r>
        <w:rPr>
          <w:lang w:val="fr-FR"/>
        </w:rPr>
        <w:t>ont adoptées pour garantir</w:t>
      </w:r>
      <w:r w:rsidRPr="004573F6">
        <w:rPr>
          <w:lang w:val="fr-FR"/>
        </w:rPr>
        <w:t xml:space="preserve"> l</w:t>
      </w:r>
      <w:r>
        <w:rPr>
          <w:lang w:val="fr-FR"/>
        </w:rPr>
        <w:t>’</w:t>
      </w:r>
      <w:r w:rsidRPr="004573F6">
        <w:rPr>
          <w:lang w:val="fr-FR"/>
        </w:rPr>
        <w:t>organisation de consultations transfrontières entre les autorités des Parties concernées</w:t>
      </w:r>
      <w:r>
        <w:rPr>
          <w:lang w:val="fr-FR"/>
        </w:rPr>
        <w:t>,</w:t>
      </w:r>
      <w:r w:rsidRPr="004573F6">
        <w:rPr>
          <w:lang w:val="fr-FR"/>
        </w:rPr>
        <w:t xml:space="preserve"> en application de l</w:t>
      </w:r>
      <w:r>
        <w:rPr>
          <w:lang w:val="fr-FR"/>
        </w:rPr>
        <w:t>’</w:t>
      </w:r>
      <w:r w:rsidRPr="004573F6">
        <w:rPr>
          <w:lang w:val="fr-FR"/>
        </w:rPr>
        <w:t>article</w:t>
      </w:r>
      <w:r>
        <w:rPr>
          <w:lang w:val="fr-FR"/>
        </w:rPr>
        <w:t> </w:t>
      </w:r>
      <w:r w:rsidRPr="004573F6">
        <w:rPr>
          <w:lang w:val="fr-FR"/>
        </w:rPr>
        <w:t>5 de la Convention (réponses résumées dans la figure</w:t>
      </w:r>
      <w:r>
        <w:rPr>
          <w:lang w:val="fr-FR"/>
        </w:rPr>
        <w:t> </w:t>
      </w:r>
      <w:r w:rsidRPr="004573F6">
        <w:rPr>
          <w:lang w:val="fr-FR"/>
        </w:rPr>
        <w:t>2). Dans la plupart des cas, la législation des répondants prévoit l</w:t>
      </w:r>
      <w:r>
        <w:rPr>
          <w:lang w:val="fr-FR"/>
        </w:rPr>
        <w:t>’</w:t>
      </w:r>
      <w:r w:rsidRPr="004573F6">
        <w:rPr>
          <w:lang w:val="fr-FR"/>
        </w:rPr>
        <w:t>obligation d</w:t>
      </w:r>
      <w:r>
        <w:rPr>
          <w:lang w:val="fr-FR"/>
        </w:rPr>
        <w:t>’</w:t>
      </w:r>
      <w:r w:rsidRPr="004573F6">
        <w:rPr>
          <w:lang w:val="fr-FR"/>
        </w:rPr>
        <w:t>organiser des consultations transfrontières entre les autorités des Parties concernées. Six Parties indiquent toutefois que leur législation nationale ne contient aucune disposition à ce sujet (Croatie, Danemark, Pays-Bas, Royaume-Uni de Grande-Bretagne et d</w:t>
      </w:r>
      <w:r>
        <w:rPr>
          <w:lang w:val="fr-FR"/>
        </w:rPr>
        <w:t>’</w:t>
      </w:r>
      <w:r w:rsidRPr="004573F6">
        <w:rPr>
          <w:lang w:val="fr-FR"/>
        </w:rPr>
        <w:t>Irlande du Nord, Suède et Suisse). Dans un cas au moins, cela est dû à la manière dont la question a été interprétée, le Royaume-Uni de Grande-Bretagne et d</w:t>
      </w:r>
      <w:r>
        <w:rPr>
          <w:lang w:val="fr-FR"/>
        </w:rPr>
        <w:t>’</w:t>
      </w:r>
      <w:r w:rsidRPr="004573F6">
        <w:rPr>
          <w:lang w:val="fr-FR"/>
        </w:rPr>
        <w:t>Irlande du Nord indiquant que sa législation ne précise pas comment les consultations doivent être organisées. Plusieurs autres répondants faisant état de l</w:t>
      </w:r>
      <w:r>
        <w:rPr>
          <w:lang w:val="fr-FR"/>
        </w:rPr>
        <w:t>’</w:t>
      </w:r>
      <w:r w:rsidRPr="004573F6">
        <w:rPr>
          <w:lang w:val="fr-FR"/>
        </w:rPr>
        <w:t>absence de dispositions juridiques</w:t>
      </w:r>
      <w:r w:rsidRPr="004573F6">
        <w:rPr>
          <w:i/>
          <w:iCs/>
          <w:lang w:val="fr-FR"/>
        </w:rPr>
        <w:t xml:space="preserve"> </w:t>
      </w:r>
      <w:r w:rsidRPr="004573F6">
        <w:rPr>
          <w:lang w:val="fr-FR"/>
        </w:rPr>
        <w:t>à ce sujet déclarent s</w:t>
      </w:r>
      <w:r>
        <w:rPr>
          <w:lang w:val="fr-FR"/>
        </w:rPr>
        <w:t>’</w:t>
      </w:r>
      <w:r w:rsidRPr="004573F6">
        <w:rPr>
          <w:lang w:val="fr-FR"/>
        </w:rPr>
        <w:t>appuyer sur d</w:t>
      </w:r>
      <w:r>
        <w:rPr>
          <w:lang w:val="fr-FR"/>
        </w:rPr>
        <w:t>’</w:t>
      </w:r>
      <w:r w:rsidRPr="004573F6">
        <w:rPr>
          <w:lang w:val="fr-FR"/>
        </w:rPr>
        <w:t>autres mécanismes pour garantir la tenue des consultations requises. Par exemple, les Pays-Bas indiquent que les procédures de consultation sont prévues dans au moins un accord multilatéral, tandis que la Suède signale que l</w:t>
      </w:r>
      <w:r>
        <w:rPr>
          <w:lang w:val="fr-FR"/>
        </w:rPr>
        <w:t>’</w:t>
      </w:r>
      <w:r w:rsidRPr="004573F6">
        <w:rPr>
          <w:lang w:val="fr-FR"/>
        </w:rPr>
        <w:t>autorité nationale compétente</w:t>
      </w:r>
      <w:r>
        <w:rPr>
          <w:lang w:val="fr-FR"/>
        </w:rPr>
        <w:t xml:space="preserve"> est chargée de veiller au respect de l’article</w:t>
      </w:r>
      <w:r>
        <w:rPr>
          <w:lang w:val="fr-FR"/>
        </w:rPr>
        <w:t> </w:t>
      </w:r>
      <w:r>
        <w:rPr>
          <w:lang w:val="fr-FR"/>
        </w:rPr>
        <w:t>5</w:t>
      </w:r>
      <w:r w:rsidRPr="004573F6">
        <w:rPr>
          <w:lang w:val="fr-FR"/>
        </w:rPr>
        <w:t xml:space="preserve">. </w:t>
      </w:r>
    </w:p>
    <w:p w14:paraId="5367C461" w14:textId="77777777" w:rsidR="00CE06A8" w:rsidRDefault="00CE06A8">
      <w:pPr>
        <w:suppressAutoHyphens w:val="0"/>
        <w:kinsoku/>
        <w:overflowPunct/>
        <w:autoSpaceDE/>
        <w:autoSpaceDN/>
        <w:adjustRightInd/>
        <w:snapToGrid/>
        <w:spacing w:after="200" w:line="276" w:lineRule="auto"/>
        <w:rPr>
          <w:lang w:val="fr-FR"/>
        </w:rPr>
      </w:pPr>
      <w:r>
        <w:rPr>
          <w:lang w:val="fr-FR"/>
        </w:rPr>
        <w:br w:type="page"/>
      </w:r>
    </w:p>
    <w:p w14:paraId="4C94FF12" w14:textId="66151F89" w:rsidR="00A90AAA" w:rsidRDefault="00A90AAA" w:rsidP="00A90AAA">
      <w:pPr>
        <w:pStyle w:val="Titre1"/>
        <w:spacing w:after="120"/>
        <w:rPr>
          <w:b/>
          <w:bCs/>
          <w:lang w:val="fr-FR"/>
        </w:rPr>
      </w:pPr>
      <w:r w:rsidRPr="004573F6">
        <w:rPr>
          <w:lang w:val="fr-FR"/>
        </w:rPr>
        <w:t>Figure</w:t>
      </w:r>
      <w:r>
        <w:rPr>
          <w:lang w:val="fr-FR"/>
        </w:rPr>
        <w:t> </w:t>
      </w:r>
      <w:r w:rsidRPr="004573F6">
        <w:rPr>
          <w:lang w:val="fr-FR"/>
        </w:rPr>
        <w:t>2</w:t>
      </w:r>
      <w:r>
        <w:rPr>
          <w:lang w:val="fr-FR"/>
        </w:rPr>
        <w:br/>
      </w:r>
      <w:r w:rsidRPr="004573F6">
        <w:rPr>
          <w:b/>
          <w:bCs/>
          <w:lang w:val="fr-FR"/>
        </w:rPr>
        <w:t>Réponses à la question I.5</w:t>
      </w:r>
      <w:r w:rsidRPr="004573F6">
        <w:rPr>
          <w:lang w:val="fr-FR"/>
        </w:rPr>
        <w:t xml:space="preserve"> </w:t>
      </w:r>
      <w:r w:rsidRPr="004573F6">
        <w:rPr>
          <w:b/>
          <w:bCs/>
          <w:lang w:val="fr-FR"/>
        </w:rPr>
        <w:t>(n=38)</w:t>
      </w:r>
    </w:p>
    <w:p w14:paraId="225DE7F2" w14:textId="77777777" w:rsidR="00A90AAA" w:rsidRDefault="00A90AAA" w:rsidP="00A90AAA">
      <w:pPr>
        <w:ind w:left="1134"/>
      </w:pPr>
      <w:r>
        <w:rPr>
          <w:noProof/>
        </w:rPr>
        <mc:AlternateContent>
          <mc:Choice Requires="wps">
            <w:drawing>
              <wp:anchor distT="0" distB="0" distL="114300" distR="114300" simplePos="0" relativeHeight="251659264" behindDoc="0" locked="0" layoutInCell="1" allowOverlap="1" wp14:anchorId="07D8BAFD" wp14:editId="649C6E5E">
                <wp:simplePos x="0" y="0"/>
                <wp:positionH relativeFrom="column">
                  <wp:posOffset>2385060</wp:posOffset>
                </wp:positionH>
                <wp:positionV relativeFrom="paragraph">
                  <wp:posOffset>2253311</wp:posOffset>
                </wp:positionV>
                <wp:extent cx="2876550" cy="4445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876550" cy="444500"/>
                        </a:xfrm>
                        <a:prstGeom prst="rect">
                          <a:avLst/>
                        </a:prstGeom>
                        <a:solidFill>
                          <a:schemeClr val="lt1"/>
                        </a:solidFill>
                        <a:ln w="6350">
                          <a:noFill/>
                        </a:ln>
                      </wps:spPr>
                      <wps:txbx>
                        <w:txbxContent>
                          <w:p w14:paraId="17FAFA8D" w14:textId="77777777" w:rsidR="00A90AAA" w:rsidRPr="00CE06A8" w:rsidRDefault="00A90AAA" w:rsidP="00A90AAA">
                            <w:pPr>
                              <w:spacing w:line="180" w:lineRule="atLeast"/>
                              <w:rPr>
                                <w:color w:val="595959" w:themeColor="text1" w:themeTint="A6"/>
                                <w:sz w:val="18"/>
                                <w:szCs w:val="18"/>
                              </w:rPr>
                            </w:pPr>
                            <w:r w:rsidRPr="00CE06A8">
                              <w:rPr>
                                <w:sz w:val="18"/>
                                <w:szCs w:val="18"/>
                                <w:lang w:val="fr-FR"/>
                              </w:rPr>
                              <w:t>Dispositions législatives d’application obligatoire</w:t>
                            </w:r>
                          </w:p>
                          <w:p w14:paraId="126AA8E0" w14:textId="77777777" w:rsidR="00A90AAA" w:rsidRPr="00CE06A8" w:rsidRDefault="00A90AAA" w:rsidP="00A90AAA">
                            <w:pPr>
                              <w:spacing w:line="180" w:lineRule="atLeast"/>
                              <w:rPr>
                                <w:color w:val="595959" w:themeColor="text1" w:themeTint="A6"/>
                                <w:sz w:val="18"/>
                                <w:szCs w:val="18"/>
                              </w:rPr>
                            </w:pPr>
                            <w:r w:rsidRPr="00CE06A8">
                              <w:rPr>
                                <w:sz w:val="18"/>
                                <w:szCs w:val="18"/>
                                <w:lang w:val="fr-FR"/>
                              </w:rPr>
                              <w:t>Dispositions législatives d’application facultative</w:t>
                            </w:r>
                          </w:p>
                          <w:p w14:paraId="20DD4EF3" w14:textId="77777777" w:rsidR="00A90AAA" w:rsidRPr="00CE06A8" w:rsidRDefault="00A90AAA" w:rsidP="00A90AAA">
                            <w:pPr>
                              <w:spacing w:line="180" w:lineRule="atLeast"/>
                              <w:rPr>
                                <w:color w:val="595959" w:themeColor="text1" w:themeTint="A6"/>
                                <w:sz w:val="18"/>
                                <w:szCs w:val="18"/>
                              </w:rPr>
                            </w:pPr>
                            <w:r w:rsidRPr="00CE06A8">
                              <w:rPr>
                                <w:sz w:val="18"/>
                                <w:szCs w:val="18"/>
                                <w:lang w:val="fr-FR"/>
                              </w:rPr>
                              <w:t>Aucune disposition législative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8BAFD" id="_x0000_t202" coordsize="21600,21600" o:spt="202" path="m,l,21600r21600,l21600,xe">
                <v:stroke joinstyle="miter"/>
                <v:path gradientshapeok="t" o:connecttype="rect"/>
              </v:shapetype>
              <v:shape id="Надпись 6" o:spid="_x0000_s1026" type="#_x0000_t202" style="position:absolute;left:0;text-align:left;margin-left:187.8pt;margin-top:177.45pt;width:226.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" fillcolor="white [3201]" stroked="f" strokeweight=".5pt">
                <v:textbox inset="0,0,0,0">
                  <w:txbxContent>
                    <w:p w14:paraId="17FAFA8D" w14:textId="77777777" w:rsidR="00A90AAA" w:rsidRPr="00CE06A8" w:rsidRDefault="00A90AAA" w:rsidP="00A90AAA">
                      <w:pPr>
                        <w:spacing w:line="180" w:lineRule="atLeast"/>
                        <w:rPr>
                          <w:color w:val="595959" w:themeColor="text1" w:themeTint="A6"/>
                          <w:sz w:val="18"/>
                          <w:szCs w:val="18"/>
                        </w:rPr>
                      </w:pPr>
                      <w:r w:rsidRPr="00CE06A8">
                        <w:rPr>
                          <w:sz w:val="18"/>
                          <w:szCs w:val="18"/>
                          <w:lang w:val="fr-FR"/>
                        </w:rPr>
                        <w:t>Dispositions législatives d’application obligatoire</w:t>
                      </w:r>
                    </w:p>
                    <w:p w14:paraId="126AA8E0" w14:textId="77777777" w:rsidR="00A90AAA" w:rsidRPr="00CE06A8" w:rsidRDefault="00A90AAA" w:rsidP="00A90AAA">
                      <w:pPr>
                        <w:spacing w:line="180" w:lineRule="atLeast"/>
                        <w:rPr>
                          <w:color w:val="595959" w:themeColor="text1" w:themeTint="A6"/>
                          <w:sz w:val="18"/>
                          <w:szCs w:val="18"/>
                        </w:rPr>
                      </w:pPr>
                      <w:r w:rsidRPr="00CE06A8">
                        <w:rPr>
                          <w:sz w:val="18"/>
                          <w:szCs w:val="18"/>
                          <w:lang w:val="fr-FR"/>
                        </w:rPr>
                        <w:t>Dispositions législatives d’application facultative</w:t>
                      </w:r>
                    </w:p>
                    <w:p w14:paraId="20DD4EF3" w14:textId="77777777" w:rsidR="00A90AAA" w:rsidRPr="00CE06A8" w:rsidRDefault="00A90AAA" w:rsidP="00A90AAA">
                      <w:pPr>
                        <w:spacing w:line="180" w:lineRule="atLeast"/>
                        <w:rPr>
                          <w:color w:val="595959" w:themeColor="text1" w:themeTint="A6"/>
                          <w:sz w:val="18"/>
                          <w:szCs w:val="18"/>
                        </w:rPr>
                      </w:pPr>
                      <w:r w:rsidRPr="00CE06A8">
                        <w:rPr>
                          <w:sz w:val="18"/>
                          <w:szCs w:val="18"/>
                          <w:lang w:val="fr-FR"/>
                        </w:rPr>
                        <w:t>Aucune disposition législative</w:t>
                      </w:r>
                    </w:p>
                  </w:txbxContent>
                </v:textbox>
              </v:shape>
            </w:pict>
          </mc:Fallback>
        </mc:AlternateContent>
      </w:r>
      <w:r>
        <w:rPr>
          <w:noProof/>
          <w:lang w:val="en-US" w:eastAsia="zh-CN"/>
        </w:rPr>
        <w:drawing>
          <wp:inline distT="0" distB="0" distL="0" distR="0" wp14:anchorId="6E884ECF" wp14:editId="7E4451A8">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0CCD88" w14:textId="77777777" w:rsidR="00A90AAA" w:rsidRPr="004573F6" w:rsidRDefault="00A90AAA" w:rsidP="005B44E6">
      <w:pPr>
        <w:pStyle w:val="H23G"/>
        <w:rPr>
          <w:lang w:val="fr-FR"/>
        </w:rPr>
      </w:pPr>
      <w:bookmarkStart w:id="11" w:name="_Toc13428241"/>
      <w:r w:rsidRPr="004573F6">
        <w:rPr>
          <w:lang w:val="fr-FR"/>
        </w:rPr>
        <w:tab/>
        <w:t>4.</w:t>
      </w:r>
      <w:r w:rsidRPr="004573F6">
        <w:rPr>
          <w:lang w:val="fr-FR"/>
        </w:rPr>
        <w:tab/>
        <w:t>Décision définitive</w:t>
      </w:r>
      <w:bookmarkEnd w:id="11"/>
    </w:p>
    <w:p w14:paraId="27358A23" w14:textId="77777777" w:rsidR="00A90AAA" w:rsidRPr="004573F6" w:rsidRDefault="00A90AAA" w:rsidP="00A90AAA">
      <w:pPr>
        <w:pStyle w:val="SingleTxtG"/>
        <w:rPr>
          <w:lang w:val="fr-FR"/>
        </w:rPr>
      </w:pPr>
      <w:r w:rsidRPr="004573F6">
        <w:rPr>
          <w:lang w:val="fr-FR"/>
        </w:rPr>
        <w:t>35.</w:t>
      </w:r>
      <w:r w:rsidRPr="004573F6">
        <w:rPr>
          <w:lang w:val="fr-FR"/>
        </w:rPr>
        <w:tab/>
        <w:t>Dans la question I.6.1, il est demandé aux Parties de sélectionner dans une liste toutes les informations qu</w:t>
      </w:r>
      <w:r>
        <w:rPr>
          <w:lang w:val="fr-FR"/>
        </w:rPr>
        <w:t>’</w:t>
      </w:r>
      <w:r w:rsidRPr="004573F6">
        <w:rPr>
          <w:lang w:val="fr-FR"/>
        </w:rPr>
        <w:t>elles sont tenues «</w:t>
      </w:r>
      <w:r>
        <w:rPr>
          <w:lang w:val="fr-FR"/>
        </w:rPr>
        <w:t> </w:t>
      </w:r>
      <w:r w:rsidRPr="004573F6">
        <w:rPr>
          <w:lang w:val="fr-FR"/>
        </w:rPr>
        <w:t xml:space="preserve">de prendre dûment en compte </w:t>
      </w:r>
      <w:r>
        <w:rPr>
          <w:lang w:val="fr-FR"/>
        </w:rPr>
        <w:t xml:space="preserve">[…] </w:t>
      </w:r>
      <w:r w:rsidRPr="004573F6">
        <w:rPr>
          <w:lang w:val="fr-FR"/>
        </w:rPr>
        <w:t>au moment de prendre une décision définitive au sujet de l</w:t>
      </w:r>
      <w:r>
        <w:rPr>
          <w:lang w:val="fr-FR"/>
        </w:rPr>
        <w:t>’</w:t>
      </w:r>
      <w:r w:rsidRPr="004573F6">
        <w:rPr>
          <w:lang w:val="fr-FR"/>
        </w:rPr>
        <w:t>activité proposée</w:t>
      </w:r>
      <w:r>
        <w:rPr>
          <w:lang w:val="fr-FR"/>
        </w:rPr>
        <w:t> </w:t>
      </w:r>
      <w:r w:rsidRPr="004573F6">
        <w:rPr>
          <w:lang w:val="fr-FR"/>
        </w:rPr>
        <w:t xml:space="preserve">». Presque tous les répondants indiquent que les éléments suivants sont pris en considération dans la décision </w:t>
      </w:r>
      <w:r>
        <w:rPr>
          <w:lang w:val="fr-FR"/>
        </w:rPr>
        <w:t>définitive </w:t>
      </w:r>
      <w:r w:rsidRPr="004573F6">
        <w:rPr>
          <w:lang w:val="fr-FR"/>
        </w:rPr>
        <w:t>:</w:t>
      </w:r>
    </w:p>
    <w:p w14:paraId="4C012F3D" w14:textId="77777777" w:rsidR="00A90AAA" w:rsidRPr="004573F6" w:rsidRDefault="00A90AAA" w:rsidP="00A90AAA">
      <w:pPr>
        <w:pStyle w:val="SingleTxtG"/>
        <w:ind w:firstLine="567"/>
        <w:rPr>
          <w:lang w:val="fr-FR"/>
        </w:rPr>
      </w:pPr>
      <w:r w:rsidRPr="004573F6">
        <w:rPr>
          <w:lang w:val="fr-FR"/>
        </w:rPr>
        <w:t>a)</w:t>
      </w:r>
      <w:r w:rsidRPr="004573F6">
        <w:rPr>
          <w:lang w:val="fr-FR"/>
        </w:rPr>
        <w:tab/>
      </w:r>
      <w:r>
        <w:rPr>
          <w:lang w:val="fr-FR"/>
        </w:rPr>
        <w:t>Les c</w:t>
      </w:r>
      <w:r w:rsidRPr="004573F6">
        <w:rPr>
          <w:lang w:val="fr-FR"/>
        </w:rPr>
        <w:t>onclusions du dossier d</w:t>
      </w:r>
      <w:r>
        <w:rPr>
          <w:lang w:val="fr-FR"/>
        </w:rPr>
        <w:t>’</w:t>
      </w:r>
      <w:r w:rsidRPr="006679EA">
        <w:rPr>
          <w:lang w:val="fr-FR"/>
        </w:rPr>
        <w:t>évaluation de l</w:t>
      </w:r>
      <w:r>
        <w:rPr>
          <w:lang w:val="fr-FR"/>
        </w:rPr>
        <w:t>’</w:t>
      </w:r>
      <w:r w:rsidRPr="006679EA">
        <w:rPr>
          <w:lang w:val="fr-FR"/>
        </w:rPr>
        <w:t>impact sur l</w:t>
      </w:r>
      <w:r>
        <w:rPr>
          <w:lang w:val="fr-FR"/>
        </w:rPr>
        <w:t>’</w:t>
      </w:r>
      <w:r w:rsidRPr="006679EA">
        <w:rPr>
          <w:lang w:val="fr-FR"/>
        </w:rPr>
        <w:t>environnement</w:t>
      </w:r>
      <w:r>
        <w:rPr>
          <w:lang w:val="fr-FR"/>
        </w:rPr>
        <w:t> </w:t>
      </w:r>
      <w:r w:rsidRPr="004573F6">
        <w:rPr>
          <w:lang w:val="fr-FR"/>
        </w:rPr>
        <w:t>;</w:t>
      </w:r>
    </w:p>
    <w:p w14:paraId="647E1EC9" w14:textId="6F9398C2" w:rsidR="00A90AAA" w:rsidRPr="004573F6" w:rsidRDefault="00A90AAA" w:rsidP="00A90AAA">
      <w:pPr>
        <w:pStyle w:val="SingleTxtG"/>
        <w:ind w:firstLine="567"/>
        <w:rPr>
          <w:lang w:val="fr-FR"/>
        </w:rPr>
      </w:pPr>
      <w:r w:rsidRPr="004573F6">
        <w:rPr>
          <w:lang w:val="fr-FR"/>
        </w:rPr>
        <w:t>b)</w:t>
      </w:r>
      <w:r w:rsidRPr="004573F6">
        <w:rPr>
          <w:lang w:val="fr-FR"/>
        </w:rPr>
        <w:tab/>
      </w:r>
      <w:r>
        <w:rPr>
          <w:lang w:val="fr-FR"/>
        </w:rPr>
        <w:t>Les o</w:t>
      </w:r>
      <w:r w:rsidRPr="004573F6">
        <w:rPr>
          <w:lang w:val="fr-FR"/>
        </w:rPr>
        <w:t>bservations reçues en application de l</w:t>
      </w:r>
      <w:r>
        <w:rPr>
          <w:lang w:val="fr-FR"/>
        </w:rPr>
        <w:t>’</w:t>
      </w:r>
      <w:r w:rsidRPr="004573F6">
        <w:rPr>
          <w:lang w:val="fr-FR"/>
        </w:rPr>
        <w:t>article</w:t>
      </w:r>
      <w:r>
        <w:rPr>
          <w:lang w:val="fr-FR"/>
        </w:rPr>
        <w:t> </w:t>
      </w:r>
      <w:r w:rsidRPr="004573F6">
        <w:rPr>
          <w:lang w:val="fr-FR"/>
        </w:rPr>
        <w:t xml:space="preserve">3 </w:t>
      </w:r>
      <w:r>
        <w:rPr>
          <w:lang w:val="fr-FR"/>
        </w:rPr>
        <w:t xml:space="preserve">(par. 8) </w:t>
      </w:r>
      <w:r w:rsidRPr="004573F6">
        <w:rPr>
          <w:lang w:val="fr-FR"/>
        </w:rPr>
        <w:t>et de l</w:t>
      </w:r>
      <w:r>
        <w:rPr>
          <w:lang w:val="fr-FR"/>
        </w:rPr>
        <w:t>’</w:t>
      </w:r>
      <w:r w:rsidRPr="004573F6">
        <w:rPr>
          <w:lang w:val="fr-FR"/>
        </w:rPr>
        <w:t>article</w:t>
      </w:r>
      <w:r>
        <w:rPr>
          <w:lang w:val="fr-FR"/>
        </w:rPr>
        <w:t> </w:t>
      </w:r>
      <w:r w:rsidRPr="004573F6">
        <w:rPr>
          <w:lang w:val="fr-FR"/>
        </w:rPr>
        <w:t>4</w:t>
      </w:r>
      <w:r>
        <w:rPr>
          <w:lang w:val="fr-FR"/>
        </w:rPr>
        <w:t xml:space="preserve"> (par.</w:t>
      </w:r>
      <w:r w:rsidR="005B44E6">
        <w:rPr>
          <w:lang w:val="fr-FR"/>
        </w:rPr>
        <w:t> </w:t>
      </w:r>
      <w:r>
        <w:rPr>
          <w:lang w:val="fr-FR"/>
        </w:rPr>
        <w:t>2) </w:t>
      </w:r>
      <w:r w:rsidRPr="004573F6">
        <w:rPr>
          <w:lang w:val="fr-FR"/>
        </w:rPr>
        <w:t>;</w:t>
      </w:r>
    </w:p>
    <w:p w14:paraId="556FE6E0" w14:textId="77777777" w:rsidR="00A90AAA" w:rsidRPr="004573F6" w:rsidRDefault="00A90AAA" w:rsidP="00A90AAA">
      <w:pPr>
        <w:pStyle w:val="SingleTxtG"/>
        <w:ind w:firstLine="567"/>
        <w:rPr>
          <w:lang w:val="fr-FR"/>
        </w:rPr>
      </w:pPr>
      <w:r w:rsidRPr="004573F6">
        <w:rPr>
          <w:lang w:val="fr-FR"/>
        </w:rPr>
        <w:t>c)</w:t>
      </w:r>
      <w:r w:rsidRPr="004573F6">
        <w:rPr>
          <w:lang w:val="fr-FR"/>
        </w:rPr>
        <w:tab/>
      </w:r>
      <w:r>
        <w:rPr>
          <w:lang w:val="fr-FR"/>
        </w:rPr>
        <w:t>L’i</w:t>
      </w:r>
      <w:r w:rsidRPr="004573F6">
        <w:rPr>
          <w:lang w:val="fr-FR"/>
        </w:rPr>
        <w:t>ssue des consultations visées à l</w:t>
      </w:r>
      <w:r>
        <w:rPr>
          <w:lang w:val="fr-FR"/>
        </w:rPr>
        <w:t>’</w:t>
      </w:r>
      <w:r w:rsidRPr="004573F6">
        <w:rPr>
          <w:lang w:val="fr-FR"/>
        </w:rPr>
        <w:t>article</w:t>
      </w:r>
      <w:r>
        <w:rPr>
          <w:lang w:val="fr-FR"/>
        </w:rPr>
        <w:t> </w:t>
      </w:r>
      <w:r w:rsidRPr="004573F6">
        <w:rPr>
          <w:lang w:val="fr-FR"/>
        </w:rPr>
        <w:t>5</w:t>
      </w:r>
      <w:r>
        <w:rPr>
          <w:lang w:val="fr-FR"/>
        </w:rPr>
        <w:t> </w:t>
      </w:r>
      <w:r w:rsidRPr="004573F6">
        <w:rPr>
          <w:lang w:val="fr-FR"/>
        </w:rPr>
        <w:t>;</w:t>
      </w:r>
    </w:p>
    <w:p w14:paraId="40F901C2" w14:textId="77777777" w:rsidR="00A90AAA" w:rsidRPr="004573F6" w:rsidRDefault="00A90AAA" w:rsidP="00A90AAA">
      <w:pPr>
        <w:pStyle w:val="SingleTxtG"/>
        <w:ind w:firstLine="567"/>
        <w:rPr>
          <w:lang w:val="fr-FR"/>
        </w:rPr>
      </w:pPr>
      <w:r w:rsidRPr="004573F6">
        <w:rPr>
          <w:lang w:val="fr-FR"/>
        </w:rPr>
        <w:t>d)</w:t>
      </w:r>
      <w:r w:rsidRPr="004573F6">
        <w:rPr>
          <w:lang w:val="fr-FR"/>
        </w:rPr>
        <w:tab/>
      </w:r>
      <w:r>
        <w:rPr>
          <w:lang w:val="fr-FR"/>
        </w:rPr>
        <w:t>L’i</w:t>
      </w:r>
      <w:r w:rsidRPr="004573F6">
        <w:rPr>
          <w:lang w:val="fr-FR"/>
        </w:rPr>
        <w:t>ssue des consultations transfrontières ;</w:t>
      </w:r>
    </w:p>
    <w:p w14:paraId="2BC535E9" w14:textId="77777777" w:rsidR="00A90AAA" w:rsidRPr="004573F6" w:rsidRDefault="00A90AAA" w:rsidP="00A90AAA">
      <w:pPr>
        <w:pStyle w:val="SingleTxtG"/>
        <w:ind w:firstLine="567"/>
        <w:rPr>
          <w:lang w:val="fr-FR"/>
        </w:rPr>
      </w:pPr>
      <w:r w:rsidRPr="004573F6">
        <w:rPr>
          <w:lang w:val="fr-FR"/>
        </w:rPr>
        <w:t>e)</w:t>
      </w:r>
      <w:r w:rsidRPr="004573F6">
        <w:rPr>
          <w:lang w:val="fr-FR"/>
        </w:rPr>
        <w:tab/>
      </w:r>
      <w:r>
        <w:rPr>
          <w:lang w:val="fr-FR"/>
        </w:rPr>
        <w:t>Les o</w:t>
      </w:r>
      <w:r w:rsidRPr="004573F6">
        <w:rPr>
          <w:lang w:val="fr-FR"/>
        </w:rPr>
        <w:t xml:space="preserve">bservations reçues de la </w:t>
      </w:r>
      <w:r>
        <w:rPr>
          <w:lang w:val="fr-FR"/>
        </w:rPr>
        <w:t xml:space="preserve">ou </w:t>
      </w:r>
      <w:r w:rsidRPr="004573F6">
        <w:rPr>
          <w:lang w:val="fr-FR"/>
        </w:rPr>
        <w:t>des Partie(s) touchée(s)</w:t>
      </w:r>
      <w:r>
        <w:rPr>
          <w:lang w:val="fr-FR"/>
        </w:rPr>
        <w:t> </w:t>
      </w:r>
      <w:r w:rsidRPr="004573F6">
        <w:rPr>
          <w:lang w:val="fr-FR"/>
        </w:rPr>
        <w:t>;</w:t>
      </w:r>
    </w:p>
    <w:p w14:paraId="47B1FB98" w14:textId="77777777" w:rsidR="00A90AAA" w:rsidRPr="004573F6" w:rsidRDefault="00A90AAA" w:rsidP="00A90AAA">
      <w:pPr>
        <w:pStyle w:val="SingleTxtG"/>
        <w:ind w:firstLine="567"/>
        <w:rPr>
          <w:lang w:val="fr-FR"/>
        </w:rPr>
      </w:pPr>
      <w:r w:rsidRPr="004573F6">
        <w:rPr>
          <w:lang w:val="fr-FR"/>
        </w:rPr>
        <w:t>f)</w:t>
      </w:r>
      <w:r w:rsidRPr="004573F6">
        <w:rPr>
          <w:lang w:val="fr-FR"/>
        </w:rPr>
        <w:tab/>
      </w:r>
      <w:r>
        <w:rPr>
          <w:lang w:val="fr-FR"/>
        </w:rPr>
        <w:t>Les m</w:t>
      </w:r>
      <w:r w:rsidRPr="004573F6">
        <w:rPr>
          <w:lang w:val="fr-FR"/>
        </w:rPr>
        <w:t>esures d</w:t>
      </w:r>
      <w:r>
        <w:rPr>
          <w:lang w:val="fr-FR"/>
        </w:rPr>
        <w:t>’</w:t>
      </w:r>
      <w:r w:rsidRPr="004573F6">
        <w:rPr>
          <w:lang w:val="fr-FR"/>
        </w:rPr>
        <w:t>atténuation.</w:t>
      </w:r>
    </w:p>
    <w:p w14:paraId="120DC8CB" w14:textId="77777777" w:rsidR="00A90AAA" w:rsidRPr="004573F6" w:rsidRDefault="00A90AAA" w:rsidP="00A90AAA">
      <w:pPr>
        <w:pStyle w:val="SingleTxtG"/>
        <w:rPr>
          <w:lang w:val="fr-FR"/>
        </w:rPr>
      </w:pPr>
      <w:r w:rsidRPr="004573F6">
        <w:rPr>
          <w:lang w:val="fr-FR"/>
        </w:rPr>
        <w:t>36.</w:t>
      </w:r>
      <w:r w:rsidRPr="004573F6">
        <w:rPr>
          <w:lang w:val="fr-FR"/>
        </w:rPr>
        <w:tab/>
        <w:t>Le Kazakhstan, qui ne sélectionne que l</w:t>
      </w:r>
      <w:r>
        <w:rPr>
          <w:lang w:val="fr-FR"/>
        </w:rPr>
        <w:t>’</w:t>
      </w:r>
      <w:r w:rsidRPr="004573F6">
        <w:rPr>
          <w:lang w:val="fr-FR"/>
        </w:rPr>
        <w:t>option e) sans fournir d</w:t>
      </w:r>
      <w:r>
        <w:rPr>
          <w:lang w:val="fr-FR"/>
        </w:rPr>
        <w:t>’</w:t>
      </w:r>
      <w:r w:rsidRPr="004573F6">
        <w:rPr>
          <w:lang w:val="fr-FR"/>
        </w:rPr>
        <w:t>explication, constitue une exception notable à cette tendance.</w:t>
      </w:r>
    </w:p>
    <w:p w14:paraId="35DCCDAB" w14:textId="77777777" w:rsidR="00A90AAA" w:rsidRPr="004573F6" w:rsidRDefault="00A90AAA" w:rsidP="00A90AAA">
      <w:pPr>
        <w:pStyle w:val="SingleTxtG"/>
        <w:rPr>
          <w:lang w:val="fr-FR"/>
        </w:rPr>
      </w:pPr>
      <w:r w:rsidRPr="004573F6">
        <w:rPr>
          <w:lang w:val="fr-FR"/>
        </w:rPr>
        <w:t>37.</w:t>
      </w:r>
      <w:r w:rsidRPr="004573F6">
        <w:rPr>
          <w:lang w:val="fr-FR"/>
        </w:rPr>
        <w:tab/>
        <w:t>Cinq répondants tiennent compte d</w:t>
      </w:r>
      <w:r>
        <w:rPr>
          <w:lang w:val="fr-FR"/>
        </w:rPr>
        <w:t>’</w:t>
      </w:r>
      <w:r w:rsidRPr="004573F6">
        <w:rPr>
          <w:lang w:val="fr-FR"/>
        </w:rPr>
        <w:t xml:space="preserve">autres facteurs </w:t>
      </w:r>
      <w:r>
        <w:rPr>
          <w:lang w:val="fr-FR"/>
        </w:rPr>
        <w:t>lorsqu’ils prennent leur</w:t>
      </w:r>
      <w:r w:rsidRPr="004573F6">
        <w:rPr>
          <w:lang w:val="fr-FR"/>
        </w:rPr>
        <w:t xml:space="preserve"> décision </w:t>
      </w:r>
      <w:r>
        <w:rPr>
          <w:lang w:val="fr-FR"/>
        </w:rPr>
        <w:t>définitive.</w:t>
      </w:r>
      <w:r w:rsidRPr="004573F6">
        <w:rPr>
          <w:lang w:val="fr-FR"/>
        </w:rPr>
        <w:t xml:space="preserve"> </w:t>
      </w:r>
      <w:r>
        <w:rPr>
          <w:lang w:val="fr-FR"/>
        </w:rPr>
        <w:t>I</w:t>
      </w:r>
      <w:r w:rsidRPr="004573F6">
        <w:rPr>
          <w:lang w:val="fr-FR"/>
        </w:rPr>
        <w:t>l peut s</w:t>
      </w:r>
      <w:r>
        <w:rPr>
          <w:lang w:val="fr-FR"/>
        </w:rPr>
        <w:t>’</w:t>
      </w:r>
      <w:r w:rsidRPr="004573F6">
        <w:rPr>
          <w:lang w:val="fr-FR"/>
        </w:rPr>
        <w:t>agir, par exemple, d</w:t>
      </w:r>
      <w:r>
        <w:rPr>
          <w:lang w:val="fr-FR"/>
        </w:rPr>
        <w:t>’</w:t>
      </w:r>
      <w:r w:rsidRPr="004573F6">
        <w:rPr>
          <w:lang w:val="fr-FR"/>
        </w:rPr>
        <w:t>un rapport d</w:t>
      </w:r>
      <w:r>
        <w:rPr>
          <w:lang w:val="fr-FR"/>
        </w:rPr>
        <w:t>’</w:t>
      </w:r>
      <w:r w:rsidRPr="004573F6">
        <w:rPr>
          <w:lang w:val="fr-FR"/>
        </w:rPr>
        <w:t>expertise indépendant sur le dossier d</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 (Tchéquie). Toutefois, il semble qu</w:t>
      </w:r>
      <w:r>
        <w:rPr>
          <w:lang w:val="fr-FR"/>
        </w:rPr>
        <w:t>’</w:t>
      </w:r>
      <w:r w:rsidRPr="004573F6">
        <w:rPr>
          <w:lang w:val="fr-FR"/>
        </w:rPr>
        <w:t xml:space="preserve">un certain nombre de Parties interprètent la question I.6.1 comme portant sur les informations qui devraient figurer dans une déclaration publique sur la teneur de la décision </w:t>
      </w:r>
      <w:r>
        <w:rPr>
          <w:lang w:val="fr-FR"/>
        </w:rPr>
        <w:t>définitive</w:t>
      </w:r>
      <w:r w:rsidRPr="004573F6">
        <w:rPr>
          <w:lang w:val="fr-FR"/>
        </w:rPr>
        <w:t xml:space="preserve">. Ainsi, elles </w:t>
      </w:r>
      <w:r>
        <w:rPr>
          <w:lang w:val="fr-FR"/>
        </w:rPr>
        <w:t>communiquent notamment</w:t>
      </w:r>
      <w:r w:rsidRPr="004573F6">
        <w:rPr>
          <w:lang w:val="fr-FR"/>
        </w:rPr>
        <w:t xml:space="preserve"> des informations sur</w:t>
      </w:r>
      <w:r>
        <w:rPr>
          <w:lang w:val="fr-FR"/>
        </w:rPr>
        <w:t> </w:t>
      </w:r>
      <w:r w:rsidRPr="004573F6">
        <w:rPr>
          <w:lang w:val="fr-FR"/>
        </w:rPr>
        <w:t>: la manière dont une décision peut être contestée</w:t>
      </w:r>
      <w:r>
        <w:rPr>
          <w:lang w:val="fr-FR"/>
        </w:rPr>
        <w:t xml:space="preserve"> </w:t>
      </w:r>
      <w:r w:rsidRPr="004573F6">
        <w:rPr>
          <w:lang w:val="fr-FR"/>
        </w:rPr>
        <w:t>et les délais dans lesquels cela peut être fait</w:t>
      </w:r>
      <w:r>
        <w:rPr>
          <w:lang w:val="fr-FR"/>
        </w:rPr>
        <w:t> </w:t>
      </w:r>
      <w:r w:rsidRPr="004573F6">
        <w:rPr>
          <w:lang w:val="fr-FR"/>
        </w:rPr>
        <w:t>; les mesures d</w:t>
      </w:r>
      <w:r>
        <w:rPr>
          <w:lang w:val="fr-FR"/>
        </w:rPr>
        <w:t>’</w:t>
      </w:r>
      <w:r w:rsidRPr="004573F6">
        <w:rPr>
          <w:lang w:val="fr-FR"/>
        </w:rPr>
        <w:t>atténuation que l</w:t>
      </w:r>
      <w:r>
        <w:rPr>
          <w:lang w:val="fr-FR"/>
        </w:rPr>
        <w:t>’</w:t>
      </w:r>
      <w:r w:rsidRPr="004573F6">
        <w:rPr>
          <w:lang w:val="fr-FR"/>
        </w:rPr>
        <w:t>initiateur de l</w:t>
      </w:r>
      <w:r>
        <w:rPr>
          <w:lang w:val="fr-FR"/>
        </w:rPr>
        <w:t>’</w:t>
      </w:r>
      <w:r w:rsidRPr="004573F6">
        <w:rPr>
          <w:lang w:val="fr-FR"/>
        </w:rPr>
        <w:t>activité doit mettre en œuvre.</w:t>
      </w:r>
    </w:p>
    <w:p w14:paraId="72CADC41" w14:textId="77777777" w:rsidR="00A90AAA" w:rsidRPr="004573F6" w:rsidRDefault="00A90AAA" w:rsidP="00A90AAA">
      <w:pPr>
        <w:pStyle w:val="SingleTxtG"/>
        <w:rPr>
          <w:lang w:val="fr-FR"/>
        </w:rPr>
      </w:pPr>
      <w:r w:rsidRPr="004573F6">
        <w:rPr>
          <w:lang w:val="fr-FR"/>
        </w:rPr>
        <w:t>38.</w:t>
      </w:r>
      <w:r w:rsidRPr="004573F6">
        <w:rPr>
          <w:lang w:val="fr-FR"/>
        </w:rPr>
        <w:tab/>
        <w:t>Tous les répondants, à l</w:t>
      </w:r>
      <w:r>
        <w:rPr>
          <w:lang w:val="fr-FR"/>
        </w:rPr>
        <w:t>’</w:t>
      </w:r>
      <w:r w:rsidRPr="004573F6">
        <w:rPr>
          <w:lang w:val="fr-FR"/>
        </w:rPr>
        <w:t>exception du Danemark, de la Lituanie et de la Suisse, déclarent que «</w:t>
      </w:r>
      <w:r>
        <w:rPr>
          <w:lang w:val="fr-FR"/>
        </w:rPr>
        <w:t xml:space="preserve"> les </w:t>
      </w:r>
      <w:r w:rsidRPr="004573F6">
        <w:rPr>
          <w:lang w:val="fr-FR"/>
        </w:rPr>
        <w:t>observations formulées par les autorités et le public de la Partie touchée ainsi que l</w:t>
      </w:r>
      <w:r>
        <w:rPr>
          <w:lang w:val="fr-FR"/>
        </w:rPr>
        <w:t>’</w:t>
      </w:r>
      <w:r w:rsidRPr="004573F6">
        <w:rPr>
          <w:lang w:val="fr-FR"/>
        </w:rPr>
        <w:t>issue des consultations</w:t>
      </w:r>
      <w:r>
        <w:rPr>
          <w:lang w:val="fr-FR"/>
        </w:rPr>
        <w:t> </w:t>
      </w:r>
      <w:r w:rsidRPr="004573F6">
        <w:rPr>
          <w:lang w:val="fr-FR"/>
        </w:rPr>
        <w:t xml:space="preserve">» sont prises en considération de la même façon que les </w:t>
      </w:r>
      <w:r>
        <w:rPr>
          <w:lang w:val="fr-FR"/>
        </w:rPr>
        <w:t>observations</w:t>
      </w:r>
      <w:r w:rsidRPr="004573F6">
        <w:rPr>
          <w:lang w:val="fr-FR"/>
        </w:rPr>
        <w:t xml:space="preserve"> émanant des autorités et du public de la Partie d</w:t>
      </w:r>
      <w:r>
        <w:rPr>
          <w:lang w:val="fr-FR"/>
        </w:rPr>
        <w:t>’</w:t>
      </w:r>
      <w:r w:rsidRPr="004573F6">
        <w:rPr>
          <w:lang w:val="fr-FR"/>
        </w:rPr>
        <w:t>origine (question</w:t>
      </w:r>
      <w:r>
        <w:rPr>
          <w:lang w:val="fr-FR"/>
        </w:rPr>
        <w:t> </w:t>
      </w:r>
      <w:r w:rsidRPr="004573F6">
        <w:rPr>
          <w:lang w:val="fr-FR"/>
        </w:rPr>
        <w:t>I.6.2). Le Danemark indique que sa législation n</w:t>
      </w:r>
      <w:r>
        <w:rPr>
          <w:lang w:val="fr-FR"/>
        </w:rPr>
        <w:t>’</w:t>
      </w:r>
      <w:r w:rsidRPr="004573F6">
        <w:rPr>
          <w:lang w:val="fr-FR"/>
        </w:rPr>
        <w:t>opère pas de distinction entre les entités nationales et non nationales, ce qui signifie que les observations communiquées par une Partie touchée sont traitées de la même manière que les informations provenant d</w:t>
      </w:r>
      <w:r>
        <w:rPr>
          <w:lang w:val="fr-FR"/>
        </w:rPr>
        <w:t>’</w:t>
      </w:r>
      <w:r w:rsidRPr="004573F6">
        <w:rPr>
          <w:lang w:val="fr-FR"/>
        </w:rPr>
        <w:t>entités nationales. La Suisse précise que l</w:t>
      </w:r>
      <w:r>
        <w:rPr>
          <w:lang w:val="fr-FR"/>
        </w:rPr>
        <w:t>’</w:t>
      </w:r>
      <w:r w:rsidRPr="004573F6">
        <w:rPr>
          <w:lang w:val="fr-FR"/>
        </w:rPr>
        <w:t xml:space="preserve">autorité compétente prend acte des observations, les mentionne ou les rappelle dans la décision et explique la façon dont elle les a traitées et prises en compte. </w:t>
      </w:r>
      <w:r>
        <w:rPr>
          <w:lang w:val="fr-FR"/>
        </w:rPr>
        <w:t>L</w:t>
      </w:r>
      <w:r w:rsidRPr="004573F6">
        <w:rPr>
          <w:lang w:val="fr-FR"/>
        </w:rPr>
        <w:t xml:space="preserve">a </w:t>
      </w:r>
      <w:r w:rsidRPr="004573F6">
        <w:rPr>
          <w:lang w:val="fr-FR"/>
        </w:rPr>
        <w:lastRenderedPageBreak/>
        <w:t>Lituanie</w:t>
      </w:r>
      <w:r>
        <w:rPr>
          <w:lang w:val="fr-FR"/>
        </w:rPr>
        <w:t xml:space="preserve"> déclare que l’issue des consultations est prise en compte de la même façon, mais met en évidence certaines différences dans la manière dont elle traite les réponses reçues dans le cas de consultations transfrontières</w:t>
      </w:r>
      <w:r w:rsidRPr="004573F6">
        <w:rPr>
          <w:lang w:val="fr-FR"/>
        </w:rPr>
        <w:t>.</w:t>
      </w:r>
    </w:p>
    <w:p w14:paraId="6B70A039" w14:textId="4B7FAA64" w:rsidR="00A90AAA" w:rsidRPr="004573F6" w:rsidRDefault="00A90AAA" w:rsidP="00A90AAA">
      <w:pPr>
        <w:pStyle w:val="SingleTxtG"/>
        <w:rPr>
          <w:lang w:val="fr-FR"/>
        </w:rPr>
      </w:pPr>
      <w:r w:rsidRPr="004573F6">
        <w:rPr>
          <w:lang w:val="fr-FR"/>
        </w:rPr>
        <w:t>39.</w:t>
      </w:r>
      <w:r w:rsidRPr="004573F6">
        <w:rPr>
          <w:lang w:val="fr-FR"/>
        </w:rPr>
        <w:tab/>
        <w:t>Tous les répondants, à l</w:t>
      </w:r>
      <w:r>
        <w:rPr>
          <w:lang w:val="fr-FR"/>
        </w:rPr>
        <w:t>’</w:t>
      </w:r>
      <w:r w:rsidRPr="004573F6">
        <w:rPr>
          <w:lang w:val="fr-FR"/>
        </w:rPr>
        <w:t>exception du Canada et de la Finlande, indiquent que toutes les activités énumérées à l</w:t>
      </w:r>
      <w:r>
        <w:rPr>
          <w:lang w:val="fr-FR"/>
        </w:rPr>
        <w:t>’</w:t>
      </w:r>
      <w:r w:rsidRPr="004573F6">
        <w:rPr>
          <w:lang w:val="fr-FR"/>
        </w:rPr>
        <w:t>appendice I de la Convention (points</w:t>
      </w:r>
      <w:r>
        <w:rPr>
          <w:lang w:val="fr-FR"/>
        </w:rPr>
        <w:t> </w:t>
      </w:r>
      <w:r w:rsidRPr="004573F6">
        <w:rPr>
          <w:lang w:val="fr-FR"/>
        </w:rPr>
        <w:t xml:space="preserve">1 à 22), ainsi que toute modification </w:t>
      </w:r>
      <w:r>
        <w:rPr>
          <w:lang w:val="fr-FR"/>
        </w:rPr>
        <w:t>sensible</w:t>
      </w:r>
      <w:r w:rsidRPr="004573F6">
        <w:rPr>
          <w:lang w:val="fr-FR"/>
        </w:rPr>
        <w:t xml:space="preserve"> s</w:t>
      </w:r>
      <w:r>
        <w:rPr>
          <w:lang w:val="fr-FR"/>
        </w:rPr>
        <w:t>’</w:t>
      </w:r>
      <w:r w:rsidRPr="004573F6">
        <w:rPr>
          <w:lang w:val="fr-FR"/>
        </w:rPr>
        <w:t>y rapportant, nécessitent une décision définitive d</w:t>
      </w:r>
      <w:r>
        <w:rPr>
          <w:lang w:val="fr-FR"/>
        </w:rPr>
        <w:t>’</w:t>
      </w:r>
      <w:r w:rsidRPr="004573F6">
        <w:rPr>
          <w:lang w:val="fr-FR"/>
        </w:rPr>
        <w:t>autorisation avant de pouvoir être entreprises (question I.6.4). Le Canada précise qu</w:t>
      </w:r>
      <w:r>
        <w:rPr>
          <w:lang w:val="fr-FR"/>
        </w:rPr>
        <w:t>’</w:t>
      </w:r>
      <w:r w:rsidRPr="004573F6">
        <w:rPr>
          <w:lang w:val="fr-FR"/>
        </w:rPr>
        <w:t>une décision politique peut être prise au niveau ministériel si aucune autorité ne peut prendre la décision définitive. La Finlande fait observer qu</w:t>
      </w:r>
      <w:r>
        <w:rPr>
          <w:lang w:val="fr-FR"/>
        </w:rPr>
        <w:t>’</w:t>
      </w:r>
      <w:r w:rsidRPr="004573F6">
        <w:rPr>
          <w:lang w:val="fr-FR"/>
        </w:rPr>
        <w:t>il est difficile, d</w:t>
      </w:r>
      <w:r>
        <w:rPr>
          <w:lang w:val="fr-FR"/>
        </w:rPr>
        <w:t>’</w:t>
      </w:r>
      <w:r w:rsidRPr="004573F6">
        <w:rPr>
          <w:lang w:val="fr-FR"/>
        </w:rPr>
        <w:t>un point de vue procédural, de couvrir le « déboisement de grandes superficies » (point</w:t>
      </w:r>
      <w:r>
        <w:rPr>
          <w:lang w:val="fr-FR"/>
        </w:rPr>
        <w:t> </w:t>
      </w:r>
      <w:r w:rsidRPr="004573F6">
        <w:rPr>
          <w:lang w:val="fr-FR"/>
        </w:rPr>
        <w:t>17 de l</w:t>
      </w:r>
      <w:r>
        <w:rPr>
          <w:lang w:val="fr-FR"/>
        </w:rPr>
        <w:t>’</w:t>
      </w:r>
      <w:r w:rsidRPr="004573F6">
        <w:rPr>
          <w:lang w:val="fr-FR"/>
        </w:rPr>
        <w:t>appendice</w:t>
      </w:r>
      <w:r>
        <w:rPr>
          <w:lang w:val="fr-FR"/>
        </w:rPr>
        <w:t> </w:t>
      </w:r>
      <w:r w:rsidRPr="004573F6">
        <w:rPr>
          <w:lang w:val="fr-FR"/>
        </w:rPr>
        <w:t>I), en partie parce que les activités de déboisement sont généralement menées dans le cadre de projets de construction ou d</w:t>
      </w:r>
      <w:r>
        <w:rPr>
          <w:lang w:val="fr-FR"/>
        </w:rPr>
        <w:t>’</w:t>
      </w:r>
      <w:r w:rsidRPr="004573F6">
        <w:rPr>
          <w:lang w:val="fr-FR"/>
        </w:rPr>
        <w:t xml:space="preserve">extraction de minéraux. Elle estime que la définition </w:t>
      </w:r>
      <w:r>
        <w:rPr>
          <w:lang w:val="fr-FR"/>
        </w:rPr>
        <w:t xml:space="preserve">donnée </w:t>
      </w:r>
      <w:r w:rsidRPr="004573F6">
        <w:rPr>
          <w:lang w:val="fr-FR"/>
        </w:rPr>
        <w:t>de cette activité à l</w:t>
      </w:r>
      <w:r>
        <w:rPr>
          <w:lang w:val="fr-FR"/>
        </w:rPr>
        <w:t>’</w:t>
      </w:r>
      <w:r w:rsidRPr="004573F6">
        <w:rPr>
          <w:lang w:val="fr-FR"/>
        </w:rPr>
        <w:t>appendice</w:t>
      </w:r>
      <w:r>
        <w:rPr>
          <w:lang w:val="fr-FR"/>
        </w:rPr>
        <w:t> </w:t>
      </w:r>
      <w:r w:rsidRPr="004573F6">
        <w:rPr>
          <w:lang w:val="fr-FR"/>
        </w:rPr>
        <w:t>I (point</w:t>
      </w:r>
      <w:r>
        <w:rPr>
          <w:lang w:val="fr-FR"/>
        </w:rPr>
        <w:t> </w:t>
      </w:r>
      <w:r w:rsidRPr="004573F6">
        <w:rPr>
          <w:lang w:val="fr-FR"/>
        </w:rPr>
        <w:t xml:space="preserve">17) est trop restreinte. </w:t>
      </w:r>
    </w:p>
    <w:p w14:paraId="5ABF993A" w14:textId="719EB337" w:rsidR="00A90AAA" w:rsidRPr="004573F6" w:rsidRDefault="00A90AAA" w:rsidP="00A90AAA">
      <w:pPr>
        <w:pStyle w:val="SingleTxtG"/>
        <w:rPr>
          <w:lang w:val="fr-FR"/>
        </w:rPr>
      </w:pPr>
      <w:r w:rsidRPr="004573F6">
        <w:rPr>
          <w:lang w:val="fr-FR"/>
        </w:rPr>
        <w:t>40.</w:t>
      </w:r>
      <w:r w:rsidRPr="004573F6">
        <w:rPr>
          <w:lang w:val="fr-FR"/>
        </w:rPr>
        <w:tab/>
        <w:t>Quinze répondants déclarent que leur législation comporte des dispositions relatives à la mise en œuvre de l</w:t>
      </w:r>
      <w:r>
        <w:rPr>
          <w:lang w:val="fr-FR"/>
        </w:rPr>
        <w:t>’</w:t>
      </w:r>
      <w:r w:rsidRPr="004573F6">
        <w:rPr>
          <w:lang w:val="fr-FR"/>
        </w:rPr>
        <w:t>article</w:t>
      </w:r>
      <w:r>
        <w:rPr>
          <w:lang w:val="fr-FR"/>
        </w:rPr>
        <w:t> </w:t>
      </w:r>
      <w:r w:rsidRPr="004573F6">
        <w:rPr>
          <w:lang w:val="fr-FR"/>
        </w:rPr>
        <w:t>6</w:t>
      </w:r>
      <w:r>
        <w:rPr>
          <w:lang w:val="fr-FR"/>
        </w:rPr>
        <w:t xml:space="preserve"> (par. 3)</w:t>
      </w:r>
      <w:r w:rsidRPr="004573F6">
        <w:rPr>
          <w:lang w:val="fr-FR"/>
        </w:rPr>
        <w:t xml:space="preserve"> (question I.6.3). Ce nombre a augmenté de deux depuis le précédent examen de l</w:t>
      </w:r>
      <w:r>
        <w:rPr>
          <w:lang w:val="fr-FR"/>
        </w:rPr>
        <w:t>’</w:t>
      </w:r>
      <w:r w:rsidRPr="004573F6">
        <w:rPr>
          <w:lang w:val="fr-FR"/>
        </w:rPr>
        <w:t xml:space="preserve">application alors que le taux de réponse était </w:t>
      </w:r>
      <w:r>
        <w:rPr>
          <w:lang w:val="fr-FR"/>
        </w:rPr>
        <w:t xml:space="preserve">alors </w:t>
      </w:r>
      <w:r w:rsidRPr="004573F6">
        <w:rPr>
          <w:lang w:val="fr-FR"/>
        </w:rPr>
        <w:t>plus élevé (n=46). Tous les autres répondants indiquent que leur législation ne prévoit aucune disposition de ce type. En Autriche, la possibilité de réexaminer une décision définitive est strictement définie et limitée à certaines personnes physiques et morales ayant qualité pour agir. Néanmoins, ce pays fait observer qu</w:t>
      </w:r>
      <w:r>
        <w:rPr>
          <w:lang w:val="fr-FR"/>
        </w:rPr>
        <w:t>’</w:t>
      </w:r>
      <w:r w:rsidRPr="004573F6">
        <w:rPr>
          <w:lang w:val="fr-FR"/>
        </w:rPr>
        <w:t>il est toujours possible, sur le plan politique, de rouvrir les consultations à la demande de la Partie touchée afin de trouver des solutions. Plusieurs répondants (l</w:t>
      </w:r>
      <w:r>
        <w:rPr>
          <w:lang w:val="fr-FR"/>
        </w:rPr>
        <w:t>’</w:t>
      </w:r>
      <w:r w:rsidRPr="004573F6">
        <w:rPr>
          <w:lang w:val="fr-FR"/>
        </w:rPr>
        <w:t>Estonie et le Kazakhstan, par exemple) déclarent qu</w:t>
      </w:r>
      <w:r>
        <w:rPr>
          <w:lang w:val="fr-FR"/>
        </w:rPr>
        <w:t>’</w:t>
      </w:r>
      <w:r w:rsidRPr="004573F6">
        <w:rPr>
          <w:lang w:val="fr-FR"/>
        </w:rPr>
        <w:t>une demande de réexamen d</w:t>
      </w:r>
      <w:r>
        <w:rPr>
          <w:lang w:val="fr-FR"/>
        </w:rPr>
        <w:t>’</w:t>
      </w:r>
      <w:r w:rsidRPr="004573F6">
        <w:rPr>
          <w:lang w:val="fr-FR"/>
        </w:rPr>
        <w:t>une décision définitive peut être présentée si de nouvelles informations importantes se font jour, et le Danemark et la Grèce précisent de leur côté que leur législation permet de</w:t>
      </w:r>
      <w:r w:rsidRPr="004573F6">
        <w:rPr>
          <w:i/>
          <w:iCs/>
          <w:lang w:val="fr-FR"/>
        </w:rPr>
        <w:t xml:space="preserve"> </w:t>
      </w:r>
      <w:r w:rsidRPr="004573F6">
        <w:rPr>
          <w:lang w:val="fr-FR"/>
        </w:rPr>
        <w:t>réexaminer et/ou de révoquer une autorisation lorsque la décision définitive a été prise sur la base de données insuffisantes.</w:t>
      </w:r>
      <w:bookmarkStart w:id="12" w:name="_Hlk11168946"/>
      <w:bookmarkEnd w:id="12"/>
    </w:p>
    <w:p w14:paraId="03661CEB" w14:textId="77777777" w:rsidR="00A90AAA" w:rsidRPr="004573F6" w:rsidRDefault="00A90AAA" w:rsidP="00A90AAA">
      <w:pPr>
        <w:pStyle w:val="H23G"/>
        <w:rPr>
          <w:lang w:val="fr-FR"/>
        </w:rPr>
      </w:pPr>
      <w:bookmarkStart w:id="13" w:name="_Toc13428242"/>
      <w:r w:rsidRPr="004573F6">
        <w:rPr>
          <w:lang w:val="fr-FR"/>
        </w:rPr>
        <w:tab/>
        <w:t>5.</w:t>
      </w:r>
      <w:r w:rsidRPr="004573F6">
        <w:rPr>
          <w:lang w:val="fr-FR"/>
        </w:rPr>
        <w:tab/>
        <w:t>Analyse a posteriori</w:t>
      </w:r>
      <w:bookmarkEnd w:id="13"/>
    </w:p>
    <w:p w14:paraId="7F70047C" w14:textId="77777777" w:rsidR="00A90AAA" w:rsidRPr="004573F6" w:rsidRDefault="00A90AAA" w:rsidP="00A90AAA">
      <w:pPr>
        <w:pStyle w:val="SingleTxtG"/>
        <w:rPr>
          <w:lang w:val="fr-FR"/>
        </w:rPr>
      </w:pPr>
      <w:r w:rsidRPr="00AC53DD">
        <w:rPr>
          <w:lang w:val="fr-FR"/>
        </w:rPr>
        <w:t>41.</w:t>
      </w:r>
      <w:r w:rsidRPr="00AC53DD">
        <w:rPr>
          <w:lang w:val="fr-FR"/>
        </w:rPr>
        <w:tab/>
        <w:t>Dans la question I.7, il est demandé aux Parties s</w:t>
      </w:r>
      <w:r>
        <w:rPr>
          <w:lang w:val="fr-FR"/>
        </w:rPr>
        <w:t>’</w:t>
      </w:r>
      <w:r w:rsidRPr="00AC53DD">
        <w:rPr>
          <w:lang w:val="fr-FR"/>
        </w:rPr>
        <w:t>il existe « une disposition relative à l</w:t>
      </w:r>
      <w:r>
        <w:rPr>
          <w:lang w:val="fr-FR"/>
        </w:rPr>
        <w:t>’</w:t>
      </w:r>
      <w:r w:rsidRPr="00AC53DD">
        <w:rPr>
          <w:lang w:val="fr-FR"/>
        </w:rPr>
        <w:t xml:space="preserve">analyse a posteriori dans </w:t>
      </w:r>
      <w:r>
        <w:rPr>
          <w:lang w:val="fr-FR"/>
        </w:rPr>
        <w:t>[</w:t>
      </w:r>
      <w:r w:rsidRPr="00AC53DD">
        <w:rPr>
          <w:lang w:val="fr-FR"/>
        </w:rPr>
        <w:t>leur</w:t>
      </w:r>
      <w:r>
        <w:rPr>
          <w:lang w:val="fr-FR"/>
        </w:rPr>
        <w:t>]</w:t>
      </w:r>
      <w:r w:rsidRPr="00AC53DD">
        <w:rPr>
          <w:lang w:val="fr-FR"/>
        </w:rPr>
        <w:t xml:space="preserve"> législation nationale</w:t>
      </w:r>
      <w:r>
        <w:rPr>
          <w:lang w:val="fr-FR"/>
        </w:rPr>
        <w:t xml:space="preserve"> </w:t>
      </w:r>
      <w:r w:rsidRPr="0061136A">
        <w:rPr>
          <w:lang w:val="fr-FR"/>
        </w:rPr>
        <w:t>relative à l</w:t>
      </w:r>
      <w:r>
        <w:rPr>
          <w:lang w:val="fr-FR"/>
        </w:rPr>
        <w:t>’</w:t>
      </w:r>
      <w:r w:rsidRPr="0061136A">
        <w:rPr>
          <w:lang w:val="fr-FR"/>
        </w:rPr>
        <w:t>évaluation de l</w:t>
      </w:r>
      <w:r>
        <w:rPr>
          <w:lang w:val="fr-FR"/>
        </w:rPr>
        <w:t>’</w:t>
      </w:r>
      <w:r w:rsidRPr="0061136A">
        <w:rPr>
          <w:lang w:val="fr-FR"/>
        </w:rPr>
        <w:t>impact sur</w:t>
      </w:r>
      <w:r>
        <w:rPr>
          <w:lang w:val="fr-FR"/>
        </w:rPr>
        <w:t xml:space="preserve"> </w:t>
      </w:r>
      <w:r w:rsidRPr="0061136A">
        <w:rPr>
          <w:lang w:val="fr-FR"/>
        </w:rPr>
        <w:t>l</w:t>
      </w:r>
      <w:r>
        <w:rPr>
          <w:lang w:val="fr-FR"/>
        </w:rPr>
        <w:t>’</w:t>
      </w:r>
      <w:r w:rsidRPr="0061136A">
        <w:rPr>
          <w:lang w:val="fr-FR"/>
        </w:rPr>
        <w:t>environnement</w:t>
      </w:r>
      <w:r w:rsidRPr="00AC53DD">
        <w:rPr>
          <w:lang w:val="fr-FR"/>
        </w:rPr>
        <w:t xml:space="preserve"> ». La question renvoie </w:t>
      </w:r>
      <w:r>
        <w:rPr>
          <w:lang w:val="fr-FR"/>
        </w:rPr>
        <w:t xml:space="preserve">à </w:t>
      </w:r>
      <w:r w:rsidRPr="00AC53DD">
        <w:rPr>
          <w:lang w:val="fr-FR"/>
        </w:rPr>
        <w:t>l</w:t>
      </w:r>
      <w:r>
        <w:rPr>
          <w:lang w:val="fr-FR"/>
        </w:rPr>
        <w:t>’</w:t>
      </w:r>
      <w:r w:rsidRPr="00AC53DD">
        <w:rPr>
          <w:lang w:val="fr-FR"/>
        </w:rPr>
        <w:t xml:space="preserve">article 7 </w:t>
      </w:r>
      <w:r>
        <w:rPr>
          <w:lang w:val="fr-FR"/>
        </w:rPr>
        <w:t xml:space="preserve">(par. 1) </w:t>
      </w:r>
      <w:r w:rsidRPr="00AC53DD">
        <w:rPr>
          <w:lang w:val="fr-FR"/>
        </w:rPr>
        <w:t>de la Convention.</w:t>
      </w:r>
      <w:r w:rsidRPr="004573F6">
        <w:rPr>
          <w:lang w:val="fr-FR"/>
        </w:rPr>
        <w:t xml:space="preserve"> </w:t>
      </w:r>
    </w:p>
    <w:p w14:paraId="07691431" w14:textId="04F7B6E1" w:rsidR="00A90AAA" w:rsidRPr="004573F6" w:rsidRDefault="00A90AAA" w:rsidP="00A90AAA">
      <w:pPr>
        <w:pStyle w:val="SingleTxtG"/>
        <w:rPr>
          <w:lang w:val="fr-FR"/>
        </w:rPr>
      </w:pPr>
      <w:r w:rsidRPr="004573F6">
        <w:rPr>
          <w:lang w:val="fr-FR"/>
        </w:rPr>
        <w:t>42.</w:t>
      </w:r>
      <w:r w:rsidRPr="004573F6">
        <w:rPr>
          <w:lang w:val="fr-FR"/>
        </w:rPr>
        <w:tab/>
        <w:t>Huit répondants indiquent que leur législation nationale ne comporte pas de dispositions visant à appliquer l</w:t>
      </w:r>
      <w:r>
        <w:rPr>
          <w:lang w:val="fr-FR"/>
        </w:rPr>
        <w:t>’</w:t>
      </w:r>
      <w:r w:rsidRPr="004573F6">
        <w:rPr>
          <w:lang w:val="fr-FR"/>
        </w:rPr>
        <w:t>article</w:t>
      </w:r>
      <w:r>
        <w:rPr>
          <w:lang w:val="fr-FR"/>
        </w:rPr>
        <w:t> </w:t>
      </w:r>
      <w:r w:rsidRPr="004573F6">
        <w:rPr>
          <w:lang w:val="fr-FR"/>
        </w:rPr>
        <w:t>7</w:t>
      </w:r>
      <w:r>
        <w:rPr>
          <w:lang w:val="fr-FR"/>
        </w:rPr>
        <w:t xml:space="preserve"> (par. 1)</w:t>
      </w:r>
      <w:r w:rsidRPr="004573F6">
        <w:rPr>
          <w:lang w:val="fr-FR"/>
        </w:rPr>
        <w:t>. Parmi ceux-ci, l</w:t>
      </w:r>
      <w:r>
        <w:rPr>
          <w:lang w:val="fr-FR"/>
        </w:rPr>
        <w:t>’</w:t>
      </w:r>
      <w:r w:rsidRPr="004573F6">
        <w:rPr>
          <w:lang w:val="fr-FR"/>
        </w:rPr>
        <w:t>Azerbaïdjan indique qu</w:t>
      </w:r>
      <w:r>
        <w:rPr>
          <w:lang w:val="fr-FR"/>
        </w:rPr>
        <w:t>’un</w:t>
      </w:r>
      <w:r w:rsidRPr="004573F6">
        <w:rPr>
          <w:lang w:val="fr-FR"/>
        </w:rPr>
        <w:t xml:space="preserve"> texte réglementaire</w:t>
      </w:r>
      <w:r>
        <w:rPr>
          <w:lang w:val="fr-FR"/>
        </w:rPr>
        <w:t xml:space="preserve"> en cours d’élaboration remédiera à cette omission</w:t>
      </w:r>
      <w:r w:rsidRPr="004573F6">
        <w:rPr>
          <w:lang w:val="fr-FR"/>
        </w:rPr>
        <w:t>, tandis que la Hongrie relève que, dans ce cas, le texte de la Convention elle-même est directement applicable au niveau national. Le Royaume-Uni de Grande-Bretagne et d</w:t>
      </w:r>
      <w:r>
        <w:rPr>
          <w:lang w:val="fr-FR"/>
        </w:rPr>
        <w:t>’</w:t>
      </w:r>
      <w:r w:rsidRPr="004573F6">
        <w:rPr>
          <w:lang w:val="fr-FR"/>
        </w:rPr>
        <w:t>Irlande du Nord et l</w:t>
      </w:r>
      <w:r>
        <w:rPr>
          <w:lang w:val="fr-FR"/>
        </w:rPr>
        <w:t>’</w:t>
      </w:r>
      <w:r w:rsidRPr="004573F6">
        <w:rPr>
          <w:lang w:val="fr-FR"/>
        </w:rPr>
        <w:t>Irlande n</w:t>
      </w:r>
      <w:r>
        <w:rPr>
          <w:lang w:val="fr-FR"/>
        </w:rPr>
        <w:t>’</w:t>
      </w:r>
      <w:r w:rsidRPr="004573F6">
        <w:rPr>
          <w:lang w:val="fr-FR"/>
        </w:rPr>
        <w:t>ont pas dans leur législation de disposition portant spécifiquement sur l</w:t>
      </w:r>
      <w:r>
        <w:rPr>
          <w:lang w:val="fr-FR"/>
        </w:rPr>
        <w:t>’</w:t>
      </w:r>
      <w:r w:rsidRPr="004573F6">
        <w:rPr>
          <w:lang w:val="fr-FR"/>
        </w:rPr>
        <w:t xml:space="preserve">analyse a posteriori, mais ils indiquent que des analyses de ce type sont souvent effectuées. La Belgique (Région de Bruxelles-Capitale et Région wallonne) décrit le rôle </w:t>
      </w:r>
      <w:r>
        <w:rPr>
          <w:lang w:val="fr-FR"/>
        </w:rPr>
        <w:t xml:space="preserve">joué par </w:t>
      </w:r>
      <w:r w:rsidRPr="004573F6">
        <w:rPr>
          <w:lang w:val="fr-FR"/>
        </w:rPr>
        <w:t>un service d</w:t>
      </w:r>
      <w:r>
        <w:rPr>
          <w:lang w:val="fr-FR"/>
        </w:rPr>
        <w:t>’</w:t>
      </w:r>
      <w:r w:rsidRPr="004573F6">
        <w:rPr>
          <w:lang w:val="fr-FR"/>
        </w:rPr>
        <w:t xml:space="preserve">inspection dans le contrôle du respect </w:t>
      </w:r>
      <w:r>
        <w:rPr>
          <w:lang w:val="fr-FR"/>
        </w:rPr>
        <w:t xml:space="preserve">des dispositions </w:t>
      </w:r>
      <w:r w:rsidRPr="004573F6">
        <w:rPr>
          <w:lang w:val="fr-FR"/>
        </w:rPr>
        <w:t>et de l</w:t>
      </w:r>
      <w:r>
        <w:rPr>
          <w:lang w:val="fr-FR"/>
        </w:rPr>
        <w:t>’</w:t>
      </w:r>
      <w:r w:rsidRPr="004573F6">
        <w:rPr>
          <w:lang w:val="fr-FR"/>
        </w:rPr>
        <w:t>application. La Croatie et la Finlande ne donnent aucune explication concernant l</w:t>
      </w:r>
      <w:r>
        <w:rPr>
          <w:lang w:val="fr-FR"/>
        </w:rPr>
        <w:t>’</w:t>
      </w:r>
      <w:r w:rsidRPr="004573F6">
        <w:rPr>
          <w:lang w:val="fr-FR"/>
        </w:rPr>
        <w:t>absence de disposition réglementaire relative à l</w:t>
      </w:r>
      <w:r>
        <w:rPr>
          <w:lang w:val="fr-FR"/>
        </w:rPr>
        <w:t>’</w:t>
      </w:r>
      <w:r w:rsidRPr="004573F6">
        <w:rPr>
          <w:lang w:val="fr-FR"/>
        </w:rPr>
        <w:t>analyse a posteriori.</w:t>
      </w:r>
    </w:p>
    <w:p w14:paraId="65385B1D" w14:textId="77777777" w:rsidR="00A90AAA" w:rsidRPr="004573F6" w:rsidRDefault="00A90AAA" w:rsidP="00A90AAA">
      <w:pPr>
        <w:pStyle w:val="H23G"/>
        <w:rPr>
          <w:lang w:val="fr-FR"/>
        </w:rPr>
      </w:pPr>
      <w:bookmarkStart w:id="14" w:name="_Toc13428243"/>
      <w:r w:rsidRPr="004573F6">
        <w:rPr>
          <w:lang w:val="fr-FR"/>
        </w:rPr>
        <w:tab/>
        <w:t>6.</w:t>
      </w:r>
      <w:r w:rsidRPr="004573F6">
        <w:rPr>
          <w:lang w:val="fr-FR"/>
        </w:rPr>
        <w:tab/>
        <w:t>Coopération bilatérale et multilatérale</w:t>
      </w:r>
      <w:bookmarkEnd w:id="14"/>
    </w:p>
    <w:p w14:paraId="3E0C5408" w14:textId="77777777" w:rsidR="00A90AAA" w:rsidRPr="004573F6" w:rsidRDefault="00A90AAA" w:rsidP="00A90AAA">
      <w:pPr>
        <w:pStyle w:val="SingleTxtG"/>
        <w:rPr>
          <w:lang w:val="fr-FR"/>
        </w:rPr>
      </w:pPr>
      <w:r w:rsidRPr="004573F6">
        <w:rPr>
          <w:lang w:val="fr-FR"/>
        </w:rPr>
        <w:t>43.</w:t>
      </w:r>
      <w:r w:rsidRPr="004573F6">
        <w:rPr>
          <w:lang w:val="fr-FR"/>
        </w:rPr>
        <w:tab/>
        <w:t>Quatorze répondants font état de l</w:t>
      </w:r>
      <w:r>
        <w:rPr>
          <w:lang w:val="fr-FR"/>
        </w:rPr>
        <w:t>’</w:t>
      </w:r>
      <w:r w:rsidRPr="004573F6">
        <w:rPr>
          <w:lang w:val="fr-FR"/>
        </w:rPr>
        <w:t>existence d</w:t>
      </w:r>
      <w:r>
        <w:rPr>
          <w:lang w:val="fr-FR"/>
        </w:rPr>
        <w:t>’</w:t>
      </w:r>
      <w:r w:rsidRPr="004573F6">
        <w:rPr>
          <w:lang w:val="fr-FR"/>
        </w:rPr>
        <w:t>accords bilatéraux ou multilatéraux relatifs à l</w:t>
      </w:r>
      <w:r>
        <w:rPr>
          <w:lang w:val="fr-FR"/>
        </w:rPr>
        <w:t>’</w:t>
      </w:r>
      <w:r w:rsidRPr="004573F6">
        <w:rPr>
          <w:lang w:val="fr-FR"/>
        </w:rPr>
        <w:t>application de la Convention</w:t>
      </w:r>
      <w:r w:rsidRPr="004573F6">
        <w:rPr>
          <w:i/>
          <w:iCs/>
          <w:lang w:val="fr-FR"/>
        </w:rPr>
        <w:t xml:space="preserve"> </w:t>
      </w:r>
      <w:r w:rsidRPr="004573F6">
        <w:rPr>
          <w:lang w:val="fr-FR"/>
        </w:rPr>
        <w:t>(question I.8.1). L</w:t>
      </w:r>
      <w:r>
        <w:rPr>
          <w:lang w:val="fr-FR"/>
        </w:rPr>
        <w:t>’</w:t>
      </w:r>
      <w:r w:rsidRPr="004573F6">
        <w:rPr>
          <w:lang w:val="fr-FR"/>
        </w:rPr>
        <w:t>Accord multilatéral entre les pays d</w:t>
      </w:r>
      <w:r>
        <w:rPr>
          <w:lang w:val="fr-FR"/>
        </w:rPr>
        <w:t>’</w:t>
      </w:r>
      <w:r w:rsidRPr="004573F6">
        <w:rPr>
          <w:lang w:val="fr-FR"/>
        </w:rPr>
        <w:t>Europe du Sud-Est pour l</w:t>
      </w:r>
      <w:r>
        <w:rPr>
          <w:lang w:val="fr-FR"/>
        </w:rPr>
        <w:t>’</w:t>
      </w:r>
      <w:r w:rsidRPr="004573F6">
        <w:rPr>
          <w:lang w:val="fr-FR"/>
        </w:rPr>
        <w:t>application de la Convention sur l</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 dans un contexte transfrontière est l</w:t>
      </w:r>
      <w:r>
        <w:rPr>
          <w:lang w:val="fr-FR"/>
        </w:rPr>
        <w:t>’</w:t>
      </w:r>
      <w:r w:rsidRPr="004573F6">
        <w:rPr>
          <w:lang w:val="fr-FR"/>
        </w:rPr>
        <w:t>accord multilatéral le plus fréquemment mentionné.</w:t>
      </w:r>
      <w:bookmarkStart w:id="15" w:name="OLE_LINK2"/>
      <w:bookmarkEnd w:id="15"/>
    </w:p>
    <w:p w14:paraId="7A009157" w14:textId="77777777" w:rsidR="00A90AAA" w:rsidRPr="004573F6" w:rsidRDefault="00A90AAA" w:rsidP="00A90AAA">
      <w:pPr>
        <w:pStyle w:val="SingleTxtG"/>
        <w:rPr>
          <w:lang w:val="fr-FR"/>
        </w:rPr>
      </w:pPr>
      <w:r w:rsidRPr="004573F6">
        <w:rPr>
          <w:lang w:val="fr-FR"/>
        </w:rPr>
        <w:t>44.</w:t>
      </w:r>
      <w:r w:rsidRPr="004573F6">
        <w:rPr>
          <w:lang w:val="fr-FR"/>
        </w:rPr>
        <w:tab/>
        <w:t>Selon certaines informations, un petit nombre de nouveaux accords, formels et informels, ont été élaborés ces dernières années et certains accords bilatéraux existants sont en cours de révision. L</w:t>
      </w:r>
      <w:r>
        <w:rPr>
          <w:lang w:val="fr-FR"/>
        </w:rPr>
        <w:t>’</w:t>
      </w:r>
      <w:r w:rsidRPr="004573F6">
        <w:rPr>
          <w:lang w:val="fr-FR"/>
        </w:rPr>
        <w:t xml:space="preserve">Azerbaïdjan et le Kazakhstan ont ratifié </w:t>
      </w:r>
      <w:r>
        <w:rPr>
          <w:lang w:val="fr-FR"/>
        </w:rPr>
        <w:t>le</w:t>
      </w:r>
      <w:r w:rsidRPr="004573F6">
        <w:rPr>
          <w:lang w:val="fr-FR"/>
        </w:rPr>
        <w:t xml:space="preserve"> Protocole à la Convention</w:t>
      </w:r>
      <w:r>
        <w:rPr>
          <w:lang w:val="fr-FR"/>
        </w:rPr>
        <w:noBreakHyphen/>
      </w:r>
      <w:r w:rsidRPr="004573F6">
        <w:rPr>
          <w:lang w:val="fr-FR"/>
        </w:rPr>
        <w:t>cadre pour la protection de l</w:t>
      </w:r>
      <w:r>
        <w:rPr>
          <w:lang w:val="fr-FR"/>
        </w:rPr>
        <w:t>’</w:t>
      </w:r>
      <w:r w:rsidRPr="004573F6">
        <w:rPr>
          <w:lang w:val="fr-FR"/>
        </w:rPr>
        <w:t>environnement de la mer Caspienne, relatif à l</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 dans un contexte transfrontière, respectivement en 2019 et en 2021. La Pologne a eu des échanges approfondis avec la Slovaquie concernant l</w:t>
      </w:r>
      <w:r>
        <w:rPr>
          <w:lang w:val="fr-FR"/>
        </w:rPr>
        <w:t>’</w:t>
      </w:r>
      <w:r w:rsidRPr="004573F6">
        <w:rPr>
          <w:lang w:val="fr-FR"/>
        </w:rPr>
        <w:t>élaboration d</w:t>
      </w:r>
      <w:r>
        <w:rPr>
          <w:lang w:val="fr-FR"/>
        </w:rPr>
        <w:t>’</w:t>
      </w:r>
      <w:r w:rsidRPr="004573F6">
        <w:rPr>
          <w:lang w:val="fr-FR"/>
        </w:rPr>
        <w:t xml:space="preserve">un accord bilatéral, tandis que le dialogue entre la Pologne et le Bélarus a </w:t>
      </w:r>
      <w:r w:rsidRPr="004573F6">
        <w:rPr>
          <w:lang w:val="fr-FR"/>
        </w:rPr>
        <w:lastRenderedPageBreak/>
        <w:t>récemment été suspendu. Les Pays-Bas mettent à jour les accords qu</w:t>
      </w:r>
      <w:r>
        <w:rPr>
          <w:lang w:val="fr-FR"/>
        </w:rPr>
        <w:t>’</w:t>
      </w:r>
      <w:r w:rsidRPr="004573F6">
        <w:rPr>
          <w:lang w:val="fr-FR"/>
        </w:rPr>
        <w:t>ils ont passés avec l</w:t>
      </w:r>
      <w:r>
        <w:rPr>
          <w:lang w:val="fr-FR"/>
        </w:rPr>
        <w:t>’</w:t>
      </w:r>
      <w:r w:rsidRPr="004573F6">
        <w:rPr>
          <w:lang w:val="fr-FR"/>
        </w:rPr>
        <w:t>Allemagne et la Belgique (Région flamande). Enfin, la Norvège indique qu</w:t>
      </w:r>
      <w:r>
        <w:rPr>
          <w:lang w:val="fr-FR"/>
        </w:rPr>
        <w:t>’</w:t>
      </w:r>
      <w:r w:rsidRPr="004573F6">
        <w:rPr>
          <w:lang w:val="fr-FR"/>
        </w:rPr>
        <w:t>un accord informel sur des aspects pratiques de l</w:t>
      </w:r>
      <w:r>
        <w:rPr>
          <w:lang w:val="fr-FR"/>
        </w:rPr>
        <w:t>’</w:t>
      </w:r>
      <w:r w:rsidRPr="004573F6">
        <w:rPr>
          <w:lang w:val="fr-FR"/>
        </w:rPr>
        <w:t>application a été passé entre la Finlande, la Norvège et la Suède en 2017.</w:t>
      </w:r>
    </w:p>
    <w:p w14:paraId="02D4C007" w14:textId="3F075E25" w:rsidR="00A90AAA" w:rsidRPr="004573F6" w:rsidRDefault="00A90AAA" w:rsidP="00A90AAA">
      <w:pPr>
        <w:pStyle w:val="SingleTxtG"/>
        <w:rPr>
          <w:lang w:val="fr-FR"/>
        </w:rPr>
      </w:pPr>
      <w:r w:rsidRPr="004573F6">
        <w:rPr>
          <w:lang w:val="fr-FR"/>
        </w:rPr>
        <w:t>45.</w:t>
      </w:r>
      <w:r w:rsidRPr="004573F6">
        <w:rPr>
          <w:lang w:val="fr-FR"/>
        </w:rPr>
        <w:tab/>
        <w:t>Le</w:t>
      </w:r>
      <w:r>
        <w:rPr>
          <w:lang w:val="fr-FR"/>
        </w:rPr>
        <w:t>s</w:t>
      </w:r>
      <w:r w:rsidRPr="004573F6">
        <w:rPr>
          <w:lang w:val="fr-FR"/>
        </w:rPr>
        <w:t xml:space="preserve"> </w:t>
      </w:r>
      <w:r>
        <w:rPr>
          <w:lang w:val="fr-FR"/>
        </w:rPr>
        <w:t>principales questions visées par</w:t>
      </w:r>
      <w:r w:rsidRPr="004573F6">
        <w:rPr>
          <w:lang w:val="fr-FR"/>
        </w:rPr>
        <w:t xml:space="preserve"> </w:t>
      </w:r>
      <w:r>
        <w:rPr>
          <w:lang w:val="fr-FR"/>
        </w:rPr>
        <w:t>l</w:t>
      </w:r>
      <w:r w:rsidRPr="004573F6">
        <w:rPr>
          <w:lang w:val="fr-FR"/>
        </w:rPr>
        <w:t>es accords bilatéraux et multilatéraux existants (question</w:t>
      </w:r>
      <w:r w:rsidR="002C592A">
        <w:rPr>
          <w:lang w:val="fr-FR"/>
        </w:rPr>
        <w:t> </w:t>
      </w:r>
      <w:r w:rsidRPr="004573F6">
        <w:rPr>
          <w:lang w:val="fr-FR"/>
        </w:rPr>
        <w:t xml:space="preserve">I.8.2) </w:t>
      </w:r>
      <w:r>
        <w:rPr>
          <w:lang w:val="fr-FR"/>
        </w:rPr>
        <w:t>sont</w:t>
      </w:r>
      <w:r w:rsidRPr="004573F6">
        <w:rPr>
          <w:lang w:val="fr-FR"/>
        </w:rPr>
        <w:t xml:space="preserve"> </w:t>
      </w:r>
      <w:r>
        <w:rPr>
          <w:lang w:val="fr-FR"/>
        </w:rPr>
        <w:t>récapitulées</w:t>
      </w:r>
      <w:r w:rsidRPr="004573F6">
        <w:rPr>
          <w:lang w:val="fr-FR"/>
        </w:rPr>
        <w:t xml:space="preserve"> dans le tableau</w:t>
      </w:r>
      <w:r>
        <w:rPr>
          <w:lang w:val="fr-FR"/>
        </w:rPr>
        <w:t> </w:t>
      </w:r>
      <w:r w:rsidRPr="004573F6">
        <w:rPr>
          <w:lang w:val="fr-FR"/>
        </w:rPr>
        <w:t>6. L</w:t>
      </w:r>
      <w:r>
        <w:rPr>
          <w:lang w:val="fr-FR"/>
        </w:rPr>
        <w:t>’</w:t>
      </w:r>
      <w:r w:rsidRPr="004573F6">
        <w:rPr>
          <w:lang w:val="fr-FR"/>
        </w:rPr>
        <w:t>accord bilatéral entre l</w:t>
      </w:r>
      <w:r>
        <w:rPr>
          <w:lang w:val="fr-FR"/>
        </w:rPr>
        <w:t>’</w:t>
      </w:r>
      <w:r w:rsidRPr="004573F6">
        <w:rPr>
          <w:lang w:val="fr-FR"/>
        </w:rPr>
        <w:t>Allemagne et la Pologne contient également des dispositions relatives à la traduction du dossier et au règlement des différends.</w:t>
      </w:r>
    </w:p>
    <w:p w14:paraId="36D7851D" w14:textId="038961B7" w:rsidR="00A90AAA" w:rsidRPr="008266DD" w:rsidRDefault="00A90AAA" w:rsidP="00A90AAA">
      <w:pPr>
        <w:pStyle w:val="Titre1"/>
        <w:spacing w:after="120"/>
        <w:rPr>
          <w:lang w:val="fr-FR"/>
        </w:rPr>
      </w:pPr>
      <w:r w:rsidRPr="004573F6">
        <w:rPr>
          <w:lang w:val="fr-FR"/>
        </w:rPr>
        <w:t>Tableau</w:t>
      </w:r>
      <w:r>
        <w:rPr>
          <w:lang w:val="fr-FR"/>
        </w:rPr>
        <w:t> </w:t>
      </w:r>
      <w:r w:rsidRPr="004573F6">
        <w:rPr>
          <w:lang w:val="fr-FR"/>
        </w:rPr>
        <w:t>6</w:t>
      </w:r>
      <w:r>
        <w:rPr>
          <w:lang w:val="fr-FR"/>
        </w:rPr>
        <w:br/>
      </w:r>
      <w:r w:rsidRPr="004573F6">
        <w:rPr>
          <w:b/>
          <w:bCs/>
          <w:lang w:val="fr-FR"/>
        </w:rPr>
        <w:t xml:space="preserve">Questions visées par les accords bilatéraux et multilatéraux mettant en œuvre </w:t>
      </w:r>
      <w:r>
        <w:rPr>
          <w:b/>
          <w:bCs/>
          <w:lang w:val="fr-FR"/>
        </w:rPr>
        <w:br/>
      </w:r>
      <w:r w:rsidRPr="004573F6">
        <w:rPr>
          <w:b/>
          <w:bCs/>
          <w:lang w:val="fr-FR"/>
        </w:rPr>
        <w:t>la Convention (n=15)</w:t>
      </w:r>
      <w:r w:rsidRPr="004573F6">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5399"/>
        <w:gridCol w:w="1971"/>
      </w:tblGrid>
      <w:tr w:rsidR="00A90AAA" w:rsidRPr="008266DD" w14:paraId="683D69C8" w14:textId="77777777" w:rsidTr="007F6BCD">
        <w:trPr>
          <w:tblHeader/>
        </w:trPr>
        <w:tc>
          <w:tcPr>
            <w:tcW w:w="5399" w:type="dxa"/>
            <w:tcBorders>
              <w:top w:val="single" w:sz="4" w:space="0" w:color="auto"/>
              <w:bottom w:val="single" w:sz="12" w:space="0" w:color="auto"/>
            </w:tcBorders>
            <w:shd w:val="clear" w:color="auto" w:fill="auto"/>
            <w:vAlign w:val="bottom"/>
          </w:tcPr>
          <w:p w14:paraId="051A88B3" w14:textId="77777777" w:rsidR="00A90AAA" w:rsidRPr="008266DD" w:rsidRDefault="00A90AAA" w:rsidP="007F6BCD">
            <w:pPr>
              <w:suppressAutoHyphens w:val="0"/>
              <w:spacing w:before="80" w:after="80" w:line="200" w:lineRule="exact"/>
              <w:rPr>
                <w:i/>
                <w:sz w:val="16"/>
                <w:lang w:val="fr-FR"/>
              </w:rPr>
            </w:pPr>
            <w:r w:rsidRPr="008266DD">
              <w:rPr>
                <w:i/>
                <w:sz w:val="16"/>
                <w:lang w:val="fr-FR"/>
              </w:rPr>
              <w:t>Questions couvertes par les accords</w:t>
            </w:r>
          </w:p>
        </w:tc>
        <w:tc>
          <w:tcPr>
            <w:tcW w:w="1971" w:type="dxa"/>
            <w:tcBorders>
              <w:top w:val="single" w:sz="4" w:space="0" w:color="auto"/>
              <w:bottom w:val="single" w:sz="12" w:space="0" w:color="auto"/>
            </w:tcBorders>
            <w:shd w:val="clear" w:color="auto" w:fill="auto"/>
            <w:vAlign w:val="bottom"/>
          </w:tcPr>
          <w:p w14:paraId="65FAF95E" w14:textId="77777777" w:rsidR="00A90AAA" w:rsidRPr="008266DD" w:rsidRDefault="00A90AAA" w:rsidP="007F6BCD">
            <w:pPr>
              <w:suppressAutoHyphens w:val="0"/>
              <w:spacing w:before="80" w:after="80" w:line="200" w:lineRule="exact"/>
              <w:jc w:val="right"/>
              <w:rPr>
                <w:i/>
                <w:sz w:val="16"/>
                <w:lang w:val="fr-FR"/>
              </w:rPr>
            </w:pPr>
            <w:r w:rsidRPr="008266DD">
              <w:rPr>
                <w:i/>
                <w:sz w:val="16"/>
                <w:lang w:val="fr-FR"/>
              </w:rPr>
              <w:t xml:space="preserve">Nombre de répondants </w:t>
            </w:r>
          </w:p>
        </w:tc>
      </w:tr>
      <w:tr w:rsidR="00A90AAA" w:rsidRPr="008266DD" w14:paraId="41E0E985" w14:textId="77777777" w:rsidTr="007F6BCD">
        <w:trPr>
          <w:trHeight w:hRule="exact" w:val="113"/>
        </w:trPr>
        <w:tc>
          <w:tcPr>
            <w:tcW w:w="5399" w:type="dxa"/>
            <w:tcBorders>
              <w:top w:val="single" w:sz="12" w:space="0" w:color="auto"/>
            </w:tcBorders>
            <w:shd w:val="clear" w:color="auto" w:fill="auto"/>
          </w:tcPr>
          <w:p w14:paraId="1710074F" w14:textId="77777777" w:rsidR="00A90AAA" w:rsidRPr="008266DD" w:rsidRDefault="00A90AAA" w:rsidP="007F6BCD">
            <w:pPr>
              <w:suppressAutoHyphens w:val="0"/>
              <w:spacing w:before="40" w:after="40" w:line="220" w:lineRule="exact"/>
              <w:rPr>
                <w:sz w:val="18"/>
                <w:lang w:val="fr-FR"/>
              </w:rPr>
            </w:pPr>
          </w:p>
        </w:tc>
        <w:tc>
          <w:tcPr>
            <w:tcW w:w="1971" w:type="dxa"/>
            <w:tcBorders>
              <w:top w:val="single" w:sz="12" w:space="0" w:color="auto"/>
            </w:tcBorders>
            <w:shd w:val="clear" w:color="auto" w:fill="auto"/>
            <w:vAlign w:val="bottom"/>
          </w:tcPr>
          <w:p w14:paraId="5CF51985" w14:textId="77777777" w:rsidR="00A90AAA" w:rsidRPr="008266DD" w:rsidRDefault="00A90AAA" w:rsidP="007F6BCD">
            <w:pPr>
              <w:suppressAutoHyphens w:val="0"/>
              <w:spacing w:before="40" w:after="40" w:line="220" w:lineRule="exact"/>
              <w:jc w:val="right"/>
              <w:rPr>
                <w:sz w:val="18"/>
                <w:lang w:val="fr-FR"/>
              </w:rPr>
            </w:pPr>
          </w:p>
        </w:tc>
      </w:tr>
      <w:tr w:rsidR="00A90AAA" w:rsidRPr="008266DD" w14:paraId="14807EFE" w14:textId="77777777" w:rsidTr="002C592A">
        <w:tc>
          <w:tcPr>
            <w:tcW w:w="5399" w:type="dxa"/>
            <w:shd w:val="clear" w:color="auto" w:fill="auto"/>
          </w:tcPr>
          <w:p w14:paraId="6C6B63DD" w14:textId="77777777" w:rsidR="00A90AAA" w:rsidRPr="008266DD" w:rsidRDefault="00A90AAA" w:rsidP="007F6BCD">
            <w:pPr>
              <w:suppressAutoHyphens w:val="0"/>
              <w:spacing w:before="40" w:after="40" w:line="220" w:lineRule="exact"/>
              <w:rPr>
                <w:sz w:val="18"/>
                <w:lang w:val="fr-FR"/>
              </w:rPr>
            </w:pPr>
            <w:r w:rsidRPr="008266DD">
              <w:rPr>
                <w:sz w:val="18"/>
                <w:lang w:val="fr-FR"/>
              </w:rPr>
              <w:t>Mécanismes institutionnels, administratifs et autres</w:t>
            </w:r>
          </w:p>
        </w:tc>
        <w:tc>
          <w:tcPr>
            <w:tcW w:w="1971" w:type="dxa"/>
            <w:shd w:val="clear" w:color="auto" w:fill="auto"/>
            <w:vAlign w:val="bottom"/>
          </w:tcPr>
          <w:p w14:paraId="6EE2F93D" w14:textId="77777777" w:rsidR="00A90AAA" w:rsidRPr="008266DD" w:rsidRDefault="00A90AAA" w:rsidP="002C592A">
            <w:pPr>
              <w:suppressAutoHyphens w:val="0"/>
              <w:spacing w:before="40" w:after="40" w:line="220" w:lineRule="exact"/>
              <w:jc w:val="right"/>
              <w:rPr>
                <w:sz w:val="18"/>
                <w:lang w:val="fr-FR"/>
              </w:rPr>
            </w:pPr>
            <w:r w:rsidRPr="008266DD">
              <w:rPr>
                <w:sz w:val="18"/>
                <w:lang w:val="fr-FR"/>
              </w:rPr>
              <w:t>15</w:t>
            </w:r>
          </w:p>
        </w:tc>
      </w:tr>
      <w:tr w:rsidR="00A90AAA" w:rsidRPr="008266DD" w14:paraId="5D8004EF" w14:textId="77777777" w:rsidTr="002C592A">
        <w:tc>
          <w:tcPr>
            <w:tcW w:w="5399" w:type="dxa"/>
            <w:shd w:val="clear" w:color="auto" w:fill="auto"/>
          </w:tcPr>
          <w:p w14:paraId="2094840F" w14:textId="77777777" w:rsidR="00A90AAA" w:rsidRPr="008266DD" w:rsidRDefault="00A90AAA" w:rsidP="007F6BCD">
            <w:pPr>
              <w:suppressAutoHyphens w:val="0"/>
              <w:spacing w:before="40" w:after="40" w:line="220" w:lineRule="exact"/>
              <w:rPr>
                <w:sz w:val="18"/>
                <w:lang w:val="fr-FR"/>
              </w:rPr>
            </w:pPr>
            <w:r w:rsidRPr="008266DD">
              <w:rPr>
                <w:sz w:val="18"/>
                <w:lang w:val="fr-FR"/>
              </w:rPr>
              <w:t>Situation particulière de la sous-région concernée</w:t>
            </w:r>
          </w:p>
        </w:tc>
        <w:tc>
          <w:tcPr>
            <w:tcW w:w="1971" w:type="dxa"/>
            <w:shd w:val="clear" w:color="auto" w:fill="auto"/>
            <w:vAlign w:val="bottom"/>
          </w:tcPr>
          <w:p w14:paraId="7C9AE63F" w14:textId="77777777" w:rsidR="00A90AAA" w:rsidRPr="008266DD" w:rsidRDefault="00A90AAA" w:rsidP="002C592A">
            <w:pPr>
              <w:suppressAutoHyphens w:val="0"/>
              <w:spacing w:before="40" w:after="40" w:line="220" w:lineRule="exact"/>
              <w:jc w:val="right"/>
              <w:rPr>
                <w:sz w:val="18"/>
                <w:lang w:val="fr-FR"/>
              </w:rPr>
            </w:pPr>
            <w:r w:rsidRPr="008266DD">
              <w:rPr>
                <w:sz w:val="18"/>
                <w:lang w:val="fr-FR"/>
              </w:rPr>
              <w:t>7</w:t>
            </w:r>
          </w:p>
        </w:tc>
      </w:tr>
      <w:tr w:rsidR="00A90AAA" w:rsidRPr="008266DD" w14:paraId="6C7308C1" w14:textId="77777777" w:rsidTr="002C592A">
        <w:tc>
          <w:tcPr>
            <w:tcW w:w="5399" w:type="dxa"/>
            <w:shd w:val="clear" w:color="auto" w:fill="auto"/>
          </w:tcPr>
          <w:p w14:paraId="134A1D05" w14:textId="77777777" w:rsidR="00A90AAA" w:rsidRPr="008266DD" w:rsidRDefault="00A90AAA" w:rsidP="007F6BCD">
            <w:pPr>
              <w:suppressAutoHyphens w:val="0"/>
              <w:spacing w:before="40" w:after="40" w:line="220" w:lineRule="exact"/>
              <w:rPr>
                <w:sz w:val="18"/>
                <w:lang w:val="fr-FR"/>
              </w:rPr>
            </w:pPr>
            <w:r w:rsidRPr="008266DD">
              <w:rPr>
                <w:sz w:val="18"/>
                <w:lang w:val="fr-FR"/>
              </w:rPr>
              <w:t>Harmonisation des politiques et des mesures appliquées par les Parties</w:t>
            </w:r>
          </w:p>
        </w:tc>
        <w:tc>
          <w:tcPr>
            <w:tcW w:w="1971" w:type="dxa"/>
            <w:shd w:val="clear" w:color="auto" w:fill="auto"/>
            <w:vAlign w:val="bottom"/>
          </w:tcPr>
          <w:p w14:paraId="1D47F447" w14:textId="77777777" w:rsidR="00A90AAA" w:rsidRPr="008266DD" w:rsidRDefault="00A90AAA" w:rsidP="002C592A">
            <w:pPr>
              <w:suppressAutoHyphens w:val="0"/>
              <w:spacing w:before="40" w:after="40" w:line="220" w:lineRule="exact"/>
              <w:jc w:val="right"/>
              <w:rPr>
                <w:sz w:val="18"/>
                <w:lang w:val="fr-FR"/>
              </w:rPr>
            </w:pPr>
            <w:r w:rsidRPr="008266DD">
              <w:rPr>
                <w:sz w:val="18"/>
                <w:lang w:val="fr-FR"/>
              </w:rPr>
              <w:t>6</w:t>
            </w:r>
          </w:p>
        </w:tc>
      </w:tr>
      <w:tr w:rsidR="00A90AAA" w:rsidRPr="008266DD" w14:paraId="7047302F" w14:textId="77777777" w:rsidTr="002C592A">
        <w:tc>
          <w:tcPr>
            <w:tcW w:w="5399" w:type="dxa"/>
            <w:shd w:val="clear" w:color="auto" w:fill="auto"/>
          </w:tcPr>
          <w:p w14:paraId="1423C076" w14:textId="77777777" w:rsidR="00A90AAA" w:rsidRPr="008266DD" w:rsidRDefault="00A90AAA" w:rsidP="007F6BCD">
            <w:pPr>
              <w:suppressAutoHyphens w:val="0"/>
              <w:spacing w:before="40" w:after="40" w:line="220" w:lineRule="exact"/>
              <w:rPr>
                <w:sz w:val="18"/>
                <w:lang w:val="fr-FR"/>
              </w:rPr>
            </w:pPr>
            <w:r w:rsidRPr="008266DD">
              <w:rPr>
                <w:sz w:val="18"/>
                <w:lang w:val="fr-FR"/>
              </w:rPr>
              <w:t>Réalisation en commun de l</w:t>
            </w:r>
            <w:r>
              <w:rPr>
                <w:sz w:val="18"/>
                <w:lang w:val="fr-FR"/>
              </w:rPr>
              <w:t>’</w:t>
            </w:r>
            <w:r w:rsidRPr="008266DD">
              <w:rPr>
                <w:sz w:val="18"/>
                <w:lang w:val="fr-FR"/>
              </w:rPr>
              <w:t>évaluation de l</w:t>
            </w:r>
            <w:r>
              <w:rPr>
                <w:sz w:val="18"/>
                <w:lang w:val="fr-FR"/>
              </w:rPr>
              <w:t>’</w:t>
            </w:r>
            <w:r w:rsidRPr="008266DD">
              <w:rPr>
                <w:sz w:val="18"/>
                <w:lang w:val="fr-FR"/>
              </w:rPr>
              <w:t>impact sur l</w:t>
            </w:r>
            <w:r>
              <w:rPr>
                <w:sz w:val="18"/>
                <w:lang w:val="fr-FR"/>
              </w:rPr>
              <w:t>’</w:t>
            </w:r>
            <w:r w:rsidRPr="008266DD">
              <w:rPr>
                <w:sz w:val="18"/>
                <w:lang w:val="fr-FR"/>
              </w:rPr>
              <w:t>environnement, mise au point de programmes de surveillance communs, étalonnage comparatif des dispositifs de surveillance et harmonisation des méthodes</w:t>
            </w:r>
          </w:p>
        </w:tc>
        <w:tc>
          <w:tcPr>
            <w:tcW w:w="1971" w:type="dxa"/>
            <w:shd w:val="clear" w:color="auto" w:fill="auto"/>
            <w:vAlign w:val="bottom"/>
          </w:tcPr>
          <w:p w14:paraId="3A9B3B85" w14:textId="77777777" w:rsidR="00A90AAA" w:rsidRPr="008266DD" w:rsidRDefault="00A90AAA" w:rsidP="002C592A">
            <w:pPr>
              <w:suppressAutoHyphens w:val="0"/>
              <w:spacing w:before="40" w:after="40" w:line="220" w:lineRule="exact"/>
              <w:jc w:val="right"/>
              <w:rPr>
                <w:sz w:val="18"/>
                <w:lang w:val="fr-FR"/>
              </w:rPr>
            </w:pPr>
            <w:r w:rsidRPr="008266DD">
              <w:rPr>
                <w:sz w:val="18"/>
                <w:lang w:val="fr-FR"/>
              </w:rPr>
              <w:t>5</w:t>
            </w:r>
          </w:p>
        </w:tc>
      </w:tr>
      <w:tr w:rsidR="00A90AAA" w:rsidRPr="008266DD" w14:paraId="4DEA4C78" w14:textId="77777777" w:rsidTr="002C592A">
        <w:tc>
          <w:tcPr>
            <w:tcW w:w="5399" w:type="dxa"/>
            <w:shd w:val="clear" w:color="auto" w:fill="auto"/>
          </w:tcPr>
          <w:p w14:paraId="7610773A" w14:textId="77777777" w:rsidR="00A90AAA" w:rsidRPr="008266DD" w:rsidRDefault="00A90AAA" w:rsidP="007F6BCD">
            <w:pPr>
              <w:suppressAutoHyphens w:val="0"/>
              <w:spacing w:before="40" w:after="40" w:line="220" w:lineRule="exact"/>
              <w:rPr>
                <w:sz w:val="18"/>
                <w:lang w:val="fr-FR"/>
              </w:rPr>
            </w:pPr>
            <w:r w:rsidRPr="008266DD">
              <w:rPr>
                <w:sz w:val="18"/>
                <w:lang w:val="fr-FR"/>
              </w:rPr>
              <w:t>Fixation de seuils et de critères plus précis pour définir l</w:t>
            </w:r>
            <w:r>
              <w:rPr>
                <w:sz w:val="18"/>
                <w:lang w:val="fr-FR"/>
              </w:rPr>
              <w:t>’</w:t>
            </w:r>
            <w:r w:rsidRPr="008266DD">
              <w:rPr>
                <w:sz w:val="18"/>
                <w:lang w:val="fr-FR"/>
              </w:rPr>
              <w:t xml:space="preserve">importance </w:t>
            </w:r>
            <w:r>
              <w:rPr>
                <w:sz w:val="18"/>
                <w:lang w:val="fr-FR"/>
              </w:rPr>
              <w:br/>
            </w:r>
            <w:r w:rsidRPr="008266DD">
              <w:rPr>
                <w:sz w:val="18"/>
                <w:lang w:val="fr-FR"/>
              </w:rPr>
              <w:t>des impacts transfrontières en fonction du site, de la nature et de l</w:t>
            </w:r>
            <w:r>
              <w:rPr>
                <w:sz w:val="18"/>
                <w:lang w:val="fr-FR"/>
              </w:rPr>
              <w:t>’</w:t>
            </w:r>
            <w:r w:rsidRPr="008266DD">
              <w:rPr>
                <w:sz w:val="18"/>
                <w:lang w:val="fr-FR"/>
              </w:rPr>
              <w:t>ampleur des activités proposées</w:t>
            </w:r>
          </w:p>
        </w:tc>
        <w:tc>
          <w:tcPr>
            <w:tcW w:w="1971" w:type="dxa"/>
            <w:shd w:val="clear" w:color="auto" w:fill="auto"/>
            <w:vAlign w:val="bottom"/>
          </w:tcPr>
          <w:p w14:paraId="70BAEB85" w14:textId="77777777" w:rsidR="00A90AAA" w:rsidRPr="008266DD" w:rsidRDefault="00A90AAA" w:rsidP="002C592A">
            <w:pPr>
              <w:suppressAutoHyphens w:val="0"/>
              <w:spacing w:before="40" w:after="40" w:line="220" w:lineRule="exact"/>
              <w:jc w:val="right"/>
              <w:rPr>
                <w:sz w:val="18"/>
                <w:lang w:val="fr-FR"/>
              </w:rPr>
            </w:pPr>
            <w:r w:rsidRPr="008266DD">
              <w:rPr>
                <w:sz w:val="18"/>
                <w:lang w:val="fr-FR"/>
              </w:rPr>
              <w:t>4</w:t>
            </w:r>
          </w:p>
        </w:tc>
      </w:tr>
      <w:tr w:rsidR="00A90AAA" w:rsidRPr="008266DD" w14:paraId="4909AE40" w14:textId="77777777" w:rsidTr="002C592A">
        <w:tc>
          <w:tcPr>
            <w:tcW w:w="5399" w:type="dxa"/>
            <w:shd w:val="clear" w:color="auto" w:fill="auto"/>
          </w:tcPr>
          <w:p w14:paraId="30847AE0" w14:textId="77777777" w:rsidR="00A90AAA" w:rsidRPr="00AC53DD" w:rsidRDefault="00A90AAA" w:rsidP="007F6BCD">
            <w:pPr>
              <w:suppressAutoHyphens w:val="0"/>
              <w:spacing w:before="40" w:after="40" w:line="220" w:lineRule="exact"/>
              <w:rPr>
                <w:sz w:val="18"/>
                <w:lang w:val="fr-FR"/>
              </w:rPr>
            </w:pPr>
            <w:r w:rsidRPr="00AC53DD">
              <w:rPr>
                <w:sz w:val="18"/>
                <w:lang w:val="fr-FR"/>
              </w:rPr>
              <w:t xml:space="preserve">Mise au point de méthodes de détermination, de mesure, de prévision </w:t>
            </w:r>
            <w:r w:rsidRPr="00AC53DD">
              <w:rPr>
                <w:sz w:val="18"/>
                <w:lang w:val="fr-FR"/>
              </w:rPr>
              <w:br/>
              <w:t>et d</w:t>
            </w:r>
            <w:r>
              <w:rPr>
                <w:sz w:val="18"/>
                <w:lang w:val="fr-FR"/>
              </w:rPr>
              <w:t>’</w:t>
            </w:r>
            <w:r w:rsidRPr="00AC53DD">
              <w:rPr>
                <w:sz w:val="18"/>
                <w:lang w:val="fr-FR"/>
              </w:rPr>
              <w:t>évaluation des impacts et de méthodes d</w:t>
            </w:r>
            <w:r>
              <w:rPr>
                <w:sz w:val="18"/>
                <w:lang w:val="fr-FR"/>
              </w:rPr>
              <w:t>’</w:t>
            </w:r>
            <w:r w:rsidRPr="00AC53DD">
              <w:rPr>
                <w:sz w:val="18"/>
                <w:lang w:val="fr-FR"/>
              </w:rPr>
              <w:t xml:space="preserve">analyse a posteriori, </w:t>
            </w:r>
            <w:r w:rsidRPr="00AC53DD">
              <w:rPr>
                <w:sz w:val="18"/>
                <w:lang w:val="fr-FR"/>
              </w:rPr>
              <w:br/>
              <w:t>et amélioration et/ou harmonisation de ces méthodes</w:t>
            </w:r>
          </w:p>
        </w:tc>
        <w:tc>
          <w:tcPr>
            <w:tcW w:w="1971" w:type="dxa"/>
            <w:shd w:val="clear" w:color="auto" w:fill="auto"/>
            <w:vAlign w:val="bottom"/>
          </w:tcPr>
          <w:p w14:paraId="656AB0B3" w14:textId="77777777" w:rsidR="00A90AAA" w:rsidRPr="008266DD" w:rsidRDefault="00A90AAA" w:rsidP="002C592A">
            <w:pPr>
              <w:suppressAutoHyphens w:val="0"/>
              <w:spacing w:before="40" w:after="40" w:line="220" w:lineRule="exact"/>
              <w:jc w:val="right"/>
              <w:rPr>
                <w:sz w:val="18"/>
                <w:lang w:val="fr-FR"/>
              </w:rPr>
            </w:pPr>
            <w:r w:rsidRPr="008266DD">
              <w:rPr>
                <w:sz w:val="18"/>
                <w:lang w:val="fr-FR"/>
              </w:rPr>
              <w:t>2</w:t>
            </w:r>
          </w:p>
        </w:tc>
      </w:tr>
      <w:tr w:rsidR="00A90AAA" w:rsidRPr="008266DD" w14:paraId="760D6AFA" w14:textId="77777777" w:rsidTr="002C592A">
        <w:tc>
          <w:tcPr>
            <w:tcW w:w="5399" w:type="dxa"/>
            <w:shd w:val="clear" w:color="auto" w:fill="auto"/>
          </w:tcPr>
          <w:p w14:paraId="136EA452" w14:textId="77777777" w:rsidR="00A90AAA" w:rsidRPr="008266DD" w:rsidRDefault="00A90AAA" w:rsidP="007F6BCD">
            <w:pPr>
              <w:suppressAutoHyphens w:val="0"/>
              <w:spacing w:before="40" w:after="40" w:line="220" w:lineRule="exact"/>
              <w:rPr>
                <w:sz w:val="18"/>
                <w:lang w:val="fr-FR"/>
              </w:rPr>
            </w:pPr>
            <w:r w:rsidRPr="008266DD">
              <w:rPr>
                <w:sz w:val="18"/>
                <w:lang w:val="fr-FR"/>
              </w:rPr>
              <w:t>Mise au point de méthodes et de programmes pour la collecte, l</w:t>
            </w:r>
            <w:r>
              <w:rPr>
                <w:sz w:val="18"/>
                <w:lang w:val="fr-FR"/>
              </w:rPr>
              <w:t>’</w:t>
            </w:r>
            <w:r w:rsidRPr="008266DD">
              <w:rPr>
                <w:sz w:val="18"/>
                <w:lang w:val="fr-FR"/>
              </w:rPr>
              <w:t xml:space="preserve">analyse, </w:t>
            </w:r>
            <w:r>
              <w:rPr>
                <w:sz w:val="18"/>
                <w:lang w:val="fr-FR"/>
              </w:rPr>
              <w:br/>
            </w:r>
            <w:r w:rsidRPr="008266DD">
              <w:rPr>
                <w:sz w:val="18"/>
                <w:lang w:val="fr-FR"/>
              </w:rPr>
              <w:t xml:space="preserve">le stockage et la diffusion en temps utile de données comparables sur </w:t>
            </w:r>
            <w:r>
              <w:rPr>
                <w:sz w:val="18"/>
                <w:lang w:val="fr-FR"/>
              </w:rPr>
              <w:br/>
            </w:r>
            <w:r w:rsidRPr="008266DD">
              <w:rPr>
                <w:sz w:val="18"/>
                <w:lang w:val="fr-FR"/>
              </w:rPr>
              <w:t>la qualité de l</w:t>
            </w:r>
            <w:r>
              <w:rPr>
                <w:sz w:val="18"/>
                <w:lang w:val="fr-FR"/>
              </w:rPr>
              <w:t>’</w:t>
            </w:r>
            <w:r w:rsidRPr="008266DD">
              <w:rPr>
                <w:sz w:val="18"/>
                <w:lang w:val="fr-FR"/>
              </w:rPr>
              <w:t>environnement, à titre de contribution à l</w:t>
            </w:r>
            <w:r>
              <w:rPr>
                <w:sz w:val="18"/>
                <w:lang w:val="fr-FR"/>
              </w:rPr>
              <w:t>’</w:t>
            </w:r>
            <w:r w:rsidRPr="008266DD">
              <w:rPr>
                <w:sz w:val="18"/>
                <w:lang w:val="fr-FR"/>
              </w:rPr>
              <w:t xml:space="preserve">évaluation </w:t>
            </w:r>
            <w:r>
              <w:rPr>
                <w:sz w:val="18"/>
                <w:lang w:val="fr-FR"/>
              </w:rPr>
              <w:br/>
            </w:r>
            <w:r w:rsidRPr="008266DD">
              <w:rPr>
                <w:sz w:val="18"/>
                <w:lang w:val="fr-FR"/>
              </w:rPr>
              <w:t>de l</w:t>
            </w:r>
            <w:r>
              <w:rPr>
                <w:sz w:val="18"/>
                <w:lang w:val="fr-FR"/>
              </w:rPr>
              <w:t>’</w:t>
            </w:r>
            <w:r w:rsidRPr="008266DD">
              <w:rPr>
                <w:sz w:val="18"/>
                <w:lang w:val="fr-FR"/>
              </w:rPr>
              <w:t>impact sur l</w:t>
            </w:r>
            <w:r>
              <w:rPr>
                <w:sz w:val="18"/>
                <w:lang w:val="fr-FR"/>
              </w:rPr>
              <w:t>’</w:t>
            </w:r>
            <w:r w:rsidRPr="008266DD">
              <w:rPr>
                <w:sz w:val="18"/>
                <w:lang w:val="fr-FR"/>
              </w:rPr>
              <w:t xml:space="preserve">environnement et/ou amélioration de ces méthodes </w:t>
            </w:r>
            <w:r>
              <w:rPr>
                <w:sz w:val="18"/>
                <w:lang w:val="fr-FR"/>
              </w:rPr>
              <w:br/>
            </w:r>
            <w:r w:rsidRPr="008266DD">
              <w:rPr>
                <w:sz w:val="18"/>
                <w:lang w:val="fr-FR"/>
              </w:rPr>
              <w:t>et programmes</w:t>
            </w:r>
          </w:p>
        </w:tc>
        <w:tc>
          <w:tcPr>
            <w:tcW w:w="1971" w:type="dxa"/>
            <w:shd w:val="clear" w:color="auto" w:fill="auto"/>
            <w:vAlign w:val="bottom"/>
          </w:tcPr>
          <w:p w14:paraId="16A293D1" w14:textId="77777777" w:rsidR="00A90AAA" w:rsidRPr="008266DD" w:rsidRDefault="00A90AAA" w:rsidP="002C592A">
            <w:pPr>
              <w:suppressAutoHyphens w:val="0"/>
              <w:spacing w:before="40" w:after="40" w:line="220" w:lineRule="exact"/>
              <w:jc w:val="right"/>
              <w:rPr>
                <w:sz w:val="18"/>
                <w:lang w:val="fr-FR"/>
              </w:rPr>
            </w:pPr>
            <w:r w:rsidRPr="008266DD">
              <w:rPr>
                <w:sz w:val="18"/>
                <w:lang w:val="fr-FR"/>
              </w:rPr>
              <w:t>2</w:t>
            </w:r>
          </w:p>
        </w:tc>
      </w:tr>
      <w:tr w:rsidR="00A90AAA" w:rsidRPr="008266DD" w14:paraId="0F5EBDB5" w14:textId="77777777" w:rsidTr="002C592A">
        <w:tc>
          <w:tcPr>
            <w:tcW w:w="5399" w:type="dxa"/>
            <w:tcBorders>
              <w:bottom w:val="single" w:sz="12" w:space="0" w:color="auto"/>
            </w:tcBorders>
            <w:shd w:val="clear" w:color="auto" w:fill="auto"/>
          </w:tcPr>
          <w:p w14:paraId="7BCDDF8B" w14:textId="77777777" w:rsidR="00A90AAA" w:rsidRPr="008266DD" w:rsidRDefault="00A90AAA" w:rsidP="007F6BCD">
            <w:pPr>
              <w:suppressAutoHyphens w:val="0"/>
              <w:spacing w:before="40" w:after="40" w:line="220" w:lineRule="exact"/>
              <w:rPr>
                <w:sz w:val="18"/>
                <w:lang w:val="fr-FR"/>
              </w:rPr>
            </w:pPr>
            <w:r w:rsidRPr="008266DD">
              <w:rPr>
                <w:sz w:val="18"/>
                <w:lang w:val="fr-FR"/>
              </w:rPr>
              <w:t>Autres</w:t>
            </w:r>
          </w:p>
        </w:tc>
        <w:tc>
          <w:tcPr>
            <w:tcW w:w="1971" w:type="dxa"/>
            <w:tcBorders>
              <w:bottom w:val="single" w:sz="12" w:space="0" w:color="auto"/>
            </w:tcBorders>
            <w:shd w:val="clear" w:color="auto" w:fill="auto"/>
            <w:vAlign w:val="bottom"/>
          </w:tcPr>
          <w:p w14:paraId="2405D8E6" w14:textId="77777777" w:rsidR="00A90AAA" w:rsidRPr="008266DD" w:rsidRDefault="00A90AAA" w:rsidP="002C592A">
            <w:pPr>
              <w:suppressAutoHyphens w:val="0"/>
              <w:spacing w:before="40" w:after="40" w:line="220" w:lineRule="exact"/>
              <w:jc w:val="right"/>
              <w:rPr>
                <w:sz w:val="18"/>
                <w:lang w:val="fr-FR"/>
              </w:rPr>
            </w:pPr>
            <w:r w:rsidRPr="008266DD">
              <w:rPr>
                <w:sz w:val="18"/>
                <w:lang w:val="fr-FR"/>
              </w:rPr>
              <w:t>2</w:t>
            </w:r>
          </w:p>
        </w:tc>
      </w:tr>
    </w:tbl>
    <w:p w14:paraId="40A08D8A" w14:textId="01AD7F9A" w:rsidR="00A90AAA" w:rsidRPr="00CE06A8" w:rsidRDefault="00A90AAA" w:rsidP="00CE06A8">
      <w:pPr>
        <w:pStyle w:val="SingleTxtG"/>
        <w:spacing w:before="120" w:after="0" w:line="220" w:lineRule="exact"/>
        <w:ind w:firstLine="170"/>
        <w:jc w:val="left"/>
        <w:rPr>
          <w:rFonts w:ascii="Times" w:hAnsi="Times"/>
          <w:sz w:val="18"/>
          <w:szCs w:val="18"/>
          <w:lang w:val="fr-FR"/>
        </w:rPr>
      </w:pPr>
      <w:r w:rsidRPr="00CE06A8">
        <w:rPr>
          <w:i/>
          <w:iCs/>
          <w:sz w:val="18"/>
          <w:szCs w:val="18"/>
          <w:lang w:val="fr-FR"/>
        </w:rPr>
        <w:t>Note</w:t>
      </w:r>
      <w:r w:rsidRPr="00CE06A8">
        <w:rPr>
          <w:i/>
          <w:iCs/>
          <w:sz w:val="18"/>
          <w:szCs w:val="18"/>
          <w:lang w:val="fr-FR"/>
        </w:rPr>
        <w:t> </w:t>
      </w:r>
      <w:r w:rsidRPr="00CE06A8">
        <w:rPr>
          <w:sz w:val="18"/>
          <w:szCs w:val="18"/>
          <w:lang w:val="fr-FR"/>
        </w:rPr>
        <w:t>: Le Bélarus et le Luxembourg indiquent en réponse à la question I.8.1 ne pas avoir conclu d’accords bilatéraux ou multilatéraux, mais donnent malgré tout des réponses à la question I.8.2. Ces renseignements se rapportent vraisemblablement au contenu de projets d’accords et/ou de lignes directrices. Les données fournies par le Monténégro ne sont pas prises en compte dans le tableau car ce pays n’a pas utilisé les mêmes catégories que celles employées dans le questionnaire pour répondre à la question.</w:t>
      </w:r>
    </w:p>
    <w:p w14:paraId="6A62B73B" w14:textId="77777777" w:rsidR="00A90AAA" w:rsidRPr="004573F6" w:rsidRDefault="00A90AAA" w:rsidP="00A90AAA">
      <w:pPr>
        <w:pStyle w:val="HChG"/>
        <w:rPr>
          <w:lang w:val="fr-FR"/>
        </w:rPr>
      </w:pPr>
      <w:bookmarkStart w:id="16" w:name="_Toc13428244"/>
      <w:r w:rsidRPr="004573F6">
        <w:rPr>
          <w:lang w:val="fr-FR"/>
        </w:rPr>
        <w:tab/>
        <w:t>IV.</w:t>
      </w:r>
      <w:r w:rsidRPr="004573F6">
        <w:rPr>
          <w:lang w:val="fr-FR"/>
        </w:rPr>
        <w:tab/>
        <w:t>Application pratique et expériences</w:t>
      </w:r>
      <w:bookmarkEnd w:id="16"/>
    </w:p>
    <w:p w14:paraId="681C32F0" w14:textId="77777777" w:rsidR="00A90AAA" w:rsidRPr="004573F6" w:rsidRDefault="00A90AAA" w:rsidP="00A90AAA">
      <w:pPr>
        <w:pStyle w:val="SingleTxtG"/>
        <w:rPr>
          <w:lang w:val="fr-FR"/>
        </w:rPr>
      </w:pPr>
      <w:r w:rsidRPr="004573F6">
        <w:rPr>
          <w:lang w:val="fr-FR"/>
        </w:rPr>
        <w:t>46.</w:t>
      </w:r>
      <w:r w:rsidRPr="004573F6">
        <w:rPr>
          <w:lang w:val="fr-FR"/>
        </w:rPr>
        <w:tab/>
        <w:t xml:space="preserve">On trouvera dans la présente section les principales conclusions de </w:t>
      </w:r>
      <w:r>
        <w:rPr>
          <w:lang w:val="fr-FR"/>
        </w:rPr>
        <w:t xml:space="preserve">l’analyse de </w:t>
      </w:r>
      <w:r w:rsidRPr="004573F6">
        <w:rPr>
          <w:lang w:val="fr-FR"/>
        </w:rPr>
        <w:t>la deuxième partie du questionnaire, qui porte sur l</w:t>
      </w:r>
      <w:r>
        <w:rPr>
          <w:lang w:val="fr-FR"/>
        </w:rPr>
        <w:t>’</w:t>
      </w:r>
      <w:r w:rsidRPr="004573F6">
        <w:rPr>
          <w:lang w:val="fr-FR"/>
        </w:rPr>
        <w:t>expérience pratique des Parties quant à l</w:t>
      </w:r>
      <w:r>
        <w:rPr>
          <w:lang w:val="fr-FR"/>
        </w:rPr>
        <w:t>’</w:t>
      </w:r>
      <w:r w:rsidRPr="004573F6">
        <w:rPr>
          <w:lang w:val="fr-FR"/>
        </w:rPr>
        <w:t xml:space="preserve">application de la Convention. Les réponses communiquées </w:t>
      </w:r>
      <w:r>
        <w:rPr>
          <w:lang w:val="fr-FR"/>
        </w:rPr>
        <w:t>offrent</w:t>
      </w:r>
      <w:r w:rsidRPr="004573F6">
        <w:rPr>
          <w:lang w:val="fr-FR"/>
        </w:rPr>
        <w:t xml:space="preserve"> aux Parties et aux futures Parties de </w:t>
      </w:r>
      <w:r>
        <w:rPr>
          <w:lang w:val="fr-FR"/>
        </w:rPr>
        <w:t xml:space="preserve">précieuses </w:t>
      </w:r>
      <w:r w:rsidRPr="004573F6">
        <w:rPr>
          <w:lang w:val="fr-FR"/>
        </w:rPr>
        <w:t>informations pour ce qui concerne le suivi et l</w:t>
      </w:r>
      <w:r>
        <w:rPr>
          <w:lang w:val="fr-FR"/>
        </w:rPr>
        <w:t>’</w:t>
      </w:r>
      <w:r w:rsidRPr="004573F6">
        <w:rPr>
          <w:lang w:val="fr-FR"/>
        </w:rPr>
        <w:t>amélioration de l</w:t>
      </w:r>
      <w:r>
        <w:rPr>
          <w:lang w:val="fr-FR"/>
        </w:rPr>
        <w:t>’</w:t>
      </w:r>
      <w:r w:rsidRPr="004573F6">
        <w:rPr>
          <w:lang w:val="fr-FR"/>
        </w:rPr>
        <w:t>application concrète de la Convention.</w:t>
      </w:r>
    </w:p>
    <w:p w14:paraId="1CDB1F98" w14:textId="77777777" w:rsidR="00A90AAA" w:rsidRPr="004573F6" w:rsidRDefault="00A90AAA" w:rsidP="00A90AAA">
      <w:pPr>
        <w:pStyle w:val="H23G"/>
        <w:rPr>
          <w:lang w:val="fr-FR"/>
        </w:rPr>
      </w:pPr>
      <w:r w:rsidRPr="004573F6">
        <w:rPr>
          <w:lang w:val="fr-FR"/>
        </w:rPr>
        <w:tab/>
        <w:t>1.</w:t>
      </w:r>
      <w:r w:rsidRPr="004573F6">
        <w:rPr>
          <w:lang w:val="fr-FR"/>
        </w:rPr>
        <w:tab/>
        <w:t>Nombre et types de procédures transfrontières</w:t>
      </w:r>
    </w:p>
    <w:p w14:paraId="1D57CE1B" w14:textId="2BE48500" w:rsidR="00A90AAA" w:rsidRPr="004573F6" w:rsidRDefault="00A90AAA" w:rsidP="00A90AAA">
      <w:pPr>
        <w:pStyle w:val="SingleTxtG"/>
        <w:rPr>
          <w:lang w:val="fr-FR"/>
        </w:rPr>
      </w:pPr>
      <w:r w:rsidRPr="004573F6">
        <w:rPr>
          <w:lang w:val="fr-FR"/>
        </w:rPr>
        <w:t>47.</w:t>
      </w:r>
      <w:r w:rsidRPr="004573F6">
        <w:rPr>
          <w:lang w:val="fr-FR"/>
        </w:rPr>
        <w:tab/>
        <w:t>Les Parties ayant répondu indiquent qu</w:t>
      </w:r>
      <w:r>
        <w:rPr>
          <w:lang w:val="fr-FR"/>
        </w:rPr>
        <w:t>’</w:t>
      </w:r>
      <w:r w:rsidRPr="004573F6">
        <w:rPr>
          <w:lang w:val="fr-FR"/>
        </w:rPr>
        <w:t>elles ont engagé 118</w:t>
      </w:r>
      <w:r>
        <w:rPr>
          <w:lang w:val="fr-FR"/>
        </w:rPr>
        <w:t> </w:t>
      </w:r>
      <w:r w:rsidRPr="004573F6">
        <w:rPr>
          <w:lang w:val="fr-FR"/>
        </w:rPr>
        <w:t>procédures transfrontières pour des activités inscrites à l</w:t>
      </w:r>
      <w:r>
        <w:rPr>
          <w:lang w:val="fr-FR"/>
        </w:rPr>
        <w:t>’</w:t>
      </w:r>
      <w:r w:rsidRPr="004573F6">
        <w:rPr>
          <w:lang w:val="fr-FR"/>
        </w:rPr>
        <w:t>appendice I en tant que Parties d</w:t>
      </w:r>
      <w:r>
        <w:rPr>
          <w:lang w:val="fr-FR"/>
        </w:rPr>
        <w:t>’</w:t>
      </w:r>
      <w:r w:rsidRPr="004573F6">
        <w:rPr>
          <w:lang w:val="fr-FR"/>
        </w:rPr>
        <w:t>origine pendant la période couverte par l</w:t>
      </w:r>
      <w:r>
        <w:rPr>
          <w:lang w:val="fr-FR"/>
        </w:rPr>
        <w:t>’</w:t>
      </w:r>
      <w:r w:rsidRPr="004573F6">
        <w:rPr>
          <w:lang w:val="fr-FR"/>
        </w:rPr>
        <w:t>enquête et qu</w:t>
      </w:r>
      <w:r>
        <w:rPr>
          <w:lang w:val="fr-FR"/>
        </w:rPr>
        <w:t>’</w:t>
      </w:r>
      <w:r w:rsidRPr="004573F6">
        <w:rPr>
          <w:lang w:val="fr-FR"/>
        </w:rPr>
        <w:t>elles ont participé à 178</w:t>
      </w:r>
      <w:r>
        <w:rPr>
          <w:lang w:val="fr-FR"/>
        </w:rPr>
        <w:t> </w:t>
      </w:r>
      <w:r w:rsidRPr="004573F6">
        <w:rPr>
          <w:lang w:val="fr-FR"/>
        </w:rPr>
        <w:t>procédures en tant que Parties touchées. Deux pays déclarent avoir engagé plus de 20</w:t>
      </w:r>
      <w:r>
        <w:rPr>
          <w:lang w:val="fr-FR"/>
        </w:rPr>
        <w:t> </w:t>
      </w:r>
      <w:r w:rsidRPr="004573F6">
        <w:rPr>
          <w:lang w:val="fr-FR"/>
        </w:rPr>
        <w:t>procédures en tant que Parties d</w:t>
      </w:r>
      <w:r>
        <w:rPr>
          <w:lang w:val="fr-FR"/>
        </w:rPr>
        <w:t>’</w:t>
      </w:r>
      <w:r w:rsidRPr="004573F6">
        <w:rPr>
          <w:lang w:val="fr-FR"/>
        </w:rPr>
        <w:t>origine</w:t>
      </w:r>
      <w:r>
        <w:rPr>
          <w:lang w:val="fr-FR"/>
        </w:rPr>
        <w:t> </w:t>
      </w:r>
      <w:r w:rsidRPr="004573F6">
        <w:rPr>
          <w:lang w:val="fr-FR"/>
        </w:rPr>
        <w:t>: la Belgique (39) et la Suède (25). Tous les autres répondants qui font état de procédures indiquent qu</w:t>
      </w:r>
      <w:r>
        <w:rPr>
          <w:lang w:val="fr-FR"/>
        </w:rPr>
        <w:t>’</w:t>
      </w:r>
      <w:r w:rsidRPr="004573F6">
        <w:rPr>
          <w:lang w:val="fr-FR"/>
        </w:rPr>
        <w:t>ils en ont engagé 10 ou moins en tant que Partie d</w:t>
      </w:r>
      <w:r>
        <w:rPr>
          <w:lang w:val="fr-FR"/>
        </w:rPr>
        <w:t>’</w:t>
      </w:r>
      <w:r w:rsidRPr="004573F6">
        <w:rPr>
          <w:lang w:val="fr-FR"/>
        </w:rPr>
        <w:t>origine. Quatre Parties déclarent avoir participé à plus de 10</w:t>
      </w:r>
      <w:r>
        <w:rPr>
          <w:lang w:val="fr-FR"/>
        </w:rPr>
        <w:t> </w:t>
      </w:r>
      <w:r w:rsidRPr="004573F6">
        <w:rPr>
          <w:lang w:val="fr-FR"/>
        </w:rPr>
        <w:t>procédures en tant que Parties touchées</w:t>
      </w:r>
      <w:r>
        <w:rPr>
          <w:lang w:val="fr-FR"/>
        </w:rPr>
        <w:t> </w:t>
      </w:r>
      <w:r w:rsidRPr="004573F6">
        <w:rPr>
          <w:lang w:val="fr-FR"/>
        </w:rPr>
        <w:t xml:space="preserve">: les Pays-Bas (38) ; la Pologne (28) ; la Norvège (17) ; la Suède (17). Tous les autres répondants </w:t>
      </w:r>
      <w:r w:rsidRPr="004573F6">
        <w:rPr>
          <w:lang w:val="fr-FR"/>
        </w:rPr>
        <w:lastRenderedPageBreak/>
        <w:t>indiquent qu</w:t>
      </w:r>
      <w:r>
        <w:rPr>
          <w:lang w:val="fr-FR"/>
        </w:rPr>
        <w:t>’</w:t>
      </w:r>
      <w:r w:rsidRPr="004573F6">
        <w:rPr>
          <w:lang w:val="fr-FR"/>
        </w:rPr>
        <w:t>ils ont participé à 10</w:t>
      </w:r>
      <w:r>
        <w:rPr>
          <w:lang w:val="fr-FR"/>
        </w:rPr>
        <w:t> </w:t>
      </w:r>
      <w:r w:rsidRPr="004573F6">
        <w:rPr>
          <w:lang w:val="fr-FR"/>
        </w:rPr>
        <w:t>procédures ou moins</w:t>
      </w:r>
      <w:r w:rsidRPr="00287063">
        <w:rPr>
          <w:lang w:val="fr-FR"/>
        </w:rPr>
        <w:t xml:space="preserve"> </w:t>
      </w:r>
      <w:r w:rsidRPr="004573F6">
        <w:rPr>
          <w:lang w:val="fr-FR"/>
        </w:rPr>
        <w:t>en tant que Partie</w:t>
      </w:r>
      <w:r>
        <w:rPr>
          <w:lang w:val="fr-FR"/>
        </w:rPr>
        <w:t xml:space="preserve"> touchée</w:t>
      </w:r>
      <w:r w:rsidRPr="004573F6">
        <w:rPr>
          <w:lang w:val="fr-FR"/>
        </w:rPr>
        <w:t>. Quinze Parties, ainsi que la Géorgie, ne font état d</w:t>
      </w:r>
      <w:r>
        <w:rPr>
          <w:lang w:val="fr-FR"/>
        </w:rPr>
        <w:t>’aucun</w:t>
      </w:r>
      <w:r w:rsidRPr="004573F6">
        <w:rPr>
          <w:lang w:val="fr-FR"/>
        </w:rPr>
        <w:t>e procédure transfrontière pour la période</w:t>
      </w:r>
      <w:r>
        <w:rPr>
          <w:lang w:val="fr-FR"/>
        </w:rPr>
        <w:t> </w:t>
      </w:r>
      <w:r w:rsidRPr="004573F6">
        <w:rPr>
          <w:lang w:val="fr-FR"/>
        </w:rPr>
        <w:t xml:space="preserve">2019-2021. </w:t>
      </w:r>
    </w:p>
    <w:p w14:paraId="4C8AAB03" w14:textId="3C1349A7" w:rsidR="00A90AAA" w:rsidRPr="004573F6" w:rsidRDefault="00A90AAA" w:rsidP="00A90AAA">
      <w:pPr>
        <w:pStyle w:val="SingleTxtG"/>
        <w:rPr>
          <w:lang w:val="fr-FR"/>
        </w:rPr>
      </w:pPr>
      <w:r w:rsidRPr="004573F6">
        <w:rPr>
          <w:lang w:val="fr-FR"/>
        </w:rPr>
        <w:t>48.</w:t>
      </w:r>
      <w:r w:rsidRPr="004573F6">
        <w:rPr>
          <w:lang w:val="fr-FR"/>
        </w:rPr>
        <w:tab/>
        <w:t xml:space="preserve">Le plus grand nombre de procédures, de </w:t>
      </w:r>
      <w:r>
        <w:rPr>
          <w:lang w:val="fr-FR"/>
        </w:rPr>
        <w:t>loin</w:t>
      </w:r>
      <w:r w:rsidRPr="004573F6">
        <w:rPr>
          <w:lang w:val="fr-FR"/>
        </w:rPr>
        <w:t xml:space="preserve">, est signalé pour les parcs </w:t>
      </w:r>
      <w:r>
        <w:rPr>
          <w:lang w:val="fr-FR"/>
        </w:rPr>
        <w:t>d’</w:t>
      </w:r>
      <w:r w:rsidRPr="004573F6">
        <w:rPr>
          <w:lang w:val="fr-FR"/>
        </w:rPr>
        <w:t>éolien</w:t>
      </w:r>
      <w:r>
        <w:rPr>
          <w:lang w:val="fr-FR"/>
        </w:rPr>
        <w:t>ne</w:t>
      </w:r>
      <w:r w:rsidRPr="004573F6">
        <w:rPr>
          <w:lang w:val="fr-FR"/>
        </w:rPr>
        <w:t>s : 47</w:t>
      </w:r>
      <w:r>
        <w:rPr>
          <w:lang w:val="fr-FR"/>
        </w:rPr>
        <w:t> </w:t>
      </w:r>
      <w:r w:rsidRPr="004573F6">
        <w:rPr>
          <w:lang w:val="fr-FR"/>
        </w:rPr>
        <w:t>procédures ont été engagées par des Parties d</w:t>
      </w:r>
      <w:r>
        <w:rPr>
          <w:lang w:val="fr-FR"/>
        </w:rPr>
        <w:t>’</w:t>
      </w:r>
      <w:r w:rsidRPr="004573F6">
        <w:rPr>
          <w:lang w:val="fr-FR"/>
        </w:rPr>
        <w:t>origine</w:t>
      </w:r>
      <w:r w:rsidRPr="00A90AAA">
        <w:rPr>
          <w:rStyle w:val="Appelnotedebasdep"/>
        </w:rPr>
        <w:footnoteReference w:id="5"/>
      </w:r>
      <w:r w:rsidRPr="004573F6">
        <w:rPr>
          <w:lang w:val="fr-FR"/>
        </w:rPr>
        <w:t xml:space="preserve"> tandis que des Parties touchées ont participé à 84</w:t>
      </w:r>
      <w:r>
        <w:rPr>
          <w:lang w:val="fr-FR"/>
        </w:rPr>
        <w:t> </w:t>
      </w:r>
      <w:r w:rsidRPr="004573F6">
        <w:rPr>
          <w:lang w:val="fr-FR"/>
        </w:rPr>
        <w:t>procédures. Les autres types d</w:t>
      </w:r>
      <w:r>
        <w:rPr>
          <w:lang w:val="fr-FR"/>
        </w:rPr>
        <w:t>’</w:t>
      </w:r>
      <w:r w:rsidRPr="004573F6">
        <w:rPr>
          <w:lang w:val="fr-FR"/>
        </w:rPr>
        <w:t xml:space="preserve">activités pour </w:t>
      </w:r>
      <w:r w:rsidRPr="005406E7">
        <w:rPr>
          <w:lang w:val="fr-FR"/>
        </w:rPr>
        <w:t>lesquels</w:t>
      </w:r>
      <w:r w:rsidRPr="004573F6">
        <w:rPr>
          <w:lang w:val="fr-FR"/>
        </w:rPr>
        <w:t xml:space="preserve"> un nombre relativement important de procédures a été signalé sont les suivants</w:t>
      </w:r>
      <w:r>
        <w:rPr>
          <w:lang w:val="fr-FR"/>
        </w:rPr>
        <w:t> </w:t>
      </w:r>
      <w:r w:rsidRPr="004573F6">
        <w:rPr>
          <w:lang w:val="fr-FR"/>
        </w:rPr>
        <w:t>: les grandes carrières et les exploitations minières (13 procédures signalées par des Parties d</w:t>
      </w:r>
      <w:r>
        <w:rPr>
          <w:lang w:val="fr-FR"/>
        </w:rPr>
        <w:t>’</w:t>
      </w:r>
      <w:r w:rsidRPr="004573F6">
        <w:rPr>
          <w:lang w:val="fr-FR"/>
        </w:rPr>
        <w:t>origine et 8 par des Parties touchées) ; certaines autoroutes et voies rapides (11 procédures signalées par des Parties d</w:t>
      </w:r>
      <w:r>
        <w:rPr>
          <w:lang w:val="fr-FR"/>
        </w:rPr>
        <w:t>’</w:t>
      </w:r>
      <w:r w:rsidRPr="004573F6">
        <w:rPr>
          <w:lang w:val="fr-FR"/>
        </w:rPr>
        <w:t>origine et 9 par des Parties touchées), et certaines installations destinées à l</w:t>
      </w:r>
      <w:r>
        <w:rPr>
          <w:lang w:val="fr-FR"/>
        </w:rPr>
        <w:t>’</w:t>
      </w:r>
      <w:r w:rsidRPr="004573F6">
        <w:rPr>
          <w:lang w:val="fr-FR"/>
        </w:rPr>
        <w:t>élevage intensif de volailles ou de porcs (11 procédures signalées par des Parties d</w:t>
      </w:r>
      <w:r>
        <w:rPr>
          <w:lang w:val="fr-FR"/>
        </w:rPr>
        <w:t>’</w:t>
      </w:r>
      <w:r w:rsidRPr="004573F6">
        <w:rPr>
          <w:lang w:val="fr-FR"/>
        </w:rPr>
        <w:t xml:space="preserve">origine et 12 par des Parties touchées). </w:t>
      </w:r>
    </w:p>
    <w:p w14:paraId="7ECF7DAF" w14:textId="056DAFF9" w:rsidR="00A90AAA" w:rsidRPr="004573F6" w:rsidRDefault="00A90AAA" w:rsidP="00A90AAA">
      <w:pPr>
        <w:pStyle w:val="SingleTxtG"/>
        <w:rPr>
          <w:lang w:val="fr-FR"/>
        </w:rPr>
      </w:pPr>
      <w:r w:rsidRPr="004573F6">
        <w:rPr>
          <w:lang w:val="fr-FR"/>
        </w:rPr>
        <w:t>49.</w:t>
      </w:r>
      <w:r w:rsidRPr="004573F6">
        <w:rPr>
          <w:lang w:val="fr-FR"/>
        </w:rPr>
        <w:tab/>
        <w:t xml:space="preserve">Il convient de noter que les parcs </w:t>
      </w:r>
      <w:r>
        <w:rPr>
          <w:lang w:val="fr-FR"/>
        </w:rPr>
        <w:t>d’</w:t>
      </w:r>
      <w:r w:rsidRPr="004573F6">
        <w:rPr>
          <w:lang w:val="fr-FR"/>
        </w:rPr>
        <w:t>éolien</w:t>
      </w:r>
      <w:r>
        <w:rPr>
          <w:lang w:val="fr-FR"/>
        </w:rPr>
        <w:t>ne</w:t>
      </w:r>
      <w:r w:rsidRPr="004573F6">
        <w:rPr>
          <w:lang w:val="fr-FR"/>
        </w:rPr>
        <w:t>s et certaines installations destinées à l</w:t>
      </w:r>
      <w:r>
        <w:rPr>
          <w:lang w:val="fr-FR"/>
        </w:rPr>
        <w:t>’</w:t>
      </w:r>
      <w:r w:rsidRPr="004573F6">
        <w:rPr>
          <w:lang w:val="fr-FR"/>
        </w:rPr>
        <w:t xml:space="preserve">élevage intensif de volailles ou de porcs ont été ajoutés </w:t>
      </w:r>
      <w:r>
        <w:rPr>
          <w:lang w:val="fr-FR"/>
        </w:rPr>
        <w:t>à la liste des</w:t>
      </w:r>
      <w:r w:rsidRPr="004573F6">
        <w:rPr>
          <w:lang w:val="fr-FR"/>
        </w:rPr>
        <w:t xml:space="preserve"> projets </w:t>
      </w:r>
      <w:r>
        <w:rPr>
          <w:lang w:val="fr-FR"/>
        </w:rPr>
        <w:t>visés</w:t>
      </w:r>
      <w:r w:rsidRPr="004573F6">
        <w:rPr>
          <w:lang w:val="fr-FR"/>
        </w:rPr>
        <w:t xml:space="preserve"> à l</w:t>
      </w:r>
      <w:r>
        <w:rPr>
          <w:lang w:val="fr-FR"/>
        </w:rPr>
        <w:t>’</w:t>
      </w:r>
      <w:r w:rsidRPr="004573F6">
        <w:rPr>
          <w:lang w:val="fr-FR"/>
        </w:rPr>
        <w:t>appendice</w:t>
      </w:r>
      <w:r w:rsidR="002C592A">
        <w:rPr>
          <w:lang w:val="fr-FR"/>
        </w:rPr>
        <w:t> </w:t>
      </w:r>
      <w:r w:rsidRPr="004573F6">
        <w:rPr>
          <w:lang w:val="fr-FR"/>
        </w:rPr>
        <w:t>I dans le cadre du deuxième amendement à la Convention (ECE/MP.EIA/6, annexe</w:t>
      </w:r>
      <w:r w:rsidR="002C592A">
        <w:rPr>
          <w:lang w:val="fr-FR"/>
        </w:rPr>
        <w:t> </w:t>
      </w:r>
      <w:r w:rsidRPr="004573F6">
        <w:rPr>
          <w:lang w:val="fr-FR"/>
        </w:rPr>
        <w:t>VII, décision</w:t>
      </w:r>
      <w:r>
        <w:rPr>
          <w:lang w:val="fr-FR"/>
        </w:rPr>
        <w:t> </w:t>
      </w:r>
      <w:r w:rsidRPr="004573F6">
        <w:rPr>
          <w:lang w:val="fr-FR"/>
        </w:rPr>
        <w:t>III/7). L</w:t>
      </w:r>
      <w:r>
        <w:rPr>
          <w:lang w:val="fr-FR"/>
        </w:rPr>
        <w:t>’</w:t>
      </w:r>
      <w:r w:rsidRPr="004573F6">
        <w:rPr>
          <w:lang w:val="fr-FR"/>
        </w:rPr>
        <w:t>adoption du deuxième amendement en 2017 s</w:t>
      </w:r>
      <w:r>
        <w:rPr>
          <w:lang w:val="fr-FR"/>
        </w:rPr>
        <w:t>’</w:t>
      </w:r>
      <w:r w:rsidRPr="004573F6">
        <w:rPr>
          <w:lang w:val="fr-FR"/>
        </w:rPr>
        <w:t>est donc apparemment traduite par une augmentation marquée du nombre de procédures transfrontières, d</w:t>
      </w:r>
      <w:r>
        <w:rPr>
          <w:lang w:val="fr-FR"/>
        </w:rPr>
        <w:t>’</w:t>
      </w:r>
      <w:r w:rsidRPr="004573F6">
        <w:rPr>
          <w:lang w:val="fr-FR"/>
        </w:rPr>
        <w:t>après les données fournies par les répondants. Il est également à noter, à ce propos, que toutes les Parties n</w:t>
      </w:r>
      <w:r>
        <w:rPr>
          <w:lang w:val="fr-FR"/>
        </w:rPr>
        <w:t>’</w:t>
      </w:r>
      <w:r w:rsidRPr="004573F6">
        <w:rPr>
          <w:lang w:val="fr-FR"/>
        </w:rPr>
        <w:t>ont pas ratifié et/ou transposé dans leur législation les amendements à la Convention (voir par.</w:t>
      </w:r>
      <w:r>
        <w:rPr>
          <w:lang w:val="fr-FR"/>
        </w:rPr>
        <w:t xml:space="preserve"> </w:t>
      </w:r>
      <w:r w:rsidRPr="004573F6">
        <w:rPr>
          <w:lang w:val="fr-FR"/>
        </w:rPr>
        <w:t>19 ci-dessus).</w:t>
      </w:r>
    </w:p>
    <w:p w14:paraId="79159C7B" w14:textId="77777777" w:rsidR="00A90AAA" w:rsidRPr="004573F6" w:rsidRDefault="00A90AAA" w:rsidP="00A90AAA">
      <w:pPr>
        <w:pStyle w:val="SingleTxtG"/>
        <w:rPr>
          <w:lang w:val="fr-FR"/>
        </w:rPr>
      </w:pPr>
      <w:r w:rsidRPr="00AC53DD">
        <w:rPr>
          <w:lang w:val="fr-FR"/>
        </w:rPr>
        <w:t>50.</w:t>
      </w:r>
      <w:r w:rsidRPr="00AC53DD">
        <w:rPr>
          <w:lang w:val="fr-FR"/>
        </w:rPr>
        <w:tab/>
        <w:t>Plusieurs Parties déclarent participer à des procédures transfrontières concernant des projets relatifs à des types d</w:t>
      </w:r>
      <w:r>
        <w:rPr>
          <w:lang w:val="fr-FR"/>
        </w:rPr>
        <w:t>’</w:t>
      </w:r>
      <w:r w:rsidRPr="00AC53DD">
        <w:rPr>
          <w:lang w:val="fr-FR"/>
        </w:rPr>
        <w:t>activité non répertoriés dans l</w:t>
      </w:r>
      <w:r>
        <w:rPr>
          <w:lang w:val="fr-FR"/>
        </w:rPr>
        <w:t>’</w:t>
      </w:r>
      <w:r w:rsidRPr="00AC53DD">
        <w:rPr>
          <w:lang w:val="fr-FR"/>
        </w:rPr>
        <w:t>appendice I. Il s</w:t>
      </w:r>
      <w:r>
        <w:rPr>
          <w:lang w:val="fr-FR"/>
        </w:rPr>
        <w:t>’</w:t>
      </w:r>
      <w:r w:rsidRPr="00AC53DD">
        <w:rPr>
          <w:lang w:val="fr-FR"/>
        </w:rPr>
        <w:t>agit notamment d</w:t>
      </w:r>
      <w:r>
        <w:rPr>
          <w:lang w:val="fr-FR"/>
        </w:rPr>
        <w:t>’</w:t>
      </w:r>
      <w:r w:rsidRPr="00AC53DD">
        <w:rPr>
          <w:lang w:val="fr-FR"/>
        </w:rPr>
        <w:t xml:space="preserve">une petite centrale </w:t>
      </w:r>
      <w:proofErr w:type="spellStart"/>
      <w:r w:rsidRPr="00AC53DD">
        <w:rPr>
          <w:lang w:val="fr-FR"/>
        </w:rPr>
        <w:t>hydroélectrique</w:t>
      </w:r>
      <w:proofErr w:type="spellEnd"/>
      <w:r w:rsidRPr="00AC53DD">
        <w:rPr>
          <w:lang w:val="fr-FR"/>
        </w:rPr>
        <w:t>, d</w:t>
      </w:r>
      <w:r>
        <w:rPr>
          <w:lang w:val="fr-FR"/>
        </w:rPr>
        <w:t>’</w:t>
      </w:r>
      <w:r w:rsidRPr="00AC53DD">
        <w:rPr>
          <w:lang w:val="fr-FR"/>
        </w:rPr>
        <w:t xml:space="preserve">aménagements résidentiels à usage mixte, de projets relatifs à la gestion des </w:t>
      </w:r>
      <w:r>
        <w:rPr>
          <w:lang w:val="fr-FR"/>
        </w:rPr>
        <w:t>crues</w:t>
      </w:r>
      <w:r w:rsidRPr="00AC53DD">
        <w:rPr>
          <w:lang w:val="fr-FR"/>
        </w:rPr>
        <w:t>, du développement d</w:t>
      </w:r>
      <w:r>
        <w:rPr>
          <w:lang w:val="fr-FR"/>
        </w:rPr>
        <w:t>’</w:t>
      </w:r>
      <w:r w:rsidRPr="00AC53DD">
        <w:rPr>
          <w:lang w:val="fr-FR"/>
        </w:rPr>
        <w:t>un aéroport et d</w:t>
      </w:r>
      <w:r>
        <w:rPr>
          <w:lang w:val="fr-FR"/>
        </w:rPr>
        <w:t>’</w:t>
      </w:r>
      <w:r w:rsidRPr="00AC53DD">
        <w:rPr>
          <w:lang w:val="fr-FR"/>
        </w:rPr>
        <w:t>une petite station d</w:t>
      </w:r>
      <w:r>
        <w:rPr>
          <w:lang w:val="fr-FR"/>
        </w:rPr>
        <w:t>’</w:t>
      </w:r>
      <w:r w:rsidRPr="00AC53DD">
        <w:rPr>
          <w:lang w:val="fr-FR"/>
        </w:rPr>
        <w:t>épuration des eaux usées.</w:t>
      </w:r>
    </w:p>
    <w:p w14:paraId="4D2108E7" w14:textId="77777777" w:rsidR="00A90AAA" w:rsidRPr="004573F6" w:rsidRDefault="00A90AAA" w:rsidP="00A90AAA">
      <w:pPr>
        <w:pStyle w:val="SingleTxtG"/>
        <w:rPr>
          <w:lang w:val="fr-FR"/>
        </w:rPr>
      </w:pPr>
      <w:r w:rsidRPr="004573F6">
        <w:rPr>
          <w:lang w:val="fr-FR"/>
        </w:rPr>
        <w:t>51.</w:t>
      </w:r>
      <w:r w:rsidRPr="004573F6">
        <w:rPr>
          <w:lang w:val="fr-FR"/>
        </w:rPr>
        <w:tab/>
        <w:t>Une présentation plus détaillée</w:t>
      </w:r>
      <w:r>
        <w:rPr>
          <w:lang w:val="fr-FR"/>
        </w:rPr>
        <w:t>,</w:t>
      </w:r>
      <w:r w:rsidRPr="004573F6">
        <w:rPr>
          <w:lang w:val="fr-FR"/>
        </w:rPr>
        <w:t xml:space="preserve"> </w:t>
      </w:r>
      <w:r>
        <w:rPr>
          <w:lang w:val="fr-FR"/>
        </w:rPr>
        <w:t xml:space="preserve">avec </w:t>
      </w:r>
      <w:r w:rsidRPr="004573F6">
        <w:rPr>
          <w:lang w:val="fr-FR"/>
        </w:rPr>
        <w:t>ventil</w:t>
      </w:r>
      <w:r>
        <w:rPr>
          <w:lang w:val="fr-FR"/>
        </w:rPr>
        <w:t>ation</w:t>
      </w:r>
      <w:r w:rsidRPr="004573F6">
        <w:rPr>
          <w:lang w:val="fr-FR"/>
        </w:rPr>
        <w:t xml:space="preserve"> selon les types de projets pour lesquels des procédures transfrontières ont été engagées</w:t>
      </w:r>
      <w:r>
        <w:rPr>
          <w:lang w:val="fr-FR"/>
        </w:rPr>
        <w:t>,</w:t>
      </w:r>
      <w:r w:rsidRPr="004573F6">
        <w:rPr>
          <w:lang w:val="fr-FR"/>
        </w:rPr>
        <w:t xml:space="preserve"> peut être consultée sur le site Web de la Convention</w:t>
      </w:r>
      <w:r w:rsidRPr="00A90AAA">
        <w:rPr>
          <w:rStyle w:val="Appelnotedebasdep"/>
        </w:rPr>
        <w:footnoteReference w:id="6"/>
      </w:r>
      <w:r w:rsidRPr="004573F6">
        <w:rPr>
          <w:lang w:val="fr-FR"/>
        </w:rPr>
        <w:t>. Il est important de noter qu</w:t>
      </w:r>
      <w:r>
        <w:rPr>
          <w:lang w:val="fr-FR"/>
        </w:rPr>
        <w:t>’</w:t>
      </w:r>
      <w:r w:rsidRPr="004573F6">
        <w:rPr>
          <w:lang w:val="fr-FR"/>
        </w:rPr>
        <w:t>il existe un haut degré d</w:t>
      </w:r>
      <w:r>
        <w:rPr>
          <w:lang w:val="fr-FR"/>
        </w:rPr>
        <w:t>’</w:t>
      </w:r>
      <w:r w:rsidRPr="004573F6">
        <w:rPr>
          <w:lang w:val="fr-FR"/>
        </w:rPr>
        <w:t>incertitude concernant l</w:t>
      </w:r>
      <w:r>
        <w:rPr>
          <w:lang w:val="fr-FR"/>
        </w:rPr>
        <w:t>’</w:t>
      </w:r>
      <w:r w:rsidRPr="004573F6">
        <w:rPr>
          <w:lang w:val="fr-FR"/>
        </w:rPr>
        <w:t xml:space="preserve">exactitude des données relatives </w:t>
      </w:r>
      <w:r>
        <w:rPr>
          <w:lang w:val="fr-FR"/>
        </w:rPr>
        <w:t>au nombre</w:t>
      </w:r>
      <w:r w:rsidRPr="004573F6">
        <w:rPr>
          <w:lang w:val="fr-FR"/>
        </w:rPr>
        <w:t xml:space="preserve"> de procédures transfrontières. Toutes les Parties ne tiennent pas de registres exhaustifs de leur participation à des procédures transfrontières et, dans de nombreux cas, il n</w:t>
      </w:r>
      <w:r>
        <w:rPr>
          <w:lang w:val="fr-FR"/>
        </w:rPr>
        <w:t>’</w:t>
      </w:r>
      <w:r w:rsidRPr="004573F6">
        <w:rPr>
          <w:lang w:val="fr-FR"/>
        </w:rPr>
        <w:t>est pas facile de déterminer si les répondants qui n</w:t>
      </w:r>
      <w:r>
        <w:rPr>
          <w:lang w:val="fr-FR"/>
        </w:rPr>
        <w:t>’</w:t>
      </w:r>
      <w:r w:rsidRPr="004573F6">
        <w:rPr>
          <w:lang w:val="fr-FR"/>
        </w:rPr>
        <w:t>ont fourni aucune donnée sur les procédures transfrontières n</w:t>
      </w:r>
      <w:r>
        <w:rPr>
          <w:lang w:val="fr-FR"/>
        </w:rPr>
        <w:t>’</w:t>
      </w:r>
      <w:r w:rsidRPr="004573F6">
        <w:rPr>
          <w:lang w:val="fr-FR"/>
        </w:rPr>
        <w:t>avaient effectivement aucun cas à signaler ou ont choisi de ne pas remplir cette partie du questionnaire. Une Partie (l</w:t>
      </w:r>
      <w:r>
        <w:rPr>
          <w:lang w:val="fr-FR"/>
        </w:rPr>
        <w:t>’</w:t>
      </w:r>
      <w:r w:rsidRPr="004573F6">
        <w:rPr>
          <w:lang w:val="fr-FR"/>
        </w:rPr>
        <w:t>Autriche) s</w:t>
      </w:r>
      <w:r>
        <w:rPr>
          <w:lang w:val="fr-FR"/>
        </w:rPr>
        <w:t>’</w:t>
      </w:r>
      <w:r w:rsidRPr="004573F6">
        <w:rPr>
          <w:lang w:val="fr-FR"/>
        </w:rPr>
        <w:t>oppose à ce que les listes de projets qu</w:t>
      </w:r>
      <w:r>
        <w:rPr>
          <w:lang w:val="fr-FR"/>
        </w:rPr>
        <w:t>’</w:t>
      </w:r>
      <w:r w:rsidRPr="004573F6">
        <w:rPr>
          <w:lang w:val="fr-FR"/>
        </w:rPr>
        <w:t>elle a collectées au titre de la question</w:t>
      </w:r>
      <w:r>
        <w:rPr>
          <w:lang w:val="fr-FR"/>
        </w:rPr>
        <w:t> </w:t>
      </w:r>
      <w:r w:rsidRPr="004573F6">
        <w:rPr>
          <w:lang w:val="fr-FR"/>
        </w:rPr>
        <w:t>II.2 soient mises en ligne, et indique, dans sa réponse à la question II.3, que la collecte de données non centralisée pourrait prêter à confusion. Ces données n</w:t>
      </w:r>
      <w:r>
        <w:rPr>
          <w:lang w:val="fr-FR"/>
        </w:rPr>
        <w:t>’</w:t>
      </w:r>
      <w:r w:rsidRPr="004573F6">
        <w:rPr>
          <w:lang w:val="fr-FR"/>
        </w:rPr>
        <w:t>ont donc pas été publiées en ligne.</w:t>
      </w:r>
    </w:p>
    <w:p w14:paraId="075F6741" w14:textId="77777777" w:rsidR="00A90AAA" w:rsidRPr="004573F6" w:rsidRDefault="00A90AAA" w:rsidP="00A90AAA">
      <w:pPr>
        <w:pStyle w:val="H23G"/>
        <w:rPr>
          <w:lang w:val="fr-FR"/>
        </w:rPr>
      </w:pPr>
      <w:r w:rsidRPr="004573F6">
        <w:rPr>
          <w:lang w:val="fr-FR"/>
        </w:rPr>
        <w:tab/>
        <w:t>2.</w:t>
      </w:r>
      <w:r w:rsidRPr="004573F6">
        <w:rPr>
          <w:lang w:val="fr-FR"/>
        </w:rPr>
        <w:tab/>
        <w:t>Questions et impacts abordés dans le cadre de l</w:t>
      </w:r>
      <w:r>
        <w:rPr>
          <w:lang w:val="fr-FR"/>
        </w:rPr>
        <w:t>’</w:t>
      </w:r>
      <w:r w:rsidRPr="004573F6">
        <w:rPr>
          <w:lang w:val="fr-FR"/>
        </w:rPr>
        <w:t>évaluation de l</w:t>
      </w:r>
      <w:r>
        <w:rPr>
          <w:lang w:val="fr-FR"/>
        </w:rPr>
        <w:t>’</w:t>
      </w:r>
      <w:r w:rsidRPr="004573F6">
        <w:rPr>
          <w:lang w:val="fr-FR"/>
        </w:rPr>
        <w:t>impact transfrontière sur l</w:t>
      </w:r>
      <w:r>
        <w:rPr>
          <w:lang w:val="fr-FR"/>
        </w:rPr>
        <w:t>’</w:t>
      </w:r>
      <w:r w:rsidRPr="004573F6">
        <w:rPr>
          <w:lang w:val="fr-FR"/>
        </w:rPr>
        <w:t xml:space="preserve">environnement </w:t>
      </w:r>
    </w:p>
    <w:p w14:paraId="7208DA37" w14:textId="77777777" w:rsidR="00A90AAA" w:rsidRPr="004573F6" w:rsidRDefault="00A90AAA" w:rsidP="00A90AAA">
      <w:pPr>
        <w:pStyle w:val="SingleTxtG"/>
        <w:rPr>
          <w:lang w:val="fr-FR"/>
        </w:rPr>
      </w:pPr>
      <w:r w:rsidRPr="004573F6">
        <w:rPr>
          <w:lang w:val="fr-FR"/>
        </w:rPr>
        <w:t>52.</w:t>
      </w:r>
      <w:r w:rsidRPr="004573F6">
        <w:rPr>
          <w:lang w:val="fr-FR"/>
        </w:rPr>
        <w:tab/>
        <w:t>Toutes les Parties qui ont répondu à la question</w:t>
      </w:r>
      <w:r>
        <w:rPr>
          <w:lang w:val="fr-FR"/>
        </w:rPr>
        <w:t> </w:t>
      </w:r>
      <w:r w:rsidRPr="004573F6">
        <w:rPr>
          <w:lang w:val="fr-FR"/>
        </w:rPr>
        <w:t>II.18</w:t>
      </w:r>
      <w:r>
        <w:rPr>
          <w:lang w:val="fr-FR"/>
        </w:rPr>
        <w:t>, sauf deux,</w:t>
      </w:r>
      <w:r w:rsidRPr="004573F6">
        <w:rPr>
          <w:lang w:val="fr-FR"/>
        </w:rPr>
        <w:t xml:space="preserve"> indiquent que différents types de solutions de remplacement sont envisagés de manière concrète dans le cadre des évaluations de l</w:t>
      </w:r>
      <w:r>
        <w:rPr>
          <w:lang w:val="fr-FR"/>
        </w:rPr>
        <w:t>’</w:t>
      </w:r>
      <w:r w:rsidRPr="004573F6">
        <w:rPr>
          <w:lang w:val="fr-FR"/>
        </w:rPr>
        <w:t>impact transfrontière sur l</w:t>
      </w:r>
      <w:r>
        <w:rPr>
          <w:lang w:val="fr-FR"/>
        </w:rPr>
        <w:t>’</w:t>
      </w:r>
      <w:r w:rsidRPr="004573F6">
        <w:rPr>
          <w:lang w:val="fr-FR"/>
        </w:rPr>
        <w:t>environnement. Dans certains cas, il est obligatoire de prendre en considération les solutions de remplacement, alors que dans d</w:t>
      </w:r>
      <w:r>
        <w:rPr>
          <w:lang w:val="fr-FR"/>
        </w:rPr>
        <w:t>’</w:t>
      </w:r>
      <w:r w:rsidRPr="004573F6">
        <w:rPr>
          <w:lang w:val="fr-FR"/>
        </w:rPr>
        <w:t>autres, cela n</w:t>
      </w:r>
      <w:r>
        <w:rPr>
          <w:lang w:val="fr-FR"/>
        </w:rPr>
        <w:t>’</w:t>
      </w:r>
      <w:r w:rsidRPr="004573F6">
        <w:rPr>
          <w:lang w:val="fr-FR"/>
        </w:rPr>
        <w:t>est obligatoire que si elles ont été prises en considération par l</w:t>
      </w:r>
      <w:r>
        <w:rPr>
          <w:lang w:val="fr-FR"/>
        </w:rPr>
        <w:t>’</w:t>
      </w:r>
      <w:r w:rsidRPr="004573F6">
        <w:rPr>
          <w:lang w:val="fr-FR"/>
        </w:rPr>
        <w:t>initiateur du projet. Les deux répondants qui déclarent que des solutions de remplacement n</w:t>
      </w:r>
      <w:r>
        <w:rPr>
          <w:lang w:val="fr-FR"/>
        </w:rPr>
        <w:t>’</w:t>
      </w:r>
      <w:r w:rsidRPr="004573F6">
        <w:rPr>
          <w:lang w:val="fr-FR"/>
        </w:rPr>
        <w:t>ont pas été envisagées précisent que cela est dû au fait qu</w:t>
      </w:r>
      <w:r>
        <w:rPr>
          <w:lang w:val="fr-FR"/>
        </w:rPr>
        <w:t>’</w:t>
      </w:r>
      <w:r w:rsidRPr="004573F6">
        <w:rPr>
          <w:lang w:val="fr-FR"/>
        </w:rPr>
        <w:t>aucune procédure transfrontière n</w:t>
      </w:r>
      <w:r>
        <w:rPr>
          <w:lang w:val="fr-FR"/>
        </w:rPr>
        <w:t>’</w:t>
      </w:r>
      <w:r w:rsidRPr="004573F6">
        <w:rPr>
          <w:lang w:val="fr-FR"/>
        </w:rPr>
        <w:t>a été engagée pendant la période couverte par l</w:t>
      </w:r>
      <w:r>
        <w:rPr>
          <w:lang w:val="fr-FR"/>
        </w:rPr>
        <w:t>’</w:t>
      </w:r>
      <w:r w:rsidRPr="004573F6">
        <w:rPr>
          <w:lang w:val="fr-FR"/>
        </w:rPr>
        <w:t>enquête.</w:t>
      </w:r>
    </w:p>
    <w:p w14:paraId="58A85342" w14:textId="77777777" w:rsidR="00A90AAA" w:rsidRPr="004573F6" w:rsidRDefault="00A90AAA" w:rsidP="00A90AAA">
      <w:pPr>
        <w:pStyle w:val="SingleTxtG"/>
        <w:rPr>
          <w:lang w:val="fr-FR"/>
        </w:rPr>
      </w:pPr>
      <w:r w:rsidRPr="004573F6">
        <w:rPr>
          <w:lang w:val="fr-FR"/>
        </w:rPr>
        <w:t>53.</w:t>
      </w:r>
      <w:r w:rsidRPr="004573F6">
        <w:rPr>
          <w:lang w:val="fr-FR"/>
        </w:rPr>
        <w:tab/>
        <w:t>Les types de solution</w:t>
      </w:r>
      <w:r>
        <w:rPr>
          <w:lang w:val="fr-FR"/>
        </w:rPr>
        <w:t>s</w:t>
      </w:r>
      <w:r w:rsidRPr="004573F6">
        <w:rPr>
          <w:lang w:val="fr-FR"/>
        </w:rPr>
        <w:t xml:space="preserve"> de remplacement envisagés varient selon les répondants. La législation suédoise contient une description instructive des solutions de remplacement pertinentes</w:t>
      </w:r>
      <w:r>
        <w:rPr>
          <w:lang w:val="fr-FR"/>
        </w:rPr>
        <w:t> </w:t>
      </w:r>
      <w:r w:rsidRPr="004573F6">
        <w:rPr>
          <w:lang w:val="fr-FR"/>
        </w:rPr>
        <w:t xml:space="preserve">: </w:t>
      </w:r>
      <w:r>
        <w:rPr>
          <w:lang w:val="fr-FR"/>
        </w:rPr>
        <w:t>variantes</w:t>
      </w:r>
      <w:r w:rsidRPr="004573F6">
        <w:rPr>
          <w:lang w:val="fr-FR"/>
        </w:rPr>
        <w:t xml:space="preserve"> de conception</w:t>
      </w:r>
      <w:r>
        <w:rPr>
          <w:lang w:val="fr-FR"/>
        </w:rPr>
        <w:t> </w:t>
      </w:r>
      <w:r w:rsidRPr="004573F6">
        <w:rPr>
          <w:lang w:val="fr-FR"/>
        </w:rPr>
        <w:t>; autres lieux d</w:t>
      </w:r>
      <w:r>
        <w:rPr>
          <w:lang w:val="fr-FR"/>
        </w:rPr>
        <w:t>’</w:t>
      </w:r>
      <w:r w:rsidRPr="004573F6">
        <w:rPr>
          <w:lang w:val="fr-FR"/>
        </w:rPr>
        <w:t>implantation</w:t>
      </w:r>
      <w:r>
        <w:rPr>
          <w:lang w:val="fr-FR"/>
        </w:rPr>
        <w:t> </w:t>
      </w:r>
      <w:r w:rsidRPr="004573F6">
        <w:rPr>
          <w:lang w:val="fr-FR"/>
        </w:rPr>
        <w:t xml:space="preserve">; autres technologies, </w:t>
      </w:r>
      <w:r w:rsidRPr="004573F6">
        <w:rPr>
          <w:lang w:val="fr-FR"/>
        </w:rPr>
        <w:lastRenderedPageBreak/>
        <w:t>tailles de projet, champ</w:t>
      </w:r>
      <w:r>
        <w:rPr>
          <w:lang w:val="fr-FR"/>
        </w:rPr>
        <w:t>s</w:t>
      </w:r>
      <w:r w:rsidRPr="004573F6">
        <w:rPr>
          <w:lang w:val="fr-FR"/>
        </w:rPr>
        <w:t xml:space="preserve"> d</w:t>
      </w:r>
      <w:r>
        <w:rPr>
          <w:lang w:val="fr-FR"/>
        </w:rPr>
        <w:t>’</w:t>
      </w:r>
      <w:r w:rsidRPr="004573F6">
        <w:rPr>
          <w:lang w:val="fr-FR"/>
        </w:rPr>
        <w:t>application, garanties, restrictions, mesures de protection</w:t>
      </w:r>
      <w:r>
        <w:rPr>
          <w:lang w:val="fr-FR"/>
        </w:rPr>
        <w:t>, etc.</w:t>
      </w:r>
      <w:r w:rsidRPr="004573F6">
        <w:rPr>
          <w:lang w:val="fr-FR"/>
        </w:rPr>
        <w:t> ; autres moyens d</w:t>
      </w:r>
      <w:r>
        <w:rPr>
          <w:lang w:val="fr-FR"/>
        </w:rPr>
        <w:t>’</w:t>
      </w:r>
      <w:r w:rsidRPr="004573F6">
        <w:rPr>
          <w:lang w:val="fr-FR"/>
        </w:rPr>
        <w:t>atteindre le même objectif. En</w:t>
      </w:r>
      <w:r>
        <w:rPr>
          <w:lang w:val="fr-FR"/>
        </w:rPr>
        <w:t> </w:t>
      </w:r>
      <w:r w:rsidRPr="004573F6">
        <w:rPr>
          <w:lang w:val="fr-FR"/>
        </w:rPr>
        <w:t>Slovaquie, il est obligatoire de présenter au moins deux solutions de remplacement, en plus de l</w:t>
      </w:r>
      <w:r>
        <w:rPr>
          <w:lang w:val="fr-FR"/>
        </w:rPr>
        <w:t>’</w:t>
      </w:r>
      <w:r w:rsidRPr="004573F6">
        <w:rPr>
          <w:lang w:val="fr-FR"/>
        </w:rPr>
        <w:t>option « zéro » consistant à n</w:t>
      </w:r>
      <w:r>
        <w:rPr>
          <w:lang w:val="fr-FR"/>
        </w:rPr>
        <w:t>’</w:t>
      </w:r>
      <w:r w:rsidRPr="004573F6">
        <w:rPr>
          <w:lang w:val="fr-FR"/>
        </w:rPr>
        <w:t>entreprendre aucune action.</w:t>
      </w:r>
    </w:p>
    <w:p w14:paraId="4C8EFEBE" w14:textId="77777777" w:rsidR="00A90AAA" w:rsidRPr="004573F6" w:rsidRDefault="00A90AAA" w:rsidP="00A90AAA">
      <w:pPr>
        <w:pStyle w:val="SingleTxtG"/>
        <w:rPr>
          <w:lang w:val="fr-FR"/>
        </w:rPr>
      </w:pPr>
      <w:r w:rsidRPr="004573F6">
        <w:rPr>
          <w:lang w:val="fr-FR"/>
        </w:rPr>
        <w:t>54.</w:t>
      </w:r>
      <w:r w:rsidRPr="004573F6">
        <w:rPr>
          <w:lang w:val="fr-FR"/>
        </w:rPr>
        <w:tab/>
        <w:t>Tous les répondants à la question II.19 qui font état d</w:t>
      </w:r>
      <w:r>
        <w:rPr>
          <w:lang w:val="fr-FR"/>
        </w:rPr>
        <w:t>’</w:t>
      </w:r>
      <w:r w:rsidRPr="004573F6">
        <w:rPr>
          <w:lang w:val="fr-FR"/>
        </w:rPr>
        <w:t>une expérience concrète au cours de la période couverte par l</w:t>
      </w:r>
      <w:r>
        <w:rPr>
          <w:lang w:val="fr-FR"/>
        </w:rPr>
        <w:t>’</w:t>
      </w:r>
      <w:r w:rsidRPr="004573F6">
        <w:rPr>
          <w:lang w:val="fr-FR"/>
        </w:rPr>
        <w:t>enquête indiquent que les impacts sur la diversité biologique et les changements climatiques sont toujours pris en considération. De nombreux répondants notent que des questions telles que l</w:t>
      </w:r>
      <w:r>
        <w:rPr>
          <w:lang w:val="fr-FR"/>
        </w:rPr>
        <w:t>’</w:t>
      </w:r>
      <w:r w:rsidRPr="004573F6">
        <w:rPr>
          <w:lang w:val="fr-FR"/>
        </w:rPr>
        <w:t>économie circulaire, les villes intelligentes et durables et les énergies renouvelables sont examinées de manière partielle</w:t>
      </w:r>
      <w:r>
        <w:rPr>
          <w:lang w:val="fr-FR"/>
        </w:rPr>
        <w:t xml:space="preserve"> ou</w:t>
      </w:r>
      <w:r w:rsidRPr="004573F6">
        <w:rPr>
          <w:lang w:val="fr-FR"/>
        </w:rPr>
        <w:t xml:space="preserve"> indirecte (par exemple, dans le cadre des mesures d</w:t>
      </w:r>
      <w:r>
        <w:rPr>
          <w:lang w:val="fr-FR"/>
        </w:rPr>
        <w:t>’</w:t>
      </w:r>
      <w:r w:rsidRPr="004573F6">
        <w:rPr>
          <w:lang w:val="fr-FR"/>
        </w:rPr>
        <w:t>atténuation), ou seulement lorsque cela est pertinent.</w:t>
      </w:r>
    </w:p>
    <w:p w14:paraId="24CF8ADA" w14:textId="77777777" w:rsidR="00A90AAA" w:rsidRPr="004573F6" w:rsidRDefault="00A90AAA" w:rsidP="00A90AAA">
      <w:pPr>
        <w:pStyle w:val="SingleTxtG"/>
        <w:rPr>
          <w:lang w:val="fr-FR"/>
        </w:rPr>
      </w:pPr>
      <w:r w:rsidRPr="004573F6">
        <w:rPr>
          <w:lang w:val="fr-FR"/>
        </w:rPr>
        <w:t>55.</w:t>
      </w:r>
      <w:r w:rsidRPr="004573F6">
        <w:rPr>
          <w:lang w:val="fr-FR"/>
        </w:rPr>
        <w:tab/>
        <w:t>Deux Parties indiquent expressément que les impacts cumulatifs ne sont pas pris en considération dans la pratique de leur pays (question II.20). La République de Moldova indique que cette omission fait l</w:t>
      </w:r>
      <w:r>
        <w:rPr>
          <w:lang w:val="fr-FR"/>
        </w:rPr>
        <w:t>’</w:t>
      </w:r>
      <w:r w:rsidRPr="004573F6">
        <w:rPr>
          <w:lang w:val="fr-FR"/>
        </w:rPr>
        <w:t>objet d</w:t>
      </w:r>
      <w:r>
        <w:rPr>
          <w:lang w:val="fr-FR"/>
        </w:rPr>
        <w:t>’</w:t>
      </w:r>
      <w:r w:rsidRPr="004573F6">
        <w:rPr>
          <w:lang w:val="fr-FR"/>
        </w:rPr>
        <w:t>un projet de texte législatif, tandis que le Bélarus ne fournit aucune explication à ce sujet.</w:t>
      </w:r>
    </w:p>
    <w:p w14:paraId="490EA024" w14:textId="77777777" w:rsidR="00A90AAA" w:rsidRPr="004573F6" w:rsidRDefault="00A90AAA" w:rsidP="00A90AAA">
      <w:pPr>
        <w:pStyle w:val="SingleTxtG"/>
        <w:rPr>
          <w:lang w:val="fr-FR"/>
        </w:rPr>
      </w:pPr>
      <w:r w:rsidRPr="004573F6">
        <w:rPr>
          <w:lang w:val="fr-FR"/>
        </w:rPr>
        <w:t>56.</w:t>
      </w:r>
      <w:r w:rsidRPr="004573F6">
        <w:rPr>
          <w:lang w:val="fr-FR"/>
        </w:rPr>
        <w:tab/>
        <w:t>En réponse à la question II.21, deux Parties (République de Moldova et Suisse, n=36) déclarent que les questions de santé n</w:t>
      </w:r>
      <w:r>
        <w:rPr>
          <w:lang w:val="fr-FR"/>
        </w:rPr>
        <w:t>’</w:t>
      </w:r>
      <w:r w:rsidRPr="004573F6">
        <w:rPr>
          <w:lang w:val="fr-FR"/>
        </w:rPr>
        <w:t>ont pas été prises en considération dans la pratique. Dans le cas de la République de Moldova, il n</w:t>
      </w:r>
      <w:r>
        <w:rPr>
          <w:lang w:val="fr-FR"/>
        </w:rPr>
        <w:t>’</w:t>
      </w:r>
      <w:r w:rsidRPr="004573F6">
        <w:rPr>
          <w:lang w:val="fr-FR"/>
        </w:rPr>
        <w:t>y a pas eu d</w:t>
      </w:r>
      <w:r>
        <w:rPr>
          <w:lang w:val="fr-FR"/>
        </w:rPr>
        <w:t>’</w:t>
      </w:r>
      <w:r w:rsidRPr="004573F6">
        <w:rPr>
          <w:lang w:val="fr-FR"/>
        </w:rPr>
        <w:t>expérience concrète de ce type pendant la période couverte par l</w:t>
      </w:r>
      <w:r>
        <w:rPr>
          <w:lang w:val="fr-FR"/>
        </w:rPr>
        <w:t>’</w:t>
      </w:r>
      <w:r w:rsidRPr="004573F6">
        <w:rPr>
          <w:lang w:val="fr-FR"/>
        </w:rPr>
        <w:t>enquête. La Suisse indique que les questions de santé sont examinées séparément, mais que les évaluations de l</w:t>
      </w:r>
      <w:r>
        <w:rPr>
          <w:lang w:val="fr-FR"/>
        </w:rPr>
        <w:t>’</w:t>
      </w:r>
      <w:r w:rsidRPr="004573F6">
        <w:rPr>
          <w:lang w:val="fr-FR"/>
        </w:rPr>
        <w:t>impact sur l</w:t>
      </w:r>
      <w:r>
        <w:rPr>
          <w:lang w:val="fr-FR"/>
        </w:rPr>
        <w:t>’</w:t>
      </w:r>
      <w:r w:rsidRPr="004573F6">
        <w:rPr>
          <w:lang w:val="fr-FR"/>
        </w:rPr>
        <w:t>environnement mettent l</w:t>
      </w:r>
      <w:r>
        <w:rPr>
          <w:lang w:val="fr-FR"/>
        </w:rPr>
        <w:t>’</w:t>
      </w:r>
      <w:r w:rsidRPr="004573F6">
        <w:rPr>
          <w:lang w:val="fr-FR"/>
        </w:rPr>
        <w:t>accent sur le bien-être et des effets tels que le bruit, ce qui signifie que de nombreux aspects de la santé sont, en fait, pris en considération. Tous les autres répondants (34) déclarent qu</w:t>
      </w:r>
      <w:r>
        <w:rPr>
          <w:lang w:val="fr-FR"/>
        </w:rPr>
        <w:t>’</w:t>
      </w:r>
      <w:r w:rsidRPr="004573F6">
        <w:rPr>
          <w:lang w:val="fr-FR"/>
        </w:rPr>
        <w:t>ils tiennent compte des questions de santé.</w:t>
      </w:r>
    </w:p>
    <w:p w14:paraId="512261D7" w14:textId="77777777" w:rsidR="00A90AAA" w:rsidRPr="004573F6" w:rsidRDefault="00A90AAA" w:rsidP="00A90AAA">
      <w:pPr>
        <w:pStyle w:val="H23G"/>
        <w:rPr>
          <w:lang w:val="fr-FR"/>
        </w:rPr>
      </w:pPr>
      <w:r w:rsidRPr="004573F6">
        <w:rPr>
          <w:lang w:val="fr-FR"/>
        </w:rPr>
        <w:tab/>
        <w:t>3.</w:t>
      </w:r>
      <w:r w:rsidRPr="004573F6">
        <w:rPr>
          <w:lang w:val="fr-FR"/>
        </w:rPr>
        <w:tab/>
        <w:t>Pratiques en matière de traduction et d</w:t>
      </w:r>
      <w:r>
        <w:rPr>
          <w:lang w:val="fr-FR"/>
        </w:rPr>
        <w:t>’</w:t>
      </w:r>
      <w:r w:rsidRPr="004573F6">
        <w:rPr>
          <w:lang w:val="fr-FR"/>
        </w:rPr>
        <w:t>interprétation</w:t>
      </w:r>
    </w:p>
    <w:p w14:paraId="2F104A00" w14:textId="77777777" w:rsidR="00A90AAA" w:rsidRPr="004573F6" w:rsidRDefault="00A90AAA" w:rsidP="00A90AAA">
      <w:pPr>
        <w:pStyle w:val="SingleTxtG"/>
        <w:rPr>
          <w:lang w:val="fr-FR"/>
        </w:rPr>
      </w:pPr>
      <w:r w:rsidRPr="004573F6">
        <w:rPr>
          <w:lang w:val="fr-FR"/>
        </w:rPr>
        <w:t>57.</w:t>
      </w:r>
      <w:r w:rsidRPr="004573F6">
        <w:rPr>
          <w:lang w:val="fr-FR"/>
        </w:rPr>
        <w:tab/>
        <w:t>Les questions II.5 à II.11 portent sur divers aspects des pratiques en matière de traduction et d</w:t>
      </w:r>
      <w:r>
        <w:rPr>
          <w:lang w:val="fr-FR"/>
        </w:rPr>
        <w:t>’</w:t>
      </w:r>
      <w:r w:rsidRPr="004573F6">
        <w:rPr>
          <w:lang w:val="fr-FR"/>
        </w:rPr>
        <w:t>interprétation dans le cadre de la Convention. La première de ces questions vise à savoir dans quelle(s) langue(s) le dossier d</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 est mis à la disposition du public par les Parties touchées. Le dossier est généralement fourni dans la ou les langues nationales, bien que l</w:t>
      </w:r>
      <w:r>
        <w:rPr>
          <w:lang w:val="fr-FR"/>
        </w:rPr>
        <w:t>’</w:t>
      </w:r>
      <w:r w:rsidRPr="004573F6">
        <w:rPr>
          <w:lang w:val="fr-FR"/>
        </w:rPr>
        <w:t>anglais soit accepté dans de nombreux cas (15,</w:t>
      </w:r>
      <w:r>
        <w:rPr>
          <w:lang w:val="fr-FR"/>
        </w:rPr>
        <w:t> </w:t>
      </w:r>
      <w:r w:rsidRPr="004573F6">
        <w:rPr>
          <w:lang w:val="fr-FR"/>
        </w:rPr>
        <w:t>n=32). Certaines Parties considèrent que d</w:t>
      </w:r>
      <w:r>
        <w:rPr>
          <w:lang w:val="fr-FR"/>
        </w:rPr>
        <w:t>’</w:t>
      </w:r>
      <w:r w:rsidRPr="004573F6">
        <w:rPr>
          <w:lang w:val="fr-FR"/>
        </w:rPr>
        <w:t xml:space="preserve">autres langues satisfont à la prescription relative à la participation effective du public de la Partie touchée, notamment le russe pour la République de Moldova et le suédois et le danois pour la Norvège. </w:t>
      </w:r>
    </w:p>
    <w:p w14:paraId="1EF3B420" w14:textId="77777777" w:rsidR="00A90AAA" w:rsidRPr="004573F6" w:rsidRDefault="00A90AAA" w:rsidP="00A90AAA">
      <w:pPr>
        <w:pStyle w:val="SingleTxtG"/>
        <w:rPr>
          <w:lang w:val="fr-FR"/>
        </w:rPr>
      </w:pPr>
      <w:r w:rsidRPr="004573F6">
        <w:rPr>
          <w:lang w:val="fr-FR"/>
        </w:rPr>
        <w:t>58.</w:t>
      </w:r>
      <w:r w:rsidRPr="004573F6">
        <w:rPr>
          <w:lang w:val="fr-FR"/>
        </w:rPr>
        <w:tab/>
        <w:t>Les répondants attendent généralement de la Partie d</w:t>
      </w:r>
      <w:r>
        <w:rPr>
          <w:lang w:val="fr-FR"/>
        </w:rPr>
        <w:t>’</w:t>
      </w:r>
      <w:r w:rsidRPr="004573F6">
        <w:rPr>
          <w:lang w:val="fr-FR"/>
        </w:rPr>
        <w:t>origine qu</w:t>
      </w:r>
      <w:r>
        <w:rPr>
          <w:lang w:val="fr-FR"/>
        </w:rPr>
        <w:t>’</w:t>
      </w:r>
      <w:r w:rsidRPr="004573F6">
        <w:rPr>
          <w:lang w:val="fr-FR"/>
        </w:rPr>
        <w:t>elle veille, le cas échéant, à ce que la traduction soit effectuée avant que le dossier ne soit envoyé à la Partie touchée (question II.7)</w:t>
      </w:r>
      <w:r>
        <w:rPr>
          <w:lang w:val="fr-FR"/>
        </w:rPr>
        <w:t>,</w:t>
      </w:r>
      <w:r w:rsidRPr="004573F6">
        <w:rPr>
          <w:lang w:val="fr-FR"/>
        </w:rPr>
        <w:t xml:space="preserve"> et c</w:t>
      </w:r>
      <w:r>
        <w:rPr>
          <w:lang w:val="fr-FR"/>
        </w:rPr>
        <w:t>’</w:t>
      </w:r>
      <w:r w:rsidRPr="004573F6">
        <w:rPr>
          <w:lang w:val="fr-FR"/>
        </w:rPr>
        <w:t>est normalement l</w:t>
      </w:r>
      <w:r>
        <w:rPr>
          <w:lang w:val="fr-FR"/>
        </w:rPr>
        <w:t>’</w:t>
      </w:r>
      <w:r w:rsidRPr="004573F6">
        <w:rPr>
          <w:lang w:val="fr-FR"/>
        </w:rPr>
        <w:t>initiateur du projet qui organise la traduction et prend en charge les frais s</w:t>
      </w:r>
      <w:r>
        <w:rPr>
          <w:lang w:val="fr-FR"/>
        </w:rPr>
        <w:t>’</w:t>
      </w:r>
      <w:r w:rsidRPr="004573F6">
        <w:rPr>
          <w:lang w:val="fr-FR"/>
        </w:rPr>
        <w:t>y rapportant. Il existe quelques exceptions</w:t>
      </w:r>
      <w:r>
        <w:rPr>
          <w:lang w:val="fr-FR"/>
        </w:rPr>
        <w:t> </w:t>
      </w:r>
      <w:r w:rsidRPr="004573F6">
        <w:rPr>
          <w:lang w:val="fr-FR"/>
        </w:rPr>
        <w:t xml:space="preserve">: par exemple, en Autriche, un ministère fédéral peut organiser la traduction du dossier dans certains cas (non précisés). Certaines exceptions ont également été faites par des Parties touchées. La Finlande, par exemple, a organisé et financé la traduction </w:t>
      </w:r>
      <w:r>
        <w:rPr>
          <w:lang w:val="fr-FR"/>
        </w:rPr>
        <w:t>de documents</w:t>
      </w:r>
      <w:r w:rsidRPr="004573F6">
        <w:rPr>
          <w:lang w:val="fr-FR"/>
        </w:rPr>
        <w:t xml:space="preserve"> du norvégien (lorsque la Norvège était la Partie d</w:t>
      </w:r>
      <w:r>
        <w:rPr>
          <w:lang w:val="fr-FR"/>
        </w:rPr>
        <w:t>’</w:t>
      </w:r>
      <w:r w:rsidRPr="004573F6">
        <w:rPr>
          <w:lang w:val="fr-FR"/>
        </w:rPr>
        <w:t xml:space="preserve">origine) vers les langues </w:t>
      </w:r>
      <w:proofErr w:type="spellStart"/>
      <w:r w:rsidRPr="004573F6">
        <w:rPr>
          <w:lang w:val="fr-FR"/>
        </w:rPr>
        <w:t>sâmes</w:t>
      </w:r>
      <w:proofErr w:type="spellEnd"/>
      <w:r w:rsidRPr="004573F6">
        <w:rPr>
          <w:lang w:val="fr-FR"/>
        </w:rPr>
        <w:t>. En tant que Partie touchée, la Roumanie accepte les dossiers en anglais, mais peut prendre en charge les frais de leur traduction en roumain pour favoriser la participation au niveau national. La Pologne a constaté qu</w:t>
      </w:r>
      <w:r>
        <w:rPr>
          <w:lang w:val="fr-FR"/>
        </w:rPr>
        <w:t>’</w:t>
      </w:r>
      <w:r w:rsidRPr="004573F6">
        <w:rPr>
          <w:lang w:val="fr-FR"/>
        </w:rPr>
        <w:t>au fil du temps, la quantité de dossiers traduits qu</w:t>
      </w:r>
      <w:r>
        <w:rPr>
          <w:lang w:val="fr-FR"/>
        </w:rPr>
        <w:t>’</w:t>
      </w:r>
      <w:r w:rsidRPr="004573F6">
        <w:rPr>
          <w:lang w:val="fr-FR"/>
        </w:rPr>
        <w:t>elle reçoit en tant que Partie touchée a fortement augmenté. Elle estime que cela est peut-être dû au fait que les Parties à la Convention sont de plus en plus conscientes des avantages liés aux bonnes pratiques en matière de consultation et de participation.</w:t>
      </w:r>
    </w:p>
    <w:p w14:paraId="0651E61A" w14:textId="3CC472F0" w:rsidR="00A90AAA" w:rsidRPr="004573F6" w:rsidRDefault="00A90AAA" w:rsidP="00A90AAA">
      <w:pPr>
        <w:pStyle w:val="SingleTxtG"/>
        <w:rPr>
          <w:lang w:val="fr-FR"/>
        </w:rPr>
      </w:pPr>
      <w:r w:rsidRPr="004573F6">
        <w:rPr>
          <w:lang w:val="fr-FR"/>
        </w:rPr>
        <w:t>59.</w:t>
      </w:r>
      <w:r w:rsidRPr="004573F6">
        <w:rPr>
          <w:lang w:val="fr-FR"/>
        </w:rPr>
        <w:tab/>
        <w:t>Les informations indiquant sous quelle forme et dans quelles langues le dossier est traduit par la Partie d</w:t>
      </w:r>
      <w:r>
        <w:rPr>
          <w:lang w:val="fr-FR"/>
        </w:rPr>
        <w:t>’</w:t>
      </w:r>
      <w:r w:rsidRPr="004573F6">
        <w:rPr>
          <w:lang w:val="fr-FR"/>
        </w:rPr>
        <w:t>origine (question II.10) sont résumées à la figure</w:t>
      </w:r>
      <w:r>
        <w:rPr>
          <w:lang w:val="fr-FR"/>
        </w:rPr>
        <w:t> </w:t>
      </w:r>
      <w:r w:rsidRPr="004573F6">
        <w:rPr>
          <w:lang w:val="fr-FR"/>
        </w:rPr>
        <w:t>3. Vingt-huit répondants (n=33) déclarent que le dossier d</w:t>
      </w:r>
      <w:r>
        <w:rPr>
          <w:lang w:val="fr-FR"/>
        </w:rPr>
        <w:t>’</w:t>
      </w:r>
      <w:r w:rsidRPr="004573F6">
        <w:rPr>
          <w:lang w:val="fr-FR"/>
        </w:rPr>
        <w:t>évaluation de l</w:t>
      </w:r>
      <w:r>
        <w:rPr>
          <w:lang w:val="fr-FR"/>
        </w:rPr>
        <w:t>’</w:t>
      </w:r>
      <w:r w:rsidRPr="004573F6">
        <w:rPr>
          <w:lang w:val="fr-FR"/>
        </w:rPr>
        <w:t>impact sur l</w:t>
      </w:r>
      <w:r>
        <w:rPr>
          <w:lang w:val="fr-FR"/>
        </w:rPr>
        <w:t>’</w:t>
      </w:r>
      <w:r w:rsidRPr="004573F6">
        <w:rPr>
          <w:lang w:val="fr-FR"/>
        </w:rPr>
        <w:t>environnement est intégralement traduit en anglais ou dans la langue nationale appropriée. Dans d</w:t>
      </w:r>
      <w:r>
        <w:rPr>
          <w:lang w:val="fr-FR"/>
        </w:rPr>
        <w:t>’</w:t>
      </w:r>
      <w:r w:rsidRPr="004573F6">
        <w:rPr>
          <w:lang w:val="fr-FR"/>
        </w:rPr>
        <w:t>autres cas, la section sur les impacts transfrontières et le résumé non technique sont habituellement traduits (question</w:t>
      </w:r>
      <w:r>
        <w:rPr>
          <w:lang w:val="fr-FR"/>
        </w:rPr>
        <w:t> </w:t>
      </w:r>
      <w:r w:rsidRPr="004573F6">
        <w:rPr>
          <w:lang w:val="fr-FR"/>
        </w:rPr>
        <w:t xml:space="preserve">II.8). </w:t>
      </w:r>
    </w:p>
    <w:p w14:paraId="0EF528F3" w14:textId="77777777" w:rsidR="00A90AAA" w:rsidRPr="004573F6" w:rsidRDefault="00A90AAA" w:rsidP="00A90AAA">
      <w:pPr>
        <w:pStyle w:val="SingleTxtG"/>
        <w:rPr>
          <w:lang w:val="fr-FR"/>
        </w:rPr>
      </w:pPr>
      <w:r w:rsidRPr="004573F6">
        <w:rPr>
          <w:lang w:val="fr-FR"/>
        </w:rPr>
        <w:t>60.</w:t>
      </w:r>
      <w:r w:rsidRPr="004573F6">
        <w:rPr>
          <w:lang w:val="fr-FR"/>
        </w:rPr>
        <w:tab/>
        <w:t>La Suède détermine au cas par cas les sections à traduire, tandis qu</w:t>
      </w:r>
      <w:r>
        <w:rPr>
          <w:lang w:val="fr-FR"/>
        </w:rPr>
        <w:t>’</w:t>
      </w:r>
      <w:r w:rsidRPr="004573F6">
        <w:rPr>
          <w:lang w:val="fr-FR"/>
        </w:rPr>
        <w:t xml:space="preserve">en Norvège, les sections à traduire sont choisies en consultation avec la ou les Parties touchées. Certains répondants indiquent que le dossier est traduit dans une combinaison de langues. Par exemple, la Lituanie déclare que le résumé est traduit dans la ou les langues nationales de la Partie touchée </w:t>
      </w:r>
      <w:r>
        <w:rPr>
          <w:lang w:val="fr-FR"/>
        </w:rPr>
        <w:t xml:space="preserve">à la demande de celle-ci </w:t>
      </w:r>
      <w:r w:rsidRPr="004573F6">
        <w:rPr>
          <w:lang w:val="fr-FR"/>
        </w:rPr>
        <w:t>et que le dossier dans son intégralité est traduit en anglais.</w:t>
      </w:r>
    </w:p>
    <w:p w14:paraId="6E3099E9" w14:textId="77777777" w:rsidR="00A90AAA" w:rsidRPr="004573F6" w:rsidRDefault="00A90AAA" w:rsidP="00A90AAA">
      <w:pPr>
        <w:pStyle w:val="SingleTxtG"/>
        <w:rPr>
          <w:lang w:val="fr-FR"/>
        </w:rPr>
      </w:pPr>
      <w:r w:rsidRPr="004573F6">
        <w:rPr>
          <w:lang w:val="fr-FR"/>
        </w:rPr>
        <w:t>61.</w:t>
      </w:r>
      <w:r w:rsidRPr="004573F6">
        <w:rPr>
          <w:lang w:val="fr-FR"/>
        </w:rPr>
        <w:tab/>
        <w:t>En ce qui concerne les cas où un dossier non traduit est reçu par une Partie touchée, la Pologne traduit généralement le résumé non technique et la section décrivant les impacts transfrontières, mais elle peut traduire d</w:t>
      </w:r>
      <w:r>
        <w:rPr>
          <w:lang w:val="fr-FR"/>
        </w:rPr>
        <w:t>’</w:t>
      </w:r>
      <w:r w:rsidRPr="004573F6">
        <w:rPr>
          <w:lang w:val="fr-FR"/>
        </w:rPr>
        <w:t>autres documents si elle le juge nécessaire</w:t>
      </w:r>
      <w:r>
        <w:rPr>
          <w:lang w:val="fr-FR"/>
        </w:rPr>
        <w:t> </w:t>
      </w:r>
      <w:r w:rsidRPr="004573F6">
        <w:rPr>
          <w:lang w:val="fr-FR"/>
        </w:rPr>
        <w:t>; l</w:t>
      </w:r>
      <w:r>
        <w:rPr>
          <w:lang w:val="fr-FR"/>
        </w:rPr>
        <w:t>’</w:t>
      </w:r>
      <w:r w:rsidRPr="004573F6">
        <w:rPr>
          <w:lang w:val="fr-FR"/>
        </w:rPr>
        <w:t>Autriche indique qu</w:t>
      </w:r>
      <w:r>
        <w:rPr>
          <w:lang w:val="fr-FR"/>
        </w:rPr>
        <w:t>’</w:t>
      </w:r>
      <w:r w:rsidRPr="004573F6">
        <w:rPr>
          <w:lang w:val="fr-FR"/>
        </w:rPr>
        <w:t>il est souvent nécessaire de traduire l</w:t>
      </w:r>
      <w:r>
        <w:rPr>
          <w:lang w:val="fr-FR"/>
        </w:rPr>
        <w:t>’</w:t>
      </w:r>
      <w:r w:rsidRPr="004573F6">
        <w:rPr>
          <w:lang w:val="fr-FR"/>
        </w:rPr>
        <w:t>intégralité du dossier qu</w:t>
      </w:r>
      <w:r>
        <w:rPr>
          <w:lang w:val="fr-FR"/>
        </w:rPr>
        <w:t>’</w:t>
      </w:r>
      <w:r w:rsidRPr="004573F6">
        <w:rPr>
          <w:lang w:val="fr-FR"/>
        </w:rPr>
        <w:t>elle reçoit, s</w:t>
      </w:r>
      <w:r>
        <w:rPr>
          <w:lang w:val="fr-FR"/>
        </w:rPr>
        <w:t>’</w:t>
      </w:r>
      <w:r w:rsidRPr="004573F6">
        <w:rPr>
          <w:lang w:val="fr-FR"/>
        </w:rPr>
        <w:t>il n</w:t>
      </w:r>
      <w:r>
        <w:rPr>
          <w:lang w:val="fr-FR"/>
        </w:rPr>
        <w:t>’</w:t>
      </w:r>
      <w:r w:rsidRPr="004573F6">
        <w:rPr>
          <w:lang w:val="fr-FR"/>
        </w:rPr>
        <w:t>a pas été traduit par la Partie d</w:t>
      </w:r>
      <w:r>
        <w:rPr>
          <w:lang w:val="fr-FR"/>
        </w:rPr>
        <w:t>’</w:t>
      </w:r>
      <w:r w:rsidRPr="004573F6">
        <w:rPr>
          <w:lang w:val="fr-FR"/>
        </w:rPr>
        <w:t>origine, car il n</w:t>
      </w:r>
      <w:r>
        <w:rPr>
          <w:lang w:val="fr-FR"/>
        </w:rPr>
        <w:t>’</w:t>
      </w:r>
      <w:r w:rsidRPr="004573F6">
        <w:rPr>
          <w:lang w:val="fr-FR"/>
        </w:rPr>
        <w:t>est pas possible de déterminer à l</w:t>
      </w:r>
      <w:r>
        <w:rPr>
          <w:lang w:val="fr-FR"/>
        </w:rPr>
        <w:t>’</w:t>
      </w:r>
      <w:r w:rsidRPr="004573F6">
        <w:rPr>
          <w:lang w:val="fr-FR"/>
        </w:rPr>
        <w:t>avance quelles sections pourraient être importantes.</w:t>
      </w:r>
    </w:p>
    <w:p w14:paraId="598D8338" w14:textId="77777777" w:rsidR="00A90AAA" w:rsidRPr="004573F6" w:rsidRDefault="00A90AAA" w:rsidP="00A90AAA">
      <w:pPr>
        <w:pStyle w:val="SingleTxtG"/>
        <w:rPr>
          <w:lang w:val="fr-FR"/>
        </w:rPr>
      </w:pPr>
      <w:r w:rsidRPr="004573F6">
        <w:rPr>
          <w:lang w:val="fr-FR"/>
        </w:rPr>
        <w:t>62.</w:t>
      </w:r>
      <w:r w:rsidRPr="004573F6">
        <w:rPr>
          <w:lang w:val="fr-FR"/>
        </w:rPr>
        <w:tab/>
        <w:t>On observe un schéma semblable en ce qui concerne les réponses à la question</w:t>
      </w:r>
      <w:r>
        <w:rPr>
          <w:lang w:val="fr-FR"/>
        </w:rPr>
        <w:t> </w:t>
      </w:r>
      <w:r w:rsidRPr="004573F6">
        <w:rPr>
          <w:lang w:val="fr-FR"/>
        </w:rPr>
        <w:t>II.11 sur la manière dont sont couverts les frais relatifs aux services d</w:t>
      </w:r>
      <w:r>
        <w:rPr>
          <w:lang w:val="fr-FR"/>
        </w:rPr>
        <w:t>’</w:t>
      </w:r>
      <w:r w:rsidRPr="004573F6">
        <w:rPr>
          <w:lang w:val="fr-FR"/>
        </w:rPr>
        <w:t>interprétation assurés lors des manifestations organisées dans le cadre de la procédure de participation du public. La plupart des répondants indiquent que les initiateurs de projets (17, n=25) et/ou une autorité compétente de la Partie d</w:t>
      </w:r>
      <w:r>
        <w:rPr>
          <w:lang w:val="fr-FR"/>
        </w:rPr>
        <w:t>’</w:t>
      </w:r>
      <w:r w:rsidRPr="004573F6">
        <w:rPr>
          <w:lang w:val="fr-FR"/>
        </w:rPr>
        <w:t>origine (6) prennent en charge les services d</w:t>
      </w:r>
      <w:r>
        <w:rPr>
          <w:lang w:val="fr-FR"/>
        </w:rPr>
        <w:t>’</w:t>
      </w:r>
      <w:r w:rsidRPr="004573F6">
        <w:rPr>
          <w:lang w:val="fr-FR"/>
        </w:rPr>
        <w:t>interprétation, mais il y a des cas (3) où la Partie touchée peut financer les services d</w:t>
      </w:r>
      <w:r>
        <w:rPr>
          <w:lang w:val="fr-FR"/>
        </w:rPr>
        <w:t>’</w:t>
      </w:r>
      <w:r w:rsidRPr="004573F6">
        <w:rPr>
          <w:lang w:val="fr-FR"/>
        </w:rPr>
        <w:t>interprétation.</w:t>
      </w:r>
    </w:p>
    <w:p w14:paraId="24EFD3B0" w14:textId="37FCA1AD" w:rsidR="00A90AAA" w:rsidRDefault="00A90AAA" w:rsidP="00A90AAA">
      <w:pPr>
        <w:pStyle w:val="Titre1"/>
        <w:spacing w:after="120"/>
        <w:rPr>
          <w:b/>
          <w:bCs/>
          <w:lang w:val="fr-FR"/>
        </w:rPr>
      </w:pPr>
      <w:r w:rsidRPr="004573F6">
        <w:rPr>
          <w:lang w:val="fr-FR"/>
        </w:rPr>
        <w:t>Figure</w:t>
      </w:r>
      <w:r>
        <w:rPr>
          <w:lang w:val="fr-FR"/>
        </w:rPr>
        <w:t> </w:t>
      </w:r>
      <w:r w:rsidRPr="004573F6">
        <w:rPr>
          <w:lang w:val="fr-FR"/>
        </w:rPr>
        <w:t>3</w:t>
      </w:r>
      <w:r>
        <w:rPr>
          <w:lang w:val="fr-FR"/>
        </w:rPr>
        <w:br/>
      </w:r>
      <w:r w:rsidRPr="004573F6">
        <w:rPr>
          <w:b/>
          <w:bCs/>
          <w:lang w:val="fr-FR"/>
        </w:rPr>
        <w:t>Réponses à la question</w:t>
      </w:r>
      <w:r>
        <w:rPr>
          <w:b/>
          <w:bCs/>
          <w:lang w:val="fr-FR"/>
        </w:rPr>
        <w:t> </w:t>
      </w:r>
      <w:r w:rsidRPr="004573F6">
        <w:rPr>
          <w:b/>
          <w:bCs/>
          <w:lang w:val="fr-FR"/>
        </w:rPr>
        <w:t>II.</w:t>
      </w:r>
      <w:r>
        <w:rPr>
          <w:b/>
          <w:bCs/>
          <w:lang w:val="fr-FR"/>
        </w:rPr>
        <w:t xml:space="preserve"> </w:t>
      </w:r>
      <w:r w:rsidRPr="004573F6">
        <w:rPr>
          <w:b/>
          <w:bCs/>
          <w:lang w:val="fr-FR"/>
        </w:rPr>
        <w:t>10</w:t>
      </w:r>
    </w:p>
    <w:p w14:paraId="05CBF426" w14:textId="77777777" w:rsidR="00A90AAA" w:rsidRDefault="00A90AAA" w:rsidP="00CE06A8">
      <w:pPr>
        <w:ind w:left="1134"/>
      </w:pPr>
      <w:r>
        <w:rPr>
          <w:noProof/>
        </w:rPr>
        <mc:AlternateContent>
          <mc:Choice Requires="wps">
            <w:drawing>
              <wp:anchor distT="0" distB="0" distL="114300" distR="114300" simplePos="0" relativeHeight="251660288" behindDoc="0" locked="0" layoutInCell="1" allowOverlap="1" wp14:anchorId="20590C04" wp14:editId="28810A85">
                <wp:simplePos x="0" y="0"/>
                <wp:positionH relativeFrom="column">
                  <wp:posOffset>1843709</wp:posOffset>
                </wp:positionH>
                <wp:positionV relativeFrom="paragraph">
                  <wp:posOffset>1978660</wp:posOffset>
                </wp:positionV>
                <wp:extent cx="3879850" cy="1028700"/>
                <wp:effectExtent l="0" t="0" r="6350" b="0"/>
                <wp:wrapNone/>
                <wp:docPr id="7" name="Надпись 7"/>
                <wp:cNvGraphicFramePr/>
                <a:graphic xmlns:a="http://schemas.openxmlformats.org/drawingml/2006/main">
                  <a:graphicData uri="http://schemas.microsoft.com/office/word/2010/wordprocessingShape">
                    <wps:wsp>
                      <wps:cNvSpPr txBox="1"/>
                      <wps:spPr>
                        <a:xfrm>
                          <a:off x="0" y="0"/>
                          <a:ext cx="3879850" cy="1028700"/>
                        </a:xfrm>
                        <a:prstGeom prst="rect">
                          <a:avLst/>
                        </a:prstGeom>
                        <a:solidFill>
                          <a:sysClr val="window" lastClr="FFFFFF"/>
                        </a:solidFill>
                        <a:ln w="6350">
                          <a:noFill/>
                        </a:ln>
                      </wps:spPr>
                      <wps:txbx>
                        <w:txbxContent>
                          <w:p w14:paraId="2DAC6AFA" w14:textId="77777777" w:rsidR="00A90AAA" w:rsidRPr="008C298B" w:rsidRDefault="00A90AAA" w:rsidP="00A90AAA">
                            <w:pPr>
                              <w:spacing w:after="160" w:line="180" w:lineRule="atLeast"/>
                              <w:rPr>
                                <w:color w:val="595959" w:themeColor="text1" w:themeTint="A6"/>
                                <w:sz w:val="18"/>
                                <w:szCs w:val="18"/>
                              </w:rPr>
                            </w:pPr>
                            <w:r w:rsidRPr="008C298B">
                              <w:rPr>
                                <w:sz w:val="18"/>
                                <w:szCs w:val="18"/>
                                <w:lang w:val="fr-FR"/>
                              </w:rPr>
                              <w:t>Le dossier est intégralement traduit en anglais</w:t>
                            </w:r>
                          </w:p>
                          <w:p w14:paraId="4A90D189" w14:textId="77777777" w:rsidR="00A90AAA" w:rsidRPr="008C298B" w:rsidRDefault="00A90AAA" w:rsidP="00A90AAA">
                            <w:pPr>
                              <w:spacing w:after="120" w:line="180" w:lineRule="atLeast"/>
                              <w:rPr>
                                <w:color w:val="595959" w:themeColor="text1" w:themeTint="A6"/>
                                <w:sz w:val="18"/>
                                <w:szCs w:val="18"/>
                              </w:rPr>
                            </w:pPr>
                            <w:r w:rsidRPr="008C298B">
                              <w:rPr>
                                <w:sz w:val="18"/>
                                <w:szCs w:val="18"/>
                                <w:lang w:val="fr-FR"/>
                              </w:rPr>
                              <w:t>Certaines sections du dossier sont traduites en anglais</w:t>
                            </w:r>
                          </w:p>
                          <w:p w14:paraId="30C35102" w14:textId="77777777" w:rsidR="00A90AAA" w:rsidRPr="008C298B" w:rsidRDefault="00A90AAA" w:rsidP="00A90AAA">
                            <w:pPr>
                              <w:spacing w:after="120" w:line="180" w:lineRule="atLeast"/>
                              <w:rPr>
                                <w:color w:val="595959" w:themeColor="text1" w:themeTint="A6"/>
                                <w:sz w:val="18"/>
                                <w:szCs w:val="18"/>
                              </w:rPr>
                            </w:pPr>
                            <w:r w:rsidRPr="008C298B">
                              <w:rPr>
                                <w:sz w:val="18"/>
                                <w:szCs w:val="18"/>
                                <w:lang w:val="fr-FR"/>
                              </w:rPr>
                              <w:t>Le dossier est intégralement traduit dans la langue de la Partie touchée</w:t>
                            </w:r>
                          </w:p>
                          <w:p w14:paraId="50078434" w14:textId="77777777" w:rsidR="00A90AAA" w:rsidRPr="008C298B" w:rsidRDefault="00A90AAA" w:rsidP="00A90AAA">
                            <w:pPr>
                              <w:spacing w:after="120" w:line="180" w:lineRule="atLeast"/>
                              <w:rPr>
                                <w:color w:val="595959" w:themeColor="text1" w:themeTint="A6"/>
                                <w:sz w:val="18"/>
                                <w:szCs w:val="18"/>
                              </w:rPr>
                            </w:pPr>
                            <w:r w:rsidRPr="008C298B">
                              <w:rPr>
                                <w:sz w:val="18"/>
                                <w:szCs w:val="18"/>
                                <w:lang w:val="fr-FR"/>
                              </w:rPr>
                              <w:t>Certaines sections du dossier sont traduites dans la langue de la Partie touchée</w:t>
                            </w:r>
                          </w:p>
                          <w:p w14:paraId="4B67ADDC" w14:textId="77777777" w:rsidR="00A90AAA" w:rsidRPr="008C298B" w:rsidRDefault="00A90AAA" w:rsidP="00A90AAA">
                            <w:pPr>
                              <w:spacing w:line="180" w:lineRule="atLeast"/>
                              <w:rPr>
                                <w:color w:val="595959" w:themeColor="text1" w:themeTint="A6"/>
                                <w:sz w:val="18"/>
                                <w:szCs w:val="18"/>
                              </w:rPr>
                            </w:pPr>
                            <w:proofErr w:type="spellStart"/>
                            <w:r w:rsidRPr="008C298B">
                              <w:rPr>
                                <w:sz w:val="18"/>
                                <w:szCs w:val="18"/>
                                <w:lang w:val="en-GB"/>
                              </w:rPr>
                              <w:t>Autres</w:t>
                            </w:r>
                            <w:proofErr w:type="spellEnd"/>
                            <w:r w:rsidRPr="008C298B">
                              <w:rPr>
                                <w:sz w:val="18"/>
                                <w:szCs w:val="18"/>
                                <w:lang w:val="en-GB"/>
                              </w:rPr>
                              <w:t xml:space="preserve"> pratiques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0C04" id="Надпись 7" o:spid="_x0000_s1027" type="#_x0000_t202" style="position:absolute;left:0;text-align:left;margin-left:145.15pt;margin-top:155.8pt;width:305.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" fillcolor="window" stroked="f" strokeweight=".5pt">
                <v:textbox inset="0,0,0,0">
                  <w:txbxContent>
                    <w:p w14:paraId="2DAC6AFA" w14:textId="77777777" w:rsidR="00A90AAA" w:rsidRPr="008C298B" w:rsidRDefault="00A90AAA" w:rsidP="00A90AAA">
                      <w:pPr>
                        <w:spacing w:after="160" w:line="180" w:lineRule="atLeast"/>
                        <w:rPr>
                          <w:color w:val="595959" w:themeColor="text1" w:themeTint="A6"/>
                          <w:sz w:val="18"/>
                          <w:szCs w:val="18"/>
                        </w:rPr>
                      </w:pPr>
                      <w:r w:rsidRPr="008C298B">
                        <w:rPr>
                          <w:sz w:val="18"/>
                          <w:szCs w:val="18"/>
                          <w:lang w:val="fr-FR"/>
                        </w:rPr>
                        <w:t>Le dossier est intégralement traduit en anglais</w:t>
                      </w:r>
                    </w:p>
                    <w:p w14:paraId="4A90D189" w14:textId="77777777" w:rsidR="00A90AAA" w:rsidRPr="008C298B" w:rsidRDefault="00A90AAA" w:rsidP="00A90AAA">
                      <w:pPr>
                        <w:spacing w:after="120" w:line="180" w:lineRule="atLeast"/>
                        <w:rPr>
                          <w:color w:val="595959" w:themeColor="text1" w:themeTint="A6"/>
                          <w:sz w:val="18"/>
                          <w:szCs w:val="18"/>
                        </w:rPr>
                      </w:pPr>
                      <w:r w:rsidRPr="008C298B">
                        <w:rPr>
                          <w:sz w:val="18"/>
                          <w:szCs w:val="18"/>
                          <w:lang w:val="fr-FR"/>
                        </w:rPr>
                        <w:t>Certaines sections du dossier sont traduites en anglais</w:t>
                      </w:r>
                    </w:p>
                    <w:p w14:paraId="30C35102" w14:textId="77777777" w:rsidR="00A90AAA" w:rsidRPr="008C298B" w:rsidRDefault="00A90AAA" w:rsidP="00A90AAA">
                      <w:pPr>
                        <w:spacing w:after="120" w:line="180" w:lineRule="atLeast"/>
                        <w:rPr>
                          <w:color w:val="595959" w:themeColor="text1" w:themeTint="A6"/>
                          <w:sz w:val="18"/>
                          <w:szCs w:val="18"/>
                        </w:rPr>
                      </w:pPr>
                      <w:r w:rsidRPr="008C298B">
                        <w:rPr>
                          <w:sz w:val="18"/>
                          <w:szCs w:val="18"/>
                          <w:lang w:val="fr-FR"/>
                        </w:rPr>
                        <w:t>Le dossier est intégralement traduit dans la langue de la Partie touchée</w:t>
                      </w:r>
                    </w:p>
                    <w:p w14:paraId="50078434" w14:textId="77777777" w:rsidR="00A90AAA" w:rsidRPr="008C298B" w:rsidRDefault="00A90AAA" w:rsidP="00A90AAA">
                      <w:pPr>
                        <w:spacing w:after="120" w:line="180" w:lineRule="atLeast"/>
                        <w:rPr>
                          <w:color w:val="595959" w:themeColor="text1" w:themeTint="A6"/>
                          <w:sz w:val="18"/>
                          <w:szCs w:val="18"/>
                        </w:rPr>
                      </w:pPr>
                      <w:r w:rsidRPr="008C298B">
                        <w:rPr>
                          <w:sz w:val="18"/>
                          <w:szCs w:val="18"/>
                          <w:lang w:val="fr-FR"/>
                        </w:rPr>
                        <w:t>Certaines sections du dossier sont traduites dans la langue de la Partie touchée</w:t>
                      </w:r>
                    </w:p>
                    <w:p w14:paraId="4B67ADDC" w14:textId="77777777" w:rsidR="00A90AAA" w:rsidRPr="008C298B" w:rsidRDefault="00A90AAA" w:rsidP="00A90AAA">
                      <w:pPr>
                        <w:spacing w:line="180" w:lineRule="atLeast"/>
                        <w:rPr>
                          <w:color w:val="595959" w:themeColor="text1" w:themeTint="A6"/>
                          <w:sz w:val="18"/>
                          <w:szCs w:val="18"/>
                        </w:rPr>
                      </w:pPr>
                      <w:proofErr w:type="spellStart"/>
                      <w:r w:rsidRPr="008C298B">
                        <w:rPr>
                          <w:sz w:val="18"/>
                          <w:szCs w:val="18"/>
                          <w:lang w:val="en-GB"/>
                        </w:rPr>
                        <w:t>Autres</w:t>
                      </w:r>
                      <w:proofErr w:type="spellEnd"/>
                      <w:r w:rsidRPr="008C298B">
                        <w:rPr>
                          <w:sz w:val="18"/>
                          <w:szCs w:val="18"/>
                          <w:lang w:val="en-GB"/>
                        </w:rPr>
                        <w:t xml:space="preserve"> pratiques</w:t>
                      </w:r>
                    </w:p>
                  </w:txbxContent>
                </v:textbox>
              </v:shape>
            </w:pict>
          </mc:Fallback>
        </mc:AlternateContent>
      </w:r>
      <w:r>
        <w:rPr>
          <w:noProof/>
          <w:lang w:val="en-US" w:eastAsia="zh-CN"/>
        </w:rPr>
        <w:drawing>
          <wp:inline distT="0" distB="0" distL="0" distR="0" wp14:anchorId="02C56519" wp14:editId="69C42B7F">
            <wp:extent cx="5074920" cy="3074670"/>
            <wp:effectExtent l="0" t="0" r="11430" b="1143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A5DCBE" w14:textId="77777777" w:rsidR="00A90AAA" w:rsidRPr="004573F6" w:rsidRDefault="00A90AAA" w:rsidP="00CE06A8">
      <w:pPr>
        <w:pStyle w:val="SingleTxtG"/>
        <w:spacing w:before="240"/>
        <w:rPr>
          <w:lang w:val="fr-FR"/>
        </w:rPr>
      </w:pPr>
      <w:r w:rsidRPr="004573F6">
        <w:rPr>
          <w:lang w:val="fr-FR"/>
        </w:rPr>
        <w:t>63.</w:t>
      </w:r>
      <w:r w:rsidRPr="004573F6">
        <w:rPr>
          <w:lang w:val="fr-FR"/>
        </w:rPr>
        <w:tab/>
        <w:t>Un certain nombre de difficultés liées aux pratiques en matière de traduction et d</w:t>
      </w:r>
      <w:r>
        <w:rPr>
          <w:lang w:val="fr-FR"/>
        </w:rPr>
        <w:t>’</w:t>
      </w:r>
      <w:r w:rsidRPr="004573F6">
        <w:rPr>
          <w:lang w:val="fr-FR"/>
        </w:rPr>
        <w:t>interprétation sont signalées (question II.6), notamment</w:t>
      </w:r>
      <w:r>
        <w:rPr>
          <w:lang w:val="fr-FR"/>
        </w:rPr>
        <w:t xml:space="preserve"> les suivantes</w:t>
      </w:r>
      <w:r w:rsidRPr="004573F6">
        <w:rPr>
          <w:lang w:val="fr-FR"/>
        </w:rPr>
        <w:t xml:space="preserve"> : </w:t>
      </w:r>
    </w:p>
    <w:p w14:paraId="611251F8" w14:textId="77777777" w:rsidR="00A90AAA" w:rsidRPr="004573F6" w:rsidRDefault="00A90AAA" w:rsidP="00A90AAA">
      <w:pPr>
        <w:pStyle w:val="Bullet1G"/>
        <w:numPr>
          <w:ilvl w:val="0"/>
          <w:numId w:val="0"/>
        </w:numPr>
        <w:tabs>
          <w:tab w:val="left" w:pos="1701"/>
        </w:tabs>
        <w:ind w:left="1701" w:hanging="170"/>
        <w:rPr>
          <w:lang w:val="fr-FR"/>
        </w:rPr>
      </w:pPr>
      <w:r w:rsidRPr="004573F6">
        <w:rPr>
          <w:lang w:val="fr-FR"/>
        </w:rPr>
        <w:t>•</w:t>
      </w:r>
      <w:r w:rsidRPr="004573F6">
        <w:rPr>
          <w:lang w:val="fr-FR"/>
        </w:rPr>
        <w:tab/>
        <w:t>Notifications envoyées sans qu</w:t>
      </w:r>
      <w:r>
        <w:rPr>
          <w:lang w:val="fr-FR"/>
        </w:rPr>
        <w:t>’</w:t>
      </w:r>
      <w:r w:rsidRPr="004573F6">
        <w:rPr>
          <w:lang w:val="fr-FR"/>
        </w:rPr>
        <w:t>aucune information sur le projet ne soit fournie dans la langue nationale de la Partie potentiellement touchée ;</w:t>
      </w:r>
    </w:p>
    <w:p w14:paraId="16DF74FB" w14:textId="77777777" w:rsidR="00A90AAA" w:rsidRPr="004573F6" w:rsidRDefault="00A90AAA" w:rsidP="00A90AAA">
      <w:pPr>
        <w:pStyle w:val="Bullet1G"/>
        <w:numPr>
          <w:ilvl w:val="0"/>
          <w:numId w:val="0"/>
        </w:numPr>
        <w:tabs>
          <w:tab w:val="left" w:pos="1701"/>
        </w:tabs>
        <w:ind w:left="1701" w:hanging="170"/>
        <w:rPr>
          <w:lang w:val="fr-FR"/>
        </w:rPr>
      </w:pPr>
      <w:r w:rsidRPr="004573F6">
        <w:rPr>
          <w:lang w:val="fr-FR"/>
        </w:rPr>
        <w:t>•</w:t>
      </w:r>
      <w:r w:rsidRPr="004573F6">
        <w:rPr>
          <w:lang w:val="fr-FR"/>
        </w:rPr>
        <w:tab/>
        <w:t>Réception de documents qui ne sont pas utilisables en raison de la langue dans laquelle ils sont rédigés (par exemple, il ne s</w:t>
      </w:r>
      <w:r>
        <w:rPr>
          <w:lang w:val="fr-FR"/>
        </w:rPr>
        <w:t>’</w:t>
      </w:r>
      <w:r w:rsidRPr="004573F6">
        <w:rPr>
          <w:lang w:val="fr-FR"/>
        </w:rPr>
        <w:t>agit pas de la langue officielle du pays touché) ;</w:t>
      </w:r>
    </w:p>
    <w:p w14:paraId="15978B84" w14:textId="77777777" w:rsidR="00A90AAA" w:rsidRPr="004573F6" w:rsidRDefault="00A90AAA" w:rsidP="00A90AAA">
      <w:pPr>
        <w:pStyle w:val="Bullet1G"/>
        <w:numPr>
          <w:ilvl w:val="0"/>
          <w:numId w:val="0"/>
        </w:numPr>
        <w:tabs>
          <w:tab w:val="left" w:pos="1701"/>
        </w:tabs>
        <w:ind w:left="1701" w:hanging="170"/>
        <w:rPr>
          <w:lang w:val="fr-FR"/>
        </w:rPr>
      </w:pPr>
      <w:r w:rsidRPr="004573F6">
        <w:rPr>
          <w:lang w:val="fr-FR"/>
        </w:rPr>
        <w:t>•</w:t>
      </w:r>
      <w:r w:rsidRPr="004573F6">
        <w:rPr>
          <w:lang w:val="fr-FR"/>
        </w:rPr>
        <w:tab/>
        <w:t xml:space="preserve">Réception de documents présentant des lacunes et/ou traduits de manière inappropriée concernant le projet et ses impacts transfrontières ; </w:t>
      </w:r>
    </w:p>
    <w:p w14:paraId="71D0019F" w14:textId="77777777" w:rsidR="00A90AAA" w:rsidRPr="004573F6" w:rsidRDefault="00A90AAA" w:rsidP="00A90AAA">
      <w:pPr>
        <w:pStyle w:val="Bullet1G"/>
        <w:numPr>
          <w:ilvl w:val="0"/>
          <w:numId w:val="0"/>
        </w:numPr>
        <w:tabs>
          <w:tab w:val="left" w:pos="1701"/>
        </w:tabs>
        <w:ind w:left="1701" w:hanging="170"/>
        <w:rPr>
          <w:lang w:val="fr-FR"/>
        </w:rPr>
      </w:pPr>
      <w:r w:rsidRPr="004573F6">
        <w:rPr>
          <w:lang w:val="fr-FR"/>
        </w:rPr>
        <w:t>•</w:t>
      </w:r>
      <w:r w:rsidRPr="004573F6">
        <w:rPr>
          <w:lang w:val="fr-FR"/>
        </w:rPr>
        <w:tab/>
        <w:t>Absence de dispositions relatives aux services d</w:t>
      </w:r>
      <w:r>
        <w:rPr>
          <w:lang w:val="fr-FR"/>
        </w:rPr>
        <w:t>’</w:t>
      </w:r>
      <w:r w:rsidRPr="004573F6">
        <w:rPr>
          <w:lang w:val="fr-FR"/>
        </w:rPr>
        <w:t>interprétation assurés lors des manifestations organisées dans le cadre de la procédure de participation du public</w:t>
      </w:r>
      <w:r w:rsidRPr="004573F6">
        <w:rPr>
          <w:i/>
          <w:iCs/>
          <w:lang w:val="fr-FR"/>
        </w:rPr>
        <w:t xml:space="preserve"> </w:t>
      </w:r>
      <w:r w:rsidRPr="004573F6">
        <w:rPr>
          <w:lang w:val="fr-FR"/>
        </w:rPr>
        <w:t>sur le territoire de la Partie d</w:t>
      </w:r>
      <w:r>
        <w:rPr>
          <w:lang w:val="fr-FR"/>
        </w:rPr>
        <w:t>’</w:t>
      </w:r>
      <w:r w:rsidRPr="004573F6">
        <w:rPr>
          <w:lang w:val="fr-FR"/>
        </w:rPr>
        <w:t>origine ;</w:t>
      </w:r>
    </w:p>
    <w:p w14:paraId="53DB1337" w14:textId="77777777" w:rsidR="00A90AAA" w:rsidRPr="004573F6" w:rsidRDefault="00A90AAA" w:rsidP="00A90AAA">
      <w:pPr>
        <w:pStyle w:val="Bullet1G"/>
        <w:numPr>
          <w:ilvl w:val="0"/>
          <w:numId w:val="0"/>
        </w:numPr>
        <w:tabs>
          <w:tab w:val="left" w:pos="1701"/>
        </w:tabs>
        <w:ind w:left="1701" w:hanging="170"/>
        <w:rPr>
          <w:lang w:val="fr-FR"/>
        </w:rPr>
      </w:pPr>
      <w:r w:rsidRPr="004573F6">
        <w:rPr>
          <w:lang w:val="fr-FR"/>
        </w:rPr>
        <w:t>•</w:t>
      </w:r>
      <w:r w:rsidRPr="004573F6">
        <w:rPr>
          <w:lang w:val="fr-FR"/>
        </w:rPr>
        <w:tab/>
        <w:t>Absence de budget prévu par la Partie d</w:t>
      </w:r>
      <w:r>
        <w:rPr>
          <w:lang w:val="fr-FR"/>
        </w:rPr>
        <w:t>’</w:t>
      </w:r>
      <w:r w:rsidRPr="004573F6">
        <w:rPr>
          <w:lang w:val="fr-FR"/>
        </w:rPr>
        <w:t>origine pour les services d</w:t>
      </w:r>
      <w:r>
        <w:rPr>
          <w:lang w:val="fr-FR"/>
        </w:rPr>
        <w:t>’</w:t>
      </w:r>
      <w:r w:rsidRPr="004573F6">
        <w:rPr>
          <w:lang w:val="fr-FR"/>
        </w:rPr>
        <w:t>interprétation lors des réunions ayant lieu dans une Partie touchée ou concernant celle-ci.</w:t>
      </w:r>
    </w:p>
    <w:p w14:paraId="167D18E6" w14:textId="77777777" w:rsidR="00A90AAA" w:rsidRPr="004573F6" w:rsidRDefault="00A90AAA" w:rsidP="00A90AAA">
      <w:pPr>
        <w:pStyle w:val="SingleTxtG"/>
        <w:rPr>
          <w:lang w:val="fr-FR"/>
        </w:rPr>
      </w:pPr>
      <w:r w:rsidRPr="004573F6">
        <w:rPr>
          <w:lang w:val="fr-FR"/>
        </w:rPr>
        <w:t>64.</w:t>
      </w:r>
      <w:r w:rsidRPr="004573F6">
        <w:rPr>
          <w:lang w:val="fr-FR"/>
        </w:rPr>
        <w:tab/>
        <w:t>Plusieurs répondants ont formulé des observations concernant les frais relatifs à la traduction des documents et le temps nécessaire à celle-ci. Le Royaume-Uni de Grande</w:t>
      </w:r>
      <w:r>
        <w:rPr>
          <w:lang w:val="fr-FR"/>
        </w:rPr>
        <w:noBreakHyphen/>
      </w:r>
      <w:r w:rsidRPr="004573F6">
        <w:rPr>
          <w:lang w:val="fr-FR"/>
        </w:rPr>
        <w:t>Bretagne et d</w:t>
      </w:r>
      <w:r>
        <w:rPr>
          <w:lang w:val="fr-FR"/>
        </w:rPr>
        <w:t>’</w:t>
      </w:r>
      <w:r w:rsidRPr="004573F6">
        <w:rPr>
          <w:lang w:val="fr-FR"/>
        </w:rPr>
        <w:t>Irlande du Nord a reçu des demandes de traduction d</w:t>
      </w:r>
      <w:r>
        <w:rPr>
          <w:lang w:val="fr-FR"/>
        </w:rPr>
        <w:t>’</w:t>
      </w:r>
      <w:r w:rsidRPr="004573F6">
        <w:rPr>
          <w:lang w:val="fr-FR"/>
        </w:rPr>
        <w:t>une grande quantité de documents. Il estime que ces traductions peuvent prendre trop de temps et engendrer des coûts excessifs, et qu</w:t>
      </w:r>
      <w:r>
        <w:rPr>
          <w:lang w:val="fr-FR"/>
        </w:rPr>
        <w:t>’</w:t>
      </w:r>
      <w:r w:rsidRPr="004573F6">
        <w:rPr>
          <w:lang w:val="fr-FR"/>
        </w:rPr>
        <w:t>elles peuvent en outre être inutiles si aucun effet notable n</w:t>
      </w:r>
      <w:r>
        <w:rPr>
          <w:lang w:val="fr-FR"/>
        </w:rPr>
        <w:t>’</w:t>
      </w:r>
      <w:r w:rsidRPr="004573F6">
        <w:rPr>
          <w:lang w:val="fr-FR"/>
        </w:rPr>
        <w:t>est attendu sur le territoire de la Partie touchée.</w:t>
      </w:r>
    </w:p>
    <w:p w14:paraId="5830E2F4" w14:textId="77777777" w:rsidR="00A90AAA" w:rsidRPr="004573F6" w:rsidRDefault="00A90AAA" w:rsidP="00A90AAA">
      <w:pPr>
        <w:pStyle w:val="SingleTxtG"/>
        <w:rPr>
          <w:lang w:val="fr-FR"/>
        </w:rPr>
      </w:pPr>
      <w:r w:rsidRPr="004573F6">
        <w:rPr>
          <w:lang w:val="fr-FR"/>
        </w:rPr>
        <w:t>65.</w:t>
      </w:r>
      <w:r w:rsidRPr="004573F6">
        <w:rPr>
          <w:lang w:val="fr-FR"/>
        </w:rPr>
        <w:tab/>
        <w:t>La qualité des services de traduction écrite et d</w:t>
      </w:r>
      <w:r>
        <w:rPr>
          <w:lang w:val="fr-FR"/>
        </w:rPr>
        <w:t>’</w:t>
      </w:r>
      <w:r w:rsidRPr="004573F6">
        <w:rPr>
          <w:lang w:val="fr-FR"/>
        </w:rPr>
        <w:t xml:space="preserve">interprétation </w:t>
      </w:r>
      <w:r>
        <w:rPr>
          <w:lang w:val="fr-FR"/>
        </w:rPr>
        <w:t>fournis dans le cadre</w:t>
      </w:r>
      <w:r w:rsidRPr="004573F6">
        <w:rPr>
          <w:lang w:val="fr-FR"/>
        </w:rPr>
        <w:t xml:space="preserve"> des consultations et de </w:t>
      </w:r>
      <w:r>
        <w:rPr>
          <w:lang w:val="fr-FR"/>
        </w:rPr>
        <w:t>la procédure de</w:t>
      </w:r>
      <w:r w:rsidRPr="004573F6">
        <w:rPr>
          <w:lang w:val="fr-FR"/>
        </w:rPr>
        <w:t xml:space="preserve"> participation </w:t>
      </w:r>
      <w:r>
        <w:rPr>
          <w:lang w:val="fr-FR"/>
        </w:rPr>
        <w:t xml:space="preserve">du public </w:t>
      </w:r>
      <w:r w:rsidRPr="004573F6">
        <w:rPr>
          <w:lang w:val="fr-FR"/>
        </w:rPr>
        <w:t>est jugée problématique dans certains cas par quelques répondants. Par exemple, il est indiqué que, dans un cas, un logiciel de traduction automatique (tel que Google Translate) a probablement été utilisé pour effectuer la traduction et que le dossier contenait de nombreuses erreurs. Comme lors du sixième examen de l</w:t>
      </w:r>
      <w:r>
        <w:rPr>
          <w:lang w:val="fr-FR"/>
        </w:rPr>
        <w:t>’</w:t>
      </w:r>
      <w:r w:rsidRPr="004573F6">
        <w:rPr>
          <w:lang w:val="fr-FR"/>
        </w:rPr>
        <w:t>application de la Convention, les répondants ont souligné qu</w:t>
      </w:r>
      <w:r>
        <w:rPr>
          <w:lang w:val="fr-FR"/>
        </w:rPr>
        <w:t>’</w:t>
      </w:r>
      <w:r w:rsidRPr="004573F6">
        <w:rPr>
          <w:lang w:val="fr-FR"/>
        </w:rPr>
        <w:t>il était difficile pour la Partie d</w:t>
      </w:r>
      <w:r>
        <w:rPr>
          <w:lang w:val="fr-FR"/>
        </w:rPr>
        <w:t>’</w:t>
      </w:r>
      <w:r w:rsidRPr="004573F6">
        <w:rPr>
          <w:lang w:val="fr-FR"/>
        </w:rPr>
        <w:t>origine</w:t>
      </w:r>
      <w:r w:rsidRPr="004573F6">
        <w:rPr>
          <w:i/>
          <w:iCs/>
          <w:lang w:val="fr-FR"/>
        </w:rPr>
        <w:t xml:space="preserve"> </w:t>
      </w:r>
      <w:r w:rsidRPr="004573F6">
        <w:rPr>
          <w:lang w:val="fr-FR"/>
        </w:rPr>
        <w:t>(qu</w:t>
      </w:r>
      <w:r>
        <w:rPr>
          <w:lang w:val="fr-FR"/>
        </w:rPr>
        <w:t>’</w:t>
      </w:r>
      <w:r w:rsidRPr="004573F6">
        <w:rPr>
          <w:lang w:val="fr-FR"/>
        </w:rPr>
        <w:t>il s</w:t>
      </w:r>
      <w:r>
        <w:rPr>
          <w:lang w:val="fr-FR"/>
        </w:rPr>
        <w:t>’</w:t>
      </w:r>
      <w:r w:rsidRPr="004573F6">
        <w:rPr>
          <w:lang w:val="fr-FR"/>
        </w:rPr>
        <w:t>agisse de l</w:t>
      </w:r>
      <w:r>
        <w:rPr>
          <w:lang w:val="fr-FR"/>
        </w:rPr>
        <w:t>’</w:t>
      </w:r>
      <w:r w:rsidRPr="004573F6">
        <w:rPr>
          <w:lang w:val="fr-FR"/>
        </w:rPr>
        <w:t>initiateur du projet, du point de contact</w:t>
      </w:r>
      <w:r>
        <w:rPr>
          <w:lang w:val="fr-FR"/>
        </w:rPr>
        <w:t>/</w:t>
      </w:r>
      <w:r w:rsidRPr="004573F6">
        <w:rPr>
          <w:lang w:val="fr-FR"/>
        </w:rPr>
        <w:t>correspondant</w:t>
      </w:r>
      <w:r w:rsidRPr="004573F6">
        <w:rPr>
          <w:i/>
          <w:iCs/>
          <w:lang w:val="fr-FR"/>
        </w:rPr>
        <w:t xml:space="preserve"> </w:t>
      </w:r>
      <w:r w:rsidRPr="004573F6">
        <w:rPr>
          <w:lang w:val="fr-FR"/>
        </w:rPr>
        <w:t>ou d</w:t>
      </w:r>
      <w:r>
        <w:rPr>
          <w:lang w:val="fr-FR"/>
        </w:rPr>
        <w:t>’</w:t>
      </w:r>
      <w:r w:rsidRPr="004573F6">
        <w:rPr>
          <w:lang w:val="fr-FR"/>
        </w:rPr>
        <w:t>un ministère compétent) d</w:t>
      </w:r>
      <w:r>
        <w:rPr>
          <w:lang w:val="fr-FR"/>
        </w:rPr>
        <w:t>’</w:t>
      </w:r>
      <w:r w:rsidRPr="004573F6">
        <w:rPr>
          <w:lang w:val="fr-FR"/>
        </w:rPr>
        <w:t>effectuer des contrôles de qualité sur les documents traduits. Le Canada fait observer qu</w:t>
      </w:r>
      <w:r>
        <w:rPr>
          <w:lang w:val="fr-FR"/>
        </w:rPr>
        <w:t>’</w:t>
      </w:r>
      <w:r w:rsidRPr="004573F6">
        <w:rPr>
          <w:lang w:val="fr-FR"/>
        </w:rPr>
        <w:t>il est extrêmement difficile de trouver des traducteurs fiables pour certaines langues, par exemple le groenlandais occidental.</w:t>
      </w:r>
    </w:p>
    <w:p w14:paraId="667F9BB5" w14:textId="77777777" w:rsidR="00A90AAA" w:rsidRPr="004573F6" w:rsidRDefault="00A90AAA" w:rsidP="00A90AAA">
      <w:pPr>
        <w:pStyle w:val="H23G"/>
        <w:rPr>
          <w:lang w:val="fr-FR"/>
        </w:rPr>
      </w:pPr>
      <w:bookmarkStart w:id="17" w:name="_Toc13428246"/>
      <w:r w:rsidRPr="004573F6">
        <w:rPr>
          <w:lang w:val="fr-FR"/>
        </w:rPr>
        <w:tab/>
        <w:t>4.</w:t>
      </w:r>
      <w:r w:rsidRPr="004573F6">
        <w:rPr>
          <w:lang w:val="fr-FR"/>
        </w:rPr>
        <w:tab/>
        <w:t>Difficultés supplémentaires rencontrées lors des activités relatives à la participation du public et aux consultations</w:t>
      </w:r>
      <w:bookmarkEnd w:id="17"/>
    </w:p>
    <w:p w14:paraId="48854C44" w14:textId="3331DD81" w:rsidR="00A90AAA" w:rsidRPr="004573F6" w:rsidRDefault="00A90AAA" w:rsidP="00A90AAA">
      <w:pPr>
        <w:pStyle w:val="SingleTxtG"/>
        <w:rPr>
          <w:lang w:val="fr-FR"/>
        </w:rPr>
      </w:pPr>
      <w:r w:rsidRPr="004573F6">
        <w:rPr>
          <w:lang w:val="fr-FR"/>
        </w:rPr>
        <w:t>66.</w:t>
      </w:r>
      <w:r w:rsidRPr="004573F6">
        <w:rPr>
          <w:lang w:val="fr-FR"/>
        </w:rPr>
        <w:tab/>
        <w:t>La plupart des Parties n</w:t>
      </w:r>
      <w:r>
        <w:rPr>
          <w:lang w:val="fr-FR"/>
        </w:rPr>
        <w:t>’</w:t>
      </w:r>
      <w:r w:rsidRPr="004573F6">
        <w:rPr>
          <w:lang w:val="fr-FR"/>
        </w:rPr>
        <w:t xml:space="preserve">ont pas rencontré de difficultés importantes en ce qui concerne les procédures de participation du public ou les consultations </w:t>
      </w:r>
      <w:r>
        <w:rPr>
          <w:lang w:val="fr-FR"/>
        </w:rPr>
        <w:t xml:space="preserve">menées </w:t>
      </w:r>
      <w:r w:rsidRPr="004573F6">
        <w:rPr>
          <w:lang w:val="fr-FR"/>
        </w:rPr>
        <w:t>entre autorités au titre de l</w:t>
      </w:r>
      <w:r>
        <w:rPr>
          <w:lang w:val="fr-FR"/>
        </w:rPr>
        <w:t>’</w:t>
      </w:r>
      <w:r w:rsidRPr="004573F6">
        <w:rPr>
          <w:lang w:val="fr-FR"/>
        </w:rPr>
        <w:t>article</w:t>
      </w:r>
      <w:r>
        <w:rPr>
          <w:lang w:val="fr-FR"/>
        </w:rPr>
        <w:t> </w:t>
      </w:r>
      <w:r w:rsidRPr="004573F6">
        <w:rPr>
          <w:lang w:val="fr-FR"/>
        </w:rPr>
        <w:t>5 (question II.12). Les répondants qui signalent des problèmes sont souvent préoccupés par les calendriers et les délais. Plusieurs répondants indiquent que les délais qui leur sont donnés en tant que Parties touchées sont trop courts. La Croatie fait observer que le public demande souvent des délais plus longs et la Norvège constate que</w:t>
      </w:r>
      <w:r>
        <w:rPr>
          <w:lang w:val="fr-FR"/>
        </w:rPr>
        <w:t>, pour informer régulièrement</w:t>
      </w:r>
      <w:r w:rsidRPr="004573F6">
        <w:rPr>
          <w:lang w:val="fr-FR"/>
        </w:rPr>
        <w:t xml:space="preserve"> l</w:t>
      </w:r>
      <w:r>
        <w:rPr>
          <w:lang w:val="fr-FR"/>
        </w:rPr>
        <w:t>e</w:t>
      </w:r>
      <w:r w:rsidRPr="004573F6">
        <w:rPr>
          <w:lang w:val="fr-FR"/>
        </w:rPr>
        <w:t xml:space="preserve"> public </w:t>
      </w:r>
      <w:r>
        <w:rPr>
          <w:lang w:val="fr-FR"/>
        </w:rPr>
        <w:t>de l’état d’avancement</w:t>
      </w:r>
      <w:r w:rsidRPr="004573F6">
        <w:rPr>
          <w:lang w:val="fr-FR"/>
        </w:rPr>
        <w:t xml:space="preserve"> </w:t>
      </w:r>
      <w:r>
        <w:rPr>
          <w:lang w:val="fr-FR"/>
        </w:rPr>
        <w:t>d’</w:t>
      </w:r>
      <w:r w:rsidRPr="004573F6">
        <w:rPr>
          <w:lang w:val="fr-FR"/>
        </w:rPr>
        <w:t>un projet</w:t>
      </w:r>
      <w:r>
        <w:rPr>
          <w:lang w:val="fr-FR"/>
        </w:rPr>
        <w:t>,</w:t>
      </w:r>
      <w:r w:rsidRPr="004573F6">
        <w:rPr>
          <w:lang w:val="fr-FR"/>
        </w:rPr>
        <w:t xml:space="preserve"> </w:t>
      </w:r>
      <w:r>
        <w:rPr>
          <w:lang w:val="fr-FR"/>
        </w:rPr>
        <w:t xml:space="preserve">il </w:t>
      </w:r>
      <w:r w:rsidRPr="004573F6">
        <w:rPr>
          <w:lang w:val="fr-FR"/>
        </w:rPr>
        <w:t xml:space="preserve">peut </w:t>
      </w:r>
      <w:r>
        <w:rPr>
          <w:lang w:val="fr-FR"/>
        </w:rPr>
        <w:t>être</w:t>
      </w:r>
      <w:r w:rsidRPr="004573F6">
        <w:rPr>
          <w:lang w:val="fr-FR"/>
        </w:rPr>
        <w:t xml:space="preserve"> nécessaire </w:t>
      </w:r>
      <w:r>
        <w:rPr>
          <w:lang w:val="fr-FR"/>
        </w:rPr>
        <w:t>d’</w:t>
      </w:r>
      <w:r w:rsidRPr="004573F6">
        <w:rPr>
          <w:lang w:val="fr-FR"/>
        </w:rPr>
        <w:t>organis</w:t>
      </w:r>
      <w:r>
        <w:rPr>
          <w:lang w:val="fr-FR"/>
        </w:rPr>
        <w:t>er</w:t>
      </w:r>
      <w:r w:rsidRPr="004573F6">
        <w:rPr>
          <w:lang w:val="fr-FR"/>
        </w:rPr>
        <w:t xml:space="preserve"> plusieurs manifestations dans le cadre de la procédure de participation. La Suisse relève que des retards ont été enregistrés lorsqu</w:t>
      </w:r>
      <w:r>
        <w:rPr>
          <w:lang w:val="fr-FR"/>
        </w:rPr>
        <w:t>’</w:t>
      </w:r>
      <w:r w:rsidRPr="004573F6">
        <w:rPr>
          <w:lang w:val="fr-FR"/>
        </w:rPr>
        <w:t>une Partie d</w:t>
      </w:r>
      <w:r>
        <w:rPr>
          <w:lang w:val="fr-FR"/>
        </w:rPr>
        <w:t>’</w:t>
      </w:r>
      <w:r w:rsidRPr="004573F6">
        <w:rPr>
          <w:lang w:val="fr-FR"/>
        </w:rPr>
        <w:t>origine a envoyé une notification à une autre personne que le « point de contact/correspondant » officiel. Les consultations menées au titre de l</w:t>
      </w:r>
      <w:r>
        <w:rPr>
          <w:lang w:val="fr-FR"/>
        </w:rPr>
        <w:t>’</w:t>
      </w:r>
      <w:r w:rsidRPr="004573F6">
        <w:rPr>
          <w:lang w:val="fr-FR"/>
        </w:rPr>
        <w:t>article</w:t>
      </w:r>
      <w:r>
        <w:rPr>
          <w:lang w:val="fr-FR"/>
        </w:rPr>
        <w:t> </w:t>
      </w:r>
      <w:r w:rsidRPr="004573F6">
        <w:rPr>
          <w:lang w:val="fr-FR"/>
        </w:rPr>
        <w:t>5 peuvent également entraîner des retards. Les retards peuvent être dus à la complexité des systèmes bureaucratiques (par exemple, dans les administrations décentralisées) ou au fait qu</w:t>
      </w:r>
      <w:r>
        <w:rPr>
          <w:lang w:val="fr-FR"/>
        </w:rPr>
        <w:t>’</w:t>
      </w:r>
      <w:r w:rsidRPr="004573F6">
        <w:rPr>
          <w:lang w:val="fr-FR"/>
        </w:rPr>
        <w:t xml:space="preserve">il est nécessaire de prévoir de longs délais pour organiser des réunions auxquelles </w:t>
      </w:r>
      <w:r>
        <w:rPr>
          <w:lang w:val="fr-FR"/>
        </w:rPr>
        <w:t xml:space="preserve">pourront </w:t>
      </w:r>
      <w:r w:rsidRPr="004573F6">
        <w:rPr>
          <w:lang w:val="fr-FR"/>
        </w:rPr>
        <w:t>participe</w:t>
      </w:r>
      <w:r>
        <w:rPr>
          <w:lang w:val="fr-FR"/>
        </w:rPr>
        <w:t>r</w:t>
      </w:r>
      <w:r w:rsidRPr="004573F6">
        <w:rPr>
          <w:lang w:val="fr-FR"/>
        </w:rPr>
        <w:t xml:space="preserve"> des représentants de plusieurs ministères ou organismes. Le Danemark fait observer qu</w:t>
      </w:r>
      <w:r>
        <w:rPr>
          <w:lang w:val="fr-FR"/>
        </w:rPr>
        <w:t>’</w:t>
      </w:r>
      <w:r w:rsidRPr="004573F6">
        <w:rPr>
          <w:lang w:val="fr-FR"/>
        </w:rPr>
        <w:t>en raison des délais stricts fixés au niveau national pour la prise de décision</w:t>
      </w:r>
      <w:r w:rsidR="00A548CC">
        <w:rPr>
          <w:lang w:val="fr-FR"/>
        </w:rPr>
        <w:t>s</w:t>
      </w:r>
      <w:r w:rsidRPr="004573F6">
        <w:rPr>
          <w:lang w:val="fr-FR"/>
        </w:rPr>
        <w:t>, il peut être difficile d</w:t>
      </w:r>
      <w:r>
        <w:rPr>
          <w:lang w:val="fr-FR"/>
        </w:rPr>
        <w:t>’</w:t>
      </w:r>
      <w:r w:rsidRPr="004573F6">
        <w:rPr>
          <w:lang w:val="fr-FR"/>
        </w:rPr>
        <w:t>un point de vue politique d</w:t>
      </w:r>
      <w:r>
        <w:rPr>
          <w:lang w:val="fr-FR"/>
        </w:rPr>
        <w:t>’</w:t>
      </w:r>
      <w:r w:rsidRPr="004573F6">
        <w:rPr>
          <w:lang w:val="fr-FR"/>
        </w:rPr>
        <w:t xml:space="preserve">attendre au-delà du délai prévu pour la réception des résultats </w:t>
      </w:r>
      <w:r>
        <w:rPr>
          <w:lang w:val="fr-FR"/>
        </w:rPr>
        <w:t>de</w:t>
      </w:r>
      <w:r w:rsidRPr="004573F6">
        <w:rPr>
          <w:lang w:val="fr-FR"/>
        </w:rPr>
        <w:t xml:space="preserve"> la </w:t>
      </w:r>
      <w:r>
        <w:rPr>
          <w:lang w:val="fr-FR"/>
        </w:rPr>
        <w:t xml:space="preserve">procédure de </w:t>
      </w:r>
      <w:r w:rsidRPr="004573F6">
        <w:rPr>
          <w:lang w:val="fr-FR"/>
        </w:rPr>
        <w:t xml:space="preserve">participation et </w:t>
      </w:r>
      <w:r>
        <w:rPr>
          <w:lang w:val="fr-FR"/>
        </w:rPr>
        <w:t>des</w:t>
      </w:r>
      <w:r w:rsidRPr="004573F6">
        <w:rPr>
          <w:lang w:val="fr-FR"/>
        </w:rPr>
        <w:t xml:space="preserve"> consultations. La Pologne décrit une série de difficultés qu</w:t>
      </w:r>
      <w:r>
        <w:rPr>
          <w:lang w:val="fr-FR"/>
        </w:rPr>
        <w:t>’</w:t>
      </w:r>
      <w:r w:rsidRPr="004573F6">
        <w:rPr>
          <w:lang w:val="fr-FR"/>
        </w:rPr>
        <w:t>elle a rencontrées, notamment :</w:t>
      </w:r>
    </w:p>
    <w:p w14:paraId="3CCB9A8E" w14:textId="77777777" w:rsidR="00A90AAA" w:rsidRPr="004573F6" w:rsidRDefault="00A90AAA" w:rsidP="00A90AAA">
      <w:pPr>
        <w:pStyle w:val="Bullet1G"/>
        <w:numPr>
          <w:ilvl w:val="0"/>
          <w:numId w:val="0"/>
        </w:numPr>
        <w:tabs>
          <w:tab w:val="left" w:pos="1701"/>
        </w:tabs>
        <w:ind w:left="1701" w:hanging="170"/>
        <w:rPr>
          <w:lang w:val="fr-FR"/>
        </w:rPr>
      </w:pPr>
      <w:r w:rsidRPr="004573F6">
        <w:rPr>
          <w:lang w:val="fr-FR"/>
        </w:rPr>
        <w:t>•</w:t>
      </w:r>
      <w:r w:rsidRPr="004573F6">
        <w:rPr>
          <w:lang w:val="fr-FR"/>
        </w:rPr>
        <w:tab/>
        <w:t>Les différences entre la Partie d</w:t>
      </w:r>
      <w:r>
        <w:rPr>
          <w:lang w:val="fr-FR"/>
        </w:rPr>
        <w:t>’</w:t>
      </w:r>
      <w:r w:rsidRPr="004573F6">
        <w:rPr>
          <w:lang w:val="fr-FR"/>
        </w:rPr>
        <w:t>origine et la Partie touchée en ce qui concerne les attentes, les procédures juridiques et les pratiques</w:t>
      </w:r>
      <w:r>
        <w:rPr>
          <w:lang w:val="fr-FR"/>
        </w:rPr>
        <w:t> </w:t>
      </w:r>
      <w:r w:rsidRPr="004573F6">
        <w:rPr>
          <w:lang w:val="fr-FR"/>
        </w:rPr>
        <w:t>;</w:t>
      </w:r>
    </w:p>
    <w:p w14:paraId="69F508DC" w14:textId="77777777" w:rsidR="00A90AAA" w:rsidRPr="004573F6" w:rsidRDefault="00A90AAA" w:rsidP="00A90AAA">
      <w:pPr>
        <w:pStyle w:val="Bullet1G"/>
        <w:numPr>
          <w:ilvl w:val="0"/>
          <w:numId w:val="0"/>
        </w:numPr>
        <w:tabs>
          <w:tab w:val="left" w:pos="1701"/>
        </w:tabs>
        <w:ind w:left="1701" w:hanging="170"/>
        <w:rPr>
          <w:lang w:val="fr-FR"/>
        </w:rPr>
      </w:pPr>
      <w:r w:rsidRPr="004573F6">
        <w:rPr>
          <w:lang w:val="fr-FR"/>
        </w:rPr>
        <w:t>•</w:t>
      </w:r>
      <w:r w:rsidRPr="004573F6">
        <w:rPr>
          <w:lang w:val="fr-FR"/>
        </w:rPr>
        <w:tab/>
        <w:t>Le traitement de grandes quantités (plusieurs milliers) d</w:t>
      </w:r>
      <w:r>
        <w:rPr>
          <w:lang w:val="fr-FR"/>
        </w:rPr>
        <w:t>’</w:t>
      </w:r>
      <w:r w:rsidRPr="004573F6">
        <w:rPr>
          <w:lang w:val="fr-FR"/>
        </w:rPr>
        <w:t>observations communiquées par le public dans une Partie touchée, qui peut être très coûteux pour la Partie d</w:t>
      </w:r>
      <w:r>
        <w:rPr>
          <w:lang w:val="fr-FR"/>
        </w:rPr>
        <w:t>’</w:t>
      </w:r>
      <w:r w:rsidRPr="004573F6">
        <w:rPr>
          <w:lang w:val="fr-FR"/>
        </w:rPr>
        <w:t>origine où elles doivent être traduites</w:t>
      </w:r>
      <w:r>
        <w:rPr>
          <w:lang w:val="fr-FR"/>
        </w:rPr>
        <w:t> </w:t>
      </w:r>
      <w:r w:rsidRPr="004573F6">
        <w:rPr>
          <w:lang w:val="fr-FR"/>
        </w:rPr>
        <w:t>;</w:t>
      </w:r>
    </w:p>
    <w:p w14:paraId="7861C080" w14:textId="77777777" w:rsidR="00A90AAA" w:rsidRPr="004573F6" w:rsidRDefault="00A90AAA" w:rsidP="00A90AAA">
      <w:pPr>
        <w:pStyle w:val="Bullet1G"/>
        <w:numPr>
          <w:ilvl w:val="0"/>
          <w:numId w:val="0"/>
        </w:numPr>
        <w:tabs>
          <w:tab w:val="left" w:pos="1701"/>
        </w:tabs>
        <w:ind w:left="1701" w:hanging="170"/>
        <w:rPr>
          <w:lang w:val="fr-FR"/>
        </w:rPr>
      </w:pPr>
      <w:r w:rsidRPr="004573F6">
        <w:rPr>
          <w:lang w:val="fr-FR"/>
        </w:rPr>
        <w:t>•</w:t>
      </w:r>
      <w:r w:rsidRPr="004573F6">
        <w:rPr>
          <w:lang w:val="fr-FR"/>
        </w:rPr>
        <w:tab/>
        <w:t>Les retards pris dans le « processus d</w:t>
      </w:r>
      <w:r>
        <w:rPr>
          <w:lang w:val="fr-FR"/>
        </w:rPr>
        <w:t>’</w:t>
      </w:r>
      <w:r w:rsidRPr="004573F6">
        <w:rPr>
          <w:lang w:val="fr-FR"/>
        </w:rPr>
        <w:t>investissement » en raison du non-respect des délais par les Parties touchées</w:t>
      </w:r>
      <w:r>
        <w:rPr>
          <w:lang w:val="fr-FR"/>
        </w:rPr>
        <w:t> </w:t>
      </w:r>
      <w:r w:rsidRPr="004573F6">
        <w:rPr>
          <w:lang w:val="fr-FR"/>
        </w:rPr>
        <w:t>;</w:t>
      </w:r>
    </w:p>
    <w:p w14:paraId="5922F3DF" w14:textId="77777777" w:rsidR="00A90AAA" w:rsidRPr="004573F6" w:rsidRDefault="00A90AAA" w:rsidP="00A90AAA">
      <w:pPr>
        <w:pStyle w:val="Bullet1G"/>
        <w:numPr>
          <w:ilvl w:val="0"/>
          <w:numId w:val="0"/>
        </w:numPr>
        <w:tabs>
          <w:tab w:val="left" w:pos="1701"/>
        </w:tabs>
        <w:ind w:left="1701" w:hanging="170"/>
        <w:rPr>
          <w:lang w:val="fr-FR"/>
        </w:rPr>
      </w:pPr>
      <w:r w:rsidRPr="004573F6">
        <w:rPr>
          <w:lang w:val="fr-FR"/>
        </w:rPr>
        <w:t>•</w:t>
      </w:r>
      <w:r w:rsidRPr="004573F6">
        <w:rPr>
          <w:lang w:val="fr-FR"/>
        </w:rPr>
        <w:tab/>
        <w:t>Les retards dus à la nécessité de demander la traduction en polonais de documents supplémentaires ou d</w:t>
      </w:r>
      <w:r>
        <w:rPr>
          <w:lang w:val="fr-FR"/>
        </w:rPr>
        <w:t>’</w:t>
      </w:r>
      <w:r w:rsidRPr="004573F6">
        <w:rPr>
          <w:lang w:val="fr-FR"/>
        </w:rPr>
        <w:t>organiser cette traduction</w:t>
      </w:r>
      <w:r>
        <w:rPr>
          <w:lang w:val="fr-FR"/>
        </w:rPr>
        <w:t> </w:t>
      </w:r>
      <w:r w:rsidRPr="004573F6">
        <w:rPr>
          <w:lang w:val="fr-FR"/>
        </w:rPr>
        <w:t>;</w:t>
      </w:r>
    </w:p>
    <w:p w14:paraId="2CF29824" w14:textId="77777777" w:rsidR="00A90AAA" w:rsidRPr="004573F6" w:rsidRDefault="00A90AAA" w:rsidP="00A90AAA">
      <w:pPr>
        <w:pStyle w:val="Bullet1G"/>
        <w:numPr>
          <w:ilvl w:val="0"/>
          <w:numId w:val="0"/>
        </w:numPr>
        <w:tabs>
          <w:tab w:val="left" w:pos="1701"/>
        </w:tabs>
        <w:ind w:left="1701" w:hanging="170"/>
        <w:rPr>
          <w:lang w:val="fr-FR"/>
        </w:rPr>
      </w:pPr>
      <w:r w:rsidRPr="004573F6">
        <w:rPr>
          <w:lang w:val="fr-FR"/>
        </w:rPr>
        <w:t>•</w:t>
      </w:r>
      <w:r w:rsidRPr="004573F6">
        <w:rPr>
          <w:lang w:val="fr-FR"/>
        </w:rPr>
        <w:tab/>
        <w:t xml:space="preserve">Les </w:t>
      </w:r>
      <w:r>
        <w:rPr>
          <w:lang w:val="fr-FR"/>
        </w:rPr>
        <w:t>difficultés liées à la communication des</w:t>
      </w:r>
      <w:r w:rsidRPr="004573F6">
        <w:rPr>
          <w:lang w:val="fr-FR"/>
        </w:rPr>
        <w:t xml:space="preserve"> décision</w:t>
      </w:r>
      <w:r>
        <w:rPr>
          <w:lang w:val="fr-FR"/>
        </w:rPr>
        <w:t>s</w:t>
      </w:r>
      <w:r w:rsidRPr="004573F6">
        <w:rPr>
          <w:lang w:val="fr-FR"/>
        </w:rPr>
        <w:t xml:space="preserve"> </w:t>
      </w:r>
      <w:r>
        <w:rPr>
          <w:lang w:val="fr-FR"/>
        </w:rPr>
        <w:t>définitives des Parties d’origine</w:t>
      </w:r>
      <w:r w:rsidRPr="004573F6">
        <w:rPr>
          <w:lang w:val="fr-FR"/>
        </w:rPr>
        <w:t>.</w:t>
      </w:r>
    </w:p>
    <w:p w14:paraId="71C366A8" w14:textId="77777777" w:rsidR="00A90AAA" w:rsidRPr="004573F6" w:rsidRDefault="00A90AAA" w:rsidP="00A90AAA">
      <w:pPr>
        <w:pStyle w:val="H23G"/>
        <w:rPr>
          <w:lang w:val="fr-FR"/>
        </w:rPr>
      </w:pPr>
      <w:r w:rsidRPr="004573F6">
        <w:rPr>
          <w:lang w:val="fr-FR"/>
        </w:rPr>
        <w:tab/>
        <w:t>5.</w:t>
      </w:r>
      <w:r w:rsidRPr="004573F6">
        <w:rPr>
          <w:lang w:val="fr-FR"/>
        </w:rPr>
        <w:tab/>
        <w:t>Analyse a posteriori</w:t>
      </w:r>
    </w:p>
    <w:p w14:paraId="7046231B" w14:textId="77777777" w:rsidR="00A90AAA" w:rsidRPr="004573F6" w:rsidRDefault="00A90AAA" w:rsidP="00A90AAA">
      <w:pPr>
        <w:pStyle w:val="SingleTxtG"/>
        <w:rPr>
          <w:lang w:val="fr-FR"/>
        </w:rPr>
      </w:pPr>
      <w:r w:rsidRPr="00AC53DD">
        <w:rPr>
          <w:lang w:val="fr-FR"/>
        </w:rPr>
        <w:t>67.</w:t>
      </w:r>
      <w:r w:rsidRPr="00AC53DD">
        <w:rPr>
          <w:lang w:val="fr-FR"/>
        </w:rPr>
        <w:tab/>
        <w:t>Seul un petit nombre</w:t>
      </w:r>
      <w:r w:rsidRPr="00AC53DD">
        <w:rPr>
          <w:i/>
          <w:iCs/>
          <w:lang w:val="fr-FR"/>
        </w:rPr>
        <w:t xml:space="preserve"> </w:t>
      </w:r>
      <w:r w:rsidRPr="00AC53DD">
        <w:rPr>
          <w:lang w:val="fr-FR"/>
        </w:rPr>
        <w:t>de répondants (6) a procédé à des analyses a posteriori au cours de la période couverte par l</w:t>
      </w:r>
      <w:r>
        <w:rPr>
          <w:lang w:val="fr-FR"/>
        </w:rPr>
        <w:t>’</w:t>
      </w:r>
      <w:r w:rsidRPr="00AC53DD">
        <w:rPr>
          <w:lang w:val="fr-FR"/>
        </w:rPr>
        <w:t>examen (question II.13). Les Pays-Bas fournissent, à titre d</w:t>
      </w:r>
      <w:r>
        <w:rPr>
          <w:lang w:val="fr-FR"/>
        </w:rPr>
        <w:t>’</w:t>
      </w:r>
      <w:r w:rsidRPr="00AC53DD">
        <w:rPr>
          <w:lang w:val="fr-FR"/>
        </w:rPr>
        <w:t>exemple de leurs pratiques d</w:t>
      </w:r>
      <w:r>
        <w:rPr>
          <w:lang w:val="fr-FR"/>
        </w:rPr>
        <w:t>’</w:t>
      </w:r>
      <w:r w:rsidRPr="00AC53DD">
        <w:rPr>
          <w:lang w:val="fr-FR"/>
        </w:rPr>
        <w:t>analyse a posteriori, un lien Internet vers une page présentant les activités de suivi d</w:t>
      </w:r>
      <w:r>
        <w:rPr>
          <w:lang w:val="fr-FR"/>
        </w:rPr>
        <w:t>’</w:t>
      </w:r>
      <w:r w:rsidRPr="00AC53DD">
        <w:rPr>
          <w:lang w:val="fr-FR"/>
        </w:rPr>
        <w:t>un projet d</w:t>
      </w:r>
      <w:r>
        <w:rPr>
          <w:lang w:val="fr-FR"/>
        </w:rPr>
        <w:t>’</w:t>
      </w:r>
      <w:r w:rsidRPr="00AC53DD">
        <w:rPr>
          <w:lang w:val="fr-FR"/>
        </w:rPr>
        <w:t>extraction de sel dans la mer des Wadden</w:t>
      </w:r>
      <w:r w:rsidRPr="00A90AAA">
        <w:rPr>
          <w:rStyle w:val="Appelnotedebasdep"/>
        </w:rPr>
        <w:footnoteReference w:id="7"/>
      </w:r>
      <w:r w:rsidRPr="00AC53DD">
        <w:rPr>
          <w:lang w:val="fr-FR"/>
        </w:rPr>
        <w:t>. Des liens Internet vers les pages relatives aux projets autorisés pour lesquels une analyse a posteriori est en cours sont également fournis par la Belgique (État fédéral)</w:t>
      </w:r>
      <w:r w:rsidRPr="00A90AAA">
        <w:rPr>
          <w:rStyle w:val="Appelnotedebasdep"/>
        </w:rPr>
        <w:footnoteReference w:id="8"/>
      </w:r>
      <w:r w:rsidRPr="00AC53DD">
        <w:rPr>
          <w:lang w:val="fr-FR"/>
        </w:rPr>
        <w:t>.</w:t>
      </w:r>
    </w:p>
    <w:p w14:paraId="4DBDA830" w14:textId="77777777" w:rsidR="00A90AAA" w:rsidRPr="004573F6" w:rsidRDefault="00A90AAA" w:rsidP="00A90AAA">
      <w:pPr>
        <w:pStyle w:val="H23G"/>
        <w:rPr>
          <w:lang w:val="fr-FR"/>
        </w:rPr>
      </w:pPr>
      <w:r w:rsidRPr="004573F6">
        <w:rPr>
          <w:lang w:val="fr-FR"/>
        </w:rPr>
        <w:tab/>
        <w:t>6.</w:t>
      </w:r>
      <w:r w:rsidRPr="004573F6">
        <w:rPr>
          <w:lang w:val="fr-FR"/>
        </w:rPr>
        <w:tab/>
        <w:t>Exemples de réussites et de bonnes pratiques</w:t>
      </w:r>
    </w:p>
    <w:p w14:paraId="7FEA0A22" w14:textId="1D7B59ED" w:rsidR="00A90AAA" w:rsidRPr="004573F6" w:rsidRDefault="00A90AAA" w:rsidP="00A90AAA">
      <w:pPr>
        <w:pStyle w:val="SingleTxtG"/>
        <w:rPr>
          <w:lang w:val="fr-FR"/>
        </w:rPr>
      </w:pPr>
      <w:r w:rsidRPr="004573F6">
        <w:rPr>
          <w:lang w:val="fr-FR"/>
        </w:rPr>
        <w:t>68.</w:t>
      </w:r>
      <w:r w:rsidRPr="004573F6">
        <w:rPr>
          <w:lang w:val="fr-FR"/>
        </w:rPr>
        <w:tab/>
        <w:t>Les Parties ont été invitées à fournir par écrit au moins un exemple d</w:t>
      </w:r>
      <w:r>
        <w:rPr>
          <w:lang w:val="fr-FR"/>
        </w:rPr>
        <w:t>’</w:t>
      </w:r>
      <w:r w:rsidRPr="004573F6">
        <w:rPr>
          <w:lang w:val="fr-FR"/>
        </w:rPr>
        <w:t>application de la Convention parmi les cas qu</w:t>
      </w:r>
      <w:r>
        <w:rPr>
          <w:lang w:val="fr-FR"/>
        </w:rPr>
        <w:t>’</w:t>
      </w:r>
      <w:r w:rsidRPr="004573F6">
        <w:rPr>
          <w:lang w:val="fr-FR"/>
        </w:rPr>
        <w:t xml:space="preserve">elles ont mentionnés (question II.4), </w:t>
      </w:r>
      <w:r>
        <w:rPr>
          <w:lang w:val="fr-FR"/>
        </w:rPr>
        <w:t>ce que</w:t>
      </w:r>
      <w:r w:rsidRPr="004573F6">
        <w:rPr>
          <w:lang w:val="fr-FR"/>
        </w:rPr>
        <w:t xml:space="preserve"> 15</w:t>
      </w:r>
      <w:r>
        <w:rPr>
          <w:lang w:val="fr-FR"/>
        </w:rPr>
        <w:t> d’entre elles</w:t>
      </w:r>
      <w:r w:rsidRPr="004573F6">
        <w:rPr>
          <w:lang w:val="fr-FR"/>
        </w:rPr>
        <w:t xml:space="preserve"> ont </w:t>
      </w:r>
      <w:r>
        <w:rPr>
          <w:lang w:val="fr-FR"/>
        </w:rPr>
        <w:t>fait</w:t>
      </w:r>
      <w:r w:rsidRPr="004573F6">
        <w:rPr>
          <w:lang w:val="fr-FR"/>
        </w:rPr>
        <w:t>. Les grandes caractéristiques des applications mentionnées sont résumées sur le site Web de la Convention. Les Parties ont également été invitées à décrire la ou les étapes de la procédure qui constitue(nt) une bonne pratique et à expliquer pourquoi (questionnaire, annexe</w:t>
      </w:r>
      <w:r w:rsidR="00A548CC">
        <w:rPr>
          <w:lang w:val="fr-FR"/>
        </w:rPr>
        <w:t> </w:t>
      </w:r>
      <w:r w:rsidRPr="004573F6">
        <w:rPr>
          <w:lang w:val="fr-FR"/>
        </w:rPr>
        <w:t>III, sect.</w:t>
      </w:r>
      <w:r>
        <w:rPr>
          <w:lang w:val="fr-FR"/>
        </w:rPr>
        <w:t> </w:t>
      </w:r>
      <w:r w:rsidRPr="004573F6">
        <w:rPr>
          <w:lang w:val="fr-FR"/>
        </w:rPr>
        <w:t>III).</w:t>
      </w:r>
    </w:p>
    <w:p w14:paraId="5093AC3E" w14:textId="77777777" w:rsidR="00A90AAA" w:rsidRPr="00C0179C" w:rsidRDefault="00A90AAA" w:rsidP="00A90AAA">
      <w:pPr>
        <w:pStyle w:val="SingleTxtG"/>
        <w:rPr>
          <w:lang w:val="fr-FR"/>
        </w:rPr>
      </w:pPr>
      <w:r w:rsidRPr="00AC53DD">
        <w:rPr>
          <w:lang w:val="fr-FR"/>
        </w:rPr>
        <w:t>69.</w:t>
      </w:r>
      <w:r w:rsidRPr="00AC53DD">
        <w:rPr>
          <w:lang w:val="fr-FR"/>
        </w:rPr>
        <w:tab/>
        <w:t>Quelques-uns des exemples fournis pourraient être utilisés pour élaborer des études de cas concernant les bonnes pratiques</w:t>
      </w:r>
      <w:r>
        <w:rPr>
          <w:lang w:val="fr-FR"/>
        </w:rPr>
        <w:t>,</w:t>
      </w:r>
      <w:r w:rsidRPr="00AC53DD">
        <w:rPr>
          <w:lang w:val="fr-FR"/>
        </w:rPr>
        <w:t xml:space="preserve"> par exemple, les pratiques de traduction (Tchéquie)</w:t>
      </w:r>
      <w:r>
        <w:rPr>
          <w:lang w:val="fr-FR"/>
        </w:rPr>
        <w:t>,</w:t>
      </w:r>
      <w:r w:rsidRPr="00AC53DD">
        <w:rPr>
          <w:lang w:val="fr-FR"/>
        </w:rPr>
        <w:t xml:space="preserve"> les pratiques de notification (Estonie)</w:t>
      </w:r>
      <w:r>
        <w:rPr>
          <w:lang w:val="fr-FR"/>
        </w:rPr>
        <w:t>,</w:t>
      </w:r>
      <w:r w:rsidRPr="00AC53DD">
        <w:rPr>
          <w:lang w:val="fr-FR"/>
        </w:rPr>
        <w:t xml:space="preserve"> les analyses a posteriori (Pologne) ou la démonstration de l</w:t>
      </w:r>
      <w:r>
        <w:rPr>
          <w:lang w:val="fr-FR"/>
        </w:rPr>
        <w:t>’</w:t>
      </w:r>
      <w:r w:rsidRPr="00AC53DD">
        <w:rPr>
          <w:lang w:val="fr-FR"/>
        </w:rPr>
        <w:t>utilité des accords bilatéraux (Espagne). Toutefois, les informations fournies dans la majorité des exemples ne contenaient pas suffisamment de données probantes concernant les bonnes pratiques mentionnées.</w:t>
      </w:r>
    </w:p>
    <w:p w14:paraId="4C43A3F5" w14:textId="206919B0" w:rsidR="00A90AAA" w:rsidRPr="00C0179C" w:rsidRDefault="00A90AAA" w:rsidP="00A90AAA">
      <w:pPr>
        <w:pStyle w:val="SingleTxtG"/>
        <w:rPr>
          <w:lang w:val="fr-FR"/>
        </w:rPr>
      </w:pPr>
      <w:r w:rsidRPr="00C0179C">
        <w:rPr>
          <w:lang w:val="fr-FR"/>
        </w:rPr>
        <w:t>70.</w:t>
      </w:r>
      <w:r w:rsidRPr="00C0179C">
        <w:rPr>
          <w:lang w:val="fr-FR"/>
        </w:rPr>
        <w:tab/>
        <w:t>Les Parties ont également été invitées à fournir des exemples de ce qu</w:t>
      </w:r>
      <w:r>
        <w:rPr>
          <w:lang w:val="fr-FR"/>
        </w:rPr>
        <w:t>’</w:t>
      </w:r>
      <w:r w:rsidRPr="00C0179C">
        <w:rPr>
          <w:lang w:val="fr-FR"/>
        </w:rPr>
        <w:t xml:space="preserve">elles considéraient comme des bonnes pratiques et des pratiques efficaces (question II.15). Des exemples ont été fournis par </w:t>
      </w:r>
      <w:r w:rsidR="00A548CC">
        <w:rPr>
          <w:lang w:val="fr-FR"/>
        </w:rPr>
        <w:t>11</w:t>
      </w:r>
      <w:r w:rsidRPr="00C0179C">
        <w:rPr>
          <w:lang w:val="fr-FR"/>
        </w:rPr>
        <w:t xml:space="preserve"> pays et sont publiés sur le site Web de la Convention. </w:t>
      </w:r>
    </w:p>
    <w:p w14:paraId="59F5DB40" w14:textId="44B9506F" w:rsidR="00A90AAA" w:rsidRPr="00C0179C" w:rsidRDefault="00A90AAA" w:rsidP="00A90AAA">
      <w:pPr>
        <w:pStyle w:val="SingleTxtG"/>
        <w:rPr>
          <w:lang w:val="fr-FR"/>
        </w:rPr>
      </w:pPr>
      <w:r w:rsidRPr="00C0179C">
        <w:rPr>
          <w:lang w:val="fr-FR"/>
        </w:rPr>
        <w:t>71.</w:t>
      </w:r>
      <w:r w:rsidRPr="00C0179C">
        <w:rPr>
          <w:lang w:val="fr-FR"/>
        </w:rPr>
        <w:tab/>
        <w:t>Sept Parties mentionnent des exemples de procédures transfrontières réussies appliquées à des projets transfrontières communs, à la construction de centrales nucléaires ou à la prolongation de leur durée de vie (question II.14) (voir tableau</w:t>
      </w:r>
      <w:r>
        <w:rPr>
          <w:lang w:val="fr-FR"/>
        </w:rPr>
        <w:t> </w:t>
      </w:r>
      <w:r w:rsidRPr="00C0179C">
        <w:rPr>
          <w:lang w:val="fr-FR"/>
        </w:rPr>
        <w:t xml:space="preserve">7), mais </w:t>
      </w:r>
      <w:r>
        <w:rPr>
          <w:lang w:val="fr-FR"/>
        </w:rPr>
        <w:t>peu</w:t>
      </w:r>
      <w:r w:rsidRPr="00C0179C">
        <w:rPr>
          <w:lang w:val="fr-FR"/>
        </w:rPr>
        <w:t xml:space="preserve"> d</w:t>
      </w:r>
      <w:r>
        <w:rPr>
          <w:lang w:val="fr-FR"/>
        </w:rPr>
        <w:t>’</w:t>
      </w:r>
      <w:r w:rsidRPr="00C0179C">
        <w:rPr>
          <w:lang w:val="fr-FR"/>
        </w:rPr>
        <w:t xml:space="preserve">entre elles </w:t>
      </w:r>
      <w:r>
        <w:rPr>
          <w:lang w:val="fr-FR"/>
        </w:rPr>
        <w:t>expliquent en quoi ces procédures</w:t>
      </w:r>
      <w:r w:rsidRPr="00C0179C">
        <w:rPr>
          <w:lang w:val="fr-FR"/>
        </w:rPr>
        <w:t xml:space="preserve"> constitue</w:t>
      </w:r>
      <w:r>
        <w:rPr>
          <w:lang w:val="fr-FR"/>
        </w:rPr>
        <w:t>nt</w:t>
      </w:r>
      <w:r w:rsidRPr="00C0179C">
        <w:rPr>
          <w:lang w:val="fr-FR"/>
        </w:rPr>
        <w:t xml:space="preserve"> </w:t>
      </w:r>
      <w:r>
        <w:rPr>
          <w:lang w:val="fr-FR"/>
        </w:rPr>
        <w:t>des</w:t>
      </w:r>
      <w:r w:rsidRPr="00C0179C">
        <w:rPr>
          <w:lang w:val="fr-FR"/>
        </w:rPr>
        <w:t xml:space="preserve"> réussite</w:t>
      </w:r>
      <w:r>
        <w:rPr>
          <w:lang w:val="fr-FR"/>
        </w:rPr>
        <w:t>s</w:t>
      </w:r>
      <w:r w:rsidRPr="00C0179C">
        <w:rPr>
          <w:lang w:val="fr-FR"/>
        </w:rPr>
        <w:t>.</w:t>
      </w:r>
    </w:p>
    <w:p w14:paraId="47E8F9A5" w14:textId="4AF4B69A" w:rsidR="00A90AAA" w:rsidRPr="002054DF" w:rsidRDefault="00A90AAA" w:rsidP="00A90AAA">
      <w:pPr>
        <w:pStyle w:val="Titre1"/>
        <w:spacing w:after="120"/>
        <w:rPr>
          <w:lang w:val="fr-FR"/>
        </w:rPr>
      </w:pPr>
      <w:r w:rsidRPr="00C0179C">
        <w:rPr>
          <w:lang w:val="fr-FR"/>
        </w:rPr>
        <w:t>Tableau</w:t>
      </w:r>
      <w:r>
        <w:rPr>
          <w:lang w:val="fr-FR"/>
        </w:rPr>
        <w:t> </w:t>
      </w:r>
      <w:r w:rsidRPr="00C0179C">
        <w:rPr>
          <w:lang w:val="fr-FR"/>
        </w:rPr>
        <w:t>7</w:t>
      </w:r>
      <w:r>
        <w:rPr>
          <w:lang w:val="fr-FR"/>
        </w:rPr>
        <w:br/>
      </w:r>
      <w:r w:rsidRPr="00C0179C">
        <w:rPr>
          <w:b/>
          <w:bCs/>
          <w:lang w:val="fr-FR"/>
        </w:rPr>
        <w:t xml:space="preserve">Parties mentionnant des exemples de procédures réussies pour certaines catégories </w:t>
      </w:r>
      <w:r>
        <w:rPr>
          <w:b/>
          <w:bCs/>
          <w:lang w:val="fr-FR"/>
        </w:rPr>
        <w:br/>
      </w:r>
      <w:r w:rsidRPr="00C0179C">
        <w:rPr>
          <w:b/>
          <w:bCs/>
          <w:lang w:val="fr-FR"/>
        </w:rPr>
        <w:t>de projets</w:t>
      </w:r>
    </w:p>
    <w:tbl>
      <w:tblPr>
        <w:tblW w:w="7370" w:type="dxa"/>
        <w:tblInd w:w="1134" w:type="dxa"/>
        <w:tblLayout w:type="fixed"/>
        <w:tblCellMar>
          <w:left w:w="0" w:type="dxa"/>
          <w:right w:w="0" w:type="dxa"/>
        </w:tblCellMar>
        <w:tblLook w:val="04A0" w:firstRow="1" w:lastRow="0" w:firstColumn="1" w:lastColumn="0" w:noHBand="0" w:noVBand="1"/>
      </w:tblPr>
      <w:tblGrid>
        <w:gridCol w:w="2835"/>
        <w:gridCol w:w="4535"/>
      </w:tblGrid>
      <w:tr w:rsidR="00A90AAA" w:rsidRPr="002054DF" w14:paraId="511E429C" w14:textId="77777777" w:rsidTr="00A548CC">
        <w:trPr>
          <w:tblHeader/>
        </w:trPr>
        <w:tc>
          <w:tcPr>
            <w:tcW w:w="2835" w:type="dxa"/>
            <w:tcBorders>
              <w:top w:val="single" w:sz="4" w:space="0" w:color="auto"/>
              <w:bottom w:val="single" w:sz="12" w:space="0" w:color="auto"/>
            </w:tcBorders>
            <w:shd w:val="clear" w:color="auto" w:fill="auto"/>
            <w:vAlign w:val="bottom"/>
          </w:tcPr>
          <w:p w14:paraId="4FBE0F26" w14:textId="77777777" w:rsidR="00A90AAA" w:rsidRPr="002054DF" w:rsidRDefault="00A90AAA" w:rsidP="007F6BCD">
            <w:pPr>
              <w:spacing w:before="80" w:after="80" w:line="200" w:lineRule="exact"/>
              <w:ind w:right="113"/>
              <w:rPr>
                <w:i/>
                <w:sz w:val="16"/>
                <w:lang w:val="fr-FR" w:eastAsia="fr-FR"/>
              </w:rPr>
            </w:pPr>
            <w:r w:rsidRPr="002054DF">
              <w:rPr>
                <w:i/>
                <w:sz w:val="16"/>
                <w:lang w:val="fr-FR" w:eastAsia="fr-FR"/>
              </w:rPr>
              <w:t>Catégorie de projet</w:t>
            </w:r>
          </w:p>
        </w:tc>
        <w:tc>
          <w:tcPr>
            <w:tcW w:w="4535" w:type="dxa"/>
            <w:tcBorders>
              <w:top w:val="single" w:sz="4" w:space="0" w:color="auto"/>
              <w:bottom w:val="single" w:sz="12" w:space="0" w:color="auto"/>
            </w:tcBorders>
            <w:shd w:val="clear" w:color="auto" w:fill="auto"/>
            <w:vAlign w:val="bottom"/>
          </w:tcPr>
          <w:p w14:paraId="49580756" w14:textId="77777777" w:rsidR="00A90AAA" w:rsidRPr="002054DF" w:rsidRDefault="00A90AAA" w:rsidP="007F6BCD">
            <w:pPr>
              <w:spacing w:before="80" w:after="80" w:line="200" w:lineRule="exact"/>
              <w:ind w:right="113"/>
              <w:rPr>
                <w:i/>
                <w:sz w:val="16"/>
                <w:lang w:val="fr-FR" w:eastAsia="fr-FR"/>
              </w:rPr>
            </w:pPr>
            <w:r w:rsidRPr="002054DF">
              <w:rPr>
                <w:i/>
                <w:sz w:val="16"/>
                <w:lang w:val="fr-FR" w:eastAsia="fr-FR"/>
              </w:rPr>
              <w:t>Partie</w:t>
            </w:r>
            <w:r>
              <w:rPr>
                <w:i/>
                <w:sz w:val="16"/>
                <w:lang w:val="fr-FR" w:eastAsia="fr-FR"/>
              </w:rPr>
              <w:t>s</w:t>
            </w:r>
            <w:r w:rsidRPr="002054DF">
              <w:rPr>
                <w:i/>
                <w:sz w:val="16"/>
                <w:lang w:val="fr-FR" w:eastAsia="fr-FR"/>
              </w:rPr>
              <w:t xml:space="preserve"> mentionnant un ou plusieurs exemples de procédure réussie</w:t>
            </w:r>
          </w:p>
        </w:tc>
      </w:tr>
      <w:tr w:rsidR="00A90AAA" w:rsidRPr="002054DF" w14:paraId="08A12D36" w14:textId="77777777" w:rsidTr="00A548CC">
        <w:trPr>
          <w:trHeight w:hRule="exact" w:val="113"/>
          <w:tblHeader/>
        </w:trPr>
        <w:tc>
          <w:tcPr>
            <w:tcW w:w="2835" w:type="dxa"/>
            <w:tcBorders>
              <w:top w:val="single" w:sz="12" w:space="0" w:color="auto"/>
            </w:tcBorders>
            <w:shd w:val="clear" w:color="auto" w:fill="auto"/>
          </w:tcPr>
          <w:p w14:paraId="10EE48BF" w14:textId="77777777" w:rsidR="00A90AAA" w:rsidRPr="002054DF" w:rsidRDefault="00A90AAA" w:rsidP="007F6BCD">
            <w:pPr>
              <w:spacing w:before="40" w:after="120"/>
              <w:ind w:right="113"/>
              <w:rPr>
                <w:lang w:val="fr-FR" w:eastAsia="fr-FR"/>
              </w:rPr>
            </w:pPr>
          </w:p>
        </w:tc>
        <w:tc>
          <w:tcPr>
            <w:tcW w:w="4535" w:type="dxa"/>
            <w:tcBorders>
              <w:top w:val="single" w:sz="12" w:space="0" w:color="auto"/>
            </w:tcBorders>
            <w:shd w:val="clear" w:color="auto" w:fill="auto"/>
          </w:tcPr>
          <w:p w14:paraId="20697459" w14:textId="77777777" w:rsidR="00A90AAA" w:rsidRPr="002054DF" w:rsidRDefault="00A90AAA" w:rsidP="007F6BCD">
            <w:pPr>
              <w:spacing w:before="40" w:after="120"/>
              <w:ind w:right="113"/>
              <w:rPr>
                <w:lang w:val="fr-FR" w:eastAsia="fr-FR"/>
              </w:rPr>
            </w:pPr>
          </w:p>
        </w:tc>
      </w:tr>
      <w:tr w:rsidR="00A90AAA" w:rsidRPr="002054DF" w14:paraId="48575705" w14:textId="77777777" w:rsidTr="00A548CC">
        <w:tc>
          <w:tcPr>
            <w:tcW w:w="2835" w:type="dxa"/>
            <w:shd w:val="clear" w:color="auto" w:fill="auto"/>
          </w:tcPr>
          <w:p w14:paraId="2A5030E8" w14:textId="77777777" w:rsidR="00A90AAA" w:rsidRPr="002054DF" w:rsidRDefault="00A90AAA" w:rsidP="007F6BCD">
            <w:pPr>
              <w:spacing w:before="40" w:after="120"/>
              <w:ind w:right="113"/>
              <w:rPr>
                <w:szCs w:val="18"/>
                <w:lang w:val="fr-FR" w:eastAsia="fr-FR"/>
              </w:rPr>
            </w:pPr>
            <w:r w:rsidRPr="002054DF">
              <w:rPr>
                <w:lang w:val="fr-FR" w:eastAsia="fr-FR"/>
              </w:rPr>
              <w:t>Projets transfrontières communs</w:t>
            </w:r>
          </w:p>
        </w:tc>
        <w:tc>
          <w:tcPr>
            <w:tcW w:w="4535" w:type="dxa"/>
            <w:shd w:val="clear" w:color="auto" w:fill="auto"/>
          </w:tcPr>
          <w:p w14:paraId="61710846" w14:textId="77777777" w:rsidR="00A90AAA" w:rsidRPr="002054DF" w:rsidRDefault="00A90AAA" w:rsidP="007F6BCD">
            <w:pPr>
              <w:spacing w:before="40" w:after="120"/>
              <w:ind w:right="113"/>
              <w:rPr>
                <w:szCs w:val="18"/>
                <w:lang w:val="fr-FR" w:eastAsia="fr-FR"/>
              </w:rPr>
            </w:pPr>
            <w:r w:rsidRPr="002054DF">
              <w:rPr>
                <w:lang w:val="fr-FR" w:eastAsia="fr-FR"/>
              </w:rPr>
              <w:t>Irlande, Malte, Slovaquie</w:t>
            </w:r>
            <w:r>
              <w:rPr>
                <w:lang w:val="fr-FR" w:eastAsia="fr-FR"/>
              </w:rPr>
              <w:t xml:space="preserve"> et</w:t>
            </w:r>
            <w:r w:rsidRPr="002054DF">
              <w:rPr>
                <w:lang w:val="fr-FR" w:eastAsia="fr-FR"/>
              </w:rPr>
              <w:t xml:space="preserve"> Suède</w:t>
            </w:r>
          </w:p>
        </w:tc>
      </w:tr>
      <w:tr w:rsidR="00A90AAA" w:rsidRPr="002054DF" w14:paraId="60ADB039" w14:textId="77777777" w:rsidTr="00A548CC">
        <w:tc>
          <w:tcPr>
            <w:tcW w:w="2835" w:type="dxa"/>
            <w:shd w:val="clear" w:color="auto" w:fill="auto"/>
          </w:tcPr>
          <w:p w14:paraId="59B242BE" w14:textId="77777777" w:rsidR="00A90AAA" w:rsidRPr="002054DF" w:rsidRDefault="00A90AAA" w:rsidP="007F6BCD">
            <w:pPr>
              <w:spacing w:before="40" w:after="120"/>
              <w:ind w:right="113"/>
              <w:rPr>
                <w:szCs w:val="18"/>
                <w:lang w:val="fr-FR" w:eastAsia="fr-FR"/>
              </w:rPr>
            </w:pPr>
            <w:r w:rsidRPr="002054DF">
              <w:rPr>
                <w:lang w:val="fr-FR" w:eastAsia="fr-FR"/>
              </w:rPr>
              <w:t>Construction de centrales nucléaires</w:t>
            </w:r>
          </w:p>
        </w:tc>
        <w:tc>
          <w:tcPr>
            <w:tcW w:w="4535" w:type="dxa"/>
            <w:shd w:val="clear" w:color="auto" w:fill="auto"/>
          </w:tcPr>
          <w:p w14:paraId="26B74A64" w14:textId="77777777" w:rsidR="00A90AAA" w:rsidRPr="002054DF" w:rsidRDefault="00A90AAA" w:rsidP="007F6BCD">
            <w:pPr>
              <w:spacing w:before="40" w:after="120"/>
              <w:ind w:right="113"/>
              <w:rPr>
                <w:szCs w:val="18"/>
                <w:lang w:val="fr-FR" w:eastAsia="fr-FR"/>
              </w:rPr>
            </w:pPr>
            <w:r w:rsidRPr="002054DF">
              <w:rPr>
                <w:lang w:val="fr-FR" w:eastAsia="fr-FR"/>
              </w:rPr>
              <w:t>Irlande</w:t>
            </w:r>
          </w:p>
        </w:tc>
      </w:tr>
      <w:tr w:rsidR="00A90AAA" w:rsidRPr="002054DF" w14:paraId="634B36F2" w14:textId="77777777" w:rsidTr="00A548CC">
        <w:tc>
          <w:tcPr>
            <w:tcW w:w="2835" w:type="dxa"/>
            <w:tcBorders>
              <w:bottom w:val="single" w:sz="12" w:space="0" w:color="auto"/>
            </w:tcBorders>
            <w:shd w:val="clear" w:color="auto" w:fill="auto"/>
          </w:tcPr>
          <w:p w14:paraId="024E6901" w14:textId="77777777" w:rsidR="00A90AAA" w:rsidRPr="002054DF" w:rsidRDefault="00A90AAA" w:rsidP="007F6BCD">
            <w:pPr>
              <w:spacing w:before="40" w:after="120"/>
              <w:ind w:right="113"/>
              <w:rPr>
                <w:szCs w:val="18"/>
                <w:lang w:val="fr-FR" w:eastAsia="fr-FR"/>
              </w:rPr>
            </w:pPr>
            <w:r w:rsidRPr="002054DF">
              <w:rPr>
                <w:lang w:val="fr-FR" w:eastAsia="fr-FR"/>
              </w:rPr>
              <w:t>Prolongation de la durée de vie de centrales nucléaires</w:t>
            </w:r>
          </w:p>
        </w:tc>
        <w:tc>
          <w:tcPr>
            <w:tcW w:w="4535" w:type="dxa"/>
            <w:tcBorders>
              <w:bottom w:val="single" w:sz="12" w:space="0" w:color="auto"/>
            </w:tcBorders>
            <w:shd w:val="clear" w:color="auto" w:fill="auto"/>
          </w:tcPr>
          <w:p w14:paraId="151F0D3A" w14:textId="77777777" w:rsidR="00A90AAA" w:rsidRPr="002054DF" w:rsidRDefault="00A90AAA" w:rsidP="007F6BCD">
            <w:pPr>
              <w:spacing w:before="40" w:after="120"/>
              <w:ind w:right="113"/>
              <w:rPr>
                <w:szCs w:val="18"/>
                <w:lang w:val="fr-FR" w:eastAsia="fr-FR"/>
              </w:rPr>
            </w:pPr>
            <w:r w:rsidRPr="002054DF">
              <w:rPr>
                <w:lang w:val="fr-FR" w:eastAsia="fr-FR"/>
              </w:rPr>
              <w:t xml:space="preserve">Irlande, Finlande, Luxembourg </w:t>
            </w:r>
            <w:r>
              <w:rPr>
                <w:lang w:val="fr-FR" w:eastAsia="fr-FR"/>
              </w:rPr>
              <w:t xml:space="preserve">et </w:t>
            </w:r>
            <w:r w:rsidRPr="002054DF">
              <w:rPr>
                <w:lang w:val="fr-FR" w:eastAsia="fr-FR"/>
              </w:rPr>
              <w:t>Slovénie</w:t>
            </w:r>
          </w:p>
        </w:tc>
      </w:tr>
    </w:tbl>
    <w:p w14:paraId="5787E0B1" w14:textId="77777777" w:rsidR="00A90AAA" w:rsidRPr="00C0179C" w:rsidRDefault="00A90AAA" w:rsidP="00CE06A8">
      <w:pPr>
        <w:pStyle w:val="SingleTxtG"/>
        <w:spacing w:before="240"/>
        <w:rPr>
          <w:lang w:val="fr-FR"/>
        </w:rPr>
      </w:pPr>
      <w:r w:rsidRPr="00C0179C">
        <w:rPr>
          <w:lang w:val="fr-FR"/>
        </w:rPr>
        <w:t>72.</w:t>
      </w:r>
      <w:r w:rsidRPr="00C0179C">
        <w:rPr>
          <w:lang w:val="fr-FR"/>
        </w:rPr>
        <w:tab/>
      </w:r>
      <w:r w:rsidRPr="004573F6">
        <w:rPr>
          <w:lang w:val="fr-FR"/>
        </w:rPr>
        <w:t>En réponse à la question II.14, l</w:t>
      </w:r>
      <w:r w:rsidRPr="00C0179C">
        <w:rPr>
          <w:lang w:val="fr-FR"/>
        </w:rPr>
        <w:t xml:space="preserve">a Finlande </w:t>
      </w:r>
      <w:r>
        <w:rPr>
          <w:lang w:val="fr-FR"/>
        </w:rPr>
        <w:t>a expliqué que,</w:t>
      </w:r>
      <w:r w:rsidRPr="00C0179C">
        <w:rPr>
          <w:lang w:val="fr-FR"/>
        </w:rPr>
        <w:t xml:space="preserve"> </w:t>
      </w:r>
      <w:r>
        <w:rPr>
          <w:lang w:val="fr-FR"/>
        </w:rPr>
        <w:t>d</w:t>
      </w:r>
      <w:r w:rsidRPr="00C0179C">
        <w:rPr>
          <w:lang w:val="fr-FR"/>
        </w:rPr>
        <w:t>ans le cadre d</w:t>
      </w:r>
      <w:r>
        <w:rPr>
          <w:lang w:val="fr-FR"/>
        </w:rPr>
        <w:t>’</w:t>
      </w:r>
      <w:r w:rsidRPr="00C0179C">
        <w:rPr>
          <w:lang w:val="fr-FR"/>
        </w:rPr>
        <w:t>une procédure de prolongation de la durée de vie d</w:t>
      </w:r>
      <w:r>
        <w:rPr>
          <w:lang w:val="fr-FR"/>
        </w:rPr>
        <w:t>’</w:t>
      </w:r>
      <w:r w:rsidRPr="00C0179C">
        <w:rPr>
          <w:lang w:val="fr-FR"/>
        </w:rPr>
        <w:t xml:space="preserve">une centrale nucléaire, </w:t>
      </w:r>
      <w:r w:rsidRPr="004573F6">
        <w:rPr>
          <w:lang w:val="fr-FR"/>
        </w:rPr>
        <w:t xml:space="preserve">elle </w:t>
      </w:r>
      <w:r w:rsidRPr="00C0179C">
        <w:rPr>
          <w:lang w:val="fr-FR"/>
        </w:rPr>
        <w:t>a</w:t>
      </w:r>
      <w:r>
        <w:rPr>
          <w:lang w:val="fr-FR"/>
        </w:rPr>
        <w:t>vait</w:t>
      </w:r>
      <w:r w:rsidRPr="00C0179C">
        <w:rPr>
          <w:lang w:val="fr-FR"/>
        </w:rPr>
        <w:t xml:space="preserve"> non seulement pris contact avec les Parties qu</w:t>
      </w:r>
      <w:r>
        <w:rPr>
          <w:lang w:val="fr-FR"/>
        </w:rPr>
        <w:t>’</w:t>
      </w:r>
      <w:r w:rsidRPr="00C0179C">
        <w:rPr>
          <w:lang w:val="fr-FR"/>
        </w:rPr>
        <w:t>elle considérait comme des Parties touchées, mais aussi envoyé des informations sur cette activité à toutes les Parties à la Convention</w:t>
      </w:r>
      <w:r>
        <w:rPr>
          <w:lang w:val="fr-FR"/>
        </w:rPr>
        <w:t>,</w:t>
      </w:r>
      <w:r w:rsidRPr="00C0179C">
        <w:rPr>
          <w:lang w:val="fr-FR"/>
        </w:rPr>
        <w:t xml:space="preserve"> e</w:t>
      </w:r>
      <w:r>
        <w:rPr>
          <w:lang w:val="fr-FR"/>
        </w:rPr>
        <w:t>n</w:t>
      </w:r>
      <w:r w:rsidRPr="00C0179C">
        <w:rPr>
          <w:lang w:val="fr-FR"/>
        </w:rPr>
        <w:t xml:space="preserve"> leur donn</w:t>
      </w:r>
      <w:r>
        <w:rPr>
          <w:lang w:val="fr-FR"/>
        </w:rPr>
        <w:t>ant</w:t>
      </w:r>
      <w:r w:rsidRPr="00C0179C">
        <w:rPr>
          <w:lang w:val="fr-FR"/>
        </w:rPr>
        <w:t xml:space="preserve"> la possibilité de demander </w:t>
      </w:r>
      <w:r w:rsidRPr="004573F6">
        <w:rPr>
          <w:lang w:val="fr-FR"/>
        </w:rPr>
        <w:t>qu</w:t>
      </w:r>
      <w:r>
        <w:rPr>
          <w:lang w:val="fr-FR"/>
        </w:rPr>
        <w:t>’</w:t>
      </w:r>
      <w:r w:rsidRPr="00C0179C">
        <w:rPr>
          <w:lang w:val="fr-FR"/>
        </w:rPr>
        <w:t xml:space="preserve">une notification </w:t>
      </w:r>
      <w:r w:rsidRPr="004573F6">
        <w:rPr>
          <w:lang w:val="fr-FR"/>
        </w:rPr>
        <w:t xml:space="preserve">leur soit adressée </w:t>
      </w:r>
      <w:r w:rsidRPr="00C0179C">
        <w:rPr>
          <w:lang w:val="fr-FR"/>
        </w:rPr>
        <w:t>si elles se considéraient comme touchées.</w:t>
      </w:r>
    </w:p>
    <w:p w14:paraId="12C3CD08" w14:textId="77777777" w:rsidR="00A90AAA" w:rsidRPr="00C0179C" w:rsidRDefault="00A90AAA" w:rsidP="00A90AAA">
      <w:pPr>
        <w:pStyle w:val="SingleTxtG"/>
        <w:rPr>
          <w:lang w:val="fr-FR"/>
        </w:rPr>
      </w:pPr>
      <w:r w:rsidRPr="00C0179C">
        <w:rPr>
          <w:lang w:val="fr-FR"/>
        </w:rPr>
        <w:t>73.</w:t>
      </w:r>
      <w:r w:rsidRPr="00C0179C">
        <w:rPr>
          <w:lang w:val="fr-FR"/>
        </w:rPr>
        <w:tab/>
        <w:t>La Suède signale qu</w:t>
      </w:r>
      <w:r>
        <w:rPr>
          <w:lang w:val="fr-FR"/>
        </w:rPr>
        <w:t>’</w:t>
      </w:r>
      <w:r w:rsidRPr="00C0179C">
        <w:rPr>
          <w:lang w:val="fr-FR"/>
        </w:rPr>
        <w:t>elle a rencontré des difficultés dans le cadre d</w:t>
      </w:r>
      <w:r>
        <w:rPr>
          <w:lang w:val="fr-FR"/>
        </w:rPr>
        <w:t>’</w:t>
      </w:r>
      <w:r w:rsidRPr="00C0179C">
        <w:rPr>
          <w:lang w:val="fr-FR"/>
        </w:rPr>
        <w:t xml:space="preserve">une procédure transfrontière commune avec la Finlande concernant le calendrier des consultations et des activités relatives à la participation du public, en raison de différences entre les législations </w:t>
      </w:r>
      <w:r w:rsidRPr="004573F6">
        <w:rPr>
          <w:lang w:val="fr-FR"/>
        </w:rPr>
        <w:t>des deux pays</w:t>
      </w:r>
      <w:r w:rsidRPr="00C0179C">
        <w:rPr>
          <w:lang w:val="fr-FR"/>
        </w:rPr>
        <w:t>. Elle indique que ces difficultés ont été atténuées grâce à une coopération efficace entre les «</w:t>
      </w:r>
      <w:r>
        <w:rPr>
          <w:lang w:val="fr-FR"/>
        </w:rPr>
        <w:t> </w:t>
      </w:r>
      <w:r w:rsidRPr="00C0179C">
        <w:rPr>
          <w:lang w:val="fr-FR"/>
        </w:rPr>
        <w:t>points de contact/correspondants</w:t>
      </w:r>
      <w:r>
        <w:rPr>
          <w:lang w:val="fr-FR"/>
        </w:rPr>
        <w:t> </w:t>
      </w:r>
      <w:r w:rsidRPr="00C0179C">
        <w:rPr>
          <w:lang w:val="fr-FR"/>
        </w:rPr>
        <w:t xml:space="preserve">» </w:t>
      </w:r>
      <w:r>
        <w:rPr>
          <w:lang w:val="fr-FR"/>
        </w:rPr>
        <w:t>pour</w:t>
      </w:r>
      <w:r w:rsidRPr="00C0179C">
        <w:rPr>
          <w:lang w:val="fr-FR"/>
        </w:rPr>
        <w:t xml:space="preserve"> la Convention et les </w:t>
      </w:r>
      <w:r>
        <w:rPr>
          <w:lang w:val="fr-FR"/>
        </w:rPr>
        <w:t>porteurs</w:t>
      </w:r>
      <w:r w:rsidRPr="00C0179C">
        <w:rPr>
          <w:lang w:val="fr-FR"/>
        </w:rPr>
        <w:t xml:space="preserve"> d</w:t>
      </w:r>
      <w:r>
        <w:rPr>
          <w:lang w:val="fr-FR"/>
        </w:rPr>
        <w:t>u</w:t>
      </w:r>
      <w:r w:rsidRPr="00C0179C">
        <w:rPr>
          <w:lang w:val="fr-FR"/>
        </w:rPr>
        <w:t xml:space="preserve"> projet.</w:t>
      </w:r>
    </w:p>
    <w:p w14:paraId="7C9D6081" w14:textId="77777777" w:rsidR="00A90AAA" w:rsidRPr="00C0179C" w:rsidRDefault="00A90AAA" w:rsidP="00A90AAA">
      <w:pPr>
        <w:pStyle w:val="H23G"/>
        <w:rPr>
          <w:lang w:val="fr-FR"/>
        </w:rPr>
      </w:pPr>
      <w:bookmarkStart w:id="18" w:name="_Toc13428249"/>
      <w:r w:rsidRPr="004573F6">
        <w:rPr>
          <w:lang w:val="fr-FR"/>
        </w:rPr>
        <w:tab/>
      </w:r>
      <w:r w:rsidRPr="00C0179C">
        <w:rPr>
          <w:lang w:val="fr-FR"/>
        </w:rPr>
        <w:t>7.</w:t>
      </w:r>
      <w:r w:rsidRPr="00C0179C">
        <w:rPr>
          <w:lang w:val="fr-FR"/>
        </w:rPr>
        <w:tab/>
        <w:t>Utilisation des documents d</w:t>
      </w:r>
      <w:r>
        <w:rPr>
          <w:lang w:val="fr-FR"/>
        </w:rPr>
        <w:t>’</w:t>
      </w:r>
      <w:r w:rsidRPr="00C0179C">
        <w:rPr>
          <w:lang w:val="fr-FR"/>
        </w:rPr>
        <w:t xml:space="preserve">orientation officiels de la Commission économique </w:t>
      </w:r>
      <w:r>
        <w:rPr>
          <w:lang w:val="fr-FR"/>
        </w:rPr>
        <w:br/>
      </w:r>
      <w:r w:rsidRPr="00C0179C">
        <w:rPr>
          <w:lang w:val="fr-FR"/>
        </w:rPr>
        <w:t>pour l</w:t>
      </w:r>
      <w:r>
        <w:rPr>
          <w:lang w:val="fr-FR"/>
        </w:rPr>
        <w:t>’</w:t>
      </w:r>
      <w:r w:rsidRPr="00C0179C">
        <w:rPr>
          <w:lang w:val="fr-FR"/>
        </w:rPr>
        <w:t>Europe</w:t>
      </w:r>
      <w:bookmarkEnd w:id="18"/>
    </w:p>
    <w:p w14:paraId="3C8C2256" w14:textId="0DD74310" w:rsidR="00A90AAA" w:rsidRPr="00C0179C" w:rsidRDefault="00A90AAA" w:rsidP="00A90AAA">
      <w:pPr>
        <w:pStyle w:val="SingleTxtG"/>
        <w:rPr>
          <w:lang w:val="fr-FR"/>
        </w:rPr>
      </w:pPr>
      <w:r w:rsidRPr="00C0179C">
        <w:rPr>
          <w:lang w:val="fr-FR"/>
        </w:rPr>
        <w:t>74.</w:t>
      </w:r>
      <w:r w:rsidRPr="00C0179C">
        <w:rPr>
          <w:lang w:val="fr-FR"/>
        </w:rPr>
        <w:tab/>
        <w:t>Les tendances observées en ce qui concerne l</w:t>
      </w:r>
      <w:r>
        <w:rPr>
          <w:lang w:val="fr-FR"/>
        </w:rPr>
        <w:t>’</w:t>
      </w:r>
      <w:r w:rsidRPr="00C0179C">
        <w:rPr>
          <w:lang w:val="fr-FR"/>
        </w:rPr>
        <w:t>utilisation des documents d</w:t>
      </w:r>
      <w:r>
        <w:rPr>
          <w:lang w:val="fr-FR"/>
        </w:rPr>
        <w:t>’</w:t>
      </w:r>
      <w:r w:rsidRPr="00C0179C">
        <w:rPr>
          <w:lang w:val="fr-FR"/>
        </w:rPr>
        <w:t>orientation officiels de la CEE pendant la période couverte par l</w:t>
      </w:r>
      <w:r>
        <w:rPr>
          <w:lang w:val="fr-FR"/>
        </w:rPr>
        <w:t>’</w:t>
      </w:r>
      <w:r w:rsidRPr="00C0179C">
        <w:rPr>
          <w:lang w:val="fr-FR"/>
        </w:rPr>
        <w:t>examen sont résumées dans le tableau</w:t>
      </w:r>
      <w:r>
        <w:rPr>
          <w:lang w:val="fr-FR"/>
        </w:rPr>
        <w:t> </w:t>
      </w:r>
      <w:r w:rsidRPr="00C0179C">
        <w:rPr>
          <w:lang w:val="fr-FR"/>
        </w:rPr>
        <w:t>8 (question</w:t>
      </w:r>
      <w:r>
        <w:rPr>
          <w:lang w:val="fr-FR"/>
        </w:rPr>
        <w:t> </w:t>
      </w:r>
      <w:r w:rsidRPr="00C0179C">
        <w:rPr>
          <w:lang w:val="fr-FR"/>
        </w:rPr>
        <w:t xml:space="preserve">II.23). Les données indiquent que les répondants connaissent et utilisent généralement </w:t>
      </w:r>
      <w:r>
        <w:rPr>
          <w:lang w:val="fr-FR"/>
        </w:rPr>
        <w:t>c</w:t>
      </w:r>
      <w:r w:rsidRPr="00C0179C">
        <w:rPr>
          <w:lang w:val="fr-FR"/>
        </w:rPr>
        <w:t>es documents d</w:t>
      </w:r>
      <w:r>
        <w:rPr>
          <w:lang w:val="fr-FR"/>
        </w:rPr>
        <w:t>’</w:t>
      </w:r>
      <w:r w:rsidRPr="00C0179C">
        <w:rPr>
          <w:lang w:val="fr-FR"/>
        </w:rPr>
        <w:t>orientation</w:t>
      </w:r>
      <w:r>
        <w:rPr>
          <w:lang w:val="fr-FR"/>
        </w:rPr>
        <w:t>,</w:t>
      </w:r>
      <w:r w:rsidR="00A548CC">
        <w:rPr>
          <w:lang w:val="fr-FR"/>
        </w:rPr>
        <w:t xml:space="preserve"> </w:t>
      </w:r>
      <w:r w:rsidRPr="00C0179C">
        <w:rPr>
          <w:lang w:val="fr-FR"/>
        </w:rPr>
        <w:t>à l</w:t>
      </w:r>
      <w:r>
        <w:rPr>
          <w:lang w:val="fr-FR"/>
        </w:rPr>
        <w:t>’</w:t>
      </w:r>
      <w:r w:rsidRPr="00C0179C">
        <w:rPr>
          <w:lang w:val="fr-FR"/>
        </w:rPr>
        <w:t>exception des documents relatifs à des questions relativement spécialisées ou ayant une portée géographique limitée (c</w:t>
      </w:r>
      <w:r>
        <w:rPr>
          <w:lang w:val="fr-FR"/>
        </w:rPr>
        <w:t>’</w:t>
      </w:r>
      <w:r w:rsidRPr="00C0179C">
        <w:rPr>
          <w:lang w:val="fr-FR"/>
        </w:rPr>
        <w:t>est-à-dire concernant la coopération sous-régionale ou les pays d</w:t>
      </w:r>
      <w:r>
        <w:rPr>
          <w:lang w:val="fr-FR"/>
        </w:rPr>
        <w:t>’</w:t>
      </w:r>
      <w:r w:rsidRPr="00C0179C">
        <w:rPr>
          <w:lang w:val="fr-FR"/>
        </w:rPr>
        <w:t>Asie centrale). Presque tous les répondants indiquent qu</w:t>
      </w:r>
      <w:r>
        <w:rPr>
          <w:lang w:val="fr-FR"/>
        </w:rPr>
        <w:t>’</w:t>
      </w:r>
      <w:r w:rsidRPr="00C0179C">
        <w:rPr>
          <w:lang w:val="fr-FR"/>
        </w:rPr>
        <w:t>ils utilisent les documents d</w:t>
      </w:r>
      <w:r>
        <w:rPr>
          <w:lang w:val="fr-FR"/>
        </w:rPr>
        <w:t>’</w:t>
      </w:r>
      <w:r w:rsidRPr="00C0179C">
        <w:rPr>
          <w:lang w:val="fr-FR"/>
        </w:rPr>
        <w:t>orientation relatifs à la participation du public et à l</w:t>
      </w:r>
      <w:r>
        <w:rPr>
          <w:lang w:val="fr-FR"/>
        </w:rPr>
        <w:t>’</w:t>
      </w:r>
      <w:r w:rsidRPr="00C0179C">
        <w:rPr>
          <w:lang w:val="fr-FR"/>
        </w:rPr>
        <w:t>application pratique de la Convention. Il est à noter que la proportion de répondants utilisant les documents d</w:t>
      </w:r>
      <w:r>
        <w:rPr>
          <w:lang w:val="fr-FR"/>
        </w:rPr>
        <w:t>’</w:t>
      </w:r>
      <w:r w:rsidRPr="00C0179C">
        <w:rPr>
          <w:lang w:val="fr-FR"/>
        </w:rPr>
        <w:t xml:space="preserve">orientation portant sur ces deux questions a sensiblement augmenté par rapport aux </w:t>
      </w:r>
      <w:r>
        <w:rPr>
          <w:lang w:val="fr-FR"/>
        </w:rPr>
        <w:t>périodes couvertes par</w:t>
      </w:r>
      <w:r w:rsidRPr="00C0179C">
        <w:rPr>
          <w:lang w:val="fr-FR"/>
        </w:rPr>
        <w:t xml:space="preserve"> </w:t>
      </w:r>
      <w:r>
        <w:rPr>
          <w:lang w:val="fr-FR"/>
        </w:rPr>
        <w:t>l</w:t>
      </w:r>
      <w:r w:rsidRPr="00C0179C">
        <w:rPr>
          <w:lang w:val="fr-FR"/>
        </w:rPr>
        <w:t>es cinquième et sixième examens de l</w:t>
      </w:r>
      <w:r>
        <w:rPr>
          <w:lang w:val="fr-FR"/>
        </w:rPr>
        <w:t>’</w:t>
      </w:r>
      <w:r w:rsidRPr="00C0179C">
        <w:rPr>
          <w:lang w:val="fr-FR"/>
        </w:rPr>
        <w:t>application</w:t>
      </w:r>
      <w:r w:rsidRPr="00C0179C">
        <w:rPr>
          <w:i/>
          <w:iCs/>
          <w:lang w:val="fr-FR"/>
        </w:rPr>
        <w:t xml:space="preserve"> </w:t>
      </w:r>
      <w:r w:rsidRPr="00C0179C">
        <w:rPr>
          <w:lang w:val="fr-FR"/>
        </w:rPr>
        <w:t>(documents ECE/MP.EIA/2017/9 et ECE/MP.EIA/2020/8, respectivement).</w:t>
      </w:r>
    </w:p>
    <w:p w14:paraId="670DFF41" w14:textId="1CE2665F" w:rsidR="00A90AAA" w:rsidRPr="002054DF" w:rsidRDefault="00A90AAA" w:rsidP="00A548CC">
      <w:pPr>
        <w:pStyle w:val="Titre1"/>
        <w:spacing w:after="120"/>
        <w:ind w:right="1134"/>
        <w:rPr>
          <w:bCs/>
          <w:lang w:val="fr-FR"/>
        </w:rPr>
      </w:pPr>
      <w:r w:rsidRPr="00C0179C">
        <w:rPr>
          <w:lang w:val="fr-FR"/>
        </w:rPr>
        <w:t>Tableau</w:t>
      </w:r>
      <w:r>
        <w:rPr>
          <w:lang w:val="fr-FR"/>
        </w:rPr>
        <w:t> </w:t>
      </w:r>
      <w:r w:rsidRPr="00C0179C">
        <w:rPr>
          <w:lang w:val="fr-FR"/>
        </w:rPr>
        <w:t>8</w:t>
      </w:r>
      <w:r>
        <w:rPr>
          <w:lang w:val="fr-FR"/>
        </w:rPr>
        <w:br/>
      </w:r>
      <w:r w:rsidRPr="00C0179C">
        <w:rPr>
          <w:b/>
          <w:bCs/>
          <w:lang w:val="fr-FR"/>
        </w:rPr>
        <w:t>Utilisation des documents d</w:t>
      </w:r>
      <w:r>
        <w:rPr>
          <w:b/>
          <w:bCs/>
          <w:lang w:val="fr-FR"/>
        </w:rPr>
        <w:t>’</w:t>
      </w:r>
      <w:r w:rsidRPr="00C0179C">
        <w:rPr>
          <w:b/>
          <w:bCs/>
          <w:lang w:val="fr-FR"/>
        </w:rPr>
        <w:t xml:space="preserve">orientation officiels de la </w:t>
      </w:r>
      <w:r>
        <w:rPr>
          <w:b/>
          <w:bCs/>
          <w:lang w:val="fr-FR"/>
        </w:rPr>
        <w:t xml:space="preserve">Commission économique </w:t>
      </w:r>
      <w:r w:rsidR="00A548CC">
        <w:rPr>
          <w:b/>
          <w:bCs/>
          <w:lang w:val="fr-FR"/>
        </w:rPr>
        <w:br/>
      </w:r>
      <w:r>
        <w:rPr>
          <w:b/>
          <w:bCs/>
          <w:lang w:val="fr-FR"/>
        </w:rPr>
        <w:t>pour l’Europe</w:t>
      </w:r>
      <w:r w:rsidRPr="00C0179C">
        <w:rPr>
          <w:b/>
          <w:bCs/>
          <w:lang w:val="fr-FR"/>
        </w:rPr>
        <w:t xml:space="preserve"> par les Parties</w:t>
      </w:r>
      <w:r>
        <w:rPr>
          <w:b/>
          <w:bCs/>
          <w:lang w:val="fr-FR"/>
        </w:rPr>
        <w:t xml:space="preserve"> </w:t>
      </w:r>
      <w:r w:rsidRPr="00C0179C">
        <w:rPr>
          <w:b/>
          <w:bCs/>
          <w:lang w:val="fr-FR"/>
        </w:rPr>
        <w:t>à la Convention et les pays non Parties</w:t>
      </w:r>
    </w:p>
    <w:tbl>
      <w:tblPr>
        <w:tblW w:w="7370" w:type="dxa"/>
        <w:tblInd w:w="1134" w:type="dxa"/>
        <w:tblLayout w:type="fixed"/>
        <w:tblCellMar>
          <w:left w:w="0" w:type="dxa"/>
          <w:right w:w="0" w:type="dxa"/>
        </w:tblCellMar>
        <w:tblLook w:val="04A0" w:firstRow="1" w:lastRow="0" w:firstColumn="1" w:lastColumn="0" w:noHBand="0" w:noVBand="1"/>
      </w:tblPr>
      <w:tblGrid>
        <w:gridCol w:w="3854"/>
        <w:gridCol w:w="1249"/>
        <w:gridCol w:w="1249"/>
        <w:gridCol w:w="1018"/>
      </w:tblGrid>
      <w:tr w:rsidR="00A90AAA" w:rsidRPr="002054DF" w14:paraId="3499A333" w14:textId="77777777" w:rsidTr="007F6BCD">
        <w:trPr>
          <w:tblHeader/>
        </w:trPr>
        <w:tc>
          <w:tcPr>
            <w:tcW w:w="4820" w:type="dxa"/>
            <w:tcBorders>
              <w:top w:val="single" w:sz="4" w:space="0" w:color="auto"/>
              <w:bottom w:val="single" w:sz="12" w:space="0" w:color="auto"/>
            </w:tcBorders>
            <w:shd w:val="clear" w:color="auto" w:fill="auto"/>
            <w:vAlign w:val="bottom"/>
          </w:tcPr>
          <w:p w14:paraId="1F063B6E" w14:textId="77777777" w:rsidR="00A90AAA" w:rsidRPr="002054DF" w:rsidRDefault="00A90AAA" w:rsidP="007F6BCD">
            <w:pPr>
              <w:suppressAutoHyphens w:val="0"/>
              <w:spacing w:before="80" w:after="80" w:line="200" w:lineRule="exact"/>
              <w:rPr>
                <w:i/>
                <w:sz w:val="16"/>
                <w:lang w:val="fr-FR" w:eastAsia="fr-FR"/>
              </w:rPr>
            </w:pPr>
            <w:r w:rsidRPr="002054DF">
              <w:rPr>
                <w:i/>
                <w:sz w:val="16"/>
                <w:lang w:val="fr-FR" w:eastAsia="fr-FR"/>
              </w:rPr>
              <w:t>Document d</w:t>
            </w:r>
            <w:r>
              <w:rPr>
                <w:i/>
                <w:sz w:val="16"/>
                <w:lang w:val="fr-FR" w:eastAsia="fr-FR"/>
              </w:rPr>
              <w:t>’</w:t>
            </w:r>
            <w:r w:rsidRPr="002054DF">
              <w:rPr>
                <w:i/>
                <w:sz w:val="16"/>
                <w:lang w:val="fr-FR" w:eastAsia="fr-FR"/>
              </w:rPr>
              <w:t>orientation</w:t>
            </w:r>
          </w:p>
        </w:tc>
        <w:tc>
          <w:tcPr>
            <w:tcW w:w="1559" w:type="dxa"/>
            <w:tcBorders>
              <w:top w:val="single" w:sz="4" w:space="0" w:color="auto"/>
              <w:bottom w:val="single" w:sz="12" w:space="0" w:color="auto"/>
            </w:tcBorders>
            <w:shd w:val="clear" w:color="auto" w:fill="auto"/>
            <w:vAlign w:val="bottom"/>
          </w:tcPr>
          <w:p w14:paraId="4D22A421" w14:textId="77777777" w:rsidR="00A90AAA" w:rsidRPr="002054DF" w:rsidRDefault="00A90AAA" w:rsidP="007F6BCD">
            <w:pPr>
              <w:suppressAutoHyphens w:val="0"/>
              <w:spacing w:before="80" w:after="80" w:line="200" w:lineRule="exact"/>
              <w:jc w:val="right"/>
              <w:rPr>
                <w:i/>
                <w:sz w:val="16"/>
                <w:lang w:val="fr-FR" w:eastAsia="fr-FR"/>
              </w:rPr>
            </w:pPr>
            <w:r w:rsidRPr="002054DF">
              <w:rPr>
                <w:i/>
                <w:sz w:val="16"/>
                <w:lang w:val="fr-FR" w:eastAsia="fr-FR"/>
              </w:rPr>
              <w:t xml:space="preserve">Utilisé </w:t>
            </w:r>
            <w:r>
              <w:rPr>
                <w:i/>
                <w:sz w:val="16"/>
                <w:lang w:val="fr-FR" w:eastAsia="fr-FR"/>
              </w:rPr>
              <w:br/>
            </w:r>
            <w:r w:rsidRPr="002054DF">
              <w:rPr>
                <w:i/>
                <w:sz w:val="16"/>
                <w:lang w:val="fr-FR" w:eastAsia="fr-FR"/>
              </w:rPr>
              <w:t>dans la pratique</w:t>
            </w:r>
          </w:p>
        </w:tc>
        <w:tc>
          <w:tcPr>
            <w:tcW w:w="1559" w:type="dxa"/>
            <w:tcBorders>
              <w:top w:val="single" w:sz="4" w:space="0" w:color="auto"/>
              <w:bottom w:val="single" w:sz="12" w:space="0" w:color="auto"/>
            </w:tcBorders>
            <w:shd w:val="clear" w:color="auto" w:fill="auto"/>
            <w:vAlign w:val="bottom"/>
          </w:tcPr>
          <w:p w14:paraId="44FF7688" w14:textId="77777777" w:rsidR="00A90AAA" w:rsidRPr="002054DF" w:rsidRDefault="00A90AAA" w:rsidP="007F6BCD">
            <w:pPr>
              <w:suppressAutoHyphens w:val="0"/>
              <w:spacing w:before="80" w:after="80" w:line="200" w:lineRule="exact"/>
              <w:jc w:val="right"/>
              <w:rPr>
                <w:i/>
                <w:sz w:val="16"/>
                <w:lang w:val="fr-FR" w:eastAsia="fr-FR"/>
              </w:rPr>
            </w:pPr>
            <w:r w:rsidRPr="002054DF">
              <w:rPr>
                <w:i/>
                <w:sz w:val="16"/>
                <w:lang w:val="fr-FR" w:eastAsia="fr-FR"/>
              </w:rPr>
              <w:t xml:space="preserve">Non utilisé </w:t>
            </w:r>
            <w:r>
              <w:rPr>
                <w:i/>
                <w:sz w:val="16"/>
                <w:lang w:val="fr-FR" w:eastAsia="fr-FR"/>
              </w:rPr>
              <w:br/>
            </w:r>
            <w:r w:rsidRPr="002054DF">
              <w:rPr>
                <w:i/>
                <w:sz w:val="16"/>
                <w:lang w:val="fr-FR" w:eastAsia="fr-FR"/>
              </w:rPr>
              <w:t>dans la pratique</w:t>
            </w:r>
          </w:p>
        </w:tc>
        <w:tc>
          <w:tcPr>
            <w:tcW w:w="1270" w:type="dxa"/>
            <w:tcBorders>
              <w:top w:val="single" w:sz="4" w:space="0" w:color="auto"/>
              <w:bottom w:val="single" w:sz="12" w:space="0" w:color="auto"/>
            </w:tcBorders>
            <w:shd w:val="clear" w:color="auto" w:fill="auto"/>
            <w:vAlign w:val="bottom"/>
          </w:tcPr>
          <w:p w14:paraId="17731281" w14:textId="77777777" w:rsidR="00A90AAA" w:rsidRPr="002054DF" w:rsidRDefault="00A90AAA" w:rsidP="007F6BCD">
            <w:pPr>
              <w:suppressAutoHyphens w:val="0"/>
              <w:spacing w:before="80" w:after="80" w:line="200" w:lineRule="exact"/>
              <w:jc w:val="right"/>
              <w:rPr>
                <w:i/>
                <w:sz w:val="16"/>
                <w:lang w:val="fr-FR" w:eastAsia="fr-FR"/>
              </w:rPr>
            </w:pPr>
            <w:r w:rsidRPr="00B5795A">
              <w:rPr>
                <w:i/>
                <w:spacing w:val="-4"/>
                <w:sz w:val="16"/>
                <w:lang w:val="fr-FR" w:eastAsia="fr-FR"/>
              </w:rPr>
              <w:t>Nombre de répondants (n</w:t>
            </w:r>
            <w:r w:rsidRPr="002054DF">
              <w:rPr>
                <w:i/>
                <w:sz w:val="16"/>
                <w:lang w:val="fr-FR" w:eastAsia="fr-FR"/>
              </w:rPr>
              <w:t>)</w:t>
            </w:r>
          </w:p>
        </w:tc>
      </w:tr>
      <w:tr w:rsidR="00A90AAA" w:rsidRPr="002054DF" w14:paraId="07032180" w14:textId="77777777" w:rsidTr="007F6BCD">
        <w:trPr>
          <w:trHeight w:hRule="exact" w:val="113"/>
        </w:trPr>
        <w:tc>
          <w:tcPr>
            <w:tcW w:w="4820" w:type="dxa"/>
            <w:tcBorders>
              <w:top w:val="single" w:sz="12" w:space="0" w:color="auto"/>
            </w:tcBorders>
            <w:shd w:val="clear" w:color="auto" w:fill="auto"/>
          </w:tcPr>
          <w:p w14:paraId="0516A82F" w14:textId="77777777" w:rsidR="00A90AAA" w:rsidRPr="002054DF" w:rsidRDefault="00A90AAA" w:rsidP="007F6BCD">
            <w:pPr>
              <w:suppressAutoHyphens w:val="0"/>
              <w:spacing w:before="40" w:after="40" w:line="220" w:lineRule="exact"/>
              <w:rPr>
                <w:sz w:val="18"/>
                <w:lang w:val="fr-FR" w:eastAsia="fr-FR"/>
              </w:rPr>
            </w:pPr>
          </w:p>
        </w:tc>
        <w:tc>
          <w:tcPr>
            <w:tcW w:w="1559" w:type="dxa"/>
            <w:tcBorders>
              <w:top w:val="single" w:sz="12" w:space="0" w:color="auto"/>
            </w:tcBorders>
            <w:shd w:val="clear" w:color="auto" w:fill="auto"/>
            <w:vAlign w:val="bottom"/>
          </w:tcPr>
          <w:p w14:paraId="513EBF95" w14:textId="77777777" w:rsidR="00A90AAA" w:rsidRPr="002054DF" w:rsidRDefault="00A90AAA" w:rsidP="007F6BCD">
            <w:pPr>
              <w:suppressAutoHyphens w:val="0"/>
              <w:spacing w:before="40" w:after="40" w:line="220" w:lineRule="exact"/>
              <w:jc w:val="right"/>
              <w:rPr>
                <w:sz w:val="18"/>
                <w:lang w:val="fr-FR" w:eastAsia="fr-FR"/>
              </w:rPr>
            </w:pPr>
          </w:p>
        </w:tc>
        <w:tc>
          <w:tcPr>
            <w:tcW w:w="1559" w:type="dxa"/>
            <w:tcBorders>
              <w:top w:val="single" w:sz="12" w:space="0" w:color="auto"/>
            </w:tcBorders>
            <w:shd w:val="clear" w:color="auto" w:fill="auto"/>
            <w:vAlign w:val="bottom"/>
          </w:tcPr>
          <w:p w14:paraId="6F488CEB" w14:textId="77777777" w:rsidR="00A90AAA" w:rsidRPr="002054DF" w:rsidRDefault="00A90AAA" w:rsidP="007F6BCD">
            <w:pPr>
              <w:suppressAutoHyphens w:val="0"/>
              <w:spacing w:before="40" w:after="40" w:line="220" w:lineRule="exact"/>
              <w:jc w:val="right"/>
              <w:rPr>
                <w:sz w:val="18"/>
                <w:lang w:val="fr-FR" w:eastAsia="fr-FR"/>
              </w:rPr>
            </w:pPr>
          </w:p>
        </w:tc>
        <w:tc>
          <w:tcPr>
            <w:tcW w:w="1270" w:type="dxa"/>
            <w:tcBorders>
              <w:top w:val="single" w:sz="12" w:space="0" w:color="auto"/>
            </w:tcBorders>
            <w:shd w:val="clear" w:color="auto" w:fill="auto"/>
            <w:vAlign w:val="bottom"/>
          </w:tcPr>
          <w:p w14:paraId="4D5312C0" w14:textId="77777777" w:rsidR="00A90AAA" w:rsidRPr="002054DF" w:rsidRDefault="00A90AAA" w:rsidP="007F6BCD">
            <w:pPr>
              <w:suppressAutoHyphens w:val="0"/>
              <w:spacing w:before="40" w:after="40" w:line="220" w:lineRule="exact"/>
              <w:jc w:val="right"/>
              <w:rPr>
                <w:sz w:val="18"/>
                <w:lang w:val="fr-FR" w:eastAsia="fr-FR"/>
              </w:rPr>
            </w:pPr>
          </w:p>
        </w:tc>
      </w:tr>
      <w:tr w:rsidR="00A90AAA" w:rsidRPr="002054DF" w14:paraId="3E521FE7" w14:textId="77777777" w:rsidTr="00A548CC">
        <w:tc>
          <w:tcPr>
            <w:tcW w:w="4820" w:type="dxa"/>
            <w:shd w:val="clear" w:color="auto" w:fill="auto"/>
          </w:tcPr>
          <w:p w14:paraId="1E28E57F" w14:textId="77777777" w:rsidR="00A90AAA" w:rsidRPr="002054DF" w:rsidRDefault="00A90AAA" w:rsidP="007F6BCD">
            <w:pPr>
              <w:suppressAutoHyphens w:val="0"/>
              <w:spacing w:before="40" w:after="40" w:line="220" w:lineRule="exact"/>
              <w:rPr>
                <w:sz w:val="18"/>
                <w:szCs w:val="18"/>
                <w:lang w:val="fr-FR" w:eastAsia="fr-FR"/>
              </w:rPr>
            </w:pPr>
            <w:r w:rsidRPr="002054DF">
              <w:rPr>
                <w:sz w:val="18"/>
                <w:lang w:val="fr-FR" w:eastAsia="fr-FR"/>
              </w:rPr>
              <w:t xml:space="preserve">Directive concernant la participation du public </w:t>
            </w:r>
            <w:r>
              <w:rPr>
                <w:sz w:val="18"/>
                <w:lang w:val="fr-FR" w:eastAsia="fr-FR"/>
              </w:rPr>
              <w:br/>
            </w:r>
            <w:r w:rsidRPr="002054DF">
              <w:rPr>
                <w:sz w:val="18"/>
                <w:lang w:val="fr-FR" w:eastAsia="fr-FR"/>
              </w:rPr>
              <w:t>à l</w:t>
            </w:r>
            <w:r>
              <w:rPr>
                <w:sz w:val="18"/>
                <w:lang w:val="fr-FR" w:eastAsia="fr-FR"/>
              </w:rPr>
              <w:t>’</w:t>
            </w:r>
            <w:r w:rsidRPr="002054DF">
              <w:rPr>
                <w:sz w:val="18"/>
                <w:lang w:val="fr-FR" w:eastAsia="fr-FR"/>
              </w:rPr>
              <w:t>évaluation de l</w:t>
            </w:r>
            <w:r>
              <w:rPr>
                <w:sz w:val="18"/>
                <w:lang w:val="fr-FR" w:eastAsia="fr-FR"/>
              </w:rPr>
              <w:t>’</w:t>
            </w:r>
            <w:r w:rsidRPr="002054DF">
              <w:rPr>
                <w:sz w:val="18"/>
                <w:lang w:val="fr-FR" w:eastAsia="fr-FR"/>
              </w:rPr>
              <w:t>impact sur l</w:t>
            </w:r>
            <w:r>
              <w:rPr>
                <w:sz w:val="18"/>
                <w:lang w:val="fr-FR" w:eastAsia="fr-FR"/>
              </w:rPr>
              <w:t>’</w:t>
            </w:r>
            <w:r w:rsidRPr="002054DF">
              <w:rPr>
                <w:sz w:val="18"/>
                <w:lang w:val="fr-FR" w:eastAsia="fr-FR"/>
              </w:rPr>
              <w:t xml:space="preserve">environnement dans </w:t>
            </w:r>
            <w:r>
              <w:rPr>
                <w:sz w:val="18"/>
                <w:lang w:val="fr-FR" w:eastAsia="fr-FR"/>
              </w:rPr>
              <w:br/>
            </w:r>
            <w:r w:rsidRPr="002054DF">
              <w:rPr>
                <w:sz w:val="18"/>
                <w:lang w:val="fr-FR" w:eastAsia="fr-FR"/>
              </w:rPr>
              <w:t>un contexte transfrontière (ECE/MP.EIA/7)</w:t>
            </w:r>
          </w:p>
        </w:tc>
        <w:tc>
          <w:tcPr>
            <w:tcW w:w="1559" w:type="dxa"/>
            <w:shd w:val="clear" w:color="auto" w:fill="auto"/>
            <w:vAlign w:val="bottom"/>
          </w:tcPr>
          <w:p w14:paraId="21F9033E"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24</w:t>
            </w:r>
          </w:p>
        </w:tc>
        <w:tc>
          <w:tcPr>
            <w:tcW w:w="1559" w:type="dxa"/>
            <w:shd w:val="clear" w:color="auto" w:fill="auto"/>
            <w:vAlign w:val="bottom"/>
          </w:tcPr>
          <w:p w14:paraId="68FE2DA6"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7</w:t>
            </w:r>
          </w:p>
        </w:tc>
        <w:tc>
          <w:tcPr>
            <w:tcW w:w="1270" w:type="dxa"/>
            <w:shd w:val="clear" w:color="auto" w:fill="auto"/>
            <w:vAlign w:val="bottom"/>
          </w:tcPr>
          <w:p w14:paraId="7A2A281F"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31</w:t>
            </w:r>
          </w:p>
        </w:tc>
      </w:tr>
      <w:tr w:rsidR="00A90AAA" w:rsidRPr="002054DF" w14:paraId="4036A4A0" w14:textId="77777777" w:rsidTr="00A548CC">
        <w:tc>
          <w:tcPr>
            <w:tcW w:w="4820" w:type="dxa"/>
            <w:shd w:val="clear" w:color="auto" w:fill="auto"/>
          </w:tcPr>
          <w:p w14:paraId="6F9EB775" w14:textId="22F87824" w:rsidR="00A90AAA" w:rsidRPr="002054DF" w:rsidRDefault="00A90AAA" w:rsidP="007F6BCD">
            <w:pPr>
              <w:suppressAutoHyphens w:val="0"/>
              <w:spacing w:before="40" w:after="40" w:line="220" w:lineRule="exact"/>
              <w:rPr>
                <w:sz w:val="18"/>
                <w:szCs w:val="18"/>
                <w:lang w:val="fr-FR" w:eastAsia="fr-FR"/>
              </w:rPr>
            </w:pPr>
            <w:r w:rsidRPr="002054DF">
              <w:rPr>
                <w:sz w:val="18"/>
                <w:lang w:val="fr-FR" w:eastAsia="fr-FR"/>
              </w:rPr>
              <w:t>Orientations concernant la coopération sous</w:t>
            </w:r>
            <w:r w:rsidR="00A548CC">
              <w:rPr>
                <w:sz w:val="18"/>
                <w:lang w:val="fr-FR" w:eastAsia="fr-FR"/>
              </w:rPr>
              <w:noBreakHyphen/>
            </w:r>
            <w:r w:rsidRPr="002054DF">
              <w:rPr>
                <w:sz w:val="18"/>
                <w:lang w:val="fr-FR" w:eastAsia="fr-FR"/>
              </w:rPr>
              <w:t>régionale (ECE/MP.EIA/6, annexe V, appendice)</w:t>
            </w:r>
          </w:p>
        </w:tc>
        <w:tc>
          <w:tcPr>
            <w:tcW w:w="1559" w:type="dxa"/>
            <w:shd w:val="clear" w:color="auto" w:fill="auto"/>
            <w:vAlign w:val="bottom"/>
          </w:tcPr>
          <w:p w14:paraId="36F0FBD7"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8</w:t>
            </w:r>
          </w:p>
        </w:tc>
        <w:tc>
          <w:tcPr>
            <w:tcW w:w="1559" w:type="dxa"/>
            <w:shd w:val="clear" w:color="auto" w:fill="auto"/>
            <w:vAlign w:val="bottom"/>
          </w:tcPr>
          <w:p w14:paraId="55FA3627"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23</w:t>
            </w:r>
          </w:p>
        </w:tc>
        <w:tc>
          <w:tcPr>
            <w:tcW w:w="1270" w:type="dxa"/>
            <w:shd w:val="clear" w:color="auto" w:fill="auto"/>
            <w:vAlign w:val="bottom"/>
          </w:tcPr>
          <w:p w14:paraId="7AFC6835"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31</w:t>
            </w:r>
          </w:p>
        </w:tc>
      </w:tr>
      <w:tr w:rsidR="00A90AAA" w:rsidRPr="002054DF" w14:paraId="2A51C1B3" w14:textId="77777777" w:rsidTr="00A548CC">
        <w:tc>
          <w:tcPr>
            <w:tcW w:w="4820" w:type="dxa"/>
            <w:shd w:val="clear" w:color="auto" w:fill="auto"/>
          </w:tcPr>
          <w:p w14:paraId="0B567335" w14:textId="77777777" w:rsidR="00A90AAA" w:rsidRPr="002054DF" w:rsidRDefault="00A90AAA" w:rsidP="007F6BCD">
            <w:pPr>
              <w:suppressAutoHyphens w:val="0"/>
              <w:spacing w:before="40" w:after="40" w:line="220" w:lineRule="exact"/>
              <w:rPr>
                <w:sz w:val="18"/>
                <w:szCs w:val="18"/>
                <w:lang w:val="fr-FR" w:eastAsia="fr-FR"/>
              </w:rPr>
            </w:pPr>
            <w:r w:rsidRPr="002054DF">
              <w:rPr>
                <w:sz w:val="18"/>
                <w:lang w:val="fr-FR" w:eastAsia="fr-FR"/>
              </w:rPr>
              <w:t>Directive concernant l</w:t>
            </w:r>
            <w:r>
              <w:rPr>
                <w:sz w:val="18"/>
                <w:lang w:val="fr-FR" w:eastAsia="fr-FR"/>
              </w:rPr>
              <w:t>’</w:t>
            </w:r>
            <w:r w:rsidRPr="002054DF">
              <w:rPr>
                <w:sz w:val="18"/>
                <w:lang w:val="fr-FR" w:eastAsia="fr-FR"/>
              </w:rPr>
              <w:t xml:space="preserve">application concrète de </w:t>
            </w:r>
            <w:r>
              <w:rPr>
                <w:sz w:val="18"/>
                <w:lang w:val="fr-FR" w:eastAsia="fr-FR"/>
              </w:rPr>
              <w:br/>
            </w:r>
            <w:r w:rsidRPr="002054DF">
              <w:rPr>
                <w:sz w:val="18"/>
                <w:lang w:val="fr-FR" w:eastAsia="fr-FR"/>
              </w:rPr>
              <w:t>la Convention d</w:t>
            </w:r>
            <w:r>
              <w:rPr>
                <w:sz w:val="18"/>
                <w:lang w:val="fr-FR" w:eastAsia="fr-FR"/>
              </w:rPr>
              <w:t>’</w:t>
            </w:r>
            <w:r w:rsidRPr="002054DF">
              <w:rPr>
                <w:sz w:val="18"/>
                <w:lang w:val="fr-FR" w:eastAsia="fr-FR"/>
              </w:rPr>
              <w:t>Espoo (ECE/MP.EIA/8)</w:t>
            </w:r>
          </w:p>
        </w:tc>
        <w:tc>
          <w:tcPr>
            <w:tcW w:w="1559" w:type="dxa"/>
            <w:shd w:val="clear" w:color="auto" w:fill="auto"/>
            <w:vAlign w:val="bottom"/>
          </w:tcPr>
          <w:p w14:paraId="0E8E6D02"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27</w:t>
            </w:r>
          </w:p>
        </w:tc>
        <w:tc>
          <w:tcPr>
            <w:tcW w:w="1559" w:type="dxa"/>
            <w:shd w:val="clear" w:color="auto" w:fill="auto"/>
            <w:vAlign w:val="bottom"/>
          </w:tcPr>
          <w:p w14:paraId="08F89469"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4</w:t>
            </w:r>
          </w:p>
        </w:tc>
        <w:tc>
          <w:tcPr>
            <w:tcW w:w="1270" w:type="dxa"/>
            <w:shd w:val="clear" w:color="auto" w:fill="auto"/>
            <w:vAlign w:val="bottom"/>
          </w:tcPr>
          <w:p w14:paraId="436239D7"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31</w:t>
            </w:r>
          </w:p>
        </w:tc>
      </w:tr>
      <w:tr w:rsidR="00A90AAA" w:rsidRPr="002054DF" w14:paraId="77B64F68" w14:textId="77777777" w:rsidTr="00A548CC">
        <w:tc>
          <w:tcPr>
            <w:tcW w:w="4820" w:type="dxa"/>
            <w:shd w:val="clear" w:color="auto" w:fill="auto"/>
          </w:tcPr>
          <w:p w14:paraId="1D80CCA4" w14:textId="347E137E" w:rsidR="00A90AAA" w:rsidRPr="002054DF" w:rsidRDefault="00A90AAA" w:rsidP="007F6BCD">
            <w:pPr>
              <w:suppressAutoHyphens w:val="0"/>
              <w:spacing w:before="40" w:after="40" w:line="220" w:lineRule="exact"/>
              <w:rPr>
                <w:sz w:val="18"/>
                <w:szCs w:val="18"/>
                <w:lang w:val="fr-FR" w:eastAsia="fr-FR"/>
              </w:rPr>
            </w:pPr>
            <w:r w:rsidRPr="002054DF">
              <w:rPr>
                <w:sz w:val="18"/>
                <w:lang w:val="fr-FR" w:eastAsia="fr-FR"/>
              </w:rPr>
              <w:t>Lignes directrices sur l</w:t>
            </w:r>
            <w:r>
              <w:rPr>
                <w:sz w:val="18"/>
                <w:lang w:val="fr-FR" w:eastAsia="fr-FR"/>
              </w:rPr>
              <w:t>’</w:t>
            </w:r>
            <w:r w:rsidRPr="002054DF">
              <w:rPr>
                <w:sz w:val="18"/>
                <w:lang w:val="fr-FR" w:eastAsia="fr-FR"/>
              </w:rPr>
              <w:t>applicabilité de la Convention s</w:t>
            </w:r>
            <w:r>
              <w:rPr>
                <w:sz w:val="18"/>
                <w:lang w:val="fr-FR" w:eastAsia="fr-FR"/>
              </w:rPr>
              <w:t>’</w:t>
            </w:r>
            <w:r w:rsidRPr="002054DF">
              <w:rPr>
                <w:sz w:val="18"/>
                <w:lang w:val="fr-FR" w:eastAsia="fr-FR"/>
              </w:rPr>
              <w:t>agissant de la prolongation de la durée de vie des centrales nucléaires (ECE/MP.EIA/2020/9)</w:t>
            </w:r>
          </w:p>
        </w:tc>
        <w:tc>
          <w:tcPr>
            <w:tcW w:w="1559" w:type="dxa"/>
            <w:shd w:val="clear" w:color="auto" w:fill="auto"/>
            <w:vAlign w:val="bottom"/>
          </w:tcPr>
          <w:p w14:paraId="71377688"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16</w:t>
            </w:r>
          </w:p>
        </w:tc>
        <w:tc>
          <w:tcPr>
            <w:tcW w:w="1559" w:type="dxa"/>
            <w:shd w:val="clear" w:color="auto" w:fill="auto"/>
            <w:vAlign w:val="bottom"/>
          </w:tcPr>
          <w:p w14:paraId="77CB4021"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15</w:t>
            </w:r>
          </w:p>
        </w:tc>
        <w:tc>
          <w:tcPr>
            <w:tcW w:w="1270" w:type="dxa"/>
            <w:shd w:val="clear" w:color="auto" w:fill="auto"/>
            <w:vAlign w:val="bottom"/>
          </w:tcPr>
          <w:p w14:paraId="4B683497"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31</w:t>
            </w:r>
          </w:p>
        </w:tc>
      </w:tr>
      <w:tr w:rsidR="00A90AAA" w:rsidRPr="002054DF" w14:paraId="02D3A74A" w14:textId="77777777" w:rsidTr="00A548CC">
        <w:tc>
          <w:tcPr>
            <w:tcW w:w="4820" w:type="dxa"/>
            <w:shd w:val="clear" w:color="auto" w:fill="auto"/>
          </w:tcPr>
          <w:p w14:paraId="28113EB8" w14:textId="77777777" w:rsidR="00A90AAA" w:rsidRPr="002054DF" w:rsidRDefault="00A90AAA" w:rsidP="007F6BCD">
            <w:pPr>
              <w:suppressAutoHyphens w:val="0"/>
              <w:spacing w:before="40" w:after="40" w:line="220" w:lineRule="exact"/>
              <w:rPr>
                <w:sz w:val="18"/>
                <w:szCs w:val="18"/>
                <w:lang w:val="fr-FR" w:eastAsia="fr-FR"/>
              </w:rPr>
            </w:pPr>
            <w:r w:rsidRPr="002054DF">
              <w:rPr>
                <w:sz w:val="18"/>
                <w:lang w:val="fr-FR" w:eastAsia="fr-FR"/>
              </w:rPr>
              <w:t xml:space="preserve">Recommandations sur les bonnes pratiques relatives </w:t>
            </w:r>
            <w:r>
              <w:rPr>
                <w:sz w:val="18"/>
                <w:lang w:val="fr-FR" w:eastAsia="fr-FR"/>
              </w:rPr>
              <w:br/>
            </w:r>
            <w:r w:rsidRPr="002054DF">
              <w:rPr>
                <w:sz w:val="18"/>
                <w:lang w:val="fr-FR" w:eastAsia="fr-FR"/>
              </w:rPr>
              <w:t>à l</w:t>
            </w:r>
            <w:r>
              <w:rPr>
                <w:sz w:val="18"/>
                <w:lang w:val="fr-FR" w:eastAsia="fr-FR"/>
              </w:rPr>
              <w:t>’</w:t>
            </w:r>
            <w:r w:rsidRPr="002054DF">
              <w:rPr>
                <w:sz w:val="18"/>
                <w:lang w:val="fr-FR" w:eastAsia="fr-FR"/>
              </w:rPr>
              <w:t xml:space="preserve">application de la Convention aux activités liées </w:t>
            </w:r>
            <w:r>
              <w:rPr>
                <w:sz w:val="18"/>
                <w:lang w:val="fr-FR" w:eastAsia="fr-FR"/>
              </w:rPr>
              <w:br/>
            </w:r>
            <w:r w:rsidRPr="002054DF">
              <w:rPr>
                <w:sz w:val="18"/>
                <w:lang w:val="fr-FR" w:eastAsia="fr-FR"/>
              </w:rPr>
              <w:t>à l</w:t>
            </w:r>
            <w:r>
              <w:rPr>
                <w:sz w:val="18"/>
                <w:lang w:val="fr-FR" w:eastAsia="fr-FR"/>
              </w:rPr>
              <w:t>’</w:t>
            </w:r>
            <w:r w:rsidRPr="002054DF">
              <w:rPr>
                <w:sz w:val="18"/>
                <w:lang w:val="fr-FR" w:eastAsia="fr-FR"/>
              </w:rPr>
              <w:t>énergie nucléaire (ECE/MP.EIA/24)</w:t>
            </w:r>
          </w:p>
        </w:tc>
        <w:tc>
          <w:tcPr>
            <w:tcW w:w="1559" w:type="dxa"/>
            <w:shd w:val="clear" w:color="auto" w:fill="auto"/>
            <w:vAlign w:val="bottom"/>
          </w:tcPr>
          <w:p w14:paraId="389FEF16"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17</w:t>
            </w:r>
          </w:p>
        </w:tc>
        <w:tc>
          <w:tcPr>
            <w:tcW w:w="1559" w:type="dxa"/>
            <w:shd w:val="clear" w:color="auto" w:fill="auto"/>
            <w:vAlign w:val="bottom"/>
          </w:tcPr>
          <w:p w14:paraId="6AA3FB74"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14</w:t>
            </w:r>
          </w:p>
        </w:tc>
        <w:tc>
          <w:tcPr>
            <w:tcW w:w="1270" w:type="dxa"/>
            <w:shd w:val="clear" w:color="auto" w:fill="auto"/>
            <w:vAlign w:val="bottom"/>
          </w:tcPr>
          <w:p w14:paraId="2FF27087"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31</w:t>
            </w:r>
          </w:p>
        </w:tc>
      </w:tr>
      <w:tr w:rsidR="00A90AAA" w:rsidRPr="002054DF" w14:paraId="2E7A815F" w14:textId="77777777" w:rsidTr="00A548CC">
        <w:tc>
          <w:tcPr>
            <w:tcW w:w="4820" w:type="dxa"/>
            <w:shd w:val="clear" w:color="auto" w:fill="auto"/>
          </w:tcPr>
          <w:p w14:paraId="0CC576DC" w14:textId="77777777" w:rsidR="00A90AAA" w:rsidRPr="002054DF" w:rsidRDefault="00A90AAA" w:rsidP="007F6BCD">
            <w:pPr>
              <w:suppressAutoHyphens w:val="0"/>
              <w:spacing w:before="40" w:after="40" w:line="220" w:lineRule="exact"/>
              <w:rPr>
                <w:sz w:val="18"/>
                <w:szCs w:val="18"/>
                <w:lang w:val="fr-FR" w:eastAsia="fr-FR"/>
              </w:rPr>
            </w:pPr>
            <w:r w:rsidRPr="002054DF">
              <w:rPr>
                <w:sz w:val="18"/>
                <w:lang w:val="fr-FR" w:eastAsia="fr-FR"/>
              </w:rPr>
              <w:t>Version révisée des Directives concernant l</w:t>
            </w:r>
            <w:r>
              <w:rPr>
                <w:sz w:val="18"/>
                <w:lang w:val="fr-FR" w:eastAsia="fr-FR"/>
              </w:rPr>
              <w:t>’</w:t>
            </w:r>
            <w:r w:rsidRPr="002054DF">
              <w:rPr>
                <w:sz w:val="18"/>
                <w:lang w:val="fr-FR" w:eastAsia="fr-FR"/>
              </w:rPr>
              <w:t>évaluation de l</w:t>
            </w:r>
            <w:r>
              <w:rPr>
                <w:sz w:val="18"/>
                <w:lang w:val="fr-FR" w:eastAsia="fr-FR"/>
              </w:rPr>
              <w:t>’</w:t>
            </w:r>
            <w:r w:rsidRPr="002054DF">
              <w:rPr>
                <w:sz w:val="18"/>
                <w:lang w:val="fr-FR" w:eastAsia="fr-FR"/>
              </w:rPr>
              <w:t>impact sur l</w:t>
            </w:r>
            <w:r>
              <w:rPr>
                <w:sz w:val="18"/>
                <w:lang w:val="fr-FR" w:eastAsia="fr-FR"/>
              </w:rPr>
              <w:t>’</w:t>
            </w:r>
            <w:r w:rsidRPr="002054DF">
              <w:rPr>
                <w:sz w:val="18"/>
                <w:lang w:val="fr-FR" w:eastAsia="fr-FR"/>
              </w:rPr>
              <w:t>environnement dans un contexte transfrontière à l</w:t>
            </w:r>
            <w:r>
              <w:rPr>
                <w:sz w:val="18"/>
                <w:lang w:val="fr-FR" w:eastAsia="fr-FR"/>
              </w:rPr>
              <w:t>’</w:t>
            </w:r>
            <w:r w:rsidRPr="002054DF">
              <w:rPr>
                <w:sz w:val="18"/>
                <w:lang w:val="fr-FR" w:eastAsia="fr-FR"/>
              </w:rPr>
              <w:t>intention des pays d</w:t>
            </w:r>
            <w:r>
              <w:rPr>
                <w:sz w:val="18"/>
                <w:lang w:val="fr-FR" w:eastAsia="fr-FR"/>
              </w:rPr>
              <w:t>’</w:t>
            </w:r>
            <w:r w:rsidRPr="002054DF">
              <w:rPr>
                <w:sz w:val="18"/>
                <w:lang w:val="fr-FR" w:eastAsia="fr-FR"/>
              </w:rPr>
              <w:t>Asie centrale (ECE/MP.EIA/28)</w:t>
            </w:r>
          </w:p>
        </w:tc>
        <w:tc>
          <w:tcPr>
            <w:tcW w:w="1559" w:type="dxa"/>
            <w:shd w:val="clear" w:color="auto" w:fill="auto"/>
            <w:vAlign w:val="bottom"/>
          </w:tcPr>
          <w:p w14:paraId="0E6D9983"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3</w:t>
            </w:r>
          </w:p>
        </w:tc>
        <w:tc>
          <w:tcPr>
            <w:tcW w:w="1559" w:type="dxa"/>
            <w:shd w:val="clear" w:color="auto" w:fill="auto"/>
            <w:vAlign w:val="bottom"/>
          </w:tcPr>
          <w:p w14:paraId="1DA6FAEB"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29</w:t>
            </w:r>
          </w:p>
        </w:tc>
        <w:tc>
          <w:tcPr>
            <w:tcW w:w="1270" w:type="dxa"/>
            <w:shd w:val="clear" w:color="auto" w:fill="auto"/>
            <w:vAlign w:val="bottom"/>
          </w:tcPr>
          <w:p w14:paraId="29F4C6C7"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32</w:t>
            </w:r>
          </w:p>
        </w:tc>
      </w:tr>
      <w:tr w:rsidR="00A90AAA" w:rsidRPr="002054DF" w14:paraId="5B243DE7" w14:textId="77777777" w:rsidTr="00A548CC">
        <w:tc>
          <w:tcPr>
            <w:tcW w:w="4820" w:type="dxa"/>
            <w:tcBorders>
              <w:bottom w:val="single" w:sz="12" w:space="0" w:color="auto"/>
            </w:tcBorders>
            <w:shd w:val="clear" w:color="auto" w:fill="auto"/>
          </w:tcPr>
          <w:p w14:paraId="2CC1D6C4" w14:textId="77777777" w:rsidR="00A90AAA" w:rsidRPr="002054DF" w:rsidRDefault="00A90AAA" w:rsidP="007F6BCD">
            <w:pPr>
              <w:suppressAutoHyphens w:val="0"/>
              <w:spacing w:before="40" w:after="40" w:line="220" w:lineRule="exact"/>
              <w:rPr>
                <w:sz w:val="18"/>
                <w:szCs w:val="18"/>
                <w:lang w:val="fr-FR" w:eastAsia="fr-FR"/>
              </w:rPr>
            </w:pPr>
            <w:r w:rsidRPr="002054DF">
              <w:rPr>
                <w:sz w:val="18"/>
                <w:lang w:val="fr-FR" w:eastAsia="fr-FR"/>
              </w:rPr>
              <w:t>Directive concernant la notification selon la Convention d</w:t>
            </w:r>
            <w:r>
              <w:rPr>
                <w:sz w:val="18"/>
                <w:lang w:val="fr-FR" w:eastAsia="fr-FR"/>
              </w:rPr>
              <w:t>’</w:t>
            </w:r>
            <w:r w:rsidRPr="002054DF">
              <w:rPr>
                <w:sz w:val="18"/>
                <w:lang w:val="fr-FR" w:eastAsia="fr-FR"/>
              </w:rPr>
              <w:t>Espoo (ECE/MP.EIA/12)</w:t>
            </w:r>
          </w:p>
        </w:tc>
        <w:tc>
          <w:tcPr>
            <w:tcW w:w="1559" w:type="dxa"/>
            <w:tcBorders>
              <w:bottom w:val="single" w:sz="12" w:space="0" w:color="auto"/>
            </w:tcBorders>
            <w:shd w:val="clear" w:color="auto" w:fill="auto"/>
            <w:vAlign w:val="bottom"/>
          </w:tcPr>
          <w:p w14:paraId="2358F6B5"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22</w:t>
            </w:r>
          </w:p>
        </w:tc>
        <w:tc>
          <w:tcPr>
            <w:tcW w:w="1559" w:type="dxa"/>
            <w:tcBorders>
              <w:bottom w:val="single" w:sz="12" w:space="0" w:color="auto"/>
            </w:tcBorders>
            <w:shd w:val="clear" w:color="auto" w:fill="auto"/>
            <w:vAlign w:val="bottom"/>
          </w:tcPr>
          <w:p w14:paraId="26FD4340"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10</w:t>
            </w:r>
          </w:p>
        </w:tc>
        <w:tc>
          <w:tcPr>
            <w:tcW w:w="1270" w:type="dxa"/>
            <w:tcBorders>
              <w:bottom w:val="single" w:sz="12" w:space="0" w:color="auto"/>
            </w:tcBorders>
            <w:shd w:val="clear" w:color="auto" w:fill="auto"/>
            <w:vAlign w:val="bottom"/>
          </w:tcPr>
          <w:p w14:paraId="5D09C700" w14:textId="77777777" w:rsidR="00A90AAA" w:rsidRPr="002054DF" w:rsidRDefault="00A90AAA" w:rsidP="00A548CC">
            <w:pPr>
              <w:suppressAutoHyphens w:val="0"/>
              <w:spacing w:before="40" w:after="40" w:line="220" w:lineRule="exact"/>
              <w:jc w:val="right"/>
              <w:rPr>
                <w:sz w:val="18"/>
                <w:szCs w:val="18"/>
                <w:lang w:val="fr-FR" w:eastAsia="fr-FR"/>
              </w:rPr>
            </w:pPr>
            <w:r w:rsidRPr="002054DF">
              <w:rPr>
                <w:sz w:val="18"/>
                <w:lang w:val="fr-FR" w:eastAsia="fr-FR"/>
              </w:rPr>
              <w:t>32</w:t>
            </w:r>
          </w:p>
        </w:tc>
      </w:tr>
    </w:tbl>
    <w:p w14:paraId="1867A27C" w14:textId="77777777" w:rsidR="00A90AAA" w:rsidRPr="00C0179C" w:rsidRDefault="00A90AAA" w:rsidP="00CE06A8">
      <w:pPr>
        <w:pStyle w:val="SingleTxtG"/>
        <w:spacing w:before="240"/>
        <w:rPr>
          <w:lang w:val="fr-FR"/>
        </w:rPr>
      </w:pPr>
      <w:r w:rsidRPr="00C0179C">
        <w:rPr>
          <w:lang w:val="fr-FR"/>
        </w:rPr>
        <w:t>75.</w:t>
      </w:r>
      <w:r w:rsidRPr="00C0179C">
        <w:rPr>
          <w:lang w:val="fr-FR"/>
        </w:rPr>
        <w:tab/>
        <w:t>La raison la plus fréquemment invoquée par les répondants pour expliquer pourquoi ils n</w:t>
      </w:r>
      <w:r>
        <w:rPr>
          <w:lang w:val="fr-FR"/>
        </w:rPr>
        <w:t>’</w:t>
      </w:r>
      <w:r w:rsidRPr="004573F6">
        <w:rPr>
          <w:lang w:val="fr-FR"/>
        </w:rPr>
        <w:t>o</w:t>
      </w:r>
      <w:r w:rsidRPr="00C0179C">
        <w:rPr>
          <w:lang w:val="fr-FR"/>
        </w:rPr>
        <w:t>nt pas utilisé les documents d</w:t>
      </w:r>
      <w:r>
        <w:rPr>
          <w:lang w:val="fr-FR"/>
        </w:rPr>
        <w:t>’</w:t>
      </w:r>
      <w:r w:rsidRPr="00C0179C">
        <w:rPr>
          <w:lang w:val="fr-FR"/>
        </w:rPr>
        <w:t xml:space="preserve">orientation officiels de la CEE </w:t>
      </w:r>
      <w:r w:rsidRPr="004573F6">
        <w:rPr>
          <w:lang w:val="fr-FR"/>
        </w:rPr>
        <w:t xml:space="preserve">est </w:t>
      </w:r>
      <w:r w:rsidRPr="00C0179C">
        <w:rPr>
          <w:lang w:val="fr-FR"/>
        </w:rPr>
        <w:t>qu</w:t>
      </w:r>
      <w:r w:rsidRPr="004573F6">
        <w:rPr>
          <w:lang w:val="fr-FR"/>
        </w:rPr>
        <w:t xml:space="preserve">e ces documents </w:t>
      </w:r>
      <w:r w:rsidRPr="00C0179C">
        <w:rPr>
          <w:lang w:val="fr-FR"/>
        </w:rPr>
        <w:t>n</w:t>
      </w:r>
      <w:r>
        <w:rPr>
          <w:lang w:val="fr-FR"/>
        </w:rPr>
        <w:t>’</w:t>
      </w:r>
      <w:r w:rsidRPr="00C0179C">
        <w:rPr>
          <w:lang w:val="fr-FR"/>
        </w:rPr>
        <w:t>étaient pas pertinents. Un petit nombre de répondants (5) font observer que certains documents d</w:t>
      </w:r>
      <w:r>
        <w:rPr>
          <w:lang w:val="fr-FR"/>
        </w:rPr>
        <w:t>’</w:t>
      </w:r>
      <w:r w:rsidRPr="00C0179C">
        <w:rPr>
          <w:lang w:val="fr-FR"/>
        </w:rPr>
        <w:t>orientation ne sont plus à jour.</w:t>
      </w:r>
    </w:p>
    <w:p w14:paraId="5AD1212C" w14:textId="77777777" w:rsidR="00A90AAA" w:rsidRPr="00C0179C" w:rsidRDefault="00A90AAA" w:rsidP="00A90AAA">
      <w:pPr>
        <w:pStyle w:val="H23G"/>
        <w:rPr>
          <w:lang w:val="fr-FR"/>
        </w:rPr>
      </w:pPr>
      <w:r w:rsidRPr="004573F6">
        <w:rPr>
          <w:lang w:val="fr-FR"/>
        </w:rPr>
        <w:tab/>
      </w:r>
      <w:r w:rsidRPr="00C0179C">
        <w:rPr>
          <w:lang w:val="fr-FR"/>
        </w:rPr>
        <w:t>8.</w:t>
      </w:r>
      <w:r w:rsidRPr="00C0179C">
        <w:rPr>
          <w:lang w:val="fr-FR"/>
        </w:rPr>
        <w:tab/>
        <w:t>Utilisation des réseaux de correspondants et de points de contact</w:t>
      </w:r>
    </w:p>
    <w:p w14:paraId="23F282AE" w14:textId="77777777" w:rsidR="00A90AAA" w:rsidRPr="00C0179C" w:rsidRDefault="00A90AAA" w:rsidP="00A90AAA">
      <w:pPr>
        <w:pStyle w:val="SingleTxtG"/>
        <w:rPr>
          <w:lang w:val="fr-FR"/>
        </w:rPr>
      </w:pPr>
      <w:r w:rsidRPr="00C0179C">
        <w:rPr>
          <w:lang w:val="fr-FR"/>
        </w:rPr>
        <w:t>76.</w:t>
      </w:r>
      <w:r w:rsidRPr="00C0179C">
        <w:rPr>
          <w:lang w:val="fr-FR"/>
        </w:rPr>
        <w:tab/>
      </w:r>
      <w:r>
        <w:rPr>
          <w:lang w:val="fr-FR"/>
        </w:rPr>
        <w:t>Dans l</w:t>
      </w:r>
      <w:r w:rsidRPr="00C0179C">
        <w:rPr>
          <w:lang w:val="fr-FR"/>
        </w:rPr>
        <w:t>a stratégie à long terme et le plan d</w:t>
      </w:r>
      <w:r>
        <w:rPr>
          <w:lang w:val="fr-FR"/>
        </w:rPr>
        <w:t>’</w:t>
      </w:r>
      <w:r w:rsidRPr="00C0179C">
        <w:rPr>
          <w:lang w:val="fr-FR"/>
        </w:rPr>
        <w:t>action pour la Convention (ECE/MP.EIA/2020/3-ECE/MP.EIA/SEA/2020/3, point II.A.7.)</w:t>
      </w:r>
      <w:r>
        <w:rPr>
          <w:lang w:val="fr-FR"/>
        </w:rPr>
        <w:t>, il est</w:t>
      </w:r>
      <w:r w:rsidRPr="00C0179C">
        <w:rPr>
          <w:lang w:val="fr-FR"/>
        </w:rPr>
        <w:t xml:space="preserve"> recommand</w:t>
      </w:r>
      <w:r>
        <w:rPr>
          <w:lang w:val="fr-FR"/>
        </w:rPr>
        <w:t>é</w:t>
      </w:r>
      <w:r w:rsidRPr="00C0179C">
        <w:rPr>
          <w:lang w:val="fr-FR"/>
        </w:rPr>
        <w:t xml:space="preserve"> d</w:t>
      </w:r>
      <w:r>
        <w:rPr>
          <w:lang w:val="fr-FR"/>
        </w:rPr>
        <w:t>’</w:t>
      </w:r>
      <w:r w:rsidRPr="00C0179C">
        <w:rPr>
          <w:lang w:val="fr-FR"/>
        </w:rPr>
        <w:t>utiliser les réseaux de correspondants et de points de contact dans le cadre de l</w:t>
      </w:r>
      <w:r>
        <w:rPr>
          <w:lang w:val="fr-FR"/>
        </w:rPr>
        <w:t>’</w:t>
      </w:r>
      <w:r w:rsidRPr="00C0179C">
        <w:rPr>
          <w:lang w:val="fr-FR"/>
        </w:rPr>
        <w:t>application de la Convention. Trente</w:t>
      </w:r>
      <w:r>
        <w:rPr>
          <w:lang w:val="fr-FR"/>
        </w:rPr>
        <w:t>-deux</w:t>
      </w:r>
      <w:r w:rsidRPr="00C0179C">
        <w:rPr>
          <w:lang w:val="fr-FR"/>
        </w:rPr>
        <w:t xml:space="preserve"> répondants utilisent ces deux réseaux (question II.16)</w:t>
      </w:r>
      <w:r w:rsidRPr="004573F6">
        <w:rPr>
          <w:lang w:val="fr-FR"/>
        </w:rPr>
        <w:t>,</w:t>
      </w:r>
      <w:r w:rsidRPr="00C0179C">
        <w:rPr>
          <w:lang w:val="fr-FR"/>
        </w:rPr>
        <w:t xml:space="preserve"> </w:t>
      </w:r>
      <w:r w:rsidRPr="004573F6">
        <w:rPr>
          <w:lang w:val="fr-FR"/>
        </w:rPr>
        <w:t xml:space="preserve">qui </w:t>
      </w:r>
      <w:r w:rsidRPr="00C0179C">
        <w:rPr>
          <w:lang w:val="fr-FR"/>
        </w:rPr>
        <w:t xml:space="preserve">semblent très appréciés. Par exemple, la Finlande décrit ces réseaux comme étant </w:t>
      </w:r>
      <w:r>
        <w:rPr>
          <w:lang w:val="fr-FR"/>
        </w:rPr>
        <w:t>essentiels à l’application de</w:t>
      </w:r>
      <w:r w:rsidRPr="00C0179C">
        <w:rPr>
          <w:lang w:val="fr-FR"/>
        </w:rPr>
        <w:t xml:space="preserve"> la Convention.</w:t>
      </w:r>
    </w:p>
    <w:p w14:paraId="298C240E" w14:textId="77777777" w:rsidR="00A90AAA" w:rsidRPr="00C0179C" w:rsidRDefault="00A90AAA" w:rsidP="00A90AAA">
      <w:pPr>
        <w:pStyle w:val="H23G"/>
        <w:rPr>
          <w:lang w:val="fr-FR"/>
        </w:rPr>
      </w:pPr>
      <w:r w:rsidRPr="004573F6">
        <w:rPr>
          <w:lang w:val="fr-FR"/>
        </w:rPr>
        <w:tab/>
      </w:r>
      <w:r w:rsidRPr="00C0179C">
        <w:rPr>
          <w:lang w:val="fr-FR"/>
        </w:rPr>
        <w:t>9.</w:t>
      </w:r>
      <w:r w:rsidRPr="00C0179C">
        <w:rPr>
          <w:lang w:val="fr-FR"/>
        </w:rPr>
        <w:tab/>
        <w:t>Pratiques en matière de contrôle de la qualité</w:t>
      </w:r>
    </w:p>
    <w:p w14:paraId="004FF492" w14:textId="1BAC4435" w:rsidR="00A90AAA" w:rsidRPr="00C0179C" w:rsidRDefault="00A90AAA" w:rsidP="00A90AAA">
      <w:pPr>
        <w:pStyle w:val="SingleTxtG"/>
        <w:rPr>
          <w:lang w:val="fr-FR"/>
        </w:rPr>
      </w:pPr>
      <w:r w:rsidRPr="00C0179C">
        <w:rPr>
          <w:lang w:val="fr-FR"/>
        </w:rPr>
        <w:t>77.</w:t>
      </w:r>
      <w:r w:rsidRPr="00C0179C">
        <w:rPr>
          <w:lang w:val="fr-FR"/>
        </w:rPr>
        <w:tab/>
      </w:r>
      <w:r>
        <w:rPr>
          <w:lang w:val="fr-FR"/>
        </w:rPr>
        <w:t>En ce qui concerne les mesures</w:t>
      </w:r>
      <w:r w:rsidRPr="00C0179C">
        <w:rPr>
          <w:lang w:val="fr-FR"/>
        </w:rPr>
        <w:t xml:space="preserve"> de contrôle de la qualité appliquées par les Parties et les pays non Parties (question II.17)</w:t>
      </w:r>
      <w:r>
        <w:rPr>
          <w:lang w:val="fr-FR"/>
        </w:rPr>
        <w:t xml:space="preserve">, elles consistent principalement pour </w:t>
      </w:r>
      <w:r w:rsidRPr="00C0179C">
        <w:rPr>
          <w:lang w:val="fr-FR"/>
        </w:rPr>
        <w:t>une autorité compétente ou un organisme spécialisé</w:t>
      </w:r>
      <w:r>
        <w:rPr>
          <w:lang w:val="fr-FR"/>
        </w:rPr>
        <w:t xml:space="preserve"> à </w:t>
      </w:r>
      <w:r w:rsidRPr="00C0179C">
        <w:rPr>
          <w:lang w:val="fr-FR"/>
        </w:rPr>
        <w:t xml:space="preserve">analyser le dossier </w:t>
      </w:r>
      <w:r>
        <w:rPr>
          <w:lang w:val="fr-FR"/>
        </w:rPr>
        <w:t>afin de</w:t>
      </w:r>
      <w:r w:rsidRPr="00C0179C">
        <w:rPr>
          <w:lang w:val="fr-FR"/>
        </w:rPr>
        <w:t xml:space="preserve"> vérifier qu</w:t>
      </w:r>
      <w:r>
        <w:rPr>
          <w:lang w:val="fr-FR"/>
        </w:rPr>
        <w:t>’</w:t>
      </w:r>
      <w:r w:rsidRPr="00C0179C">
        <w:rPr>
          <w:lang w:val="fr-FR"/>
        </w:rPr>
        <w:t>il satisfait aux prescriptions minimales</w:t>
      </w:r>
      <w:r>
        <w:rPr>
          <w:lang w:val="fr-FR"/>
        </w:rPr>
        <w:t>,</w:t>
      </w:r>
      <w:r w:rsidRPr="00C0179C">
        <w:rPr>
          <w:lang w:val="fr-FR"/>
        </w:rPr>
        <w:t xml:space="preserve"> par exemple en évaluant son contenu au regard des prescriptions énoncées dans la législation interne ou l</w:t>
      </w:r>
      <w:r>
        <w:rPr>
          <w:lang w:val="fr-FR"/>
        </w:rPr>
        <w:t>’</w:t>
      </w:r>
      <w:r w:rsidRPr="00C0179C">
        <w:rPr>
          <w:lang w:val="fr-FR"/>
        </w:rPr>
        <w:t>appendice</w:t>
      </w:r>
      <w:r>
        <w:rPr>
          <w:lang w:val="fr-FR"/>
        </w:rPr>
        <w:t> </w:t>
      </w:r>
      <w:r w:rsidRPr="00C0179C">
        <w:rPr>
          <w:lang w:val="fr-FR"/>
        </w:rPr>
        <w:t>II de la Convention. Dans certains cas, l</w:t>
      </w:r>
      <w:r>
        <w:rPr>
          <w:lang w:val="fr-FR"/>
        </w:rPr>
        <w:t>’</w:t>
      </w:r>
      <w:r w:rsidRPr="00C0179C">
        <w:rPr>
          <w:lang w:val="fr-FR"/>
        </w:rPr>
        <w:t>évaluation de la qualité semble être effectuée de manière plus détaillée (par exemple, aux Pays-Bas pour certains projets). Quelques répondants soulignent également le rôle de la délimitation obligatoire du champ de l</w:t>
      </w:r>
      <w:r>
        <w:rPr>
          <w:lang w:val="fr-FR"/>
        </w:rPr>
        <w:t>’</w:t>
      </w:r>
      <w:r w:rsidRPr="00C0179C">
        <w:rPr>
          <w:lang w:val="fr-FR"/>
        </w:rPr>
        <w:t>évaluation</w:t>
      </w:r>
      <w:r w:rsidRPr="00C0179C">
        <w:rPr>
          <w:i/>
          <w:iCs/>
          <w:lang w:val="fr-FR"/>
        </w:rPr>
        <w:t xml:space="preserve"> </w:t>
      </w:r>
      <w:r w:rsidRPr="00C0179C">
        <w:rPr>
          <w:lang w:val="fr-FR"/>
        </w:rPr>
        <w:t>en tant que mécanisme de contrôle de la qualité et des prescriptions légales en vertu desquelles les évaluations doivent être effectuées par des spécialistes qualifiés ou agréés.</w:t>
      </w:r>
    </w:p>
    <w:p w14:paraId="16664375" w14:textId="77777777" w:rsidR="00A90AAA" w:rsidRPr="00C0179C" w:rsidRDefault="00A90AAA" w:rsidP="00A90AAA">
      <w:pPr>
        <w:pStyle w:val="H23G"/>
        <w:rPr>
          <w:lang w:val="fr-FR"/>
        </w:rPr>
      </w:pPr>
      <w:r w:rsidRPr="004573F6">
        <w:rPr>
          <w:lang w:val="fr-FR"/>
        </w:rPr>
        <w:tab/>
      </w:r>
      <w:r w:rsidRPr="00C0179C">
        <w:rPr>
          <w:lang w:val="fr-FR"/>
        </w:rPr>
        <w:t>10.</w:t>
      </w:r>
      <w:r w:rsidRPr="00C0179C">
        <w:rPr>
          <w:lang w:val="fr-FR"/>
        </w:rPr>
        <w:tab/>
        <w:t>Contribution à la réalisation des objectifs de développement durable</w:t>
      </w:r>
    </w:p>
    <w:p w14:paraId="6C369EBE" w14:textId="1666CB22" w:rsidR="00A90AAA" w:rsidRPr="00C0179C" w:rsidRDefault="00A90AAA" w:rsidP="00A90AAA">
      <w:pPr>
        <w:pStyle w:val="SingleTxtG"/>
        <w:rPr>
          <w:lang w:val="fr-FR"/>
        </w:rPr>
      </w:pPr>
      <w:r w:rsidRPr="00C0179C">
        <w:rPr>
          <w:lang w:val="fr-FR"/>
        </w:rPr>
        <w:t>78.</w:t>
      </w:r>
      <w:r w:rsidRPr="00C0179C">
        <w:rPr>
          <w:lang w:val="fr-FR"/>
        </w:rPr>
        <w:tab/>
        <w:t>Les répondants ont des points de vue divers sur la manière dont les évaluations de l</w:t>
      </w:r>
      <w:r>
        <w:rPr>
          <w:lang w:val="fr-FR"/>
        </w:rPr>
        <w:t>’</w:t>
      </w:r>
      <w:r w:rsidRPr="00C0179C">
        <w:rPr>
          <w:lang w:val="fr-FR"/>
        </w:rPr>
        <w:t>impact transfrontière sur l</w:t>
      </w:r>
      <w:r>
        <w:rPr>
          <w:lang w:val="fr-FR"/>
        </w:rPr>
        <w:t>’</w:t>
      </w:r>
      <w:r w:rsidRPr="00C0179C">
        <w:rPr>
          <w:lang w:val="fr-FR"/>
        </w:rPr>
        <w:t>environnement</w:t>
      </w:r>
      <w:r w:rsidRPr="00C0179C">
        <w:rPr>
          <w:i/>
          <w:iCs/>
          <w:lang w:val="fr-FR"/>
        </w:rPr>
        <w:t xml:space="preserve"> </w:t>
      </w:r>
      <w:r w:rsidRPr="00C0179C">
        <w:rPr>
          <w:lang w:val="fr-FR"/>
        </w:rPr>
        <w:t>contribuent aux objectifs de développement durable (voir tableau</w:t>
      </w:r>
      <w:r>
        <w:rPr>
          <w:lang w:val="fr-FR"/>
        </w:rPr>
        <w:t> </w:t>
      </w:r>
      <w:r w:rsidRPr="00C0179C">
        <w:rPr>
          <w:lang w:val="fr-FR"/>
        </w:rPr>
        <w:t xml:space="preserve">9) (question II.22). Parmi les répondants qui estiment que cette contribution est </w:t>
      </w:r>
      <w:r>
        <w:rPr>
          <w:lang w:val="fr-FR"/>
        </w:rPr>
        <w:t>significative</w:t>
      </w:r>
      <w:r w:rsidRPr="00C0179C">
        <w:rPr>
          <w:lang w:val="fr-FR"/>
        </w:rPr>
        <w:t>, les objectifs</w:t>
      </w:r>
      <w:r>
        <w:rPr>
          <w:lang w:val="fr-FR"/>
        </w:rPr>
        <w:t> </w:t>
      </w:r>
      <w:r w:rsidRPr="00C0179C">
        <w:rPr>
          <w:lang w:val="fr-FR"/>
        </w:rPr>
        <w:t>13 («</w:t>
      </w:r>
      <w:r>
        <w:rPr>
          <w:lang w:val="fr-FR"/>
        </w:rPr>
        <w:t> </w:t>
      </w:r>
      <w:r w:rsidRPr="00C0179C">
        <w:rPr>
          <w:lang w:val="fr-FR"/>
        </w:rPr>
        <w:t>mesures relatives à la lutte contre les changements climatiques</w:t>
      </w:r>
      <w:r>
        <w:rPr>
          <w:lang w:val="fr-FR"/>
        </w:rPr>
        <w:t> </w:t>
      </w:r>
      <w:r w:rsidRPr="00C0179C">
        <w:rPr>
          <w:lang w:val="fr-FR"/>
        </w:rPr>
        <w:t>»), 14 («</w:t>
      </w:r>
      <w:r>
        <w:rPr>
          <w:lang w:val="fr-FR"/>
        </w:rPr>
        <w:t> </w:t>
      </w:r>
      <w:r w:rsidRPr="00C0179C">
        <w:rPr>
          <w:lang w:val="fr-FR"/>
        </w:rPr>
        <w:t>vie aquatique</w:t>
      </w:r>
      <w:r>
        <w:rPr>
          <w:lang w:val="fr-FR"/>
        </w:rPr>
        <w:t> </w:t>
      </w:r>
      <w:r w:rsidRPr="00C0179C">
        <w:rPr>
          <w:lang w:val="fr-FR"/>
        </w:rPr>
        <w:t>») et 15 («</w:t>
      </w:r>
      <w:r>
        <w:rPr>
          <w:lang w:val="fr-FR"/>
        </w:rPr>
        <w:t> </w:t>
      </w:r>
      <w:r w:rsidRPr="00C0179C">
        <w:rPr>
          <w:lang w:val="fr-FR"/>
        </w:rPr>
        <w:t>vie terrestre</w:t>
      </w:r>
      <w:r>
        <w:rPr>
          <w:lang w:val="fr-FR"/>
        </w:rPr>
        <w:t> </w:t>
      </w:r>
      <w:r w:rsidRPr="00C0179C">
        <w:rPr>
          <w:lang w:val="fr-FR"/>
        </w:rPr>
        <w:t xml:space="preserve">») sont mentionnés plusieurs fois. Deux répondants mentionnent également </w:t>
      </w:r>
      <w:r w:rsidRPr="004573F6">
        <w:rPr>
          <w:lang w:val="fr-FR"/>
        </w:rPr>
        <w:t xml:space="preserve">des </w:t>
      </w:r>
      <w:r w:rsidRPr="00C0179C">
        <w:rPr>
          <w:lang w:val="fr-FR"/>
        </w:rPr>
        <w:t>contribution</w:t>
      </w:r>
      <w:r w:rsidRPr="004573F6">
        <w:rPr>
          <w:lang w:val="fr-FR"/>
        </w:rPr>
        <w:t>s</w:t>
      </w:r>
      <w:r w:rsidRPr="00C0179C">
        <w:rPr>
          <w:lang w:val="fr-FR"/>
        </w:rPr>
        <w:t xml:space="preserve"> aux objectifs</w:t>
      </w:r>
      <w:r>
        <w:rPr>
          <w:lang w:val="fr-FR"/>
        </w:rPr>
        <w:t> </w:t>
      </w:r>
      <w:r w:rsidRPr="00C0179C">
        <w:rPr>
          <w:lang w:val="fr-FR"/>
        </w:rPr>
        <w:t>3 (</w:t>
      </w:r>
      <w:r>
        <w:rPr>
          <w:lang w:val="fr-FR"/>
        </w:rPr>
        <w:t>« </w:t>
      </w:r>
      <w:r w:rsidRPr="00C0179C">
        <w:rPr>
          <w:lang w:val="fr-FR"/>
        </w:rPr>
        <w:t>bonne santé et bien-être</w:t>
      </w:r>
      <w:r>
        <w:rPr>
          <w:lang w:val="fr-FR"/>
        </w:rPr>
        <w:t> »</w:t>
      </w:r>
      <w:r w:rsidRPr="00C0179C">
        <w:rPr>
          <w:lang w:val="fr-FR"/>
        </w:rPr>
        <w:t>) et 7 (</w:t>
      </w:r>
      <w:r>
        <w:rPr>
          <w:lang w:val="fr-FR"/>
        </w:rPr>
        <w:t>« </w:t>
      </w:r>
      <w:r w:rsidRPr="00C0179C">
        <w:rPr>
          <w:lang w:val="fr-FR"/>
        </w:rPr>
        <w:t>énergie propre et d</w:t>
      </w:r>
      <w:r>
        <w:rPr>
          <w:lang w:val="fr-FR"/>
        </w:rPr>
        <w:t>’</w:t>
      </w:r>
      <w:r w:rsidRPr="00C0179C">
        <w:rPr>
          <w:lang w:val="fr-FR"/>
        </w:rPr>
        <w:t>un coût abordable</w:t>
      </w:r>
      <w:r>
        <w:rPr>
          <w:lang w:val="fr-FR"/>
        </w:rPr>
        <w:t> »</w:t>
      </w:r>
      <w:r w:rsidRPr="00C0179C">
        <w:rPr>
          <w:lang w:val="fr-FR"/>
        </w:rPr>
        <w:t>). Le Canada fait observer que l</w:t>
      </w:r>
      <w:r>
        <w:rPr>
          <w:lang w:val="fr-FR"/>
        </w:rPr>
        <w:t>’</w:t>
      </w:r>
      <w:r w:rsidRPr="00C0179C">
        <w:rPr>
          <w:lang w:val="fr-FR"/>
        </w:rPr>
        <w:t>évaluation de l</w:t>
      </w:r>
      <w:r>
        <w:rPr>
          <w:lang w:val="fr-FR"/>
        </w:rPr>
        <w:t>’</w:t>
      </w:r>
      <w:r w:rsidRPr="00C0179C">
        <w:rPr>
          <w:lang w:val="fr-FR"/>
        </w:rPr>
        <w:t>impact sur l</w:t>
      </w:r>
      <w:r>
        <w:rPr>
          <w:lang w:val="fr-FR"/>
        </w:rPr>
        <w:t>’</w:t>
      </w:r>
      <w:r w:rsidRPr="00C0179C">
        <w:rPr>
          <w:lang w:val="fr-FR"/>
        </w:rPr>
        <w:t xml:space="preserve">environnement a contribué par certains aspects, mais pas de manière </w:t>
      </w:r>
      <w:r>
        <w:rPr>
          <w:lang w:val="fr-FR"/>
        </w:rPr>
        <w:t>significative</w:t>
      </w:r>
      <w:r w:rsidRPr="00C0179C">
        <w:rPr>
          <w:lang w:val="fr-FR"/>
        </w:rPr>
        <w:t xml:space="preserve">, à la </w:t>
      </w:r>
      <w:r w:rsidRPr="004573F6">
        <w:rPr>
          <w:lang w:val="fr-FR"/>
        </w:rPr>
        <w:t xml:space="preserve">réalisation </w:t>
      </w:r>
      <w:r w:rsidRPr="00C0179C">
        <w:rPr>
          <w:lang w:val="fr-FR"/>
        </w:rPr>
        <w:t>des objectifs</w:t>
      </w:r>
      <w:r>
        <w:rPr>
          <w:lang w:val="fr-FR"/>
        </w:rPr>
        <w:t> </w:t>
      </w:r>
      <w:r w:rsidRPr="00C0179C">
        <w:rPr>
          <w:lang w:val="fr-FR"/>
        </w:rPr>
        <w:t>5 (</w:t>
      </w:r>
      <w:r>
        <w:rPr>
          <w:lang w:val="fr-FR"/>
        </w:rPr>
        <w:t>« </w:t>
      </w:r>
      <w:r w:rsidRPr="00C0179C">
        <w:rPr>
          <w:lang w:val="fr-FR"/>
        </w:rPr>
        <w:t>égalité entre les sexes</w:t>
      </w:r>
      <w:r>
        <w:rPr>
          <w:lang w:val="fr-FR"/>
        </w:rPr>
        <w:t> »</w:t>
      </w:r>
      <w:r w:rsidRPr="00C0179C">
        <w:rPr>
          <w:lang w:val="fr-FR"/>
        </w:rPr>
        <w:t>) et</w:t>
      </w:r>
      <w:r>
        <w:rPr>
          <w:lang w:val="fr-FR"/>
        </w:rPr>
        <w:t> </w:t>
      </w:r>
      <w:r w:rsidRPr="00C0179C">
        <w:rPr>
          <w:lang w:val="fr-FR"/>
        </w:rPr>
        <w:t>16 (</w:t>
      </w:r>
      <w:r>
        <w:rPr>
          <w:lang w:val="fr-FR"/>
        </w:rPr>
        <w:t>« </w:t>
      </w:r>
      <w:r w:rsidRPr="00C0179C">
        <w:rPr>
          <w:lang w:val="fr-FR"/>
        </w:rPr>
        <w:t>paix, justice et institutions efficaces</w:t>
      </w:r>
      <w:r>
        <w:rPr>
          <w:lang w:val="fr-FR"/>
        </w:rPr>
        <w:t> »</w:t>
      </w:r>
      <w:r w:rsidRPr="00C0179C">
        <w:rPr>
          <w:lang w:val="fr-FR"/>
        </w:rPr>
        <w:t>).</w:t>
      </w:r>
    </w:p>
    <w:p w14:paraId="0674D2EC" w14:textId="08A3C74A" w:rsidR="00A90AAA" w:rsidRPr="00EF60F1" w:rsidRDefault="00A90AAA" w:rsidP="00A90AAA">
      <w:pPr>
        <w:pStyle w:val="Titre1"/>
        <w:spacing w:after="120"/>
        <w:rPr>
          <w:lang w:val="fr-FR"/>
        </w:rPr>
      </w:pPr>
      <w:r w:rsidRPr="00C0179C">
        <w:rPr>
          <w:lang w:val="fr-FR"/>
        </w:rPr>
        <w:t>Tableau</w:t>
      </w:r>
      <w:r>
        <w:rPr>
          <w:lang w:val="fr-FR"/>
        </w:rPr>
        <w:t> </w:t>
      </w:r>
      <w:r w:rsidRPr="00C0179C">
        <w:rPr>
          <w:lang w:val="fr-FR"/>
        </w:rPr>
        <w:t>9</w:t>
      </w:r>
      <w:r>
        <w:rPr>
          <w:lang w:val="fr-FR"/>
        </w:rPr>
        <w:br/>
      </w:r>
      <w:r w:rsidRPr="00C0179C">
        <w:rPr>
          <w:b/>
          <w:bCs/>
          <w:lang w:val="fr-FR"/>
        </w:rPr>
        <w:t>Contribution des évaluations de l</w:t>
      </w:r>
      <w:r>
        <w:rPr>
          <w:b/>
          <w:bCs/>
          <w:lang w:val="fr-FR"/>
        </w:rPr>
        <w:t>’</w:t>
      </w:r>
      <w:r w:rsidRPr="00C0179C">
        <w:rPr>
          <w:b/>
          <w:bCs/>
          <w:lang w:val="fr-FR"/>
        </w:rPr>
        <w:t>impact transfrontière sur l</w:t>
      </w:r>
      <w:r>
        <w:rPr>
          <w:b/>
          <w:bCs/>
          <w:lang w:val="fr-FR"/>
        </w:rPr>
        <w:t>’</w:t>
      </w:r>
      <w:r w:rsidRPr="00C0179C">
        <w:rPr>
          <w:b/>
          <w:bCs/>
          <w:lang w:val="fr-FR"/>
        </w:rPr>
        <w:t xml:space="preserve">environnement </w:t>
      </w:r>
      <w:r>
        <w:rPr>
          <w:b/>
          <w:bCs/>
          <w:lang w:val="fr-FR"/>
        </w:rPr>
        <w:br/>
      </w:r>
      <w:r w:rsidRPr="00C0179C">
        <w:rPr>
          <w:b/>
          <w:bCs/>
          <w:lang w:val="fr-FR"/>
        </w:rPr>
        <w:t>aux objectifs de développement durable (n=29</w:t>
      </w:r>
      <w:r w:rsidRPr="00C0179C">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3682"/>
        <w:gridCol w:w="3688"/>
      </w:tblGrid>
      <w:tr w:rsidR="00A90AAA" w:rsidRPr="0096037E" w14:paraId="57840CE6" w14:textId="77777777" w:rsidTr="007F6BCD">
        <w:trPr>
          <w:tblHeader/>
        </w:trPr>
        <w:tc>
          <w:tcPr>
            <w:tcW w:w="3539" w:type="dxa"/>
            <w:tcBorders>
              <w:top w:val="single" w:sz="4" w:space="0" w:color="auto"/>
              <w:bottom w:val="single" w:sz="12" w:space="0" w:color="auto"/>
            </w:tcBorders>
            <w:shd w:val="clear" w:color="auto" w:fill="auto"/>
            <w:vAlign w:val="bottom"/>
          </w:tcPr>
          <w:p w14:paraId="4ACC6301" w14:textId="77777777" w:rsidR="00A90AAA" w:rsidRPr="0096037E" w:rsidRDefault="00A90AAA" w:rsidP="007F6BCD">
            <w:pPr>
              <w:suppressAutoHyphens w:val="0"/>
              <w:spacing w:before="80" w:after="80" w:line="200" w:lineRule="exact"/>
              <w:rPr>
                <w:i/>
                <w:sz w:val="16"/>
                <w:lang w:val="fr-FR" w:eastAsia="fr-FR"/>
              </w:rPr>
            </w:pPr>
            <w:r w:rsidRPr="0096037E">
              <w:rPr>
                <w:i/>
                <w:sz w:val="16"/>
                <w:lang w:val="fr-FR" w:eastAsia="fr-FR"/>
              </w:rPr>
              <w:t>Contribution apportée</w:t>
            </w:r>
          </w:p>
        </w:tc>
        <w:tc>
          <w:tcPr>
            <w:tcW w:w="3544" w:type="dxa"/>
            <w:tcBorders>
              <w:top w:val="single" w:sz="4" w:space="0" w:color="auto"/>
              <w:bottom w:val="single" w:sz="12" w:space="0" w:color="auto"/>
            </w:tcBorders>
            <w:shd w:val="clear" w:color="auto" w:fill="auto"/>
            <w:vAlign w:val="bottom"/>
          </w:tcPr>
          <w:p w14:paraId="1DFEEAD7" w14:textId="77777777" w:rsidR="00A90AAA" w:rsidRPr="0096037E" w:rsidRDefault="00A90AAA" w:rsidP="007F6BCD">
            <w:pPr>
              <w:suppressAutoHyphens w:val="0"/>
              <w:spacing w:before="80" w:after="80" w:line="200" w:lineRule="exact"/>
              <w:jc w:val="right"/>
              <w:rPr>
                <w:i/>
                <w:sz w:val="16"/>
                <w:lang w:val="fr-FR" w:eastAsia="fr-FR"/>
              </w:rPr>
            </w:pPr>
            <w:r w:rsidRPr="0096037E">
              <w:rPr>
                <w:i/>
                <w:sz w:val="16"/>
                <w:lang w:val="fr-FR" w:eastAsia="fr-FR"/>
              </w:rPr>
              <w:t>Nombre de répondants</w:t>
            </w:r>
          </w:p>
        </w:tc>
      </w:tr>
      <w:tr w:rsidR="00A90AAA" w:rsidRPr="0096037E" w14:paraId="4DC73C57" w14:textId="77777777" w:rsidTr="007F6BCD">
        <w:trPr>
          <w:trHeight w:hRule="exact" w:val="113"/>
        </w:trPr>
        <w:tc>
          <w:tcPr>
            <w:tcW w:w="3539" w:type="dxa"/>
            <w:tcBorders>
              <w:top w:val="single" w:sz="12" w:space="0" w:color="auto"/>
            </w:tcBorders>
            <w:shd w:val="clear" w:color="auto" w:fill="auto"/>
          </w:tcPr>
          <w:p w14:paraId="7FEFC8BD" w14:textId="77777777" w:rsidR="00A90AAA" w:rsidRPr="0096037E" w:rsidRDefault="00A90AAA" w:rsidP="007F6BCD">
            <w:pPr>
              <w:suppressAutoHyphens w:val="0"/>
              <w:spacing w:before="40" w:after="40" w:line="220" w:lineRule="exact"/>
              <w:rPr>
                <w:sz w:val="18"/>
                <w:lang w:val="fr-FR" w:eastAsia="fr-FR"/>
              </w:rPr>
            </w:pPr>
          </w:p>
        </w:tc>
        <w:tc>
          <w:tcPr>
            <w:tcW w:w="3544" w:type="dxa"/>
            <w:tcBorders>
              <w:top w:val="single" w:sz="12" w:space="0" w:color="auto"/>
            </w:tcBorders>
            <w:shd w:val="clear" w:color="auto" w:fill="auto"/>
            <w:vAlign w:val="bottom"/>
          </w:tcPr>
          <w:p w14:paraId="2CF4FE29" w14:textId="77777777" w:rsidR="00A90AAA" w:rsidRPr="0096037E" w:rsidRDefault="00A90AAA" w:rsidP="007F6BCD">
            <w:pPr>
              <w:suppressAutoHyphens w:val="0"/>
              <w:spacing w:before="40" w:after="40" w:line="220" w:lineRule="exact"/>
              <w:jc w:val="right"/>
              <w:rPr>
                <w:sz w:val="18"/>
                <w:lang w:val="fr-FR" w:eastAsia="fr-FR"/>
              </w:rPr>
            </w:pPr>
          </w:p>
        </w:tc>
      </w:tr>
      <w:tr w:rsidR="00A90AAA" w:rsidRPr="0096037E" w14:paraId="0E555CA4" w14:textId="77777777" w:rsidTr="007F6BCD">
        <w:tc>
          <w:tcPr>
            <w:tcW w:w="3539" w:type="dxa"/>
            <w:shd w:val="clear" w:color="auto" w:fill="auto"/>
          </w:tcPr>
          <w:p w14:paraId="6F62C073" w14:textId="77777777" w:rsidR="00A90AAA" w:rsidRPr="0096037E" w:rsidRDefault="00A90AAA" w:rsidP="007F6BCD">
            <w:pPr>
              <w:suppressAutoHyphens w:val="0"/>
              <w:spacing w:before="40" w:after="40" w:line="220" w:lineRule="exact"/>
              <w:rPr>
                <w:sz w:val="18"/>
                <w:szCs w:val="18"/>
                <w:lang w:val="fr-FR" w:eastAsia="fr-FR"/>
              </w:rPr>
            </w:pPr>
            <w:r w:rsidRPr="0096037E">
              <w:rPr>
                <w:sz w:val="18"/>
                <w:lang w:val="fr-FR" w:eastAsia="fr-FR"/>
              </w:rPr>
              <w:t xml:space="preserve">Contribution </w:t>
            </w:r>
            <w:r>
              <w:rPr>
                <w:sz w:val="18"/>
                <w:lang w:val="fr-FR" w:eastAsia="fr-FR"/>
              </w:rPr>
              <w:t>significative</w:t>
            </w:r>
          </w:p>
        </w:tc>
        <w:tc>
          <w:tcPr>
            <w:tcW w:w="3544" w:type="dxa"/>
            <w:shd w:val="clear" w:color="auto" w:fill="auto"/>
            <w:vAlign w:val="bottom"/>
          </w:tcPr>
          <w:p w14:paraId="3A7DFCBB" w14:textId="77777777" w:rsidR="00A90AAA" w:rsidRPr="0096037E" w:rsidRDefault="00A90AAA" w:rsidP="007F6BCD">
            <w:pPr>
              <w:suppressAutoHyphens w:val="0"/>
              <w:spacing w:before="40" w:after="40" w:line="220" w:lineRule="exact"/>
              <w:jc w:val="right"/>
              <w:rPr>
                <w:sz w:val="18"/>
                <w:szCs w:val="18"/>
                <w:lang w:val="fr-FR" w:eastAsia="fr-FR"/>
              </w:rPr>
            </w:pPr>
            <w:r w:rsidRPr="0096037E">
              <w:rPr>
                <w:sz w:val="18"/>
                <w:lang w:val="fr-FR" w:eastAsia="fr-FR"/>
              </w:rPr>
              <w:t>13</w:t>
            </w:r>
          </w:p>
        </w:tc>
      </w:tr>
      <w:tr w:rsidR="00A90AAA" w:rsidRPr="0096037E" w14:paraId="5C05BD95" w14:textId="77777777" w:rsidTr="007F6BCD">
        <w:tc>
          <w:tcPr>
            <w:tcW w:w="3539" w:type="dxa"/>
            <w:shd w:val="clear" w:color="auto" w:fill="auto"/>
          </w:tcPr>
          <w:p w14:paraId="7BCFB6B9" w14:textId="77777777" w:rsidR="00A90AAA" w:rsidRPr="0096037E" w:rsidRDefault="00A90AAA" w:rsidP="007F6BCD">
            <w:pPr>
              <w:suppressAutoHyphens w:val="0"/>
              <w:spacing w:before="40" w:after="40" w:line="220" w:lineRule="exact"/>
              <w:rPr>
                <w:sz w:val="18"/>
                <w:szCs w:val="18"/>
                <w:lang w:val="fr-FR" w:eastAsia="fr-FR"/>
              </w:rPr>
            </w:pPr>
            <w:r w:rsidRPr="0096037E">
              <w:rPr>
                <w:sz w:val="18"/>
                <w:lang w:val="fr-FR" w:eastAsia="fr-FR"/>
              </w:rPr>
              <w:t>Contribution dans une certaine mesure</w:t>
            </w:r>
          </w:p>
        </w:tc>
        <w:tc>
          <w:tcPr>
            <w:tcW w:w="3544" w:type="dxa"/>
            <w:shd w:val="clear" w:color="auto" w:fill="auto"/>
            <w:vAlign w:val="bottom"/>
          </w:tcPr>
          <w:p w14:paraId="6AA1CB6B" w14:textId="77777777" w:rsidR="00A90AAA" w:rsidRPr="0096037E" w:rsidRDefault="00A90AAA" w:rsidP="007F6BCD">
            <w:pPr>
              <w:suppressAutoHyphens w:val="0"/>
              <w:spacing w:before="40" w:after="40" w:line="220" w:lineRule="exact"/>
              <w:jc w:val="right"/>
              <w:rPr>
                <w:sz w:val="18"/>
                <w:szCs w:val="18"/>
                <w:lang w:val="fr-FR" w:eastAsia="fr-FR"/>
              </w:rPr>
            </w:pPr>
            <w:r w:rsidRPr="0096037E">
              <w:rPr>
                <w:sz w:val="18"/>
                <w:lang w:val="fr-FR" w:eastAsia="fr-FR"/>
              </w:rPr>
              <w:t>11</w:t>
            </w:r>
          </w:p>
        </w:tc>
      </w:tr>
      <w:tr w:rsidR="00A90AAA" w:rsidRPr="0096037E" w14:paraId="24861F96" w14:textId="77777777" w:rsidTr="007F6BCD">
        <w:tc>
          <w:tcPr>
            <w:tcW w:w="3539" w:type="dxa"/>
            <w:tcBorders>
              <w:bottom w:val="single" w:sz="12" w:space="0" w:color="auto"/>
            </w:tcBorders>
            <w:shd w:val="clear" w:color="auto" w:fill="auto"/>
          </w:tcPr>
          <w:p w14:paraId="6346E4AE" w14:textId="77777777" w:rsidR="00A90AAA" w:rsidRPr="0096037E" w:rsidRDefault="00A90AAA" w:rsidP="007F6BCD">
            <w:pPr>
              <w:suppressAutoHyphens w:val="0"/>
              <w:spacing w:before="40" w:after="40" w:line="220" w:lineRule="exact"/>
              <w:rPr>
                <w:sz w:val="18"/>
                <w:szCs w:val="18"/>
                <w:lang w:val="fr-FR" w:eastAsia="fr-FR"/>
              </w:rPr>
            </w:pPr>
            <w:r w:rsidRPr="0096037E">
              <w:rPr>
                <w:sz w:val="18"/>
                <w:lang w:val="fr-FR" w:eastAsia="fr-FR"/>
              </w:rPr>
              <w:t>Pas de contribution</w:t>
            </w:r>
          </w:p>
        </w:tc>
        <w:tc>
          <w:tcPr>
            <w:tcW w:w="3544" w:type="dxa"/>
            <w:tcBorders>
              <w:bottom w:val="single" w:sz="12" w:space="0" w:color="auto"/>
            </w:tcBorders>
            <w:shd w:val="clear" w:color="auto" w:fill="auto"/>
            <w:vAlign w:val="bottom"/>
          </w:tcPr>
          <w:p w14:paraId="31BFC21A" w14:textId="77777777" w:rsidR="00A90AAA" w:rsidRPr="0096037E" w:rsidRDefault="00A90AAA" w:rsidP="007F6BCD">
            <w:pPr>
              <w:suppressAutoHyphens w:val="0"/>
              <w:spacing w:before="40" w:after="40" w:line="220" w:lineRule="exact"/>
              <w:jc w:val="right"/>
              <w:rPr>
                <w:sz w:val="18"/>
                <w:szCs w:val="18"/>
                <w:lang w:val="fr-FR" w:eastAsia="fr-FR"/>
              </w:rPr>
            </w:pPr>
            <w:r w:rsidRPr="0096037E">
              <w:rPr>
                <w:sz w:val="18"/>
                <w:lang w:val="fr-FR" w:eastAsia="fr-FR"/>
              </w:rPr>
              <w:t>7</w:t>
            </w:r>
          </w:p>
        </w:tc>
      </w:tr>
    </w:tbl>
    <w:p w14:paraId="4876838D" w14:textId="77777777" w:rsidR="00A90AAA" w:rsidRPr="00C0179C" w:rsidRDefault="00A90AAA" w:rsidP="00CE06A8">
      <w:pPr>
        <w:pStyle w:val="SingleTxtG"/>
        <w:spacing w:before="240"/>
        <w:rPr>
          <w:lang w:val="fr-FR"/>
        </w:rPr>
      </w:pPr>
      <w:r w:rsidRPr="00C0179C">
        <w:rPr>
          <w:lang w:val="fr-FR"/>
        </w:rPr>
        <w:t>79.</w:t>
      </w:r>
      <w:r w:rsidRPr="00C0179C">
        <w:rPr>
          <w:lang w:val="fr-FR"/>
        </w:rPr>
        <w:tab/>
        <w:t>La Suède estime que l</w:t>
      </w:r>
      <w:r>
        <w:rPr>
          <w:lang w:val="fr-FR"/>
        </w:rPr>
        <w:t>’</w:t>
      </w:r>
      <w:r w:rsidRPr="00C0179C">
        <w:rPr>
          <w:lang w:val="fr-FR"/>
        </w:rPr>
        <w:t>évaluation de l</w:t>
      </w:r>
      <w:r>
        <w:rPr>
          <w:lang w:val="fr-FR"/>
        </w:rPr>
        <w:t>’</w:t>
      </w:r>
      <w:r w:rsidRPr="00C0179C">
        <w:rPr>
          <w:lang w:val="fr-FR"/>
        </w:rPr>
        <w:t>impact transfrontière sur l</w:t>
      </w:r>
      <w:r>
        <w:rPr>
          <w:lang w:val="fr-FR"/>
        </w:rPr>
        <w:t>’</w:t>
      </w:r>
      <w:r w:rsidRPr="00C0179C">
        <w:rPr>
          <w:lang w:val="fr-FR"/>
        </w:rPr>
        <w:t>environnement contribue aux objectifs de développement durable</w:t>
      </w:r>
      <w:r>
        <w:rPr>
          <w:lang w:val="fr-FR"/>
        </w:rPr>
        <w:t>,</w:t>
      </w:r>
      <w:r w:rsidRPr="00C0179C">
        <w:rPr>
          <w:lang w:val="fr-FR"/>
        </w:rPr>
        <w:t xml:space="preserve"> mais constate qu</w:t>
      </w:r>
      <w:r>
        <w:rPr>
          <w:lang w:val="fr-FR"/>
        </w:rPr>
        <w:t>’</w:t>
      </w:r>
      <w:r w:rsidRPr="00C0179C">
        <w:rPr>
          <w:lang w:val="fr-FR"/>
        </w:rPr>
        <w:t>il est extrêmement difficile d</w:t>
      </w:r>
      <w:r>
        <w:rPr>
          <w:lang w:val="fr-FR"/>
        </w:rPr>
        <w:t>’</w:t>
      </w:r>
      <w:r w:rsidRPr="004573F6">
        <w:rPr>
          <w:lang w:val="fr-FR"/>
        </w:rPr>
        <w:t xml:space="preserve">étayer </w:t>
      </w:r>
      <w:r w:rsidRPr="00C0179C">
        <w:rPr>
          <w:lang w:val="fr-FR"/>
        </w:rPr>
        <w:t xml:space="preserve">cette affirmation </w:t>
      </w:r>
      <w:r w:rsidRPr="004573F6">
        <w:rPr>
          <w:lang w:val="fr-FR"/>
        </w:rPr>
        <w:t xml:space="preserve">de manière </w:t>
      </w:r>
      <w:r w:rsidRPr="00C0179C">
        <w:rPr>
          <w:lang w:val="fr-FR"/>
        </w:rPr>
        <w:t>analy</w:t>
      </w:r>
      <w:r w:rsidRPr="004573F6">
        <w:rPr>
          <w:lang w:val="fr-FR"/>
        </w:rPr>
        <w:t>tique</w:t>
      </w:r>
      <w:r w:rsidRPr="00C0179C">
        <w:rPr>
          <w:lang w:val="fr-FR"/>
        </w:rPr>
        <w:t>. C</w:t>
      </w:r>
      <w:r>
        <w:rPr>
          <w:lang w:val="fr-FR"/>
        </w:rPr>
        <w:t>’</w:t>
      </w:r>
      <w:r w:rsidRPr="00C0179C">
        <w:rPr>
          <w:lang w:val="fr-FR"/>
        </w:rPr>
        <w:t>est pourquoi ce pays a sélectionné l</w:t>
      </w:r>
      <w:r>
        <w:rPr>
          <w:lang w:val="fr-FR"/>
        </w:rPr>
        <w:t>’</w:t>
      </w:r>
      <w:r w:rsidRPr="00C0179C">
        <w:rPr>
          <w:lang w:val="fr-FR"/>
        </w:rPr>
        <w:t xml:space="preserve">option </w:t>
      </w:r>
      <w:r w:rsidRPr="004573F6">
        <w:rPr>
          <w:lang w:val="fr-FR"/>
        </w:rPr>
        <w:t>« </w:t>
      </w:r>
      <w:r w:rsidRPr="00C0179C">
        <w:rPr>
          <w:lang w:val="fr-FR"/>
        </w:rPr>
        <w:t>pas de contribution</w:t>
      </w:r>
      <w:r w:rsidRPr="004573F6">
        <w:rPr>
          <w:lang w:val="fr-FR"/>
        </w:rPr>
        <w:t> »</w:t>
      </w:r>
      <w:r w:rsidRPr="00C0179C">
        <w:rPr>
          <w:lang w:val="fr-FR"/>
        </w:rPr>
        <w:t>. Plusieurs autres répondants indiquent également qu</w:t>
      </w:r>
      <w:r>
        <w:rPr>
          <w:lang w:val="fr-FR"/>
        </w:rPr>
        <w:t>’</w:t>
      </w:r>
      <w:r w:rsidRPr="00C0179C">
        <w:rPr>
          <w:lang w:val="fr-FR"/>
        </w:rPr>
        <w:t>il est difficile de fournir des éléments probants permettant d</w:t>
      </w:r>
      <w:r>
        <w:rPr>
          <w:lang w:val="fr-FR"/>
        </w:rPr>
        <w:t>’</w:t>
      </w:r>
      <w:r w:rsidRPr="00C0179C">
        <w:rPr>
          <w:lang w:val="fr-FR"/>
        </w:rPr>
        <w:t>étayer les affirmations faisant état d</w:t>
      </w:r>
      <w:r>
        <w:rPr>
          <w:lang w:val="fr-FR"/>
        </w:rPr>
        <w:t>’</w:t>
      </w:r>
      <w:r w:rsidRPr="00C0179C">
        <w:rPr>
          <w:lang w:val="fr-FR"/>
        </w:rPr>
        <w:t>une contribution positive.</w:t>
      </w:r>
    </w:p>
    <w:p w14:paraId="05A18BB2" w14:textId="77777777" w:rsidR="00A90AAA" w:rsidRPr="00C0179C" w:rsidRDefault="00A90AAA" w:rsidP="00A90AAA">
      <w:pPr>
        <w:pStyle w:val="H23G"/>
        <w:rPr>
          <w:lang w:val="fr-FR"/>
        </w:rPr>
      </w:pPr>
      <w:r w:rsidRPr="004573F6">
        <w:rPr>
          <w:lang w:val="fr-FR"/>
        </w:rPr>
        <w:tab/>
      </w:r>
      <w:r w:rsidRPr="00C0179C">
        <w:rPr>
          <w:lang w:val="fr-FR"/>
        </w:rPr>
        <w:t>11.</w:t>
      </w:r>
      <w:r w:rsidRPr="00C0179C">
        <w:rPr>
          <w:lang w:val="fr-FR"/>
        </w:rPr>
        <w:tab/>
        <w:t>Clarté du texte de la Convention</w:t>
      </w:r>
    </w:p>
    <w:p w14:paraId="2178EC7B" w14:textId="77777777" w:rsidR="00A90AAA" w:rsidRPr="00C0179C" w:rsidRDefault="00A90AAA" w:rsidP="00A90AAA">
      <w:pPr>
        <w:pStyle w:val="SingleTxtG"/>
        <w:rPr>
          <w:lang w:val="fr-FR"/>
        </w:rPr>
      </w:pPr>
      <w:r w:rsidRPr="00C0179C">
        <w:rPr>
          <w:lang w:val="fr-FR"/>
        </w:rPr>
        <w:t>80.</w:t>
      </w:r>
      <w:r w:rsidRPr="00C0179C">
        <w:rPr>
          <w:lang w:val="fr-FR"/>
        </w:rPr>
        <w:tab/>
        <w:t xml:space="preserve">Six Parties (Albanie, Arménie, Pologne, Slovaquie, Suisse et Tchéquie) font état de difficultés </w:t>
      </w:r>
      <w:r>
        <w:rPr>
          <w:lang w:val="fr-FR"/>
        </w:rPr>
        <w:t>particulières</w:t>
      </w:r>
      <w:r w:rsidRPr="00C0179C">
        <w:rPr>
          <w:lang w:val="fr-FR"/>
        </w:rPr>
        <w:t xml:space="preserve"> dans la mise en œuvre de la Convention </w:t>
      </w:r>
      <w:r>
        <w:rPr>
          <w:lang w:val="fr-FR"/>
        </w:rPr>
        <w:t>du fait</w:t>
      </w:r>
      <w:r w:rsidRPr="00C0179C">
        <w:rPr>
          <w:lang w:val="fr-FR"/>
        </w:rPr>
        <w:t xml:space="preserve"> d</w:t>
      </w:r>
      <w:r>
        <w:rPr>
          <w:lang w:val="fr-FR"/>
        </w:rPr>
        <w:t>’</w:t>
      </w:r>
      <w:r w:rsidRPr="00C0179C">
        <w:rPr>
          <w:lang w:val="fr-FR"/>
        </w:rPr>
        <w:t>un manque de clarté des dispositions juridiques (question II.24 et II.12). Il s</w:t>
      </w:r>
      <w:r>
        <w:rPr>
          <w:lang w:val="fr-FR"/>
        </w:rPr>
        <w:t>’</w:t>
      </w:r>
      <w:r w:rsidRPr="00C0179C">
        <w:rPr>
          <w:lang w:val="fr-FR"/>
        </w:rPr>
        <w:t>agit notamment des éléments suivants</w:t>
      </w:r>
      <w:r>
        <w:rPr>
          <w:lang w:val="fr-FR"/>
        </w:rPr>
        <w:t> </w:t>
      </w:r>
      <w:r w:rsidRPr="00C0179C">
        <w:rPr>
          <w:lang w:val="fr-FR"/>
        </w:rPr>
        <w:t>:</w:t>
      </w:r>
    </w:p>
    <w:p w14:paraId="3714E2BB" w14:textId="77777777" w:rsidR="00A90AAA" w:rsidRPr="00C0179C" w:rsidRDefault="00A90AAA" w:rsidP="00A90AAA">
      <w:pPr>
        <w:pStyle w:val="SingleTxtG"/>
        <w:ind w:firstLine="567"/>
        <w:rPr>
          <w:lang w:val="fr-FR"/>
        </w:rPr>
      </w:pPr>
      <w:r w:rsidRPr="00C0179C">
        <w:rPr>
          <w:lang w:val="fr-FR"/>
        </w:rPr>
        <w:t>a)</w:t>
      </w:r>
      <w:r w:rsidRPr="00C0179C">
        <w:rPr>
          <w:lang w:val="fr-FR"/>
        </w:rPr>
        <w:tab/>
        <w:t>Manque de clarté quant à la question de savoir si les impacts transfrontières doivent être déterminés sur la base de la législation de la Partie d</w:t>
      </w:r>
      <w:r>
        <w:rPr>
          <w:lang w:val="fr-FR"/>
        </w:rPr>
        <w:t>’</w:t>
      </w:r>
      <w:r w:rsidRPr="00C0179C">
        <w:rPr>
          <w:lang w:val="fr-FR"/>
        </w:rPr>
        <w:t>origine ou de celle de la Partie touchée</w:t>
      </w:r>
      <w:r>
        <w:rPr>
          <w:lang w:val="fr-FR"/>
        </w:rPr>
        <w:t> </w:t>
      </w:r>
      <w:r w:rsidRPr="00C0179C">
        <w:rPr>
          <w:lang w:val="fr-FR"/>
        </w:rPr>
        <w:t xml:space="preserve">; </w:t>
      </w:r>
    </w:p>
    <w:p w14:paraId="374AF4AE" w14:textId="77777777" w:rsidR="00A90AAA" w:rsidRPr="00C0179C" w:rsidRDefault="00A90AAA" w:rsidP="00A90AAA">
      <w:pPr>
        <w:pStyle w:val="SingleTxtG"/>
        <w:ind w:firstLine="567"/>
        <w:rPr>
          <w:lang w:val="fr-FR"/>
        </w:rPr>
      </w:pPr>
      <w:r w:rsidRPr="00C0179C">
        <w:rPr>
          <w:lang w:val="fr-FR"/>
        </w:rPr>
        <w:t>b)</w:t>
      </w:r>
      <w:r w:rsidRPr="00C0179C">
        <w:rPr>
          <w:lang w:val="fr-FR"/>
        </w:rPr>
        <w:tab/>
        <w:t>Incertitude quant aux dispositions relatives à la traduction et absence de précisions à ce sujet</w:t>
      </w:r>
      <w:r>
        <w:rPr>
          <w:lang w:val="fr-FR"/>
        </w:rPr>
        <w:t> ;</w:t>
      </w:r>
    </w:p>
    <w:p w14:paraId="51997B65" w14:textId="77777777" w:rsidR="00A90AAA" w:rsidRPr="00C0179C" w:rsidRDefault="00A90AAA" w:rsidP="00A90AAA">
      <w:pPr>
        <w:pStyle w:val="SingleTxtG"/>
        <w:ind w:firstLine="567"/>
        <w:rPr>
          <w:lang w:val="fr-FR"/>
        </w:rPr>
      </w:pPr>
      <w:r w:rsidRPr="00C0179C">
        <w:rPr>
          <w:lang w:val="fr-FR"/>
        </w:rPr>
        <w:t>c)</w:t>
      </w:r>
      <w:r w:rsidRPr="00C0179C">
        <w:rPr>
          <w:lang w:val="fr-FR"/>
        </w:rPr>
        <w:tab/>
        <w:t xml:space="preserve">Manque de clarté concernant la signification des termes </w:t>
      </w:r>
      <w:r w:rsidRPr="004573F6">
        <w:rPr>
          <w:lang w:val="fr-FR"/>
        </w:rPr>
        <w:t>« </w:t>
      </w:r>
      <w:r>
        <w:rPr>
          <w:lang w:val="fr-FR"/>
        </w:rPr>
        <w:t>modification sensible</w:t>
      </w:r>
      <w:r w:rsidRPr="004573F6">
        <w:rPr>
          <w:lang w:val="fr-FR"/>
        </w:rPr>
        <w:t> »</w:t>
      </w:r>
      <w:r w:rsidRPr="00C0179C">
        <w:rPr>
          <w:lang w:val="fr-FR"/>
        </w:rPr>
        <w:t xml:space="preserve"> et </w:t>
      </w:r>
      <w:r w:rsidRPr="004573F6">
        <w:rPr>
          <w:lang w:val="fr-FR"/>
        </w:rPr>
        <w:t>« </w:t>
      </w:r>
      <w:r w:rsidRPr="00C0179C">
        <w:rPr>
          <w:lang w:val="fr-FR"/>
        </w:rPr>
        <w:t>impact important</w:t>
      </w:r>
      <w:r w:rsidRPr="004573F6">
        <w:rPr>
          <w:lang w:val="fr-FR"/>
        </w:rPr>
        <w:t> »</w:t>
      </w:r>
      <w:r w:rsidRPr="00C0179C">
        <w:rPr>
          <w:lang w:val="fr-FR"/>
        </w:rPr>
        <w:t> ;</w:t>
      </w:r>
    </w:p>
    <w:p w14:paraId="081FB6C6" w14:textId="77777777" w:rsidR="00A90AAA" w:rsidRPr="00C0179C" w:rsidRDefault="00A90AAA" w:rsidP="00A90AAA">
      <w:pPr>
        <w:pStyle w:val="SingleTxtG"/>
        <w:ind w:firstLine="567"/>
        <w:rPr>
          <w:lang w:val="fr-FR"/>
        </w:rPr>
      </w:pPr>
      <w:r w:rsidRPr="00C0179C">
        <w:rPr>
          <w:lang w:val="fr-FR"/>
        </w:rPr>
        <w:t>d)</w:t>
      </w:r>
      <w:r w:rsidRPr="00C0179C">
        <w:rPr>
          <w:lang w:val="fr-FR"/>
        </w:rPr>
        <w:tab/>
        <w:t>Descriptions imprécises des catégories de projet</w:t>
      </w:r>
      <w:r>
        <w:rPr>
          <w:lang w:val="fr-FR"/>
        </w:rPr>
        <w:t>s</w:t>
      </w:r>
      <w:r w:rsidRPr="00C0179C">
        <w:rPr>
          <w:lang w:val="fr-FR"/>
        </w:rPr>
        <w:t xml:space="preserve"> dans l</w:t>
      </w:r>
      <w:r>
        <w:rPr>
          <w:lang w:val="fr-FR"/>
        </w:rPr>
        <w:t>’</w:t>
      </w:r>
      <w:r w:rsidRPr="00C0179C">
        <w:rPr>
          <w:lang w:val="fr-FR"/>
        </w:rPr>
        <w:t>appendice</w:t>
      </w:r>
      <w:r>
        <w:rPr>
          <w:lang w:val="fr-FR"/>
        </w:rPr>
        <w:t> </w:t>
      </w:r>
      <w:r w:rsidRPr="00C0179C">
        <w:rPr>
          <w:lang w:val="fr-FR"/>
        </w:rPr>
        <w:t>1.</w:t>
      </w:r>
    </w:p>
    <w:p w14:paraId="43B37EAE" w14:textId="25F84AB3" w:rsidR="00A90AAA" w:rsidRPr="00C0179C" w:rsidRDefault="00A90AAA" w:rsidP="00A90AAA">
      <w:pPr>
        <w:pStyle w:val="SingleTxtG"/>
        <w:keepNext/>
        <w:keepLines/>
        <w:rPr>
          <w:lang w:val="fr-FR"/>
        </w:rPr>
      </w:pPr>
      <w:r w:rsidRPr="00C0179C">
        <w:rPr>
          <w:lang w:val="fr-FR"/>
        </w:rPr>
        <w:t>81.</w:t>
      </w:r>
      <w:r w:rsidRPr="00C0179C">
        <w:rPr>
          <w:lang w:val="fr-FR"/>
        </w:rPr>
        <w:tab/>
        <w:t>L</w:t>
      </w:r>
      <w:r>
        <w:rPr>
          <w:lang w:val="fr-FR"/>
        </w:rPr>
        <w:t>’</w:t>
      </w:r>
      <w:r w:rsidRPr="00C0179C">
        <w:rPr>
          <w:lang w:val="fr-FR"/>
        </w:rPr>
        <w:t xml:space="preserve">Arménie </w:t>
      </w:r>
      <w:r w:rsidRPr="004573F6">
        <w:rPr>
          <w:lang w:val="fr-FR"/>
        </w:rPr>
        <w:t xml:space="preserve">estime </w:t>
      </w:r>
      <w:r w:rsidRPr="00C0179C">
        <w:rPr>
          <w:lang w:val="fr-FR"/>
        </w:rPr>
        <w:t>que les dispositions de la Convention sont claires</w:t>
      </w:r>
      <w:r>
        <w:rPr>
          <w:lang w:val="fr-FR"/>
        </w:rPr>
        <w:t>,</w:t>
      </w:r>
      <w:r w:rsidRPr="00C0179C">
        <w:rPr>
          <w:lang w:val="fr-FR"/>
        </w:rPr>
        <w:t xml:space="preserve"> mais </w:t>
      </w:r>
      <w:r w:rsidRPr="004573F6">
        <w:rPr>
          <w:lang w:val="fr-FR"/>
        </w:rPr>
        <w:t xml:space="preserve">fait observer </w:t>
      </w:r>
      <w:r w:rsidRPr="00C0179C">
        <w:rPr>
          <w:lang w:val="fr-FR"/>
        </w:rPr>
        <w:t>qu</w:t>
      </w:r>
      <w:r>
        <w:rPr>
          <w:lang w:val="fr-FR"/>
        </w:rPr>
        <w:t>’</w:t>
      </w:r>
      <w:r w:rsidRPr="00C0179C">
        <w:rPr>
          <w:lang w:val="fr-FR"/>
        </w:rPr>
        <w:t>il n</w:t>
      </w:r>
      <w:r>
        <w:rPr>
          <w:lang w:val="fr-FR"/>
        </w:rPr>
        <w:t>’</w:t>
      </w:r>
      <w:r w:rsidRPr="00C0179C">
        <w:rPr>
          <w:lang w:val="fr-FR"/>
        </w:rPr>
        <w:t xml:space="preserve">existe aucune disposition </w:t>
      </w:r>
      <w:r>
        <w:rPr>
          <w:lang w:val="fr-FR"/>
        </w:rPr>
        <w:t>relative à</w:t>
      </w:r>
      <w:r w:rsidRPr="00C0179C">
        <w:rPr>
          <w:lang w:val="fr-FR"/>
        </w:rPr>
        <w:t xml:space="preserve"> son application dans sa région géographique. L</w:t>
      </w:r>
      <w:r>
        <w:rPr>
          <w:lang w:val="fr-FR"/>
        </w:rPr>
        <w:t>’</w:t>
      </w:r>
      <w:r w:rsidRPr="00C0179C">
        <w:rPr>
          <w:lang w:val="fr-FR"/>
        </w:rPr>
        <w:t>Albanie signale que, dans un cas, une Partie touchée a refusé d</w:t>
      </w:r>
      <w:r>
        <w:rPr>
          <w:lang w:val="fr-FR"/>
        </w:rPr>
        <w:t>’</w:t>
      </w:r>
      <w:r w:rsidRPr="00C0179C">
        <w:rPr>
          <w:lang w:val="fr-FR"/>
        </w:rPr>
        <w:t>accepter le dossier qu</w:t>
      </w:r>
      <w:r>
        <w:rPr>
          <w:lang w:val="fr-FR"/>
        </w:rPr>
        <w:t>’</w:t>
      </w:r>
      <w:r w:rsidRPr="00C0179C">
        <w:rPr>
          <w:lang w:val="fr-FR"/>
        </w:rPr>
        <w:t>elle avait fourni parce qu</w:t>
      </w:r>
      <w:r>
        <w:rPr>
          <w:lang w:val="fr-FR"/>
        </w:rPr>
        <w:t>’</w:t>
      </w:r>
      <w:r w:rsidRPr="00C0179C">
        <w:rPr>
          <w:lang w:val="fr-FR"/>
        </w:rPr>
        <w:t>il était présenté comme une évaluation de l</w:t>
      </w:r>
      <w:r>
        <w:rPr>
          <w:lang w:val="fr-FR"/>
        </w:rPr>
        <w:t>’</w:t>
      </w:r>
      <w:r w:rsidRPr="00C0179C">
        <w:rPr>
          <w:lang w:val="fr-FR"/>
        </w:rPr>
        <w:t xml:space="preserve">impact environnemental et social. La Pologne </w:t>
      </w:r>
      <w:r>
        <w:rPr>
          <w:lang w:val="fr-FR"/>
        </w:rPr>
        <w:t>estime que les</w:t>
      </w:r>
      <w:r w:rsidRPr="00C0179C">
        <w:rPr>
          <w:lang w:val="fr-FR"/>
        </w:rPr>
        <w:t xml:space="preserve"> articles</w:t>
      </w:r>
      <w:r>
        <w:rPr>
          <w:lang w:val="fr-FR"/>
        </w:rPr>
        <w:t> </w:t>
      </w:r>
      <w:r w:rsidRPr="00C0179C">
        <w:rPr>
          <w:lang w:val="fr-FR"/>
        </w:rPr>
        <w:t>2 (par. 1), 3 (par. 8) et</w:t>
      </w:r>
      <w:r>
        <w:rPr>
          <w:lang w:val="fr-FR"/>
        </w:rPr>
        <w:t> </w:t>
      </w:r>
      <w:r w:rsidRPr="00C0179C">
        <w:rPr>
          <w:lang w:val="fr-FR"/>
        </w:rPr>
        <w:t>5</w:t>
      </w:r>
      <w:r>
        <w:rPr>
          <w:lang w:val="fr-FR"/>
        </w:rPr>
        <w:t xml:space="preserve"> manquent de clarté</w:t>
      </w:r>
      <w:r w:rsidRPr="00C0179C">
        <w:rPr>
          <w:lang w:val="fr-FR"/>
        </w:rPr>
        <w:t>. L</w:t>
      </w:r>
      <w:r>
        <w:rPr>
          <w:lang w:val="fr-FR"/>
        </w:rPr>
        <w:t>’</w:t>
      </w:r>
      <w:r w:rsidRPr="00C0179C">
        <w:rPr>
          <w:lang w:val="fr-FR"/>
        </w:rPr>
        <w:t>Azerbaïdjan se dit favorable à l</w:t>
      </w:r>
      <w:r>
        <w:rPr>
          <w:lang w:val="fr-FR"/>
        </w:rPr>
        <w:t>’</w:t>
      </w:r>
      <w:r w:rsidRPr="00C0179C">
        <w:rPr>
          <w:lang w:val="fr-FR"/>
        </w:rPr>
        <w:t>adoption d</w:t>
      </w:r>
      <w:r>
        <w:rPr>
          <w:lang w:val="fr-FR"/>
        </w:rPr>
        <w:t>’</w:t>
      </w:r>
      <w:r w:rsidRPr="00C0179C">
        <w:rPr>
          <w:lang w:val="fr-FR"/>
        </w:rPr>
        <w:t>une approche similaire à celle de l</w:t>
      </w:r>
      <w:r>
        <w:rPr>
          <w:lang w:val="fr-FR"/>
        </w:rPr>
        <w:t>’</w:t>
      </w:r>
      <w:r w:rsidRPr="00C0179C">
        <w:rPr>
          <w:lang w:val="fr-FR"/>
        </w:rPr>
        <w:t xml:space="preserve">Union européenne en ce qui concerne la description des projets </w:t>
      </w:r>
      <w:r>
        <w:rPr>
          <w:lang w:val="fr-FR"/>
        </w:rPr>
        <w:t>visés à</w:t>
      </w:r>
      <w:r w:rsidRPr="00C0179C">
        <w:rPr>
          <w:lang w:val="fr-FR"/>
        </w:rPr>
        <w:t xml:space="preserve"> l</w:t>
      </w:r>
      <w:r>
        <w:rPr>
          <w:lang w:val="fr-FR"/>
        </w:rPr>
        <w:t>’</w:t>
      </w:r>
      <w:r w:rsidRPr="00C0179C">
        <w:rPr>
          <w:lang w:val="fr-FR"/>
        </w:rPr>
        <w:t>appendice</w:t>
      </w:r>
      <w:r>
        <w:rPr>
          <w:lang w:val="fr-FR"/>
        </w:rPr>
        <w:t> </w:t>
      </w:r>
      <w:r w:rsidRPr="00C0179C">
        <w:rPr>
          <w:lang w:val="fr-FR"/>
        </w:rPr>
        <w:t>1.</w:t>
      </w:r>
    </w:p>
    <w:p w14:paraId="580FAE41" w14:textId="77777777" w:rsidR="00A90AAA" w:rsidRPr="00C0179C" w:rsidRDefault="00A90AAA" w:rsidP="00A90AAA">
      <w:pPr>
        <w:pStyle w:val="H23G"/>
        <w:rPr>
          <w:lang w:val="fr-FR"/>
        </w:rPr>
      </w:pPr>
      <w:r w:rsidRPr="004573F6">
        <w:rPr>
          <w:lang w:val="fr-FR"/>
        </w:rPr>
        <w:tab/>
      </w:r>
      <w:r w:rsidRPr="00C0179C">
        <w:rPr>
          <w:lang w:val="fr-FR"/>
        </w:rPr>
        <w:t>12.</w:t>
      </w:r>
      <w:r w:rsidRPr="00C0179C">
        <w:rPr>
          <w:lang w:val="fr-FR"/>
        </w:rPr>
        <w:tab/>
        <w:t>Contributions au financement de l</w:t>
      </w:r>
      <w:r>
        <w:rPr>
          <w:lang w:val="fr-FR"/>
        </w:rPr>
        <w:t>’</w:t>
      </w:r>
      <w:r w:rsidRPr="00C0179C">
        <w:rPr>
          <w:lang w:val="fr-FR"/>
        </w:rPr>
        <w:t>exécution des plans de travail</w:t>
      </w:r>
    </w:p>
    <w:p w14:paraId="6C9CD3AB" w14:textId="30677FC0" w:rsidR="00A90AAA" w:rsidRPr="00C0179C" w:rsidRDefault="00A90AAA" w:rsidP="00A90AAA">
      <w:pPr>
        <w:pStyle w:val="SingleTxtG"/>
        <w:rPr>
          <w:lang w:val="fr-FR"/>
        </w:rPr>
      </w:pPr>
      <w:r w:rsidRPr="00C0179C">
        <w:rPr>
          <w:lang w:val="fr-FR"/>
        </w:rPr>
        <w:t>82.</w:t>
      </w:r>
      <w:r w:rsidRPr="00C0179C">
        <w:rPr>
          <w:lang w:val="fr-FR"/>
        </w:rPr>
        <w:tab/>
        <w:t>La question II.26 porte sur les contributions financières des Parties au financement de l</w:t>
      </w:r>
      <w:r>
        <w:rPr>
          <w:lang w:val="fr-FR"/>
        </w:rPr>
        <w:t>’</w:t>
      </w:r>
      <w:r w:rsidRPr="00C0179C">
        <w:rPr>
          <w:lang w:val="fr-FR"/>
        </w:rPr>
        <w:t>exécution</w:t>
      </w:r>
      <w:r>
        <w:rPr>
          <w:lang w:val="fr-FR"/>
        </w:rPr>
        <w:t>,</w:t>
      </w:r>
      <w:r w:rsidRPr="005C4C5E">
        <w:rPr>
          <w:lang w:val="fr-FR"/>
        </w:rPr>
        <w:t xml:space="preserve"> </w:t>
      </w:r>
      <w:r w:rsidRPr="00C0179C">
        <w:rPr>
          <w:lang w:val="fr-FR"/>
        </w:rPr>
        <w:t>pendant la période couverte par l</w:t>
      </w:r>
      <w:r>
        <w:rPr>
          <w:lang w:val="fr-FR"/>
        </w:rPr>
        <w:t>’</w:t>
      </w:r>
      <w:r w:rsidRPr="00C0179C">
        <w:rPr>
          <w:lang w:val="fr-FR"/>
        </w:rPr>
        <w:t>enquête</w:t>
      </w:r>
      <w:r>
        <w:rPr>
          <w:lang w:val="fr-FR"/>
        </w:rPr>
        <w:t>,</w:t>
      </w:r>
      <w:r w:rsidRPr="00C0179C">
        <w:rPr>
          <w:lang w:val="fr-FR"/>
        </w:rPr>
        <w:t xml:space="preserve"> des plans de travail co</w:t>
      </w:r>
      <w:r>
        <w:rPr>
          <w:lang w:val="fr-FR"/>
        </w:rPr>
        <w:t>njoints établis</w:t>
      </w:r>
      <w:r w:rsidRPr="00C0179C">
        <w:rPr>
          <w:lang w:val="fr-FR"/>
        </w:rPr>
        <w:t xml:space="preserve"> au titre de la Convention et de son </w:t>
      </w:r>
      <w:r>
        <w:rPr>
          <w:lang w:val="fr-FR"/>
        </w:rPr>
        <w:t>p</w:t>
      </w:r>
      <w:r w:rsidRPr="00C0179C">
        <w:rPr>
          <w:lang w:val="fr-FR"/>
        </w:rPr>
        <w:t>rotocole relatif à l</w:t>
      </w:r>
      <w:r>
        <w:rPr>
          <w:lang w:val="fr-FR"/>
        </w:rPr>
        <w:t>’</w:t>
      </w:r>
      <w:r w:rsidRPr="00C0179C">
        <w:rPr>
          <w:lang w:val="fr-FR"/>
        </w:rPr>
        <w:t>évaluation stratégique environnementale. Parmi les Parties ayant répondu, les plus gros contributeurs étaient de loin la Suisse (contribution totale annoncée de 148</w:t>
      </w:r>
      <w:r>
        <w:rPr>
          <w:lang w:val="fr-FR"/>
        </w:rPr>
        <w:t> </w:t>
      </w:r>
      <w:r w:rsidRPr="00C0179C">
        <w:rPr>
          <w:lang w:val="fr-FR"/>
        </w:rPr>
        <w:t>000</w:t>
      </w:r>
      <w:r>
        <w:rPr>
          <w:lang w:val="fr-FR"/>
        </w:rPr>
        <w:t> </w:t>
      </w:r>
      <w:r w:rsidRPr="00C0179C">
        <w:rPr>
          <w:lang w:val="fr-FR"/>
        </w:rPr>
        <w:t>francs suisses) et la Norvège (240</w:t>
      </w:r>
      <w:r>
        <w:rPr>
          <w:lang w:val="fr-FR"/>
        </w:rPr>
        <w:t> </w:t>
      </w:r>
      <w:r w:rsidRPr="00C0179C">
        <w:rPr>
          <w:lang w:val="fr-FR"/>
        </w:rPr>
        <w:t>000</w:t>
      </w:r>
      <w:r>
        <w:rPr>
          <w:lang w:val="fr-FR"/>
        </w:rPr>
        <w:t> </w:t>
      </w:r>
      <w:r w:rsidRPr="00C0179C">
        <w:rPr>
          <w:lang w:val="fr-FR"/>
        </w:rPr>
        <w:t>couronnes norvégiennes plus 247</w:t>
      </w:r>
      <w:r>
        <w:rPr>
          <w:lang w:val="fr-FR"/>
        </w:rPr>
        <w:t> </w:t>
      </w:r>
      <w:r w:rsidRPr="00C0179C">
        <w:rPr>
          <w:lang w:val="fr-FR"/>
        </w:rPr>
        <w:t>500</w:t>
      </w:r>
      <w:r>
        <w:rPr>
          <w:lang w:val="fr-FR"/>
        </w:rPr>
        <w:t> </w:t>
      </w:r>
      <w:r w:rsidRPr="00C0179C">
        <w:rPr>
          <w:lang w:val="fr-FR"/>
        </w:rPr>
        <w:t>dollars des États-Unis, bien que les deux tiers de cette deuxième somme semblent avoir été versés en dehors de la période couverte par l</w:t>
      </w:r>
      <w:r>
        <w:rPr>
          <w:lang w:val="fr-FR"/>
        </w:rPr>
        <w:t>’</w:t>
      </w:r>
      <w:r w:rsidRPr="00C0179C">
        <w:rPr>
          <w:lang w:val="fr-FR"/>
        </w:rPr>
        <w:t>enquête). La France a apporté une contribution de 70</w:t>
      </w:r>
      <w:r>
        <w:rPr>
          <w:lang w:val="fr-FR"/>
        </w:rPr>
        <w:t> </w:t>
      </w:r>
      <w:r w:rsidRPr="00C0179C">
        <w:rPr>
          <w:lang w:val="fr-FR"/>
        </w:rPr>
        <w:t>000</w:t>
      </w:r>
      <w:r>
        <w:rPr>
          <w:lang w:val="fr-FR"/>
        </w:rPr>
        <w:t> </w:t>
      </w:r>
      <w:r w:rsidRPr="00C0179C">
        <w:rPr>
          <w:lang w:val="fr-FR"/>
        </w:rPr>
        <w:t>euros. Sept Parties et la Géorgie ont déclaré ne pas avoir apporté de contribution directe ou n</w:t>
      </w:r>
      <w:r>
        <w:rPr>
          <w:lang w:val="fr-FR"/>
        </w:rPr>
        <w:t>’</w:t>
      </w:r>
      <w:r w:rsidRPr="00C0179C">
        <w:rPr>
          <w:lang w:val="fr-FR"/>
        </w:rPr>
        <w:t>ont pas fourni d</w:t>
      </w:r>
      <w:r>
        <w:rPr>
          <w:lang w:val="fr-FR"/>
        </w:rPr>
        <w:t>’</w:t>
      </w:r>
      <w:r w:rsidRPr="00C0179C">
        <w:rPr>
          <w:lang w:val="fr-FR"/>
        </w:rPr>
        <w:t>informations sur le</w:t>
      </w:r>
      <w:r>
        <w:rPr>
          <w:lang w:val="fr-FR"/>
        </w:rPr>
        <w:t>ur</w:t>
      </w:r>
      <w:r w:rsidRPr="00C0179C">
        <w:rPr>
          <w:lang w:val="fr-FR"/>
        </w:rPr>
        <w:t>s contributions financières (Arménie, Bélarus, Bosnie-Herzégovine, Croatie, Grèce, Kazakhstan et Royaume-Uni de Grande-Bretagne et d</w:t>
      </w:r>
      <w:r>
        <w:rPr>
          <w:lang w:val="fr-FR"/>
        </w:rPr>
        <w:t>’</w:t>
      </w:r>
      <w:r w:rsidRPr="00C0179C">
        <w:rPr>
          <w:lang w:val="fr-FR"/>
        </w:rPr>
        <w:t>Irlande du Nord). Parmi les Parties susmentionnées, seule l</w:t>
      </w:r>
      <w:r>
        <w:rPr>
          <w:lang w:val="fr-FR"/>
        </w:rPr>
        <w:t>’</w:t>
      </w:r>
      <w:r w:rsidRPr="00C0179C">
        <w:rPr>
          <w:lang w:val="fr-FR"/>
        </w:rPr>
        <w:t>Arménie a indiqué qu</w:t>
      </w:r>
      <w:r>
        <w:rPr>
          <w:lang w:val="fr-FR"/>
        </w:rPr>
        <w:t>’</w:t>
      </w:r>
      <w:r w:rsidRPr="00C0179C">
        <w:rPr>
          <w:lang w:val="fr-FR"/>
        </w:rPr>
        <w:t>elle prévoyait d</w:t>
      </w:r>
      <w:r>
        <w:rPr>
          <w:lang w:val="fr-FR"/>
        </w:rPr>
        <w:t>’</w:t>
      </w:r>
      <w:r w:rsidRPr="00C0179C">
        <w:rPr>
          <w:lang w:val="fr-FR"/>
        </w:rPr>
        <w:t>apporter une contribution directe au cours de la période</w:t>
      </w:r>
      <w:r>
        <w:rPr>
          <w:lang w:val="fr-FR"/>
        </w:rPr>
        <w:t> </w:t>
      </w:r>
      <w:r w:rsidRPr="00C0179C">
        <w:rPr>
          <w:lang w:val="fr-FR"/>
        </w:rPr>
        <w:t>2021-2023.</w:t>
      </w:r>
    </w:p>
    <w:p w14:paraId="57714214" w14:textId="77777777" w:rsidR="00A90AAA" w:rsidRPr="00C0179C" w:rsidRDefault="00A90AAA" w:rsidP="00A90AAA">
      <w:pPr>
        <w:pStyle w:val="SingleTxtG"/>
        <w:rPr>
          <w:lang w:val="fr-FR"/>
        </w:rPr>
      </w:pPr>
      <w:r w:rsidRPr="00C0179C">
        <w:rPr>
          <w:lang w:val="fr-FR"/>
        </w:rPr>
        <w:t>83.</w:t>
      </w:r>
      <w:r w:rsidRPr="00C0179C">
        <w:rPr>
          <w:lang w:val="fr-FR"/>
        </w:rPr>
        <w:tab/>
        <w:t>Treize parties déclarent avoir apporté des contributions en nature au cours de la période couverte par l</w:t>
      </w:r>
      <w:r>
        <w:rPr>
          <w:lang w:val="fr-FR"/>
        </w:rPr>
        <w:t>’</w:t>
      </w:r>
      <w:r w:rsidRPr="00C0179C">
        <w:rPr>
          <w:lang w:val="fr-FR"/>
        </w:rPr>
        <w:t>enquête. Les contributions en nature ont été notamment les suivantes</w:t>
      </w:r>
      <w:r>
        <w:rPr>
          <w:lang w:val="fr-FR"/>
        </w:rPr>
        <w:t> </w:t>
      </w:r>
      <w:r w:rsidRPr="00C0179C">
        <w:rPr>
          <w:lang w:val="fr-FR"/>
        </w:rPr>
        <w:t>: la mise à disposition de personnels pour les organes conventionnels (Bélarus, Finlande, Hongrie</w:t>
      </w:r>
      <w:r>
        <w:rPr>
          <w:lang w:val="fr-FR"/>
        </w:rPr>
        <w:t xml:space="preserve"> et</w:t>
      </w:r>
      <w:r w:rsidRPr="00C0179C">
        <w:rPr>
          <w:lang w:val="fr-FR"/>
        </w:rPr>
        <w:t xml:space="preserve"> Slovénie) ; l</w:t>
      </w:r>
      <w:r>
        <w:rPr>
          <w:lang w:val="fr-FR"/>
        </w:rPr>
        <w:t>’</w:t>
      </w:r>
      <w:r w:rsidRPr="00C0179C">
        <w:rPr>
          <w:lang w:val="fr-FR"/>
        </w:rPr>
        <w:t>appui à l</w:t>
      </w:r>
      <w:r>
        <w:rPr>
          <w:lang w:val="fr-FR"/>
        </w:rPr>
        <w:t>’</w:t>
      </w:r>
      <w:r w:rsidRPr="00C0179C">
        <w:rPr>
          <w:lang w:val="fr-FR"/>
        </w:rPr>
        <w:t>élaboration de documents d</w:t>
      </w:r>
      <w:r>
        <w:rPr>
          <w:lang w:val="fr-FR"/>
        </w:rPr>
        <w:t>’</w:t>
      </w:r>
      <w:r w:rsidRPr="00C0179C">
        <w:rPr>
          <w:lang w:val="fr-FR"/>
        </w:rPr>
        <w:t>orientation et/ou de la stratégie à long terme (Bélarus, Finlande, Irlande, Luxembourg, Pays-Bas, Pologne</w:t>
      </w:r>
      <w:r>
        <w:rPr>
          <w:lang w:val="fr-FR"/>
        </w:rPr>
        <w:t xml:space="preserve"> et</w:t>
      </w:r>
      <w:r w:rsidRPr="00C0179C">
        <w:rPr>
          <w:lang w:val="fr-FR"/>
        </w:rPr>
        <w:t xml:space="preserve"> Royaume-Uni de Grande-Bretagne et d</w:t>
      </w:r>
      <w:r>
        <w:rPr>
          <w:lang w:val="fr-FR"/>
        </w:rPr>
        <w:t>’</w:t>
      </w:r>
      <w:r w:rsidRPr="00C0179C">
        <w:rPr>
          <w:lang w:val="fr-FR"/>
        </w:rPr>
        <w:t>Irlande du Nord) ; la traduction de rapports nationaux de mise en œuvre (Canada) ; l</w:t>
      </w:r>
      <w:r>
        <w:rPr>
          <w:lang w:val="fr-FR"/>
        </w:rPr>
        <w:t>’</w:t>
      </w:r>
      <w:r w:rsidRPr="00C0179C">
        <w:rPr>
          <w:lang w:val="fr-FR"/>
        </w:rPr>
        <w:t>organisation d</w:t>
      </w:r>
      <w:r>
        <w:rPr>
          <w:lang w:val="fr-FR"/>
        </w:rPr>
        <w:t>’</w:t>
      </w:r>
      <w:r w:rsidRPr="00C0179C">
        <w:rPr>
          <w:lang w:val="fr-FR"/>
        </w:rPr>
        <w:t>une réunion sous-régionale (Estonie).</w:t>
      </w:r>
    </w:p>
    <w:p w14:paraId="2F00D5F4" w14:textId="77777777" w:rsidR="00A90AAA" w:rsidRPr="00C0179C" w:rsidRDefault="00A90AAA" w:rsidP="00CE06A8">
      <w:pPr>
        <w:pStyle w:val="HChG"/>
        <w:rPr>
          <w:rFonts w:eastAsia="DengXian Light"/>
          <w:lang w:val="fr-FR"/>
        </w:rPr>
      </w:pPr>
      <w:bookmarkStart w:id="19" w:name="_Toc13428252"/>
      <w:r w:rsidRPr="004573F6">
        <w:rPr>
          <w:lang w:val="fr-FR"/>
        </w:rPr>
        <w:tab/>
      </w:r>
      <w:r>
        <w:rPr>
          <w:lang w:val="fr-FR"/>
        </w:rPr>
        <w:t>V</w:t>
      </w:r>
      <w:r w:rsidRPr="00C0179C">
        <w:rPr>
          <w:lang w:val="fr-FR"/>
        </w:rPr>
        <w:t>.</w:t>
      </w:r>
      <w:r w:rsidRPr="00C0179C">
        <w:rPr>
          <w:lang w:val="fr-FR"/>
        </w:rPr>
        <w:tab/>
        <w:t>Conclusions</w:t>
      </w:r>
      <w:bookmarkEnd w:id="19"/>
    </w:p>
    <w:p w14:paraId="4E1CBF91" w14:textId="0CEB6452" w:rsidR="00A90AAA" w:rsidRPr="00C0179C" w:rsidRDefault="00A90AAA" w:rsidP="00A90AAA">
      <w:pPr>
        <w:pStyle w:val="SingleTxtG"/>
        <w:rPr>
          <w:lang w:val="fr-FR"/>
        </w:rPr>
      </w:pPr>
      <w:r w:rsidRPr="00C0179C">
        <w:rPr>
          <w:lang w:val="fr-FR"/>
        </w:rPr>
        <w:t>84.</w:t>
      </w:r>
      <w:r w:rsidRPr="00C0179C">
        <w:rPr>
          <w:lang w:val="fr-FR"/>
        </w:rPr>
        <w:tab/>
        <w:t>Les examens de l</w:t>
      </w:r>
      <w:r>
        <w:rPr>
          <w:lang w:val="fr-FR"/>
        </w:rPr>
        <w:t>’</w:t>
      </w:r>
      <w:r w:rsidRPr="00C0179C">
        <w:rPr>
          <w:lang w:val="fr-FR"/>
        </w:rPr>
        <w:t>application visent à améliorer la mise en œuvre de la Convention et le respect de ses dispositions juridiques, notamment en recensant les éventuelles lacunes auxquelles les Parties devraient peut-être remédier. Bon nombre des conclusions des cinquième et sixième examens de l</w:t>
      </w:r>
      <w:r>
        <w:rPr>
          <w:lang w:val="fr-FR"/>
        </w:rPr>
        <w:t>’</w:t>
      </w:r>
      <w:r w:rsidRPr="00C0179C">
        <w:rPr>
          <w:lang w:val="fr-FR"/>
        </w:rPr>
        <w:t>application restent pertinentes et il serait utile qu</w:t>
      </w:r>
      <w:r>
        <w:rPr>
          <w:lang w:val="fr-FR"/>
        </w:rPr>
        <w:t>’</w:t>
      </w:r>
      <w:r w:rsidRPr="00C0179C">
        <w:rPr>
          <w:lang w:val="fr-FR"/>
        </w:rPr>
        <w:t>elles soient rappelées par la Réunion des Parties à la Convention à sa neuvième session (Genève, 12-15 décembre 2023)</w:t>
      </w:r>
      <w:r w:rsidRPr="00A90AAA">
        <w:rPr>
          <w:rStyle w:val="Appelnotedebasdep"/>
        </w:rPr>
        <w:footnoteReference w:id="9"/>
      </w:r>
      <w:r w:rsidR="00A445EC" w:rsidRPr="00A445EC">
        <w:rPr>
          <w:vertAlign w:val="superscript"/>
          <w:lang w:val="fr-FR"/>
        </w:rPr>
        <w:t>,</w:t>
      </w:r>
      <w:r w:rsidR="00A445EC">
        <w:rPr>
          <w:lang w:val="fr-FR"/>
        </w:rPr>
        <w:t xml:space="preserve"> </w:t>
      </w:r>
      <w:r w:rsidRPr="00A90AAA">
        <w:rPr>
          <w:rStyle w:val="Appelnotedebasdep"/>
        </w:rPr>
        <w:footnoteReference w:id="10"/>
      </w:r>
      <w:r w:rsidRPr="00C0179C">
        <w:rPr>
          <w:lang w:val="fr-FR"/>
        </w:rPr>
        <w:t xml:space="preserve">. Les principales conclusions </w:t>
      </w:r>
      <w:r>
        <w:rPr>
          <w:lang w:val="fr-FR"/>
        </w:rPr>
        <w:t>supplémentaires</w:t>
      </w:r>
      <w:r w:rsidRPr="00C0179C">
        <w:rPr>
          <w:lang w:val="fr-FR"/>
        </w:rPr>
        <w:t xml:space="preserve"> tirées du septième examen de l</w:t>
      </w:r>
      <w:r>
        <w:rPr>
          <w:lang w:val="fr-FR"/>
        </w:rPr>
        <w:t>’</w:t>
      </w:r>
      <w:r w:rsidRPr="00C0179C">
        <w:rPr>
          <w:lang w:val="fr-FR"/>
        </w:rPr>
        <w:t>application sont les suivantes</w:t>
      </w:r>
      <w:r>
        <w:rPr>
          <w:lang w:val="fr-FR"/>
        </w:rPr>
        <w:t> </w:t>
      </w:r>
      <w:r w:rsidRPr="00C0179C">
        <w:rPr>
          <w:lang w:val="fr-FR"/>
        </w:rPr>
        <w:t>:</w:t>
      </w:r>
    </w:p>
    <w:p w14:paraId="3FEDF3EB" w14:textId="77777777" w:rsidR="00A90AAA" w:rsidRPr="00C0179C" w:rsidRDefault="00A90AAA" w:rsidP="00A90AAA">
      <w:pPr>
        <w:pStyle w:val="SingleTxtG"/>
        <w:ind w:firstLine="567"/>
        <w:rPr>
          <w:lang w:val="fr-FR"/>
        </w:rPr>
      </w:pPr>
      <w:r w:rsidRPr="00C0179C">
        <w:rPr>
          <w:lang w:val="fr-FR"/>
        </w:rPr>
        <w:t>a)</w:t>
      </w:r>
      <w:r w:rsidRPr="00C0179C">
        <w:rPr>
          <w:lang w:val="fr-FR"/>
        </w:rPr>
        <w:tab/>
        <w:t>Un certain nombre de Parties doivent encore ratifier et/ou transposer dans leur législation les amendements à la Convention afin de garantir l</w:t>
      </w:r>
      <w:r>
        <w:rPr>
          <w:lang w:val="fr-FR"/>
        </w:rPr>
        <w:t>’</w:t>
      </w:r>
      <w:r w:rsidRPr="00C0179C">
        <w:rPr>
          <w:lang w:val="fr-FR"/>
        </w:rPr>
        <w:t>application uniforme de la Convention par toutes les Parties</w:t>
      </w:r>
      <w:r>
        <w:rPr>
          <w:lang w:val="fr-FR"/>
        </w:rPr>
        <w:t> </w:t>
      </w:r>
      <w:r w:rsidRPr="00C0179C">
        <w:rPr>
          <w:lang w:val="fr-FR"/>
        </w:rPr>
        <w:t>;</w:t>
      </w:r>
    </w:p>
    <w:p w14:paraId="26B35AD6" w14:textId="0D9CA90B" w:rsidR="00A90AAA" w:rsidRPr="00C0179C" w:rsidRDefault="00A90AAA" w:rsidP="00A90AAA">
      <w:pPr>
        <w:pStyle w:val="SingleTxtG"/>
        <w:ind w:firstLine="567"/>
        <w:rPr>
          <w:lang w:val="fr-FR"/>
        </w:rPr>
      </w:pPr>
      <w:r w:rsidRPr="00C0179C">
        <w:rPr>
          <w:lang w:val="fr-FR"/>
        </w:rPr>
        <w:t>b)</w:t>
      </w:r>
      <w:r w:rsidRPr="00C0179C">
        <w:rPr>
          <w:lang w:val="fr-FR"/>
        </w:rPr>
        <w:tab/>
        <w:t xml:space="preserve">Les Parties continuent </w:t>
      </w:r>
      <w:r>
        <w:rPr>
          <w:lang w:val="fr-FR"/>
        </w:rPr>
        <w:t>de</w:t>
      </w:r>
      <w:r w:rsidRPr="00C0179C">
        <w:rPr>
          <w:lang w:val="fr-FR"/>
        </w:rPr>
        <w:t xml:space="preserve"> faire état de problèmes concernant les pratiques en matière de traduction et d</w:t>
      </w:r>
      <w:r>
        <w:rPr>
          <w:lang w:val="fr-FR"/>
        </w:rPr>
        <w:t>’</w:t>
      </w:r>
      <w:r w:rsidRPr="00C0179C">
        <w:rPr>
          <w:lang w:val="fr-FR"/>
        </w:rPr>
        <w:t>interprétation. On pourrait mettre davantage l</w:t>
      </w:r>
      <w:r>
        <w:rPr>
          <w:lang w:val="fr-FR"/>
        </w:rPr>
        <w:t>’</w:t>
      </w:r>
      <w:r w:rsidRPr="00C0179C">
        <w:rPr>
          <w:lang w:val="fr-FR"/>
        </w:rPr>
        <w:t>accent sur les activités visant à élaborer des accords bilatéraux ou multilatéraux, et les Parties pourraient bénéficier d</w:t>
      </w:r>
      <w:r>
        <w:rPr>
          <w:lang w:val="fr-FR"/>
        </w:rPr>
        <w:t>’</w:t>
      </w:r>
      <w:r w:rsidRPr="00C0179C">
        <w:rPr>
          <w:lang w:val="fr-FR"/>
        </w:rPr>
        <w:t>une assistance accrue à cet égard, car de tels accords semblent résoudre efficacement nombre</w:t>
      </w:r>
      <w:r>
        <w:rPr>
          <w:lang w:val="fr-FR"/>
        </w:rPr>
        <w:t xml:space="preserve"> de ces</w:t>
      </w:r>
      <w:r w:rsidRPr="00C0179C">
        <w:rPr>
          <w:lang w:val="fr-FR"/>
        </w:rPr>
        <w:t xml:space="preserve"> problèmes ;</w:t>
      </w:r>
    </w:p>
    <w:p w14:paraId="49B07CC3" w14:textId="77777777" w:rsidR="00A90AAA" w:rsidRPr="00C0179C" w:rsidRDefault="00A90AAA" w:rsidP="00A90AAA">
      <w:pPr>
        <w:pStyle w:val="SingleTxtG"/>
        <w:ind w:firstLine="567"/>
        <w:rPr>
          <w:lang w:val="fr-FR"/>
        </w:rPr>
      </w:pPr>
      <w:r w:rsidRPr="00C0179C">
        <w:rPr>
          <w:lang w:val="fr-FR"/>
        </w:rPr>
        <w:t>c)</w:t>
      </w:r>
      <w:r w:rsidRPr="00C0179C">
        <w:rPr>
          <w:lang w:val="fr-FR"/>
        </w:rPr>
        <w:tab/>
        <w:t xml:space="preserve">Les réseaux de correspondants et de points de contact sont utilisés et appréciés, mais il est nécessaire de veiller à ce que les informations </w:t>
      </w:r>
      <w:r>
        <w:rPr>
          <w:lang w:val="fr-FR"/>
        </w:rPr>
        <w:t>de contact</w:t>
      </w:r>
      <w:r w:rsidRPr="00C0179C">
        <w:rPr>
          <w:lang w:val="fr-FR"/>
        </w:rPr>
        <w:t xml:space="preserve"> soient tenues à jour par les Parties. Il est donc essentiel que tout changement concernant les correspondants et les points de contact nationa</w:t>
      </w:r>
      <w:r>
        <w:rPr>
          <w:lang w:val="fr-FR"/>
        </w:rPr>
        <w:t>ux</w:t>
      </w:r>
      <w:r w:rsidRPr="00C0179C">
        <w:rPr>
          <w:lang w:val="fr-FR"/>
        </w:rPr>
        <w:t xml:space="preserve"> soit signalé rapidement au secrétariat ;</w:t>
      </w:r>
    </w:p>
    <w:p w14:paraId="12AF2773" w14:textId="77777777" w:rsidR="00A90AAA" w:rsidRPr="00C0179C" w:rsidRDefault="00A90AAA" w:rsidP="00A90AAA">
      <w:pPr>
        <w:pStyle w:val="SingleTxtG"/>
        <w:ind w:firstLine="567"/>
        <w:rPr>
          <w:lang w:val="fr-FR"/>
        </w:rPr>
      </w:pPr>
      <w:r w:rsidRPr="00C0179C">
        <w:rPr>
          <w:lang w:val="fr-FR"/>
        </w:rPr>
        <w:t>d)</w:t>
      </w:r>
      <w:r w:rsidRPr="00C0179C">
        <w:rPr>
          <w:lang w:val="fr-FR"/>
        </w:rPr>
        <w:tab/>
      </w:r>
      <w:r>
        <w:rPr>
          <w:lang w:val="fr-FR"/>
        </w:rPr>
        <w:t>L</w:t>
      </w:r>
      <w:r w:rsidRPr="00713E2A">
        <w:rPr>
          <w:lang w:val="fr-FR"/>
        </w:rPr>
        <w:t xml:space="preserve">a proportion de </w:t>
      </w:r>
      <w:r>
        <w:rPr>
          <w:lang w:val="fr-FR"/>
        </w:rPr>
        <w:t>Parties</w:t>
      </w:r>
      <w:r w:rsidRPr="00713E2A">
        <w:rPr>
          <w:lang w:val="fr-FR"/>
        </w:rPr>
        <w:t xml:space="preserve"> </w:t>
      </w:r>
      <w:r w:rsidRPr="00C0179C">
        <w:rPr>
          <w:lang w:val="fr-FR"/>
        </w:rPr>
        <w:t>utilisa</w:t>
      </w:r>
      <w:r>
        <w:rPr>
          <w:lang w:val="fr-FR"/>
        </w:rPr>
        <w:t>nt</w:t>
      </w:r>
      <w:r w:rsidRPr="00C0179C">
        <w:rPr>
          <w:lang w:val="fr-FR"/>
        </w:rPr>
        <w:t xml:space="preserve"> </w:t>
      </w:r>
      <w:r>
        <w:rPr>
          <w:lang w:val="fr-FR"/>
        </w:rPr>
        <w:t>l</w:t>
      </w:r>
      <w:r w:rsidRPr="00C0179C">
        <w:rPr>
          <w:lang w:val="fr-FR"/>
        </w:rPr>
        <w:t>es documents d</w:t>
      </w:r>
      <w:r>
        <w:rPr>
          <w:lang w:val="fr-FR"/>
        </w:rPr>
        <w:t>’</w:t>
      </w:r>
      <w:r w:rsidRPr="00C0179C">
        <w:rPr>
          <w:lang w:val="fr-FR"/>
        </w:rPr>
        <w:t xml:space="preserve">orientation officiels de la CEE a augmenté par rapport </w:t>
      </w:r>
      <w:r>
        <w:rPr>
          <w:lang w:val="fr-FR"/>
        </w:rPr>
        <w:t>à la période couverte par le</w:t>
      </w:r>
      <w:r w:rsidRPr="00C0179C">
        <w:rPr>
          <w:lang w:val="fr-FR"/>
        </w:rPr>
        <w:t xml:space="preserve"> sixième examen. Les activités visant à faire mieux connaître </w:t>
      </w:r>
      <w:r>
        <w:rPr>
          <w:lang w:val="fr-FR"/>
        </w:rPr>
        <w:t>c</w:t>
      </w:r>
      <w:r w:rsidRPr="00C0179C">
        <w:rPr>
          <w:lang w:val="fr-FR"/>
        </w:rPr>
        <w:t>es documents et à promouvoir leur utilisation doivent se poursuivre ;</w:t>
      </w:r>
    </w:p>
    <w:p w14:paraId="64891BC0" w14:textId="77777777" w:rsidR="00A90AAA" w:rsidRPr="00C0179C" w:rsidRDefault="00A90AAA" w:rsidP="00A90AAA">
      <w:pPr>
        <w:pStyle w:val="SingleTxtG"/>
        <w:ind w:firstLine="567"/>
        <w:rPr>
          <w:sz w:val="22"/>
          <w:szCs w:val="22"/>
          <w:lang w:val="fr-FR"/>
        </w:rPr>
      </w:pPr>
      <w:r w:rsidRPr="00C0179C">
        <w:rPr>
          <w:lang w:val="fr-FR"/>
        </w:rPr>
        <w:t>e)</w:t>
      </w:r>
      <w:r w:rsidRPr="00C0179C">
        <w:rPr>
          <w:lang w:val="fr-FR"/>
        </w:rPr>
        <w:tab/>
        <w:t>Certaines Parties ont utilis</w:t>
      </w:r>
      <w:r>
        <w:rPr>
          <w:lang w:val="fr-FR"/>
        </w:rPr>
        <w:t>é</w:t>
      </w:r>
      <w:r w:rsidRPr="00C0179C">
        <w:rPr>
          <w:lang w:val="fr-FR"/>
        </w:rPr>
        <w:t xml:space="preserve"> des technologies électroniques pour mener à distance des consultations et des activités relatives à la participation</w:t>
      </w:r>
      <w:r w:rsidRPr="00B12FA9">
        <w:rPr>
          <w:lang w:val="fr-FR"/>
        </w:rPr>
        <w:t xml:space="preserve"> </w:t>
      </w:r>
      <w:r w:rsidRPr="00C0179C">
        <w:rPr>
          <w:lang w:val="fr-FR"/>
        </w:rPr>
        <w:t xml:space="preserve">pendant la pandémie de maladie à coronavirus (COVID-19). La </w:t>
      </w:r>
      <w:r>
        <w:rPr>
          <w:lang w:val="fr-FR"/>
        </w:rPr>
        <w:t>diffusion</w:t>
      </w:r>
      <w:r w:rsidRPr="00C0179C">
        <w:rPr>
          <w:lang w:val="fr-FR"/>
        </w:rPr>
        <w:t xml:space="preserve"> des </w:t>
      </w:r>
      <w:r>
        <w:rPr>
          <w:lang w:val="fr-FR"/>
        </w:rPr>
        <w:t>leçons</w:t>
      </w:r>
      <w:r w:rsidRPr="00C0179C">
        <w:rPr>
          <w:lang w:val="fr-FR"/>
        </w:rPr>
        <w:t xml:space="preserve"> et bonnes pratiques </w:t>
      </w:r>
      <w:r>
        <w:rPr>
          <w:lang w:val="fr-FR"/>
        </w:rPr>
        <w:t>tirées de l’expérience quant à</w:t>
      </w:r>
      <w:r w:rsidRPr="00C0179C">
        <w:rPr>
          <w:lang w:val="fr-FR"/>
        </w:rPr>
        <w:t xml:space="preserve"> </w:t>
      </w:r>
      <w:r>
        <w:rPr>
          <w:lang w:val="fr-FR"/>
        </w:rPr>
        <w:t>l’</w:t>
      </w:r>
      <w:r w:rsidRPr="00C0179C">
        <w:rPr>
          <w:lang w:val="fr-FR"/>
        </w:rPr>
        <w:t>utilisation de</w:t>
      </w:r>
      <w:r>
        <w:rPr>
          <w:lang w:val="fr-FR"/>
        </w:rPr>
        <w:t xml:space="preserve"> ce</w:t>
      </w:r>
      <w:r w:rsidRPr="00C0179C">
        <w:rPr>
          <w:lang w:val="fr-FR"/>
        </w:rPr>
        <w:t xml:space="preserve">s technologies pourrait contribuer à promouvoir des pratiques efficaces </w:t>
      </w:r>
      <w:r w:rsidRPr="004573F6">
        <w:rPr>
          <w:lang w:val="fr-FR"/>
        </w:rPr>
        <w:t xml:space="preserve">en ce qui concerne les </w:t>
      </w:r>
      <w:r w:rsidRPr="00C0179C">
        <w:rPr>
          <w:lang w:val="fr-FR"/>
        </w:rPr>
        <w:t xml:space="preserve">consultations et la </w:t>
      </w:r>
      <w:r>
        <w:rPr>
          <w:lang w:val="fr-FR"/>
        </w:rPr>
        <w:t xml:space="preserve">procédure de </w:t>
      </w:r>
      <w:r w:rsidRPr="00C0179C">
        <w:rPr>
          <w:lang w:val="fr-FR"/>
        </w:rPr>
        <w:t>participation</w:t>
      </w:r>
      <w:r>
        <w:rPr>
          <w:lang w:val="fr-FR"/>
        </w:rPr>
        <w:t> </w:t>
      </w:r>
      <w:r w:rsidRPr="00C0179C">
        <w:rPr>
          <w:lang w:val="fr-FR"/>
        </w:rPr>
        <w:t>;</w:t>
      </w:r>
    </w:p>
    <w:p w14:paraId="7AFA7EB2" w14:textId="77777777" w:rsidR="00A90AAA" w:rsidRPr="00C0179C" w:rsidRDefault="00A90AAA" w:rsidP="00A90AAA">
      <w:pPr>
        <w:pStyle w:val="SingleTxtG"/>
        <w:ind w:firstLine="567"/>
        <w:rPr>
          <w:lang w:val="fr-FR"/>
        </w:rPr>
      </w:pPr>
      <w:r w:rsidRPr="00C0179C">
        <w:rPr>
          <w:lang w:val="fr-FR"/>
        </w:rPr>
        <w:t>f)</w:t>
      </w:r>
      <w:r w:rsidRPr="00C0179C">
        <w:rPr>
          <w:lang w:val="fr-FR"/>
        </w:rPr>
        <w:tab/>
        <w:t>Douze Parties et la Géorgie indiquent que l</w:t>
      </w:r>
      <w:r>
        <w:rPr>
          <w:lang w:val="fr-FR"/>
        </w:rPr>
        <w:t xml:space="preserve">es </w:t>
      </w:r>
      <w:r w:rsidRPr="00C0179C">
        <w:rPr>
          <w:lang w:val="fr-FR"/>
        </w:rPr>
        <w:t>évaluation</w:t>
      </w:r>
      <w:r>
        <w:rPr>
          <w:lang w:val="fr-FR"/>
        </w:rPr>
        <w:t>s</w:t>
      </w:r>
      <w:r w:rsidRPr="00C0179C">
        <w:rPr>
          <w:lang w:val="fr-FR"/>
        </w:rPr>
        <w:t xml:space="preserve"> de l</w:t>
      </w:r>
      <w:r>
        <w:rPr>
          <w:lang w:val="fr-FR"/>
        </w:rPr>
        <w:t>’</w:t>
      </w:r>
      <w:r w:rsidRPr="00C0179C">
        <w:rPr>
          <w:lang w:val="fr-FR"/>
        </w:rPr>
        <w:t>impact transfrontière sur l</w:t>
      </w:r>
      <w:r>
        <w:rPr>
          <w:lang w:val="fr-FR"/>
        </w:rPr>
        <w:t>’</w:t>
      </w:r>
      <w:r w:rsidRPr="00C0179C">
        <w:rPr>
          <w:lang w:val="fr-FR"/>
        </w:rPr>
        <w:t>environnement contribu</w:t>
      </w:r>
      <w:r>
        <w:rPr>
          <w:lang w:val="fr-FR"/>
        </w:rPr>
        <w:t>ent</w:t>
      </w:r>
      <w:r w:rsidRPr="00C0179C">
        <w:rPr>
          <w:lang w:val="fr-FR"/>
        </w:rPr>
        <w:t xml:space="preserve"> </w:t>
      </w:r>
      <w:r>
        <w:rPr>
          <w:lang w:val="fr-FR"/>
        </w:rPr>
        <w:t>de manière significative</w:t>
      </w:r>
      <w:r w:rsidRPr="00C0179C">
        <w:rPr>
          <w:lang w:val="fr-FR"/>
        </w:rPr>
        <w:t xml:space="preserve"> à la réalisation des objectifs de développement durable, mais de nombreux répondants ont souligné qu</w:t>
      </w:r>
      <w:r>
        <w:rPr>
          <w:lang w:val="fr-FR"/>
        </w:rPr>
        <w:t>’</w:t>
      </w:r>
      <w:r w:rsidRPr="00C0179C">
        <w:rPr>
          <w:lang w:val="fr-FR"/>
        </w:rPr>
        <w:t>il était difficile de fournir des éléments probants attestant de manière fiable cette contribution ;</w:t>
      </w:r>
    </w:p>
    <w:p w14:paraId="76DB6CB8" w14:textId="7F70C3B6" w:rsidR="00A90AAA" w:rsidRPr="00C0179C" w:rsidRDefault="00A90AAA" w:rsidP="00A90AAA">
      <w:pPr>
        <w:pStyle w:val="SingleTxtG"/>
        <w:ind w:firstLine="567"/>
        <w:rPr>
          <w:lang w:val="fr-FR"/>
        </w:rPr>
      </w:pPr>
      <w:r w:rsidRPr="00C0179C">
        <w:rPr>
          <w:lang w:val="fr-FR"/>
        </w:rPr>
        <w:t>g)</w:t>
      </w:r>
      <w:r w:rsidRPr="00C0179C">
        <w:rPr>
          <w:lang w:val="fr-FR"/>
        </w:rPr>
        <w:tab/>
        <w:t xml:space="preserve">Au cours de la période </w:t>
      </w:r>
      <w:r>
        <w:rPr>
          <w:lang w:val="fr-FR"/>
        </w:rPr>
        <w:t>considérée</w:t>
      </w:r>
      <w:r w:rsidRPr="00C0179C">
        <w:rPr>
          <w:lang w:val="fr-FR"/>
        </w:rPr>
        <w:t>, un nombre accru de Parties n</w:t>
      </w:r>
      <w:r>
        <w:rPr>
          <w:lang w:val="fr-FR"/>
        </w:rPr>
        <w:t>’</w:t>
      </w:r>
      <w:r w:rsidRPr="00C0179C">
        <w:rPr>
          <w:lang w:val="fr-FR"/>
        </w:rPr>
        <w:t xml:space="preserve">ont pas renvoyé leur questionnaire </w:t>
      </w:r>
      <w:r>
        <w:rPr>
          <w:lang w:val="fr-FR"/>
        </w:rPr>
        <w:t xml:space="preserve">rempli ni dans les délais ni </w:t>
      </w:r>
      <w:r w:rsidRPr="00C0179C">
        <w:rPr>
          <w:lang w:val="fr-FR"/>
        </w:rPr>
        <w:t>dans les deux mois suivant la date limite de soumission (10 Parties contre 3 lors de l</w:t>
      </w:r>
      <w:r>
        <w:rPr>
          <w:lang w:val="fr-FR"/>
        </w:rPr>
        <w:t>’</w:t>
      </w:r>
      <w:r w:rsidRPr="00C0179C">
        <w:rPr>
          <w:lang w:val="fr-FR"/>
        </w:rPr>
        <w:t>examen précédent).</w:t>
      </w:r>
      <w:r>
        <w:rPr>
          <w:lang w:val="fr-FR"/>
        </w:rPr>
        <w:t xml:space="preserve"> </w:t>
      </w:r>
      <w:r w:rsidRPr="00C0179C">
        <w:rPr>
          <w:lang w:val="fr-FR"/>
        </w:rPr>
        <w:t>En conséquence, la proportion de Parties représentées dans les données utilisées pour l</w:t>
      </w:r>
      <w:r>
        <w:rPr>
          <w:lang w:val="fr-FR"/>
        </w:rPr>
        <w:t>’</w:t>
      </w:r>
      <w:r w:rsidRPr="00C0179C">
        <w:rPr>
          <w:lang w:val="fr-FR"/>
        </w:rPr>
        <w:t>examen de l</w:t>
      </w:r>
      <w:r>
        <w:rPr>
          <w:lang w:val="fr-FR"/>
        </w:rPr>
        <w:t>’</w:t>
      </w:r>
      <w:r w:rsidRPr="00C0179C">
        <w:rPr>
          <w:lang w:val="fr-FR"/>
        </w:rPr>
        <w:t>application a diminué, passant de 93</w:t>
      </w:r>
      <w:r>
        <w:rPr>
          <w:lang w:val="fr-FR"/>
        </w:rPr>
        <w:t> </w:t>
      </w:r>
      <w:r w:rsidRPr="00C0179C">
        <w:rPr>
          <w:lang w:val="fr-FR"/>
        </w:rPr>
        <w:t>% dans le rapport sur le sixième examen à 7</w:t>
      </w:r>
      <w:r>
        <w:rPr>
          <w:lang w:val="fr-FR"/>
        </w:rPr>
        <w:t>5 </w:t>
      </w:r>
      <w:r w:rsidRPr="00C0179C">
        <w:rPr>
          <w:lang w:val="fr-FR"/>
        </w:rPr>
        <w:t xml:space="preserve">% dans le </w:t>
      </w:r>
      <w:r>
        <w:rPr>
          <w:lang w:val="fr-FR"/>
        </w:rPr>
        <w:t xml:space="preserve">présent </w:t>
      </w:r>
      <w:r w:rsidRPr="00C0179C">
        <w:rPr>
          <w:lang w:val="fr-FR"/>
        </w:rPr>
        <w:t>rapport sur le septième examen</w:t>
      </w:r>
      <w:r>
        <w:rPr>
          <w:lang w:val="fr-FR"/>
        </w:rPr>
        <w:t> </w:t>
      </w:r>
      <w:r w:rsidRPr="00C0179C">
        <w:rPr>
          <w:lang w:val="fr-FR"/>
        </w:rPr>
        <w:t>;</w:t>
      </w:r>
    </w:p>
    <w:p w14:paraId="5AE6CB00" w14:textId="77777777" w:rsidR="00A90AAA" w:rsidRDefault="00A90AAA" w:rsidP="00A90AAA">
      <w:pPr>
        <w:pStyle w:val="SingleTxtG"/>
        <w:ind w:firstLine="567"/>
        <w:rPr>
          <w:lang w:val="fr-FR"/>
        </w:rPr>
      </w:pPr>
      <w:r w:rsidRPr="00C0179C">
        <w:rPr>
          <w:lang w:val="fr-FR"/>
        </w:rPr>
        <w:t>h)</w:t>
      </w:r>
      <w:r w:rsidRPr="00C0179C">
        <w:rPr>
          <w:lang w:val="fr-FR"/>
        </w:rPr>
        <w:tab/>
        <w:t>Un nombre accru de Parties ont fourni des exemples de bonnes pratiques, ce qui témoigne de l</w:t>
      </w:r>
      <w:r>
        <w:rPr>
          <w:lang w:val="fr-FR"/>
        </w:rPr>
        <w:t>’</w:t>
      </w:r>
      <w:r w:rsidRPr="00C0179C">
        <w:rPr>
          <w:lang w:val="fr-FR"/>
        </w:rPr>
        <w:t>utilité du questionnaire et des possibilités qu</w:t>
      </w:r>
      <w:r>
        <w:rPr>
          <w:lang w:val="fr-FR"/>
        </w:rPr>
        <w:t>’</w:t>
      </w:r>
      <w:r w:rsidRPr="00C0179C">
        <w:rPr>
          <w:lang w:val="fr-FR"/>
        </w:rPr>
        <w:t xml:space="preserve">il offre pour la collecte de </w:t>
      </w:r>
      <w:r w:rsidRPr="004573F6">
        <w:rPr>
          <w:lang w:val="fr-FR"/>
        </w:rPr>
        <w:t xml:space="preserve">données sur les </w:t>
      </w:r>
      <w:r w:rsidRPr="00C0179C">
        <w:rPr>
          <w:lang w:val="fr-FR"/>
        </w:rPr>
        <w:t>bonnes pratiques à l</w:t>
      </w:r>
      <w:r>
        <w:rPr>
          <w:lang w:val="fr-FR"/>
        </w:rPr>
        <w:t>’</w:t>
      </w:r>
      <w:r w:rsidRPr="00C0179C">
        <w:rPr>
          <w:lang w:val="fr-FR"/>
        </w:rPr>
        <w:t>avenir.</w:t>
      </w:r>
    </w:p>
    <w:p w14:paraId="6FA34076" w14:textId="35D6737B" w:rsidR="005F26E5" w:rsidRPr="00CE06A8" w:rsidRDefault="00A90AAA" w:rsidP="00CE06A8">
      <w:pPr>
        <w:pStyle w:val="SingleTxtG"/>
        <w:spacing w:before="240" w:after="0"/>
        <w:jc w:val="center"/>
        <w:rPr>
          <w:u w:val="single"/>
        </w:rPr>
      </w:pPr>
      <w:r>
        <w:rPr>
          <w:u w:val="single"/>
        </w:rPr>
        <w:tab/>
      </w:r>
      <w:r>
        <w:rPr>
          <w:u w:val="single"/>
        </w:rPr>
        <w:tab/>
      </w:r>
      <w:r>
        <w:rPr>
          <w:u w:val="single"/>
        </w:rPr>
        <w:tab/>
      </w:r>
    </w:p>
    <w:sectPr w:rsidR="005F26E5" w:rsidRPr="00CE06A8" w:rsidSect="00A90AA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5F07" w14:textId="77777777" w:rsidR="00B04D23" w:rsidRDefault="00B04D23" w:rsidP="00F95C08">
      <w:pPr>
        <w:spacing w:line="240" w:lineRule="auto"/>
      </w:pPr>
    </w:p>
  </w:endnote>
  <w:endnote w:type="continuationSeparator" w:id="0">
    <w:p w14:paraId="6A481745" w14:textId="77777777" w:rsidR="00B04D23" w:rsidRPr="00AC3823" w:rsidRDefault="00B04D23" w:rsidP="00AC3823">
      <w:pPr>
        <w:pStyle w:val="Pieddepage"/>
      </w:pPr>
    </w:p>
  </w:endnote>
  <w:endnote w:type="continuationNotice" w:id="1">
    <w:p w14:paraId="3B593209" w14:textId="77777777" w:rsidR="00B04D23" w:rsidRDefault="00B04D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3D91" w14:textId="65A5F341" w:rsidR="00A90AAA" w:rsidRPr="00A90AAA" w:rsidRDefault="00A90AAA" w:rsidP="00A90AAA">
    <w:pPr>
      <w:pStyle w:val="Pieddepage"/>
      <w:tabs>
        <w:tab w:val="right" w:pos="9638"/>
      </w:tabs>
    </w:pPr>
    <w:r w:rsidRPr="00A90AAA">
      <w:rPr>
        <w:b/>
        <w:sz w:val="18"/>
      </w:rPr>
      <w:fldChar w:fldCharType="begin"/>
    </w:r>
    <w:r w:rsidRPr="00A90AAA">
      <w:rPr>
        <w:b/>
        <w:sz w:val="18"/>
      </w:rPr>
      <w:instrText xml:space="preserve"> PAGE  \* MERGEFORMAT </w:instrText>
    </w:r>
    <w:r w:rsidRPr="00A90AAA">
      <w:rPr>
        <w:b/>
        <w:sz w:val="18"/>
      </w:rPr>
      <w:fldChar w:fldCharType="separate"/>
    </w:r>
    <w:r w:rsidRPr="00A90AAA">
      <w:rPr>
        <w:b/>
        <w:noProof/>
        <w:sz w:val="18"/>
      </w:rPr>
      <w:t>2</w:t>
    </w:r>
    <w:r w:rsidRPr="00A90AAA">
      <w:rPr>
        <w:b/>
        <w:sz w:val="18"/>
      </w:rPr>
      <w:fldChar w:fldCharType="end"/>
    </w:r>
    <w:r>
      <w:rPr>
        <w:b/>
        <w:sz w:val="18"/>
      </w:rPr>
      <w:tab/>
    </w:r>
    <w:r>
      <w:t>GE.23-18950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6066" w14:textId="5A6B7B13" w:rsidR="00A90AAA" w:rsidRPr="00A90AAA" w:rsidRDefault="00A90AAA" w:rsidP="00A90AAA">
    <w:pPr>
      <w:pStyle w:val="Pieddepage"/>
      <w:tabs>
        <w:tab w:val="right" w:pos="9638"/>
      </w:tabs>
      <w:rPr>
        <w:b/>
        <w:sz w:val="18"/>
      </w:rPr>
    </w:pPr>
    <w:r>
      <w:t>GE.23-18950</w:t>
    </w:r>
    <w:r>
      <w:tab/>
    </w:r>
    <w:r w:rsidRPr="00A90AAA">
      <w:rPr>
        <w:b/>
        <w:sz w:val="18"/>
      </w:rPr>
      <w:fldChar w:fldCharType="begin"/>
    </w:r>
    <w:r w:rsidRPr="00A90AAA">
      <w:rPr>
        <w:b/>
        <w:sz w:val="18"/>
      </w:rPr>
      <w:instrText xml:space="preserve"> PAGE  \* MERGEFORMAT </w:instrText>
    </w:r>
    <w:r w:rsidRPr="00A90AAA">
      <w:rPr>
        <w:b/>
        <w:sz w:val="18"/>
      </w:rPr>
      <w:fldChar w:fldCharType="separate"/>
    </w:r>
    <w:r w:rsidRPr="00A90AAA">
      <w:rPr>
        <w:b/>
        <w:noProof/>
        <w:sz w:val="18"/>
      </w:rPr>
      <w:t>3</w:t>
    </w:r>
    <w:r w:rsidRPr="00A90A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CDE1" w14:textId="3989F871" w:rsidR="00A14420" w:rsidRPr="00A90AAA" w:rsidRDefault="00A90AAA" w:rsidP="00A90AAA">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3840DB9B" wp14:editId="573B5CA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23-18950  (F)</w:t>
    </w:r>
    <w:r>
      <w:rPr>
        <w:noProof/>
        <w:sz w:val="20"/>
      </w:rPr>
      <w:drawing>
        <wp:anchor distT="0" distB="0" distL="114300" distR="114300" simplePos="0" relativeHeight="251660288" behindDoc="0" locked="0" layoutInCell="1" allowOverlap="1" wp14:anchorId="1E09F06E" wp14:editId="3C55359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181023    2</w:t>
    </w:r>
    <w:r w:rsidR="00A445EC">
      <w:rPr>
        <w:sz w:val="20"/>
      </w:rPr>
      <w:t>4</w:t>
    </w:r>
    <w:r>
      <w:rPr>
        <w:sz w:val="20"/>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FD8F" w14:textId="77777777" w:rsidR="00B04D23" w:rsidRPr="00AC3823" w:rsidRDefault="00B04D23" w:rsidP="00AC3823">
      <w:pPr>
        <w:pStyle w:val="Pieddepage"/>
        <w:tabs>
          <w:tab w:val="right" w:pos="2155"/>
        </w:tabs>
        <w:spacing w:after="80" w:line="240" w:lineRule="atLeast"/>
        <w:ind w:left="680"/>
        <w:rPr>
          <w:u w:val="single"/>
        </w:rPr>
      </w:pPr>
      <w:r>
        <w:rPr>
          <w:u w:val="single"/>
        </w:rPr>
        <w:tab/>
      </w:r>
    </w:p>
  </w:footnote>
  <w:footnote w:type="continuationSeparator" w:id="0">
    <w:p w14:paraId="693399D8" w14:textId="77777777" w:rsidR="00B04D23" w:rsidRPr="00AC3823" w:rsidRDefault="00B04D23" w:rsidP="00AC3823">
      <w:pPr>
        <w:pStyle w:val="Pieddepage"/>
        <w:tabs>
          <w:tab w:val="right" w:pos="2155"/>
        </w:tabs>
        <w:spacing w:after="80" w:line="240" w:lineRule="atLeast"/>
        <w:ind w:left="680"/>
        <w:rPr>
          <w:u w:val="single"/>
        </w:rPr>
      </w:pPr>
      <w:r>
        <w:rPr>
          <w:u w:val="single"/>
        </w:rPr>
        <w:tab/>
      </w:r>
    </w:p>
  </w:footnote>
  <w:footnote w:type="continuationNotice" w:id="1">
    <w:p w14:paraId="0E3C089A" w14:textId="77777777" w:rsidR="00B04D23" w:rsidRPr="00AC3823" w:rsidRDefault="00B04D23">
      <w:pPr>
        <w:spacing w:line="240" w:lineRule="auto"/>
        <w:rPr>
          <w:sz w:val="2"/>
          <w:szCs w:val="2"/>
        </w:rPr>
      </w:pPr>
    </w:p>
  </w:footnote>
  <w:footnote w:id="2">
    <w:p w14:paraId="25C5A8EB" w14:textId="41C4A42B" w:rsidR="00A90AAA" w:rsidRPr="00056549" w:rsidRDefault="00A90AAA" w:rsidP="00A90AAA">
      <w:pPr>
        <w:pStyle w:val="Notedebasdepage"/>
      </w:pPr>
      <w:r>
        <w:rPr>
          <w:lang w:val="fr-FR"/>
        </w:rPr>
        <w:tab/>
      </w:r>
      <w:r w:rsidRPr="00A90AAA">
        <w:rPr>
          <w:rStyle w:val="Appelnotedebasdep"/>
        </w:rPr>
        <w:footnoteRef/>
      </w:r>
      <w:r>
        <w:rPr>
          <w:lang w:val="fr-FR"/>
        </w:rPr>
        <w:tab/>
        <w:t xml:space="preserve">Voir </w:t>
      </w:r>
      <w:hyperlink r:id="rId1" w:history="1">
        <w:r w:rsidR="00A445EC" w:rsidRPr="00D23FF4">
          <w:rPr>
            <w:rStyle w:val="Lienhypertexte"/>
            <w:lang w:val="fr-FR"/>
          </w:rPr>
          <w:t>www.unece.org/env/eia/implementation/review_implementation.html</w:t>
        </w:r>
      </w:hyperlink>
      <w:r>
        <w:rPr>
          <w:lang w:val="fr-FR"/>
        </w:rPr>
        <w:t>.</w:t>
      </w:r>
    </w:p>
  </w:footnote>
  <w:footnote w:id="3">
    <w:p w14:paraId="2AEDFA91" w14:textId="38522D1E" w:rsidR="00A90AAA" w:rsidRPr="00056549" w:rsidRDefault="00A90AAA" w:rsidP="00A90AAA">
      <w:pPr>
        <w:pStyle w:val="Notedebasdepage"/>
      </w:pPr>
      <w:r>
        <w:rPr>
          <w:lang w:val="fr-FR"/>
        </w:rPr>
        <w:tab/>
      </w:r>
      <w:r w:rsidRPr="00A90AAA">
        <w:rPr>
          <w:rStyle w:val="Appelnotedebasdep"/>
        </w:rPr>
        <w:footnoteRef/>
      </w:r>
      <w:r>
        <w:rPr>
          <w:lang w:val="fr-FR"/>
        </w:rPr>
        <w:tab/>
        <w:t xml:space="preserve">Voir </w:t>
      </w:r>
      <w:hyperlink r:id="rId2" w:history="1">
        <w:r w:rsidR="00A445EC" w:rsidRPr="00D23FF4">
          <w:rPr>
            <w:rStyle w:val="Lienhypertexte"/>
            <w:lang w:val="fr-FR"/>
          </w:rPr>
          <w:t>www.unece.org/environment-policy/environmental-assessment/review-implementation-2019</w:t>
        </w:r>
      </w:hyperlink>
      <w:r>
        <w:rPr>
          <w:lang w:val="fr-FR"/>
        </w:rPr>
        <w:t>.</w:t>
      </w:r>
    </w:p>
  </w:footnote>
  <w:footnote w:id="4">
    <w:p w14:paraId="06B25330" w14:textId="77777777" w:rsidR="00A90AAA" w:rsidRPr="00056549" w:rsidRDefault="00A90AAA" w:rsidP="00A90AAA">
      <w:pPr>
        <w:pStyle w:val="Notedebasdepage"/>
      </w:pPr>
      <w:r>
        <w:rPr>
          <w:lang w:val="fr-FR"/>
        </w:rPr>
        <w:tab/>
      </w:r>
      <w:r w:rsidRPr="00A90AAA">
        <w:rPr>
          <w:rStyle w:val="Appelnotedebasdep"/>
        </w:rPr>
        <w:footnoteRef/>
      </w:r>
      <w:r>
        <w:rPr>
          <w:lang w:val="fr-FR"/>
        </w:rPr>
        <w:tab/>
        <w:t>La plupart des répondants ont sélectionné plusieurs options. La formulation de la question I.3.7 complique l’analyse des réponses.</w:t>
      </w:r>
    </w:p>
  </w:footnote>
  <w:footnote w:id="5">
    <w:p w14:paraId="022E08FF" w14:textId="41BB0C39" w:rsidR="00A90AAA" w:rsidRPr="00056549" w:rsidRDefault="00A90AAA" w:rsidP="00A90AAA">
      <w:pPr>
        <w:pStyle w:val="Notedebasdepage"/>
      </w:pPr>
      <w:r>
        <w:rPr>
          <w:lang w:val="fr-FR"/>
        </w:rPr>
        <w:tab/>
      </w:r>
      <w:r w:rsidRPr="00A90AAA">
        <w:rPr>
          <w:rStyle w:val="Appelnotedebasdep"/>
        </w:rPr>
        <w:footnoteRef/>
      </w:r>
      <w:r>
        <w:rPr>
          <w:lang w:val="fr-FR"/>
        </w:rPr>
        <w:tab/>
        <w:t>Parmi les procédures transfrontières concernant des parcs d’éoliennes, 17 ont été engagées par la Suède (en tant que Partie d’origine, donc), tandis que la Belgique (État fédéral) et la Lituanie font état respectivement de 9 et de 8</w:t>
      </w:r>
      <w:r>
        <w:rPr>
          <w:lang w:val="fr-FR"/>
        </w:rPr>
        <w:t> </w:t>
      </w:r>
      <w:r>
        <w:rPr>
          <w:lang w:val="fr-FR"/>
        </w:rPr>
        <w:t>procédures.</w:t>
      </w:r>
    </w:p>
  </w:footnote>
  <w:footnote w:id="6">
    <w:p w14:paraId="3B1BC6B9" w14:textId="5C72F4D7" w:rsidR="00A90AAA" w:rsidRPr="00056549" w:rsidRDefault="00A90AAA" w:rsidP="00A90AAA">
      <w:pPr>
        <w:pStyle w:val="Notedebasdepage"/>
      </w:pPr>
      <w:r>
        <w:rPr>
          <w:lang w:val="fr-FR"/>
        </w:rPr>
        <w:tab/>
      </w:r>
      <w:r w:rsidRPr="00A90AAA">
        <w:rPr>
          <w:rStyle w:val="Appelnotedebasdep"/>
        </w:rPr>
        <w:footnoteRef/>
      </w:r>
      <w:r>
        <w:rPr>
          <w:lang w:val="fr-FR"/>
        </w:rPr>
        <w:t xml:space="preserve"> </w:t>
      </w:r>
      <w:r>
        <w:rPr>
          <w:lang w:val="fr-FR"/>
        </w:rPr>
        <w:tab/>
      </w:r>
      <w:r>
        <w:rPr>
          <w:lang w:val="fr-FR"/>
        </w:rPr>
        <w:tab/>
        <w:t xml:space="preserve">Voir </w:t>
      </w:r>
      <w:hyperlink r:id="rId3" w:history="1">
        <w:r w:rsidR="00A445EC" w:rsidRPr="00D23FF4">
          <w:rPr>
            <w:rStyle w:val="Lienhypertexte"/>
            <w:lang w:val="fr-FR"/>
          </w:rPr>
          <w:t>https://unece.org/environment-policy/environmental-assessment/review-implementation-2019</w:t>
        </w:r>
      </w:hyperlink>
      <w:r>
        <w:rPr>
          <w:lang w:val="fr-FR"/>
        </w:rPr>
        <w:t xml:space="preserve"> (à paraître).</w:t>
      </w:r>
    </w:p>
  </w:footnote>
  <w:footnote w:id="7">
    <w:p w14:paraId="33A387DE" w14:textId="16907BA3" w:rsidR="00A90AAA" w:rsidRPr="00056549" w:rsidRDefault="00A90AAA" w:rsidP="00A90AAA">
      <w:pPr>
        <w:pStyle w:val="Notedebasdepage"/>
      </w:pPr>
      <w:r w:rsidRPr="0098176D">
        <w:rPr>
          <w:lang w:val="fr-FR"/>
        </w:rPr>
        <w:tab/>
      </w:r>
      <w:r w:rsidRPr="00A90AAA">
        <w:rPr>
          <w:rStyle w:val="Appelnotedebasdep"/>
        </w:rPr>
        <w:footnoteRef/>
      </w:r>
      <w:r>
        <w:rPr>
          <w:lang w:val="fr-FR"/>
        </w:rPr>
        <w:tab/>
        <w:t xml:space="preserve">Voir </w:t>
      </w:r>
      <w:hyperlink r:id="rId4" w:history="1">
        <w:r w:rsidR="00A445EC" w:rsidRPr="00D23FF4">
          <w:rPr>
            <w:rStyle w:val="Lienhypertexte"/>
            <w:lang w:val="fr-FR"/>
          </w:rPr>
          <w:t>www.rijksoverheid.nl/documenten/rapporten/2020/08/31/zoutwinning-waddenzee-advies-auditcommissie-over-de-nulmeting-en-het-meetjaar-2019</w:t>
        </w:r>
      </w:hyperlink>
      <w:r>
        <w:rPr>
          <w:lang w:val="fr-FR"/>
        </w:rPr>
        <w:t>.</w:t>
      </w:r>
    </w:p>
  </w:footnote>
  <w:footnote w:id="8">
    <w:p w14:paraId="23A02645" w14:textId="581FCC70" w:rsidR="00A90AAA" w:rsidRPr="00056549" w:rsidRDefault="00A90AAA" w:rsidP="00A90AAA">
      <w:pPr>
        <w:pStyle w:val="Notedebasdepage"/>
      </w:pPr>
      <w:r w:rsidRPr="00DC0A3A">
        <w:rPr>
          <w:lang w:val="fr-FR"/>
        </w:rPr>
        <w:tab/>
      </w:r>
      <w:r w:rsidRPr="00A90AAA">
        <w:rPr>
          <w:rStyle w:val="Appelnotedebasdep"/>
        </w:rPr>
        <w:footnoteRef/>
      </w:r>
      <w:r>
        <w:rPr>
          <w:lang w:val="fr-FR"/>
        </w:rPr>
        <w:tab/>
        <w:t xml:space="preserve">Voir </w:t>
      </w:r>
      <w:hyperlink r:id="rId5" w:history="1">
        <w:r w:rsidR="00A445EC" w:rsidRPr="00D23FF4">
          <w:rPr>
            <w:rStyle w:val="Lienhypertexte"/>
            <w:lang w:val="fr-FR"/>
          </w:rPr>
          <w:t>https://odnature.naturalsciences.be/mumm/en/windfarms/list?type=1</w:t>
        </w:r>
      </w:hyperlink>
      <w:r>
        <w:rPr>
          <w:lang w:val="fr-FR"/>
        </w:rPr>
        <w:t xml:space="preserve"> ; </w:t>
      </w:r>
      <w:hyperlink r:id="rId6" w:history="1">
        <w:r w:rsidR="00A445EC" w:rsidRPr="00D23FF4">
          <w:rPr>
            <w:rStyle w:val="Lienhypertexte"/>
            <w:lang w:val="fr-FR"/>
          </w:rPr>
          <w:t>https://odnature.naturalsciences.be/mumm/nl/commercial-and-industrial-activities/list?type=5&amp;sorts[projectLastUpdate]=0</w:t>
        </w:r>
      </w:hyperlink>
      <w:r>
        <w:rPr>
          <w:lang w:val="fr-FR"/>
        </w:rPr>
        <w:t>.</w:t>
      </w:r>
    </w:p>
  </w:footnote>
  <w:footnote w:id="9">
    <w:p w14:paraId="51E8D7A4" w14:textId="7A1865C4" w:rsidR="00A90AAA" w:rsidRPr="00056549" w:rsidRDefault="00A90AAA" w:rsidP="00A90AAA">
      <w:pPr>
        <w:pStyle w:val="Notedebasdepage"/>
        <w:rPr>
          <w:rFonts w:ascii="Times" w:hAnsi="Times" w:cs="Times"/>
        </w:rPr>
      </w:pPr>
      <w:r>
        <w:rPr>
          <w:lang w:val="fr-FR"/>
        </w:rPr>
        <w:tab/>
      </w:r>
      <w:r w:rsidRPr="00A90AAA">
        <w:rPr>
          <w:rStyle w:val="Appelnotedebasdep"/>
        </w:rPr>
        <w:footnoteRef/>
      </w:r>
      <w:r>
        <w:rPr>
          <w:lang w:val="fr-FR"/>
        </w:rPr>
        <w:tab/>
        <w:t xml:space="preserve">Décision IX/5 sur l’établissement de rapports et l’examen de l’application </w:t>
      </w:r>
      <w:r w:rsidR="00FD0336" w:rsidRPr="00FD0336">
        <w:rPr>
          <w:lang w:val="fr-FR"/>
        </w:rPr>
        <w:t>de la Convention (ECE/MP.EIA/2023/8)</w:t>
      </w:r>
      <w:r>
        <w:rPr>
          <w:lang w:val="fr-FR"/>
        </w:rPr>
        <w:t>.</w:t>
      </w:r>
    </w:p>
  </w:footnote>
  <w:footnote w:id="10">
    <w:p w14:paraId="6CA59FB8" w14:textId="77777777" w:rsidR="00A90AAA" w:rsidRPr="00056549" w:rsidRDefault="00A90AAA" w:rsidP="00A90AAA">
      <w:pPr>
        <w:pStyle w:val="Notedebasdepage"/>
      </w:pPr>
      <w:r>
        <w:rPr>
          <w:lang w:val="fr-FR"/>
        </w:rPr>
        <w:tab/>
      </w:r>
      <w:r w:rsidRPr="00A90AAA">
        <w:rPr>
          <w:rStyle w:val="Appelnotedebasdep"/>
        </w:rPr>
        <w:footnoteRef/>
      </w:r>
      <w:r>
        <w:rPr>
          <w:lang w:val="fr-FR"/>
        </w:rPr>
        <w:t xml:space="preserve"> </w:t>
      </w:r>
      <w:r>
        <w:rPr>
          <w:lang w:val="fr-FR"/>
        </w:rPr>
        <w:tab/>
        <w:t>Les conclusions du sixième examen qui ne sont plus pertinentes figurent dans le document ECE/MP.EIA/2020/8 (par. 62 (al. b) et f)) et par. 63 (al.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D504" w14:textId="2DA8F07A" w:rsidR="00A90AAA" w:rsidRPr="00A90AAA" w:rsidRDefault="00A90AAA">
    <w:pPr>
      <w:pStyle w:val="En-tte"/>
    </w:pPr>
    <w:fldSimple w:instr=" TITLE  \* MERGEFORMAT ">
      <w:r w:rsidR="005B3383">
        <w:t>ECE/MP.EIA/2023/9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9BAE" w14:textId="333DAEDE" w:rsidR="00A90AAA" w:rsidRPr="00A90AAA" w:rsidRDefault="00A90AAA" w:rsidP="00A90AAA">
    <w:pPr>
      <w:pStyle w:val="En-tte"/>
      <w:jc w:val="right"/>
    </w:pPr>
    <w:fldSimple w:instr=" TITLE  \* MERGEFORMAT ">
      <w:r w:rsidR="005B3383">
        <w:t>ECE/MP.EIA/2023/9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Titre1C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B32115"/>
    <w:multiLevelType w:val="hybridMultilevel"/>
    <w:tmpl w:val="99D6473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23645"/>
    <w:multiLevelType w:val="hybridMultilevel"/>
    <w:tmpl w:val="F4A4C414"/>
    <w:lvl w:ilvl="0" w:tplc="43F2F8D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72213A"/>
    <w:multiLevelType w:val="hybridMultilevel"/>
    <w:tmpl w:val="2200CDAA"/>
    <w:lvl w:ilvl="0" w:tplc="7502311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CF4EB2"/>
    <w:multiLevelType w:val="hybridMultilevel"/>
    <w:tmpl w:val="B6C4FF4C"/>
    <w:lvl w:ilvl="0" w:tplc="78607ACC">
      <w:start w:val="1"/>
      <w:numFmt w:val="bullet"/>
      <w:pStyle w:val="Numrodepag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BAF4D304"/>
    <w:lvl w:ilvl="0" w:tplc="3B64B33E">
      <w:start w:val="1"/>
      <w:numFmt w:val="bullet"/>
      <w:pStyle w:val="NotedefinCar"/>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9582A4A"/>
    <w:multiLevelType w:val="hybridMultilevel"/>
    <w:tmpl w:val="F940C40E"/>
    <w:lvl w:ilvl="0" w:tplc="BEDC9DC8">
      <w:start w:val="1"/>
      <w:numFmt w:val="upperLetter"/>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747320A3"/>
    <w:multiLevelType w:val="hybridMultilevel"/>
    <w:tmpl w:val="0862E986"/>
    <w:lvl w:ilvl="0" w:tplc="98C89A18">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295E11"/>
    <w:multiLevelType w:val="hybridMultilevel"/>
    <w:tmpl w:val="F314F1DC"/>
    <w:lvl w:ilvl="0" w:tplc="04140017">
      <w:start w:val="1"/>
      <w:numFmt w:val="lowerLetter"/>
      <w:lvlText w:val="%1)"/>
      <w:lvlJc w:val="left"/>
      <w:pPr>
        <w:ind w:left="1494" w:hanging="360"/>
      </w:p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num w:numId="1" w16cid:durableId="1141968402">
    <w:abstractNumId w:val="22"/>
  </w:num>
  <w:num w:numId="2" w16cid:durableId="1013343389">
    <w:abstractNumId w:val="20"/>
  </w:num>
  <w:num w:numId="3" w16cid:durableId="922445617">
    <w:abstractNumId w:val="11"/>
  </w:num>
  <w:num w:numId="4" w16cid:durableId="966550486">
    <w:abstractNumId w:val="8"/>
  </w:num>
  <w:num w:numId="5" w16cid:durableId="798960603">
    <w:abstractNumId w:val="3"/>
  </w:num>
  <w:num w:numId="6" w16cid:durableId="405493351">
    <w:abstractNumId w:val="2"/>
  </w:num>
  <w:num w:numId="7" w16cid:durableId="547956771">
    <w:abstractNumId w:val="1"/>
  </w:num>
  <w:num w:numId="8" w16cid:durableId="472599327">
    <w:abstractNumId w:val="0"/>
  </w:num>
  <w:num w:numId="9" w16cid:durableId="855269417">
    <w:abstractNumId w:val="9"/>
  </w:num>
  <w:num w:numId="10" w16cid:durableId="852308602">
    <w:abstractNumId w:val="7"/>
  </w:num>
  <w:num w:numId="11" w16cid:durableId="881594156">
    <w:abstractNumId w:val="6"/>
  </w:num>
  <w:num w:numId="12" w16cid:durableId="136456648">
    <w:abstractNumId w:val="5"/>
  </w:num>
  <w:num w:numId="13" w16cid:durableId="245727009">
    <w:abstractNumId w:val="4"/>
  </w:num>
  <w:num w:numId="14" w16cid:durableId="929390073">
    <w:abstractNumId w:val="22"/>
  </w:num>
  <w:num w:numId="15" w16cid:durableId="686102810">
    <w:abstractNumId w:val="20"/>
  </w:num>
  <w:num w:numId="16" w16cid:durableId="773406290">
    <w:abstractNumId w:val="11"/>
  </w:num>
  <w:num w:numId="17" w16cid:durableId="207760740">
    <w:abstractNumId w:val="18"/>
  </w:num>
  <w:num w:numId="18" w16cid:durableId="512308897">
    <w:abstractNumId w:val="15"/>
  </w:num>
  <w:num w:numId="19" w16cid:durableId="2027438036">
    <w:abstractNumId w:val="10"/>
  </w:num>
  <w:num w:numId="20" w16cid:durableId="1625768709">
    <w:abstractNumId w:val="13"/>
  </w:num>
  <w:num w:numId="21" w16cid:durableId="1202592878">
    <w:abstractNumId w:val="19"/>
  </w:num>
  <w:num w:numId="22" w16cid:durableId="1653679786">
    <w:abstractNumId w:val="14"/>
  </w:num>
  <w:num w:numId="23" w16cid:durableId="186602365">
    <w:abstractNumId w:val="21"/>
  </w:num>
  <w:num w:numId="24" w16cid:durableId="397244341">
    <w:abstractNumId w:val="25"/>
  </w:num>
  <w:num w:numId="25" w16cid:durableId="808404343">
    <w:abstractNumId w:val="12"/>
  </w:num>
  <w:num w:numId="26" w16cid:durableId="815142088">
    <w:abstractNumId w:val="24"/>
  </w:num>
  <w:num w:numId="27" w16cid:durableId="2114282801">
    <w:abstractNumId w:val="17"/>
  </w:num>
  <w:num w:numId="28" w16cid:durableId="1632247177">
    <w:abstractNumId w:val="26"/>
  </w:num>
  <w:num w:numId="29" w16cid:durableId="935865951">
    <w:abstractNumId w:val="16"/>
  </w:num>
  <w:num w:numId="30" w16cid:durableId="9936843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23"/>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C592A"/>
    <w:rsid w:val="002D7C93"/>
    <w:rsid w:val="00441C3B"/>
    <w:rsid w:val="00446FE5"/>
    <w:rsid w:val="00452396"/>
    <w:rsid w:val="00472AAE"/>
    <w:rsid w:val="00472DD3"/>
    <w:rsid w:val="004E468C"/>
    <w:rsid w:val="005505B7"/>
    <w:rsid w:val="00573BE5"/>
    <w:rsid w:val="00586ED3"/>
    <w:rsid w:val="00596AA9"/>
    <w:rsid w:val="005B3383"/>
    <w:rsid w:val="005B44E6"/>
    <w:rsid w:val="005D6D16"/>
    <w:rsid w:val="005F26E5"/>
    <w:rsid w:val="006C0E3B"/>
    <w:rsid w:val="006C3EBB"/>
    <w:rsid w:val="0071601D"/>
    <w:rsid w:val="007A5FC4"/>
    <w:rsid w:val="007A62E6"/>
    <w:rsid w:val="007F0C13"/>
    <w:rsid w:val="0080684C"/>
    <w:rsid w:val="00871C75"/>
    <w:rsid w:val="008776DC"/>
    <w:rsid w:val="008D6B3F"/>
    <w:rsid w:val="0090540F"/>
    <w:rsid w:val="0090660A"/>
    <w:rsid w:val="009705C8"/>
    <w:rsid w:val="009C1CF4"/>
    <w:rsid w:val="009E6CD4"/>
    <w:rsid w:val="00A14420"/>
    <w:rsid w:val="00A30353"/>
    <w:rsid w:val="00A445EC"/>
    <w:rsid w:val="00A548CC"/>
    <w:rsid w:val="00A90AAA"/>
    <w:rsid w:val="00AC3823"/>
    <w:rsid w:val="00AE323C"/>
    <w:rsid w:val="00B00181"/>
    <w:rsid w:val="00B00B0D"/>
    <w:rsid w:val="00B04D23"/>
    <w:rsid w:val="00B1703D"/>
    <w:rsid w:val="00B61815"/>
    <w:rsid w:val="00B765F7"/>
    <w:rsid w:val="00BA0CA9"/>
    <w:rsid w:val="00C02897"/>
    <w:rsid w:val="00C554CE"/>
    <w:rsid w:val="00CE06A8"/>
    <w:rsid w:val="00CE26D2"/>
    <w:rsid w:val="00D3439C"/>
    <w:rsid w:val="00D503D3"/>
    <w:rsid w:val="00DB1831"/>
    <w:rsid w:val="00DD3BFD"/>
    <w:rsid w:val="00DF5712"/>
    <w:rsid w:val="00DF6678"/>
    <w:rsid w:val="00E96BD6"/>
    <w:rsid w:val="00ED5F56"/>
    <w:rsid w:val="00EE22F9"/>
    <w:rsid w:val="00EF2E22"/>
    <w:rsid w:val="00F23C47"/>
    <w:rsid w:val="00F274A2"/>
    <w:rsid w:val="00F660DF"/>
    <w:rsid w:val="00F95C08"/>
    <w:rsid w:val="00FD033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B0D52"/>
  <w15:docId w15:val="{C106D33B-0991-4021-8EE8-E1C22758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A90AAA"/>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A90AAA"/>
    <w:rPr>
      <w:sz w:val="16"/>
      <w:szCs w:val="16"/>
    </w:rPr>
  </w:style>
  <w:style w:type="paragraph" w:styleId="Rvision">
    <w:name w:val="Revision"/>
    <w:hidden/>
    <w:uiPriority w:val="99"/>
    <w:semiHidden/>
    <w:rsid w:val="00A90AAA"/>
    <w:pPr>
      <w:spacing w:after="0" w:line="240" w:lineRule="auto"/>
    </w:pPr>
    <w:rPr>
      <w:rFonts w:ascii="Times New Roman" w:hAnsi="Times New Roman" w:cs="Times New Roman"/>
      <w:sz w:val="20"/>
      <w:szCs w:val="20"/>
      <w:lang w:val="en-GB" w:eastAsia="fr-FR"/>
    </w:rPr>
  </w:style>
  <w:style w:type="paragraph" w:styleId="Commentaire">
    <w:name w:val="annotation text"/>
    <w:basedOn w:val="Normal"/>
    <w:link w:val="CommentaireCar"/>
    <w:uiPriority w:val="99"/>
    <w:semiHidden/>
    <w:unhideWhenUsed/>
    <w:rsid w:val="00A90AAA"/>
    <w:pPr>
      <w:spacing w:line="240" w:lineRule="auto"/>
    </w:pPr>
  </w:style>
  <w:style w:type="character" w:customStyle="1" w:styleId="CommentaireCar">
    <w:name w:val="Commentaire Car"/>
    <w:basedOn w:val="Policepardfaut"/>
    <w:link w:val="Commentaire"/>
    <w:uiPriority w:val="99"/>
    <w:semiHidden/>
    <w:rsid w:val="00A90AAA"/>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A90AAA"/>
    <w:rPr>
      <w:b/>
      <w:bCs/>
    </w:rPr>
  </w:style>
  <w:style w:type="character" w:customStyle="1" w:styleId="ObjetducommentaireCar">
    <w:name w:val="Objet du commentaire Car"/>
    <w:basedOn w:val="CommentaireCar"/>
    <w:link w:val="Objetducommentaire"/>
    <w:uiPriority w:val="99"/>
    <w:semiHidden/>
    <w:rsid w:val="00A90AAA"/>
    <w:rPr>
      <w:rFonts w:ascii="Times New Roman" w:eastAsiaTheme="minorHAnsi" w:hAnsi="Times New Roman" w:cs="Times New Roman"/>
      <w:b/>
      <w:bCs/>
      <w:sz w:val="20"/>
      <w:szCs w:val="20"/>
      <w:lang w:eastAsia="en-US"/>
    </w:rPr>
  </w:style>
  <w:style w:type="character" w:customStyle="1" w:styleId="H23GChar">
    <w:name w:val="_ H_2/3_G Char"/>
    <w:link w:val="H23G"/>
    <w:rsid w:val="00A90AAA"/>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A44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environment-policy/environmental-assessment/review-implementation-2019" TargetMode="External"/><Relationship Id="rId2" Type="http://schemas.openxmlformats.org/officeDocument/2006/relationships/hyperlink" Target="http://www.unece.org/environment-policy/environmental-assessment/review-implementation-2019" TargetMode="External"/><Relationship Id="rId1" Type="http://schemas.openxmlformats.org/officeDocument/2006/relationships/hyperlink" Target="http://www.unece.org/env/eia/implementation/review_implementation.html" TargetMode="External"/><Relationship Id="rId6" Type="http://schemas.openxmlformats.org/officeDocument/2006/relationships/hyperlink" Target="https://odnature.naturalsciences.be/mumm/nl/commercial-and-industrial-activities/list?type=5&amp;sorts%5bprojectLastUpdate%5d=0" TargetMode="External"/><Relationship Id="rId5" Type="http://schemas.openxmlformats.org/officeDocument/2006/relationships/hyperlink" Target="https://odnature.naturalsciences.be/mumm/en/windfarms/list?type=1" TargetMode="External"/><Relationship Id="rId4" Type="http://schemas.openxmlformats.org/officeDocument/2006/relationships/hyperlink" Target="http://www.rijksoverheid.nl/documenten/rapporten/2020/08/31/zoutwinning-waddenzee-advies-auditcommissie-over-de-nulmeting-en-het-meetjaar-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Sheet1!$C$4</c:f>
              <c:strCache>
                <c:ptCount val="1"/>
                <c:pt idx="0">
                  <c:v>Impact</c:v>
                </c:pt>
              </c:strCache>
            </c:strRef>
          </c:tx>
          <c:spPr>
            <a:prstGeom prst="rect">
              <a:avLst/>
            </a:prstGeom>
            <a:solidFill>
              <a:schemeClr val="accent1"/>
            </a:solidFill>
            <a:ln>
              <a:noFill/>
            </a:ln>
            <a:effectLst/>
          </c:spPr>
          <c:invertIfNegative val="0"/>
          <c:cat>
            <c:strRef>
              <c:f>Sheet1!$B$5:$B$8</c:f>
              <c:strCache>
                <c:ptCount val="4"/>
                <c:pt idx="0">
                  <c:v>Oui, identiques</c:v>
                </c:pt>
                <c:pt idx="1">
                  <c:v>Oui, similaires</c:v>
                </c:pt>
                <c:pt idx="2">
                  <c:v>Non, différentes</c:v>
                </c:pt>
                <c:pt idx="3">
                  <c:v>Pas de définition</c:v>
                </c:pt>
              </c:strCache>
            </c:strRef>
          </c:cat>
          <c:val>
            <c:numRef>
              <c:f>Sheet1!$C$5:$C$8</c:f>
              <c:numCache>
                <c:formatCode>General</c:formatCode>
                <c:ptCount val="4"/>
                <c:pt idx="0">
                  <c:v>13</c:v>
                </c:pt>
                <c:pt idx="1">
                  <c:v>15</c:v>
                </c:pt>
                <c:pt idx="2">
                  <c:v>1</c:v>
                </c:pt>
                <c:pt idx="3">
                  <c:v>9</c:v>
                </c:pt>
              </c:numCache>
            </c:numRef>
          </c:val>
          <c:extLst>
            <c:ext xmlns:c16="http://schemas.microsoft.com/office/drawing/2014/chart" uri="{C3380CC4-5D6E-409C-BE32-E72D297353CC}">
              <c16:uniqueId val="{00000000-952A-44BB-A209-A4DC0F48C2C7}"/>
            </c:ext>
          </c:extLst>
        </c:ser>
        <c:ser>
          <c:idx val="1"/>
          <c:order val="1"/>
          <c:tx>
            <c:strRef>
              <c:f>Sheet1!$D$4</c:f>
              <c:strCache>
                <c:ptCount val="1"/>
                <c:pt idx="0">
                  <c:v>Impact transfrontière</c:v>
                </c:pt>
              </c:strCache>
            </c:strRef>
          </c:tx>
          <c:spPr>
            <a:prstGeom prst="rect">
              <a:avLst/>
            </a:prstGeom>
            <a:solidFill>
              <a:schemeClr val="accent2"/>
            </a:solidFill>
            <a:ln>
              <a:noFill/>
            </a:ln>
            <a:effectLst/>
          </c:spPr>
          <c:invertIfNegative val="0"/>
          <c:cat>
            <c:strRef>
              <c:f>Sheet1!$B$5:$B$8</c:f>
              <c:strCache>
                <c:ptCount val="4"/>
                <c:pt idx="0">
                  <c:v>Oui, identiques</c:v>
                </c:pt>
                <c:pt idx="1">
                  <c:v>Oui, similaires</c:v>
                </c:pt>
                <c:pt idx="2">
                  <c:v>Non, différentes</c:v>
                </c:pt>
                <c:pt idx="3">
                  <c:v>Pas de définition</c:v>
                </c:pt>
              </c:strCache>
            </c:strRef>
          </c:cat>
          <c:val>
            <c:numRef>
              <c:f>Sheet1!$D$5:$D$8</c:f>
              <c:numCache>
                <c:formatCode>General</c:formatCode>
                <c:ptCount val="4"/>
                <c:pt idx="0">
                  <c:v>15</c:v>
                </c:pt>
                <c:pt idx="1">
                  <c:v>6</c:v>
                </c:pt>
                <c:pt idx="2">
                  <c:v>0</c:v>
                </c:pt>
                <c:pt idx="3">
                  <c:v>17</c:v>
                </c:pt>
              </c:numCache>
            </c:numRef>
          </c:val>
          <c:extLst>
            <c:ext xmlns:c16="http://schemas.microsoft.com/office/drawing/2014/chart" uri="{C3380CC4-5D6E-409C-BE32-E72D297353CC}">
              <c16:uniqueId val="{00000001-952A-44BB-A209-A4DC0F48C2C7}"/>
            </c:ext>
          </c:extLst>
        </c:ser>
        <c:dLbls>
          <c:showLegendKey val="0"/>
          <c:showVal val="0"/>
          <c:showCatName val="0"/>
          <c:showSerName val="0"/>
          <c:showPercent val="0"/>
          <c:showBubbleSize val="0"/>
        </c:dLbls>
        <c:gapWidth val="219"/>
        <c:overlap val="-27"/>
        <c:axId val="614082831"/>
        <c:axId val="614083663"/>
      </c:barChart>
      <c:catAx>
        <c:axId val="614082831"/>
        <c:scaling>
          <c:orientation val="minMax"/>
        </c:scaling>
        <c:delete val="0"/>
        <c:axPos val="b"/>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614083663"/>
        <c:crosses val="autoZero"/>
        <c:auto val="1"/>
        <c:lblAlgn val="ctr"/>
        <c:lblOffset val="100"/>
        <c:noMultiLvlLbl val="0"/>
      </c:catAx>
      <c:valAx>
        <c:axId val="614083663"/>
        <c:scaling>
          <c:orientation val="minMax"/>
        </c:scaling>
        <c:delete val="0"/>
        <c:axPos val="l"/>
        <c:majorGridlines>
          <c:spPr>
            <a:prstGeom prst="rect">
              <a:avLst/>
            </a:prstGeom>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a:solidFill>
                      <a:schemeClr val="tx1">
                        <a:lumMod val="65000"/>
                        <a:lumOff val="35000"/>
                      </a:schemeClr>
                    </a:solidFill>
                    <a:latin typeface="+mn-lt"/>
                    <a:ea typeface="+mn-ea"/>
                    <a:cs typeface="+mn-cs"/>
                  </a:defRPr>
                </a:pPr>
                <a:r>
                  <a:rPr lang="fr-FR" sz="1000" b="0" i="0" u="none" strike="noStrike" baseline="0">
                    <a:effectLst/>
                  </a:rPr>
                  <a:t>Nombre de réponses</a:t>
                </a:r>
                <a:endParaRPr lang="nb-NO"/>
              </a:p>
            </c:rich>
          </c:tx>
          <c:overlay val="0"/>
          <c:spPr>
            <a:prstGeom prst="rect">
              <a:avLst/>
            </a:prstGeom>
            <a:noFill/>
            <a:ln>
              <a:noFill/>
            </a:ln>
            <a:effectLst/>
          </c:spPr>
        </c:title>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614082831"/>
        <c:crosses val="autoZero"/>
        <c:crossBetween val="between"/>
      </c:valAx>
      <c:spPr>
        <a:prstGeom prst="rect">
          <a:avLst/>
        </a:prstGeom>
        <a:noFill/>
        <a:ln>
          <a:noFill/>
        </a:ln>
        <a:effectLst/>
      </c:spPr>
    </c:plotArea>
    <c:legend>
      <c:legendPos val="b"/>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BB08-49B6-BDD1-EEB215E85A04}"/>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BB08-49B6-BDD1-EEB215E85A04}"/>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BB08-49B6-BDD1-EEB215E85A04}"/>
              </c:ext>
            </c:extLst>
          </c:dPt>
          <c:dLbls>
            <c:dLbl>
              <c:idx val="0"/>
              <c:tx>
                <c:rich>
                  <a:bodyPr/>
                  <a:lstStyle/>
                  <a:p>
                    <a:fld id="{E11792DB-13EA-4602-946B-E1D013047558}" type="VALUE">
                      <a:rPr lang="en-US" b="1"/>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B08-49B6-BDD1-EEB215E85A04}"/>
                </c:ext>
              </c:extLst>
            </c:dLbl>
            <c:dLbl>
              <c:idx val="1"/>
              <c:tx>
                <c:rich>
                  <a:bodyPr/>
                  <a:lstStyle/>
                  <a:p>
                    <a:fld id="{1812DA61-B8A1-4061-B411-4B2460138162}" type="VALUE">
                      <a:rPr lang="en-US" b="1"/>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B08-49B6-BDD1-EEB215E85A04}"/>
                </c:ext>
              </c:extLst>
            </c:dLbl>
            <c:dLbl>
              <c:idx val="2"/>
              <c:tx>
                <c:rich>
                  <a:bodyPr/>
                  <a:lstStyle/>
                  <a:p>
                    <a:fld id="{9CDB6C8D-382D-4B74-8EFB-76BA0FB59824}" type="VALUE">
                      <a:rPr lang="en-US" b="1"/>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B08-49B6-BDD1-EEB215E85A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s>
          <c:cat>
            <c:strRef>
              <c:f>Sheet1!$F$32:$F$34</c:f>
              <c:strCache>
                <c:ptCount val="3"/>
                <c:pt idx="0">
                  <c:v>Obligatory provisions in legislation</c:v>
                </c:pt>
                <c:pt idx="1">
                  <c:v>Optional provisions in legislation</c:v>
                </c:pt>
                <c:pt idx="2">
                  <c:v>No provisions in legislation</c:v>
                </c:pt>
              </c:strCache>
            </c:strRef>
          </c:cat>
          <c:val>
            <c:numRef>
              <c:f>Sheet1!$G$32:$G$34</c:f>
              <c:numCache>
                <c:formatCode>General</c:formatCode>
                <c:ptCount val="3"/>
                <c:pt idx="0">
                  <c:v>23</c:v>
                </c:pt>
                <c:pt idx="1">
                  <c:v>9</c:v>
                </c:pt>
                <c:pt idx="2">
                  <c:v>6</c:v>
                </c:pt>
              </c:numCache>
            </c:numRef>
          </c:val>
          <c:extLst>
            <c:ext xmlns:c16="http://schemas.microsoft.com/office/drawing/2014/chart" uri="{C3380CC4-5D6E-409C-BE32-E72D297353CC}">
              <c16:uniqueId val="{00000006-BB08-49B6-BDD1-EEB215E85A04}"/>
            </c:ext>
          </c:extLst>
        </c:ser>
        <c:dLbls>
          <c:showLegendKey val="0"/>
          <c:showVal val="0"/>
          <c:showCatName val="0"/>
          <c:showSerName val="0"/>
          <c:showPercent val="0"/>
          <c:showBubbleSize val="0"/>
          <c:showLeaderLines val="0"/>
        </c:dLbls>
        <c:firstSliceAng val="0"/>
      </c:pieChart>
      <c:spPr>
        <a:prstGeom prst="rect">
          <a:avLst/>
        </a:prstGeom>
        <a:noFill/>
        <a:ln>
          <a:noFill/>
        </a:ln>
        <a:effectLst/>
      </c:spPr>
    </c:plotArea>
    <c:legend>
      <c:legendPos val="b"/>
      <c:layout>
        <c:manualLayout>
          <c:xMode val="edge"/>
          <c:yMode val="edge"/>
          <c:x val="0.17292388451443569"/>
          <c:y val="0.82291557305336838"/>
          <c:w val="0.70415223097112856"/>
          <c:h val="0.14930664916885389"/>
        </c:manualLayout>
      </c:layout>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4307-496D-94B4-78A8AC9D4003}"/>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4307-496D-94B4-78A8AC9D4003}"/>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4307-496D-94B4-78A8AC9D4003}"/>
              </c:ext>
            </c:extLst>
          </c:dPt>
          <c:dPt>
            <c:idx val="3"/>
            <c:bubble3D val="0"/>
            <c:spPr>
              <a:prstGeom prst="rect">
                <a:avLst/>
              </a:prstGeom>
              <a:solidFill>
                <a:schemeClr val="accent4"/>
              </a:solidFill>
              <a:ln w="19050">
                <a:solidFill>
                  <a:schemeClr val="lt1"/>
                </a:solidFill>
              </a:ln>
              <a:effectLst/>
            </c:spPr>
            <c:extLst>
              <c:ext xmlns:c16="http://schemas.microsoft.com/office/drawing/2014/chart" uri="{C3380CC4-5D6E-409C-BE32-E72D297353CC}">
                <c16:uniqueId val="{00000007-4307-496D-94B4-78A8AC9D4003}"/>
              </c:ext>
            </c:extLst>
          </c:dPt>
          <c:dPt>
            <c:idx val="4"/>
            <c:bubble3D val="0"/>
            <c:spPr>
              <a:prstGeom prst="rect">
                <a:avLst/>
              </a:prstGeom>
              <a:solidFill>
                <a:schemeClr val="accent5"/>
              </a:solidFill>
              <a:ln w="19050">
                <a:solidFill>
                  <a:schemeClr val="lt1"/>
                </a:solidFill>
              </a:ln>
              <a:effectLst/>
            </c:spPr>
            <c:extLst>
              <c:ext xmlns:c16="http://schemas.microsoft.com/office/drawing/2014/chart" uri="{C3380CC4-5D6E-409C-BE32-E72D297353CC}">
                <c16:uniqueId val="{00000009-4307-496D-94B4-78A8AC9D40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Sheet1!$C$44:$C$48</c:f>
              <c:strCache>
                <c:ptCount val="5"/>
                <c:pt idx="0">
                  <c:v>Full set of documentation provided in English</c:v>
                </c:pt>
                <c:pt idx="1">
                  <c:v>Selected parts provided in English</c:v>
                </c:pt>
                <c:pt idx="2">
                  <c:v>Full set of documentation provided in affected Party's language</c:v>
                </c:pt>
                <c:pt idx="3">
                  <c:v>Selected parts provided in affected Party's language</c:v>
                </c:pt>
                <c:pt idx="4">
                  <c:v>Other practices</c:v>
                </c:pt>
              </c:strCache>
            </c:strRef>
          </c:cat>
          <c:val>
            <c:numRef>
              <c:f>Sheet1!$D$44:$D$48</c:f>
              <c:numCache>
                <c:formatCode>General</c:formatCode>
                <c:ptCount val="5"/>
                <c:pt idx="0">
                  <c:v>14</c:v>
                </c:pt>
                <c:pt idx="1">
                  <c:v>8</c:v>
                </c:pt>
                <c:pt idx="2">
                  <c:v>4</c:v>
                </c:pt>
                <c:pt idx="3">
                  <c:v>20</c:v>
                </c:pt>
                <c:pt idx="4">
                  <c:v>3</c:v>
                </c:pt>
              </c:numCache>
            </c:numRef>
          </c:val>
          <c:extLst>
            <c:ext xmlns:c16="http://schemas.microsoft.com/office/drawing/2014/chart" uri="{C3380CC4-5D6E-409C-BE32-E72D297353CC}">
              <c16:uniqueId val="{0000000A-4307-496D-94B4-78A8AC9D4003}"/>
            </c:ext>
          </c:extLst>
        </c:ser>
        <c:dLbls>
          <c:showLegendKey val="0"/>
          <c:showVal val="0"/>
          <c:showCatName val="0"/>
          <c:showSerName val="0"/>
          <c:showPercent val="0"/>
          <c:showBubbleSize val="0"/>
          <c:showLeaderLines val="1"/>
        </c:dLbls>
        <c:firstSliceAng val="0"/>
      </c:pieChart>
      <c:spPr>
        <a:prstGeom prst="rect">
          <a:avLst/>
        </a:prstGeom>
        <a:noFill/>
        <a:ln>
          <a:noFill/>
        </a:ln>
        <a:effectLst/>
      </c:spPr>
    </c:plotArea>
    <c:legend>
      <c:legendPos val="b"/>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25632-457C-424A-929F-46DC3D29FE2C}"/>
</file>

<file path=customXml/itemProps2.xml><?xml version="1.0" encoding="utf-8"?>
<ds:datastoreItem xmlns:ds="http://schemas.openxmlformats.org/officeDocument/2006/customXml" ds:itemID="{F9C466BB-0BCA-4945-AFEB-B99CBB3545EE}"/>
</file>

<file path=docProps/app.xml><?xml version="1.0" encoding="utf-8"?>
<Properties xmlns="http://schemas.openxmlformats.org/officeDocument/2006/extended-properties" xmlns:vt="http://schemas.openxmlformats.org/officeDocument/2006/docPropsVTypes">
  <Template>ECE_MP.dotm</Template>
  <TotalTime>0</TotalTime>
  <Pages>20</Pages>
  <Words>8524</Words>
  <Characters>58821</Characters>
  <Application>Microsoft Office Word</Application>
  <DocSecurity>0</DocSecurity>
  <Lines>6535</Lines>
  <Paragraphs>2806</Paragraphs>
  <ScaleCrop>false</ScaleCrop>
  <HeadingPairs>
    <vt:vector size="2" baseType="variant">
      <vt:variant>
        <vt:lpstr>Titre</vt:lpstr>
      </vt:variant>
      <vt:variant>
        <vt:i4>1</vt:i4>
      </vt:variant>
    </vt:vector>
  </HeadingPairs>
  <TitlesOfParts>
    <vt:vector size="1" baseType="lpstr">
      <vt:lpstr>ECE/MP.EIA/2023/9</vt:lpstr>
    </vt:vector>
  </TitlesOfParts>
  <Company>DCM</Company>
  <LinksUpToDate>false</LinksUpToDate>
  <CharactersWithSpaces>64539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ECE/MP.EIA/2023/9</dc:title>
  <dc:subject/>
  <dc:creator>Sandrine CLERE</dc:creator>
  <cp:keywords/>
  <cp:lastModifiedBy>Sandrine Clere</cp:lastModifiedBy>
  <cp:revision>3</cp:revision>
  <cp:lastPrinted>2023-10-24T07:19:00Z</cp:lastPrinted>
  <dcterms:created xsi:type="dcterms:W3CDTF">2023-10-24T07:19:00Z</dcterms:created>
  <dcterms:modified xsi:type="dcterms:W3CDTF">2023-10-24T07:19:00Z</dcterms:modified>
</cp:coreProperties>
</file>