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732DF054" w14:textId="77777777" w:rsidTr="00387CD4">
        <w:trPr>
          <w:trHeight w:hRule="exact" w:val="851"/>
        </w:trPr>
        <w:tc>
          <w:tcPr>
            <w:tcW w:w="142" w:type="dxa"/>
            <w:tcBorders>
              <w:bottom w:val="single" w:sz="4" w:space="0" w:color="auto"/>
            </w:tcBorders>
          </w:tcPr>
          <w:p w14:paraId="55895191" w14:textId="77777777" w:rsidR="002D5AAC" w:rsidRDefault="002D5AAC" w:rsidP="00786610">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100B07D0"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12376BC4" w14:textId="69FAC941" w:rsidR="002D5AAC" w:rsidRDefault="00786610" w:rsidP="00786610">
            <w:pPr>
              <w:jc w:val="right"/>
            </w:pPr>
            <w:r w:rsidRPr="00786610">
              <w:rPr>
                <w:sz w:val="40"/>
              </w:rPr>
              <w:t>ECE</w:t>
            </w:r>
            <w:r>
              <w:t>/MP.EIA/2023/6</w:t>
            </w:r>
          </w:p>
        </w:tc>
      </w:tr>
      <w:tr w:rsidR="002D5AAC" w:rsidRPr="0074388D" w14:paraId="0A847B1D" w14:textId="77777777" w:rsidTr="00387CD4">
        <w:trPr>
          <w:trHeight w:hRule="exact" w:val="2835"/>
        </w:trPr>
        <w:tc>
          <w:tcPr>
            <w:tcW w:w="1280" w:type="dxa"/>
            <w:gridSpan w:val="2"/>
            <w:tcBorders>
              <w:top w:val="single" w:sz="4" w:space="0" w:color="auto"/>
              <w:bottom w:val="single" w:sz="12" w:space="0" w:color="auto"/>
            </w:tcBorders>
          </w:tcPr>
          <w:p w14:paraId="4469B436" w14:textId="77777777" w:rsidR="002D5AAC" w:rsidRDefault="002E5067" w:rsidP="00387CD4">
            <w:pPr>
              <w:spacing w:before="120"/>
              <w:jc w:val="center"/>
            </w:pPr>
            <w:r>
              <w:rPr>
                <w:noProof/>
                <w:lang w:val="fr-CH" w:eastAsia="fr-CH"/>
              </w:rPr>
              <w:drawing>
                <wp:inline distT="0" distB="0" distL="0" distR="0" wp14:anchorId="682F8A10" wp14:editId="02D06A7F">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26335276"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09237C8B" w14:textId="77777777" w:rsidR="002D5AAC" w:rsidRDefault="00786610" w:rsidP="00387CD4">
            <w:pPr>
              <w:spacing w:before="240"/>
              <w:rPr>
                <w:lang w:val="en-US"/>
              </w:rPr>
            </w:pPr>
            <w:r>
              <w:rPr>
                <w:lang w:val="en-US"/>
              </w:rPr>
              <w:t>Distr.: General</w:t>
            </w:r>
          </w:p>
          <w:p w14:paraId="17CFE9FD" w14:textId="456A8513" w:rsidR="00786610" w:rsidRDefault="009B66AD" w:rsidP="00786610">
            <w:pPr>
              <w:spacing w:line="240" w:lineRule="exact"/>
              <w:rPr>
                <w:lang w:val="en-US"/>
              </w:rPr>
            </w:pPr>
            <w:r>
              <w:rPr>
                <w:lang w:val="en-US"/>
              </w:rPr>
              <w:t>25 September 2023</w:t>
            </w:r>
          </w:p>
          <w:p w14:paraId="0F882E9D" w14:textId="77777777" w:rsidR="00786610" w:rsidRDefault="00786610" w:rsidP="00786610">
            <w:pPr>
              <w:spacing w:line="240" w:lineRule="exact"/>
              <w:rPr>
                <w:lang w:val="en-US"/>
              </w:rPr>
            </w:pPr>
            <w:r>
              <w:rPr>
                <w:lang w:val="en-US"/>
              </w:rPr>
              <w:t>Russian</w:t>
            </w:r>
          </w:p>
          <w:p w14:paraId="19EF405A" w14:textId="6911DD5E" w:rsidR="00786610" w:rsidRPr="008D53B6" w:rsidRDefault="00786610" w:rsidP="00786610">
            <w:pPr>
              <w:spacing w:line="240" w:lineRule="exact"/>
              <w:rPr>
                <w:lang w:val="en-US"/>
              </w:rPr>
            </w:pPr>
            <w:r>
              <w:rPr>
                <w:lang w:val="en-US"/>
              </w:rPr>
              <w:t>Original: English</w:t>
            </w:r>
          </w:p>
        </w:tc>
      </w:tr>
    </w:tbl>
    <w:p w14:paraId="1773C6C7"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28E1A6AA" w14:textId="1849EA02" w:rsidR="00786610" w:rsidRPr="00786610" w:rsidRDefault="00786610" w:rsidP="00786610">
      <w:pPr>
        <w:spacing w:before="120" w:after="120"/>
        <w:rPr>
          <w:bCs/>
          <w:color w:val="000000"/>
          <w:sz w:val="28"/>
          <w:szCs w:val="28"/>
        </w:rPr>
      </w:pPr>
      <w:r w:rsidRPr="00786610">
        <w:rPr>
          <w:bCs/>
          <w:color w:val="000000"/>
          <w:sz w:val="28"/>
          <w:szCs w:val="28"/>
        </w:rPr>
        <w:t xml:space="preserve">Совещание Сторон Конвенции об оценке </w:t>
      </w:r>
      <w:r>
        <w:rPr>
          <w:bCs/>
          <w:color w:val="000000"/>
          <w:sz w:val="28"/>
          <w:szCs w:val="28"/>
        </w:rPr>
        <w:br/>
      </w:r>
      <w:r w:rsidRPr="00786610">
        <w:rPr>
          <w:bCs/>
          <w:color w:val="000000"/>
          <w:sz w:val="28"/>
          <w:szCs w:val="28"/>
        </w:rPr>
        <w:t xml:space="preserve">воздействия на окружающую среду </w:t>
      </w:r>
      <w:r>
        <w:rPr>
          <w:bCs/>
          <w:color w:val="000000"/>
          <w:sz w:val="28"/>
          <w:szCs w:val="28"/>
        </w:rPr>
        <w:br/>
      </w:r>
      <w:r w:rsidRPr="00786610">
        <w:rPr>
          <w:bCs/>
          <w:color w:val="000000"/>
          <w:sz w:val="28"/>
          <w:szCs w:val="28"/>
        </w:rPr>
        <w:t>в трансграничном контексте</w:t>
      </w:r>
    </w:p>
    <w:p w14:paraId="73C39AED" w14:textId="77777777" w:rsidR="00786610" w:rsidRPr="00453CCE" w:rsidRDefault="00786610" w:rsidP="00786610">
      <w:pPr>
        <w:rPr>
          <w:b/>
          <w:color w:val="000000"/>
        </w:rPr>
      </w:pPr>
      <w:r>
        <w:rPr>
          <w:b/>
          <w:bCs/>
        </w:rPr>
        <w:t>Девятая сессия</w:t>
      </w:r>
    </w:p>
    <w:p w14:paraId="321B67C4" w14:textId="7386B4DB" w:rsidR="00786610" w:rsidRPr="00112D48" w:rsidRDefault="00786610" w:rsidP="00112D48">
      <w:pPr>
        <w:autoSpaceDE w:val="0"/>
        <w:autoSpaceDN w:val="0"/>
        <w:adjustRightInd w:val="0"/>
        <w:spacing w:before="120" w:after="120"/>
        <w:rPr>
          <w:color w:val="000000"/>
          <w:sz w:val="28"/>
          <w:szCs w:val="28"/>
        </w:rPr>
      </w:pPr>
      <w:r w:rsidRPr="00112D48">
        <w:rPr>
          <w:sz w:val="28"/>
          <w:szCs w:val="28"/>
        </w:rPr>
        <w:t xml:space="preserve">Совещание Сторон Конвенции об оценке </w:t>
      </w:r>
      <w:r w:rsidR="00112D48">
        <w:rPr>
          <w:sz w:val="28"/>
          <w:szCs w:val="28"/>
        </w:rPr>
        <w:br/>
      </w:r>
      <w:r w:rsidRPr="00112D48">
        <w:rPr>
          <w:sz w:val="28"/>
          <w:szCs w:val="28"/>
        </w:rPr>
        <w:t xml:space="preserve">воздействия на окружающую среду </w:t>
      </w:r>
      <w:r w:rsidR="00112D48">
        <w:rPr>
          <w:sz w:val="28"/>
          <w:szCs w:val="28"/>
        </w:rPr>
        <w:br/>
      </w:r>
      <w:r w:rsidRPr="00112D48">
        <w:rPr>
          <w:sz w:val="28"/>
          <w:szCs w:val="28"/>
        </w:rPr>
        <w:t xml:space="preserve">в трансграничном контексте, действующее </w:t>
      </w:r>
      <w:r w:rsidR="00112D48">
        <w:rPr>
          <w:sz w:val="28"/>
          <w:szCs w:val="28"/>
        </w:rPr>
        <w:br/>
      </w:r>
      <w:r w:rsidRPr="00112D48">
        <w:rPr>
          <w:sz w:val="28"/>
          <w:szCs w:val="28"/>
        </w:rPr>
        <w:t xml:space="preserve">в качестве Совещания Сторон Протокола </w:t>
      </w:r>
      <w:r w:rsidR="00112D48">
        <w:rPr>
          <w:sz w:val="28"/>
          <w:szCs w:val="28"/>
        </w:rPr>
        <w:br/>
      </w:r>
      <w:r w:rsidRPr="00112D48">
        <w:rPr>
          <w:sz w:val="28"/>
          <w:szCs w:val="28"/>
        </w:rPr>
        <w:t>по стратегической экологической оценке</w:t>
      </w:r>
    </w:p>
    <w:p w14:paraId="606892CF" w14:textId="77777777" w:rsidR="00786610" w:rsidRPr="00453CCE" w:rsidRDefault="00786610" w:rsidP="00786610">
      <w:pPr>
        <w:autoSpaceDE w:val="0"/>
        <w:autoSpaceDN w:val="0"/>
        <w:adjustRightInd w:val="0"/>
        <w:rPr>
          <w:b/>
          <w:color w:val="000000"/>
        </w:rPr>
      </w:pPr>
      <w:r>
        <w:rPr>
          <w:b/>
          <w:bCs/>
        </w:rPr>
        <w:t>Пятая сессия</w:t>
      </w:r>
    </w:p>
    <w:p w14:paraId="26D4E96A" w14:textId="61C1CECF" w:rsidR="00786610" w:rsidRPr="00453CCE" w:rsidRDefault="00786610" w:rsidP="00BA52C3">
      <w:pPr>
        <w:spacing w:before="120"/>
      </w:pPr>
      <w:r>
        <w:t>Женева, 12</w:t>
      </w:r>
      <w:r w:rsidRPr="00A729E2">
        <w:t>–</w:t>
      </w:r>
      <w:r>
        <w:t>15 декабря 2023 года</w:t>
      </w:r>
    </w:p>
    <w:p w14:paraId="510B55A8" w14:textId="77777777" w:rsidR="00786610" w:rsidRPr="00453CCE" w:rsidRDefault="00786610" w:rsidP="00BA52C3">
      <w:pPr>
        <w:autoSpaceDE w:val="0"/>
        <w:autoSpaceDN w:val="0"/>
        <w:adjustRightInd w:val="0"/>
        <w:spacing w:after="120"/>
      </w:pPr>
      <w:r w:rsidRPr="00C97484">
        <w:t xml:space="preserve">Пункты 3 b) и 8 </w:t>
      </w:r>
      <w:r>
        <w:rPr>
          <w:lang w:val="fr-CH"/>
        </w:rPr>
        <w:t>b</w:t>
      </w:r>
      <w:r w:rsidRPr="00C97484">
        <w:t>) предварительной повестки дня</w:t>
      </w:r>
    </w:p>
    <w:p w14:paraId="3AE1F92E" w14:textId="6327C60C" w:rsidR="00786610" w:rsidRPr="007821CF" w:rsidRDefault="00786610" w:rsidP="00BA52C3">
      <w:pPr>
        <w:spacing w:after="120"/>
        <w:rPr>
          <w:b/>
          <w:bCs/>
        </w:rPr>
      </w:pPr>
      <w:r>
        <w:rPr>
          <w:b/>
          <w:bCs/>
        </w:rPr>
        <w:t>Нерешенные</w:t>
      </w:r>
      <w:r w:rsidRPr="007821CF">
        <w:rPr>
          <w:b/>
          <w:bCs/>
        </w:rPr>
        <w:t xml:space="preserve"> </w:t>
      </w:r>
      <w:r>
        <w:rPr>
          <w:b/>
          <w:bCs/>
        </w:rPr>
        <w:t>вопросы</w:t>
      </w:r>
      <w:r w:rsidRPr="007821CF">
        <w:rPr>
          <w:b/>
          <w:bCs/>
        </w:rPr>
        <w:t xml:space="preserve">: </w:t>
      </w:r>
      <w:r>
        <w:rPr>
          <w:b/>
          <w:bCs/>
        </w:rPr>
        <w:t>проекты</w:t>
      </w:r>
      <w:r w:rsidRPr="007821CF">
        <w:rPr>
          <w:b/>
          <w:bCs/>
        </w:rPr>
        <w:t xml:space="preserve"> </w:t>
      </w:r>
      <w:r>
        <w:rPr>
          <w:b/>
          <w:bCs/>
        </w:rPr>
        <w:t>решений</w:t>
      </w:r>
      <w:r w:rsidRPr="007821CF">
        <w:rPr>
          <w:b/>
          <w:bCs/>
        </w:rPr>
        <w:t xml:space="preserve"> </w:t>
      </w:r>
      <w:r>
        <w:rPr>
          <w:b/>
          <w:bCs/>
        </w:rPr>
        <w:br/>
        <w:t>Совещания</w:t>
      </w:r>
      <w:r w:rsidRPr="007821CF">
        <w:rPr>
          <w:b/>
          <w:bCs/>
        </w:rPr>
        <w:t xml:space="preserve"> </w:t>
      </w:r>
      <w:r>
        <w:rPr>
          <w:b/>
          <w:bCs/>
        </w:rPr>
        <w:t>Сторон</w:t>
      </w:r>
      <w:r w:rsidRPr="007821CF">
        <w:rPr>
          <w:b/>
          <w:bCs/>
        </w:rPr>
        <w:t xml:space="preserve"> </w:t>
      </w:r>
      <w:r w:rsidRPr="007821CF">
        <w:rPr>
          <w:b/>
          <w:bCs/>
          <w:color w:val="333333"/>
          <w:shd w:val="clear" w:color="auto" w:fill="FFFFFF"/>
        </w:rPr>
        <w:t>Конвенции</w:t>
      </w:r>
    </w:p>
    <w:p w14:paraId="0A2129D0" w14:textId="07E594F4" w:rsidR="00786610" w:rsidRPr="00386988" w:rsidRDefault="00786610" w:rsidP="00786610">
      <w:pPr>
        <w:rPr>
          <w:b/>
          <w:bCs/>
        </w:rPr>
      </w:pPr>
      <w:r w:rsidRPr="00386988">
        <w:rPr>
          <w:b/>
          <w:bCs/>
        </w:rPr>
        <w:t>Утверждение решений: решени</w:t>
      </w:r>
      <w:r>
        <w:rPr>
          <w:b/>
          <w:bCs/>
        </w:rPr>
        <w:t xml:space="preserve">я, которые будут </w:t>
      </w:r>
      <w:r>
        <w:rPr>
          <w:b/>
          <w:bCs/>
        </w:rPr>
        <w:br/>
        <w:t>приняты</w:t>
      </w:r>
      <w:r w:rsidRPr="00386988">
        <w:rPr>
          <w:b/>
          <w:bCs/>
        </w:rPr>
        <w:t xml:space="preserve"> Совещани</w:t>
      </w:r>
      <w:r>
        <w:rPr>
          <w:b/>
          <w:bCs/>
        </w:rPr>
        <w:t>ем</w:t>
      </w:r>
      <w:r w:rsidRPr="00386988">
        <w:rPr>
          <w:b/>
          <w:bCs/>
        </w:rPr>
        <w:t xml:space="preserve"> Сторон Конвенции</w:t>
      </w:r>
    </w:p>
    <w:p w14:paraId="354DCAB5" w14:textId="77777777" w:rsidR="00786610" w:rsidRPr="00453CCE" w:rsidRDefault="00786610" w:rsidP="00786610">
      <w:pPr>
        <w:pStyle w:val="HChG"/>
      </w:pPr>
      <w:r w:rsidRPr="00386988">
        <w:tab/>
      </w:r>
      <w:r w:rsidRPr="00386988">
        <w:tab/>
      </w:r>
      <w:r w:rsidRPr="00386988">
        <w:tab/>
      </w:r>
      <w:r w:rsidRPr="00786610">
        <w:t>Проект</w:t>
      </w:r>
      <w:r>
        <w:t xml:space="preserve"> решения по общим вопросам соблюдения Конвенции</w:t>
      </w:r>
    </w:p>
    <w:p w14:paraId="046659CC" w14:textId="3DEF0FC8" w:rsidR="00786610" w:rsidRDefault="00786610" w:rsidP="00786610">
      <w:pPr>
        <w:pStyle w:val="H1G"/>
      </w:pPr>
      <w:r>
        <w:tab/>
      </w:r>
      <w:r>
        <w:tab/>
      </w:r>
      <w:r>
        <w:tab/>
      </w:r>
      <w:r w:rsidRPr="00786610">
        <w:t>Предложение</w:t>
      </w:r>
      <w:r>
        <w:t xml:space="preserve"> Комитета по осуществлению</w:t>
      </w:r>
    </w:p>
    <w:tbl>
      <w:tblPr>
        <w:tblStyle w:val="ac"/>
        <w:tblW w:w="0" w:type="auto"/>
        <w:jc w:val="center"/>
        <w:tblLook w:val="05E0" w:firstRow="1" w:lastRow="1" w:firstColumn="1" w:lastColumn="1" w:noHBand="0" w:noVBand="1"/>
      </w:tblPr>
      <w:tblGrid>
        <w:gridCol w:w="9628"/>
      </w:tblGrid>
      <w:tr w:rsidR="00786610" w:rsidRPr="00786610" w14:paraId="69F33C11" w14:textId="77777777" w:rsidTr="00850215">
        <w:trPr>
          <w:jc w:val="center"/>
        </w:trPr>
        <w:tc>
          <w:tcPr>
            <w:tcW w:w="9637" w:type="dxa"/>
            <w:tcBorders>
              <w:bottom w:val="nil"/>
            </w:tcBorders>
          </w:tcPr>
          <w:p w14:paraId="5260E30D" w14:textId="77777777" w:rsidR="00786610" w:rsidRPr="00786610" w:rsidRDefault="00786610" w:rsidP="00850215">
            <w:pPr>
              <w:tabs>
                <w:tab w:val="left" w:pos="255"/>
              </w:tabs>
              <w:spacing w:before="240" w:after="120"/>
              <w:rPr>
                <w:rFonts w:cs="Times New Roman"/>
                <w:sz w:val="24"/>
              </w:rPr>
            </w:pPr>
            <w:r w:rsidRPr="00786610">
              <w:rPr>
                <w:rFonts w:cs="Times New Roman"/>
              </w:rPr>
              <w:tab/>
            </w:r>
            <w:r w:rsidRPr="00786610">
              <w:rPr>
                <w:rFonts w:cs="Times New Roman"/>
                <w:i/>
                <w:sz w:val="24"/>
              </w:rPr>
              <w:t>Резюме</w:t>
            </w:r>
          </w:p>
        </w:tc>
      </w:tr>
      <w:tr w:rsidR="00786610" w:rsidRPr="00786610" w14:paraId="43A48BDF" w14:textId="77777777" w:rsidTr="00850215">
        <w:trPr>
          <w:jc w:val="center"/>
        </w:trPr>
        <w:tc>
          <w:tcPr>
            <w:tcW w:w="9637" w:type="dxa"/>
            <w:tcBorders>
              <w:top w:val="nil"/>
              <w:bottom w:val="nil"/>
            </w:tcBorders>
            <w:shd w:val="clear" w:color="auto" w:fill="auto"/>
          </w:tcPr>
          <w:p w14:paraId="335449EB" w14:textId="2BF60313" w:rsidR="00786610" w:rsidRPr="00786610" w:rsidRDefault="00786610" w:rsidP="00D6488B">
            <w:pPr>
              <w:pStyle w:val="SingleTxtG"/>
            </w:pPr>
            <w:r>
              <w:tab/>
              <w:t xml:space="preserve">Настоящий документ содержит проект решения IX/4 по общим вопросам соблюдения Конвенции. Он был доработан Комитетом по осуществлению Конвенции об оценке воздействия на окружающую среду в трансграничном контексте и Протокола по стратегической экологической оценке к ней на его пятьдесят седьмой сессии (Женева, 29 августа </w:t>
            </w:r>
            <w:r w:rsidR="00126F3A">
              <w:t>—</w:t>
            </w:r>
            <w:r>
              <w:t xml:space="preserve"> 1 сентября 2023 года) по итогам обращения к Рабочей группе по оценке воздействия на окружающую среду и стратегической экологической оценке о представлении замечаний на ее двенадцатом совещании (Женева, </w:t>
            </w:r>
            <w:r w:rsidR="00EA0E07">
              <w:br/>
            </w:r>
            <w:r>
              <w:t>13</w:t>
            </w:r>
            <w:r w:rsidR="00EA0E07">
              <w:t>–</w:t>
            </w:r>
            <w:r>
              <w:t>15</w:t>
            </w:r>
            <w:r w:rsidR="00EA0E07">
              <w:t> </w:t>
            </w:r>
            <w:r>
              <w:t>июня 2023 года).</w:t>
            </w:r>
          </w:p>
        </w:tc>
      </w:tr>
      <w:tr w:rsidR="00786610" w:rsidRPr="00786610" w14:paraId="663886D2" w14:textId="77777777" w:rsidTr="00850215">
        <w:trPr>
          <w:jc w:val="center"/>
        </w:trPr>
        <w:tc>
          <w:tcPr>
            <w:tcW w:w="9637" w:type="dxa"/>
            <w:tcBorders>
              <w:top w:val="nil"/>
              <w:bottom w:val="nil"/>
            </w:tcBorders>
            <w:shd w:val="clear" w:color="auto" w:fill="auto"/>
          </w:tcPr>
          <w:p w14:paraId="0B7A19B2" w14:textId="0EF13038" w:rsidR="00786610" w:rsidRPr="00786610" w:rsidRDefault="00786610" w:rsidP="00D6488B">
            <w:pPr>
              <w:pStyle w:val="SingleTxtG"/>
            </w:pPr>
            <w:r>
              <w:tab/>
              <w:t xml:space="preserve">Ожидается, что </w:t>
            </w:r>
            <w:r w:rsidRPr="00A53E63">
              <w:rPr>
                <w:color w:val="000000" w:themeColor="text1"/>
              </w:rPr>
              <w:t xml:space="preserve">Совещание </w:t>
            </w:r>
            <w:r w:rsidR="00A53E63" w:rsidRPr="00A53E63">
              <w:rPr>
                <w:color w:val="000000" w:themeColor="text1"/>
              </w:rPr>
              <w:t>С</w:t>
            </w:r>
            <w:r w:rsidRPr="00A53E63">
              <w:rPr>
                <w:color w:val="000000" w:themeColor="text1"/>
              </w:rPr>
              <w:t xml:space="preserve">торон </w:t>
            </w:r>
            <w:r>
              <w:t>Конвенции обсудит проект решения и примет решение о его принятии.</w:t>
            </w:r>
          </w:p>
        </w:tc>
      </w:tr>
      <w:tr w:rsidR="00786610" w:rsidRPr="00786610" w14:paraId="2349465D" w14:textId="77777777" w:rsidTr="00850215">
        <w:trPr>
          <w:jc w:val="center"/>
        </w:trPr>
        <w:tc>
          <w:tcPr>
            <w:tcW w:w="9637" w:type="dxa"/>
            <w:tcBorders>
              <w:top w:val="nil"/>
            </w:tcBorders>
          </w:tcPr>
          <w:p w14:paraId="1A96B923" w14:textId="77777777" w:rsidR="00786610" w:rsidRPr="00786610" w:rsidRDefault="00786610" w:rsidP="00850215">
            <w:pPr>
              <w:rPr>
                <w:rFonts w:cs="Times New Roman"/>
              </w:rPr>
            </w:pPr>
          </w:p>
        </w:tc>
      </w:tr>
    </w:tbl>
    <w:p w14:paraId="06D513E0" w14:textId="77777777" w:rsidR="00786610" w:rsidRPr="00453CCE" w:rsidRDefault="00786610" w:rsidP="00786610">
      <w:pPr>
        <w:spacing w:line="600" w:lineRule="auto"/>
      </w:pPr>
      <w:r w:rsidRPr="00453CCE">
        <w:br w:type="page"/>
      </w:r>
    </w:p>
    <w:p w14:paraId="3768227C" w14:textId="77777777" w:rsidR="00786610" w:rsidRPr="00453CCE" w:rsidRDefault="00786610" w:rsidP="00786610">
      <w:pPr>
        <w:pStyle w:val="HChG"/>
      </w:pPr>
      <w:r>
        <w:lastRenderedPageBreak/>
        <w:tab/>
      </w:r>
      <w:r>
        <w:tab/>
      </w:r>
      <w:r w:rsidRPr="00786610">
        <w:t>Решение</w:t>
      </w:r>
      <w:r>
        <w:t xml:space="preserve"> IX/4 </w:t>
      </w:r>
    </w:p>
    <w:p w14:paraId="30FFCC09" w14:textId="77777777" w:rsidR="00786610" w:rsidRPr="00453CCE" w:rsidRDefault="00786610" w:rsidP="00786610">
      <w:pPr>
        <w:pStyle w:val="H1G"/>
      </w:pPr>
      <w:r>
        <w:tab/>
      </w:r>
      <w:r>
        <w:tab/>
        <w:t xml:space="preserve">Общие </w:t>
      </w:r>
      <w:r w:rsidRPr="00786610">
        <w:t>вопросы</w:t>
      </w:r>
      <w:r>
        <w:t xml:space="preserve"> соблюдения Конвенции</w:t>
      </w:r>
    </w:p>
    <w:p w14:paraId="604338B4" w14:textId="77777777" w:rsidR="00786610" w:rsidRPr="009B5957" w:rsidRDefault="00786610" w:rsidP="00786610">
      <w:pPr>
        <w:pStyle w:val="SingleTxtG"/>
        <w:ind w:firstLine="567"/>
        <w:rPr>
          <w:i/>
          <w:iCs/>
        </w:rPr>
      </w:pPr>
      <w:r>
        <w:rPr>
          <w:i/>
          <w:iCs/>
        </w:rPr>
        <w:t>Совещание</w:t>
      </w:r>
      <w:r w:rsidRPr="009B5957">
        <w:rPr>
          <w:i/>
          <w:iCs/>
        </w:rPr>
        <w:t xml:space="preserve"> </w:t>
      </w:r>
      <w:r>
        <w:rPr>
          <w:i/>
          <w:iCs/>
        </w:rPr>
        <w:t>Сторон</w:t>
      </w:r>
      <w:r w:rsidRPr="009B5957">
        <w:rPr>
          <w:i/>
          <w:iCs/>
        </w:rPr>
        <w:t xml:space="preserve"> </w:t>
      </w:r>
      <w:r>
        <w:rPr>
          <w:i/>
          <w:iCs/>
        </w:rPr>
        <w:t>Конвенции</w:t>
      </w:r>
      <w:r w:rsidRPr="0022391F">
        <w:t>,</w:t>
      </w:r>
    </w:p>
    <w:p w14:paraId="0DE33D84" w14:textId="65E4E33C" w:rsidR="00786610" w:rsidRPr="00A53E63" w:rsidRDefault="00786610" w:rsidP="00786610">
      <w:pPr>
        <w:pStyle w:val="SingleTxtG"/>
        <w:ind w:firstLine="567"/>
        <w:rPr>
          <w:color w:val="000000" w:themeColor="text1"/>
        </w:rPr>
      </w:pPr>
      <w:r w:rsidRPr="00A53E63">
        <w:rPr>
          <w:i/>
          <w:iCs/>
          <w:color w:val="000000" w:themeColor="text1"/>
        </w:rPr>
        <w:t xml:space="preserve">ссылаясь </w:t>
      </w:r>
      <w:r w:rsidRPr="00A53E63">
        <w:rPr>
          <w:color w:val="000000" w:themeColor="text1"/>
        </w:rPr>
        <w:t>на пункт 2 статьи 11 и статью 14</w:t>
      </w:r>
      <w:r w:rsidR="0022391F" w:rsidRPr="00A53E63">
        <w:rPr>
          <w:color w:val="000000" w:themeColor="text1"/>
        </w:rPr>
        <w:t xml:space="preserve"> </w:t>
      </w:r>
      <w:r w:rsidR="0022391F" w:rsidRPr="00A53E63">
        <w:rPr>
          <w:color w:val="000000" w:themeColor="text1"/>
          <w:lang w:val="fr-CH"/>
        </w:rPr>
        <w:t>bis</w:t>
      </w:r>
      <w:r w:rsidRPr="00A53E63">
        <w:rPr>
          <w:color w:val="000000" w:themeColor="text1"/>
        </w:rPr>
        <w:t xml:space="preserve"> Конвенции об оценке воздействия на окружающую среду в трансграничном контексте,</w:t>
      </w:r>
    </w:p>
    <w:p w14:paraId="61BBA88C" w14:textId="511E9EE1" w:rsidR="00786610" w:rsidRPr="00A53E63" w:rsidRDefault="00786610" w:rsidP="00786610">
      <w:pPr>
        <w:pStyle w:val="SingleTxtG"/>
        <w:ind w:firstLine="567"/>
        <w:rPr>
          <w:color w:val="000000" w:themeColor="text1"/>
        </w:rPr>
      </w:pPr>
      <w:r w:rsidRPr="00A53E63">
        <w:rPr>
          <w:i/>
          <w:iCs/>
          <w:color w:val="000000" w:themeColor="text1"/>
        </w:rPr>
        <w:t>ссылаясь также</w:t>
      </w:r>
      <w:r w:rsidRPr="00A53E63">
        <w:rPr>
          <w:color w:val="000000" w:themeColor="text1"/>
        </w:rPr>
        <w:t xml:space="preserve"> на общие части решений </w:t>
      </w:r>
      <w:r w:rsidRPr="00A53E63">
        <w:rPr>
          <w:color w:val="000000" w:themeColor="text1"/>
          <w:lang w:val="en-US"/>
        </w:rPr>
        <w:t>III</w:t>
      </w:r>
      <w:r w:rsidRPr="00A53E63">
        <w:rPr>
          <w:color w:val="000000" w:themeColor="text1"/>
        </w:rPr>
        <w:t>/2</w:t>
      </w:r>
      <w:r w:rsidR="00BF418D" w:rsidRPr="00A53E63">
        <w:rPr>
          <w:color w:val="000000" w:themeColor="text1"/>
          <w:sz w:val="18"/>
          <w:vertAlign w:val="superscript"/>
        </w:rPr>
        <w:footnoteReference w:id="1"/>
      </w:r>
      <w:r w:rsidRPr="00A53E63">
        <w:rPr>
          <w:color w:val="000000" w:themeColor="text1"/>
        </w:rPr>
        <w:t xml:space="preserve">, </w:t>
      </w:r>
      <w:r w:rsidRPr="00A53E63">
        <w:rPr>
          <w:color w:val="000000" w:themeColor="text1"/>
          <w:lang w:val="en-US"/>
        </w:rPr>
        <w:t>IV</w:t>
      </w:r>
      <w:r w:rsidRPr="00A53E63">
        <w:rPr>
          <w:color w:val="000000" w:themeColor="text1"/>
        </w:rPr>
        <w:t>/2</w:t>
      </w:r>
      <w:r w:rsidR="00BF418D" w:rsidRPr="00A53E63">
        <w:rPr>
          <w:color w:val="000000" w:themeColor="text1"/>
          <w:sz w:val="18"/>
          <w:vertAlign w:val="superscript"/>
        </w:rPr>
        <w:footnoteReference w:id="2"/>
      </w:r>
      <w:r w:rsidRPr="00A53E63">
        <w:rPr>
          <w:color w:val="000000" w:themeColor="text1"/>
        </w:rPr>
        <w:t xml:space="preserve">, </w:t>
      </w:r>
      <w:r w:rsidRPr="00A53E63">
        <w:rPr>
          <w:color w:val="000000" w:themeColor="text1"/>
          <w:lang w:val="en-US"/>
        </w:rPr>
        <w:t>V</w:t>
      </w:r>
      <w:r w:rsidRPr="00A53E63">
        <w:rPr>
          <w:color w:val="000000" w:themeColor="text1"/>
        </w:rPr>
        <w:t>/4</w:t>
      </w:r>
      <w:r w:rsidRPr="00A53E63">
        <w:rPr>
          <w:color w:val="000000" w:themeColor="text1"/>
          <w:sz w:val="18"/>
          <w:vertAlign w:val="superscript"/>
        </w:rPr>
        <w:footnoteReference w:id="3"/>
      </w:r>
      <w:r w:rsidRPr="00A53E63">
        <w:rPr>
          <w:color w:val="000000" w:themeColor="text1"/>
        </w:rPr>
        <w:t xml:space="preserve"> и </w:t>
      </w:r>
      <w:r w:rsidRPr="00A53E63">
        <w:rPr>
          <w:color w:val="000000" w:themeColor="text1"/>
          <w:lang w:val="en-US"/>
        </w:rPr>
        <w:t>VI</w:t>
      </w:r>
      <w:r w:rsidRPr="00A53E63">
        <w:rPr>
          <w:color w:val="000000" w:themeColor="text1"/>
        </w:rPr>
        <w:t>/2</w:t>
      </w:r>
      <w:r w:rsidRPr="00A53E63">
        <w:rPr>
          <w:color w:val="000000" w:themeColor="text1"/>
          <w:sz w:val="18"/>
          <w:vertAlign w:val="superscript"/>
        </w:rPr>
        <w:footnoteReference w:id="4"/>
      </w:r>
      <w:r w:rsidRPr="00A53E63">
        <w:rPr>
          <w:color w:val="000000" w:themeColor="text1"/>
        </w:rPr>
        <w:t xml:space="preserve"> Совещания Сторон Конвенции, касающиеся рассмотрения соблюдения, и решения </w:t>
      </w:r>
      <w:r w:rsidRPr="00A53E63">
        <w:rPr>
          <w:color w:val="000000" w:themeColor="text1"/>
          <w:lang w:val="en-US"/>
        </w:rPr>
        <w:t>IS</w:t>
      </w:r>
      <w:r w:rsidRPr="00A53E63">
        <w:rPr>
          <w:color w:val="000000" w:themeColor="text1"/>
        </w:rPr>
        <w:t>/1</w:t>
      </w:r>
      <w:r w:rsidRPr="00A53E63">
        <w:rPr>
          <w:color w:val="000000" w:themeColor="text1"/>
          <w:sz w:val="18"/>
          <w:vertAlign w:val="superscript"/>
        </w:rPr>
        <w:footnoteReference w:id="5"/>
      </w:r>
      <w:r w:rsidRPr="00A53E63">
        <w:rPr>
          <w:color w:val="000000" w:themeColor="text1"/>
        </w:rPr>
        <w:t xml:space="preserve"> и </w:t>
      </w:r>
      <w:r w:rsidRPr="00A53E63">
        <w:rPr>
          <w:color w:val="000000" w:themeColor="text1"/>
          <w:lang w:val="en-US"/>
        </w:rPr>
        <w:t>VIII</w:t>
      </w:r>
      <w:r w:rsidRPr="00A53E63">
        <w:rPr>
          <w:color w:val="000000" w:themeColor="text1"/>
        </w:rPr>
        <w:t>/4</w:t>
      </w:r>
      <w:r w:rsidRPr="00A53E63">
        <w:rPr>
          <w:color w:val="000000" w:themeColor="text1"/>
          <w:sz w:val="18"/>
          <w:vertAlign w:val="superscript"/>
        </w:rPr>
        <w:footnoteReference w:id="6"/>
      </w:r>
      <w:r w:rsidRPr="00A53E63">
        <w:rPr>
          <w:color w:val="000000" w:themeColor="text1"/>
        </w:rPr>
        <w:t xml:space="preserve"> об общих вопросах соблюдения Конвенции,</w:t>
      </w:r>
    </w:p>
    <w:p w14:paraId="773DFA84" w14:textId="5A6450D9" w:rsidR="00786610" w:rsidRPr="00A53E63" w:rsidRDefault="00786610" w:rsidP="00786610">
      <w:pPr>
        <w:pStyle w:val="SingleTxtG"/>
        <w:ind w:firstLine="567"/>
        <w:rPr>
          <w:color w:val="000000" w:themeColor="text1"/>
        </w:rPr>
      </w:pPr>
      <w:r w:rsidRPr="00A53E63">
        <w:rPr>
          <w:i/>
          <w:iCs/>
          <w:color w:val="000000" w:themeColor="text1"/>
        </w:rPr>
        <w:t>будучи преисполнено решимости</w:t>
      </w:r>
      <w:r w:rsidRPr="00A53E63">
        <w:rPr>
          <w:color w:val="000000" w:themeColor="text1"/>
        </w:rPr>
        <w:t xml:space="preserve"> поощрять и совершенствовать соблюдение Конвенции, в том числе путем раннего выявления трудностей </w:t>
      </w:r>
      <w:r w:rsidRPr="00A53E63">
        <w:rPr>
          <w:color w:val="000000" w:themeColor="text1"/>
          <w:shd w:val="clear" w:color="auto" w:fill="FFFFFF"/>
        </w:rPr>
        <w:t>с соблюдением</w:t>
      </w:r>
      <w:r w:rsidRPr="00A53E63">
        <w:rPr>
          <w:color w:val="000000" w:themeColor="text1"/>
        </w:rPr>
        <w:t>, с</w:t>
      </w:r>
      <w:r w:rsidR="00340CF3" w:rsidRPr="00A53E63">
        <w:rPr>
          <w:color w:val="000000" w:themeColor="text1"/>
          <w:lang w:val="fr-CH"/>
        </w:rPr>
        <w:t> </w:t>
      </w:r>
      <w:r w:rsidRPr="00A53E63">
        <w:rPr>
          <w:color w:val="000000" w:themeColor="text1"/>
        </w:rPr>
        <w:t>которыми сталкиваются Стороны, и принимать приемлемые и эффективные решения для преодоления этих трудностей,</w:t>
      </w:r>
    </w:p>
    <w:p w14:paraId="1FC09D3B" w14:textId="77777777" w:rsidR="00786610" w:rsidRPr="00A53E63" w:rsidRDefault="00786610" w:rsidP="00786610">
      <w:pPr>
        <w:pStyle w:val="SingleTxtG"/>
        <w:ind w:firstLine="567"/>
        <w:rPr>
          <w:color w:val="000000" w:themeColor="text1"/>
        </w:rPr>
      </w:pPr>
      <w:r w:rsidRPr="00A53E63">
        <w:rPr>
          <w:i/>
          <w:iCs/>
          <w:color w:val="000000" w:themeColor="text1"/>
        </w:rPr>
        <w:t>сознавая</w:t>
      </w:r>
      <w:r w:rsidRPr="00A53E63">
        <w:rPr>
          <w:color w:val="000000" w:themeColor="text1"/>
        </w:rPr>
        <w:t xml:space="preserve"> возросшую рабочую нагрузку на Комитет по осуществлению при рассмотрении вопросов соблюдения и необходимость для Сторон усилить секретариатскую поддержку этой важной работы,</w:t>
      </w:r>
    </w:p>
    <w:p w14:paraId="3B5C9CE7" w14:textId="77777777" w:rsidR="00786610" w:rsidRPr="00A53E63" w:rsidRDefault="00786610" w:rsidP="00786610">
      <w:pPr>
        <w:pStyle w:val="SingleTxtG"/>
        <w:ind w:firstLine="567"/>
        <w:rPr>
          <w:color w:val="000000" w:themeColor="text1"/>
        </w:rPr>
      </w:pPr>
      <w:r w:rsidRPr="00A53E63">
        <w:rPr>
          <w:i/>
          <w:iCs/>
          <w:color w:val="000000" w:themeColor="text1"/>
        </w:rPr>
        <w:t>рассмотрев</w:t>
      </w:r>
      <w:r w:rsidRPr="00A53E63">
        <w:rPr>
          <w:color w:val="000000" w:themeColor="text1"/>
        </w:rPr>
        <w:t xml:space="preserve"> результаты анализа и рекомендации Комитета по осуществлению в связи с общими вопросами соблюдения, которые изложены в шестом обзоре осуществления Конвенции, содержащемся в документе ECE/MP.EIA/2020/8, утвержденном решением VII</w:t>
      </w:r>
      <w:r w:rsidRPr="00A53E63">
        <w:rPr>
          <w:color w:val="000000" w:themeColor="text1"/>
          <w:lang w:val="fr-CH"/>
        </w:rPr>
        <w:t>I</w:t>
      </w:r>
      <w:r w:rsidRPr="00A53E63">
        <w:rPr>
          <w:color w:val="000000" w:themeColor="text1"/>
        </w:rPr>
        <w:t>/5</w:t>
      </w:r>
      <w:r w:rsidRPr="00A53E63">
        <w:rPr>
          <w:color w:val="000000" w:themeColor="text1"/>
          <w:sz w:val="18"/>
          <w:vertAlign w:val="superscript"/>
        </w:rPr>
        <w:footnoteReference w:id="7"/>
      </w:r>
      <w:r w:rsidRPr="00A53E63">
        <w:rPr>
          <w:color w:val="000000" w:themeColor="text1"/>
        </w:rPr>
        <w:t>,</w:t>
      </w:r>
    </w:p>
    <w:p w14:paraId="6AFC13CC" w14:textId="77777777" w:rsidR="00786610" w:rsidRPr="00A53E63" w:rsidRDefault="00786610" w:rsidP="00786610">
      <w:pPr>
        <w:pStyle w:val="SingleTxtG"/>
        <w:ind w:firstLine="567"/>
        <w:rPr>
          <w:color w:val="000000" w:themeColor="text1"/>
        </w:rPr>
      </w:pPr>
      <w:r w:rsidRPr="00A53E63">
        <w:rPr>
          <w:i/>
          <w:iCs/>
          <w:color w:val="000000" w:themeColor="text1"/>
        </w:rPr>
        <w:t>рассмотрев</w:t>
      </w:r>
      <w:r w:rsidRPr="00A53E63">
        <w:rPr>
          <w:color w:val="000000" w:themeColor="text1"/>
        </w:rPr>
        <w:t xml:space="preserve"> </w:t>
      </w:r>
      <w:r w:rsidRPr="00A53E63">
        <w:rPr>
          <w:i/>
          <w:iCs/>
          <w:color w:val="000000" w:themeColor="text1"/>
        </w:rPr>
        <w:t>также</w:t>
      </w:r>
      <w:r w:rsidRPr="00A53E63">
        <w:rPr>
          <w:color w:val="000000" w:themeColor="text1"/>
        </w:rPr>
        <w:t xml:space="preserve"> выводы и рекомендации Комитета по осуществлению по трем представленным Комитету материалам, касающимся Албании</w:t>
      </w:r>
      <w:r w:rsidRPr="00A53E63">
        <w:rPr>
          <w:iCs/>
          <w:color w:val="000000" w:themeColor="text1"/>
          <w:sz w:val="18"/>
          <w:vertAlign w:val="superscript"/>
        </w:rPr>
        <w:footnoteReference w:id="8"/>
      </w:r>
      <w:r w:rsidRPr="00A53E63">
        <w:rPr>
          <w:color w:val="000000" w:themeColor="text1"/>
        </w:rPr>
        <w:t>, Боснии и Герцеговины</w:t>
      </w:r>
      <w:r w:rsidRPr="00A53E63">
        <w:rPr>
          <w:iCs/>
          <w:color w:val="000000" w:themeColor="text1"/>
          <w:sz w:val="18"/>
          <w:vertAlign w:val="superscript"/>
        </w:rPr>
        <w:footnoteReference w:id="9"/>
      </w:r>
      <w:r w:rsidRPr="00A53E63">
        <w:rPr>
          <w:color w:val="000000" w:themeColor="text1"/>
        </w:rPr>
        <w:t xml:space="preserve"> и Сербии</w:t>
      </w:r>
      <w:r w:rsidRPr="00A53E63">
        <w:rPr>
          <w:iCs/>
          <w:color w:val="000000" w:themeColor="text1"/>
          <w:sz w:val="18"/>
          <w:vertAlign w:val="superscript"/>
        </w:rPr>
        <w:footnoteReference w:id="10"/>
      </w:r>
      <w:r w:rsidRPr="00A53E63">
        <w:rPr>
          <w:color w:val="000000" w:themeColor="text1"/>
        </w:rPr>
        <w:t>, и четыре инициативы Комитета, касающиеся Беларуси</w:t>
      </w:r>
      <w:r w:rsidRPr="00A53E63">
        <w:rPr>
          <w:rStyle w:val="aa"/>
          <w:color w:val="000000" w:themeColor="text1"/>
          <w:lang w:val="en-US"/>
        </w:rPr>
        <w:footnoteReference w:id="11"/>
      </w:r>
      <w:r w:rsidRPr="00A53E63">
        <w:rPr>
          <w:color w:val="000000" w:themeColor="text1"/>
        </w:rPr>
        <w:t>, Бельгии</w:t>
      </w:r>
      <w:r w:rsidRPr="00A53E63">
        <w:rPr>
          <w:iCs/>
          <w:color w:val="000000" w:themeColor="text1"/>
          <w:sz w:val="18"/>
          <w:vertAlign w:val="superscript"/>
        </w:rPr>
        <w:footnoteReference w:id="12"/>
      </w:r>
      <w:r w:rsidRPr="00A53E63">
        <w:rPr>
          <w:color w:val="000000" w:themeColor="text1"/>
        </w:rPr>
        <w:t>, Болгарии</w:t>
      </w:r>
      <w:r w:rsidRPr="00A53E63">
        <w:rPr>
          <w:iCs/>
          <w:color w:val="000000" w:themeColor="text1"/>
          <w:sz w:val="18"/>
          <w:vertAlign w:val="superscript"/>
        </w:rPr>
        <w:footnoteReference w:id="13"/>
      </w:r>
      <w:r w:rsidRPr="00A53E63">
        <w:rPr>
          <w:color w:val="000000" w:themeColor="text1"/>
        </w:rPr>
        <w:t xml:space="preserve"> и Чехии</w:t>
      </w:r>
      <w:r w:rsidRPr="00A53E63">
        <w:rPr>
          <w:iCs/>
          <w:color w:val="000000" w:themeColor="text1"/>
          <w:sz w:val="18"/>
          <w:vertAlign w:val="superscript"/>
        </w:rPr>
        <w:footnoteReference w:id="14"/>
      </w:r>
      <w:r w:rsidRPr="00A53E63">
        <w:rPr>
          <w:color w:val="000000" w:themeColor="text1"/>
        </w:rPr>
        <w:t>,</w:t>
      </w:r>
    </w:p>
    <w:p w14:paraId="639056B1" w14:textId="7314585B" w:rsidR="00786610" w:rsidRPr="00A53E63" w:rsidRDefault="00786610" w:rsidP="00786610">
      <w:pPr>
        <w:pStyle w:val="SingleTxtG"/>
        <w:ind w:firstLine="567"/>
        <w:rPr>
          <w:color w:val="000000" w:themeColor="text1"/>
        </w:rPr>
      </w:pPr>
      <w:r w:rsidRPr="00A53E63">
        <w:rPr>
          <w:i/>
          <w:iCs/>
          <w:color w:val="000000" w:themeColor="text1"/>
        </w:rPr>
        <w:t>рассмотрев далее</w:t>
      </w:r>
      <w:r w:rsidRPr="00A53E63">
        <w:rPr>
          <w:color w:val="000000" w:themeColor="text1"/>
        </w:rPr>
        <w:t xml:space="preserve"> доклад о деятельности Комитета по осуществлению, представленный Совещанию Сторон Конвенции на его девятой сессии, и доклады Комитета о работе его сессий в период после завершения восьмой сессии Совещания Сторон (Вильнюс (в онлайн-формате), 8</w:t>
      </w:r>
      <w:r w:rsidR="00340CF3" w:rsidRPr="00A53E63">
        <w:rPr>
          <w:color w:val="000000" w:themeColor="text1"/>
        </w:rPr>
        <w:t>–</w:t>
      </w:r>
      <w:r w:rsidRPr="00A53E63">
        <w:rPr>
          <w:color w:val="000000" w:themeColor="text1"/>
        </w:rPr>
        <w:t>11 декабря 2020 года)</w:t>
      </w:r>
      <w:r w:rsidRPr="00A53E63">
        <w:rPr>
          <w:color w:val="000000" w:themeColor="text1"/>
          <w:sz w:val="18"/>
          <w:vertAlign w:val="superscript"/>
        </w:rPr>
        <w:footnoteReference w:id="15"/>
      </w:r>
      <w:r w:rsidRPr="00A53E63">
        <w:rPr>
          <w:color w:val="000000" w:themeColor="text1"/>
        </w:rPr>
        <w:t>,</w:t>
      </w:r>
    </w:p>
    <w:p w14:paraId="335ABF8F" w14:textId="77777777" w:rsidR="00786610" w:rsidRPr="00A53E63" w:rsidRDefault="00786610" w:rsidP="00786610">
      <w:pPr>
        <w:pStyle w:val="SingleTxtG"/>
        <w:ind w:firstLine="567"/>
        <w:rPr>
          <w:color w:val="000000" w:themeColor="text1"/>
        </w:rPr>
      </w:pPr>
      <w:r w:rsidRPr="00A53E63">
        <w:rPr>
          <w:i/>
          <w:iCs/>
          <w:color w:val="000000" w:themeColor="text1"/>
        </w:rPr>
        <w:t>рассмотрев</w:t>
      </w:r>
      <w:r w:rsidRPr="00A53E63">
        <w:rPr>
          <w:color w:val="000000" w:themeColor="text1"/>
        </w:rPr>
        <w:t xml:space="preserve"> структуру и функции Комитета</w:t>
      </w:r>
      <w:r w:rsidRPr="00A53E63">
        <w:rPr>
          <w:color w:val="000000" w:themeColor="text1"/>
          <w:sz w:val="18"/>
          <w:vertAlign w:val="superscript"/>
        </w:rPr>
        <w:footnoteReference w:id="16"/>
      </w:r>
      <w:r w:rsidRPr="00A53E63">
        <w:rPr>
          <w:color w:val="000000" w:themeColor="text1"/>
        </w:rPr>
        <w:t>, а также его рабочие правила</w:t>
      </w:r>
      <w:r w:rsidRPr="00A53E63">
        <w:rPr>
          <w:color w:val="000000" w:themeColor="text1"/>
          <w:sz w:val="18"/>
          <w:vertAlign w:val="superscript"/>
        </w:rPr>
        <w:footnoteReference w:id="17"/>
      </w:r>
      <w:r w:rsidRPr="00A53E63">
        <w:rPr>
          <w:color w:val="000000" w:themeColor="text1"/>
        </w:rPr>
        <w:t>,</w:t>
      </w:r>
    </w:p>
    <w:p w14:paraId="3B73A312" w14:textId="5BF4B691" w:rsidR="00786610" w:rsidRPr="00A53E63" w:rsidRDefault="00786610" w:rsidP="00786610">
      <w:pPr>
        <w:pStyle w:val="SingleTxtG"/>
        <w:ind w:firstLine="567"/>
        <w:rPr>
          <w:color w:val="000000" w:themeColor="text1"/>
        </w:rPr>
      </w:pPr>
      <w:r w:rsidRPr="00A53E63">
        <w:rPr>
          <w:i/>
          <w:iCs/>
          <w:color w:val="000000" w:themeColor="text1"/>
        </w:rPr>
        <w:t>признавая</w:t>
      </w:r>
      <w:r w:rsidRPr="00A53E63">
        <w:rPr>
          <w:color w:val="000000" w:themeColor="text1"/>
        </w:rPr>
        <w:t xml:space="preserve"> важность обновления и повышения эффективности методов работы Комитета, с тем чтобы он мог продолжать эффективно выполнять свой мандат с учетом рост</w:t>
      </w:r>
      <w:r w:rsidR="00340CF3" w:rsidRPr="00A53E63">
        <w:rPr>
          <w:color w:val="000000" w:themeColor="text1"/>
        </w:rPr>
        <w:t>а</w:t>
      </w:r>
      <w:r w:rsidRPr="00A53E63">
        <w:rPr>
          <w:color w:val="000000" w:themeColor="text1"/>
        </w:rPr>
        <w:t xml:space="preserve"> количества, сложности и сферы охвата рассматриваемых Комитетом вопросов соблюдения, в частности связанных с атомными электростанциями,</w:t>
      </w:r>
    </w:p>
    <w:p w14:paraId="5E43C660" w14:textId="77777777" w:rsidR="00786610" w:rsidRPr="00A53E63" w:rsidRDefault="00786610" w:rsidP="00786610">
      <w:pPr>
        <w:pStyle w:val="SingleTxtG"/>
        <w:ind w:firstLine="567"/>
        <w:rPr>
          <w:color w:val="000000" w:themeColor="text1"/>
        </w:rPr>
      </w:pPr>
      <w:r w:rsidRPr="00A53E63">
        <w:rPr>
          <w:i/>
          <w:iCs/>
          <w:color w:val="000000" w:themeColor="text1"/>
        </w:rPr>
        <w:t>рассмотрев</w:t>
      </w:r>
      <w:r w:rsidRPr="00A53E63">
        <w:rPr>
          <w:color w:val="000000" w:themeColor="text1"/>
        </w:rPr>
        <w:t xml:space="preserve"> мнения Комитета</w:t>
      </w:r>
      <w:r w:rsidRPr="00A53E63">
        <w:rPr>
          <w:color w:val="000000" w:themeColor="text1"/>
          <w:sz w:val="18"/>
          <w:vertAlign w:val="superscript"/>
        </w:rPr>
        <w:footnoteReference w:id="18"/>
      </w:r>
      <w:r w:rsidRPr="00A53E63">
        <w:rPr>
          <w:color w:val="000000" w:themeColor="text1"/>
        </w:rPr>
        <w:t>,</w:t>
      </w:r>
    </w:p>
    <w:p w14:paraId="691E2CBC" w14:textId="77777777" w:rsidR="00786610" w:rsidRPr="00A53E63" w:rsidRDefault="00786610" w:rsidP="00786610">
      <w:pPr>
        <w:pStyle w:val="SingleTxtG"/>
        <w:ind w:firstLine="567"/>
        <w:rPr>
          <w:color w:val="000000" w:themeColor="text1"/>
          <w:vertAlign w:val="superscript"/>
        </w:rPr>
      </w:pPr>
      <w:r w:rsidRPr="00A53E63">
        <w:rPr>
          <w:i/>
          <w:iCs/>
          <w:color w:val="000000" w:themeColor="text1"/>
        </w:rPr>
        <w:t>признавая</w:t>
      </w:r>
      <w:r w:rsidRPr="00A53E63">
        <w:rPr>
          <w:color w:val="000000" w:themeColor="text1"/>
        </w:rPr>
        <w:t xml:space="preserve"> важность неукоснительного представления Сторонами отчетности о соблюдении ими Конвенции и принимая к сведению седьмой обзор осуществления Конвенции на основе ответов Сторон на вопросники по осуществлению Конвенции, утвержденный решением IX/5</w:t>
      </w:r>
      <w:r w:rsidRPr="00A53E63">
        <w:rPr>
          <w:color w:val="000000" w:themeColor="text1"/>
          <w:sz w:val="18"/>
          <w:vertAlign w:val="superscript"/>
        </w:rPr>
        <w:footnoteReference w:id="19"/>
      </w:r>
      <w:r w:rsidRPr="00A53E63">
        <w:rPr>
          <w:color w:val="000000" w:themeColor="text1"/>
        </w:rPr>
        <w:t>,</w:t>
      </w:r>
    </w:p>
    <w:p w14:paraId="45A71CA9" w14:textId="77777777" w:rsidR="00786610" w:rsidRPr="00A53E63" w:rsidRDefault="00786610" w:rsidP="00786610">
      <w:pPr>
        <w:pStyle w:val="SingleTxtG"/>
        <w:ind w:firstLine="567"/>
        <w:rPr>
          <w:color w:val="000000" w:themeColor="text1"/>
        </w:rPr>
      </w:pPr>
      <w:r w:rsidRPr="00A53E63">
        <w:rPr>
          <w:i/>
          <w:iCs/>
          <w:color w:val="000000" w:themeColor="text1"/>
        </w:rPr>
        <w:t>напоминая</w:t>
      </w:r>
      <w:r w:rsidRPr="00A53E63">
        <w:rPr>
          <w:color w:val="000000" w:themeColor="text1"/>
        </w:rPr>
        <w:t>, что процедура соблюдения ориентирована на оказание помощи и что Стороны могут направлять Комитету представления по вопросам, касающимся соблюдения Конвенции ими самими,</w:t>
      </w:r>
    </w:p>
    <w:p w14:paraId="37035C9B" w14:textId="77777777" w:rsidR="00786610" w:rsidRPr="00A53E63" w:rsidRDefault="00786610" w:rsidP="00786610">
      <w:pPr>
        <w:pStyle w:val="SingleTxtG"/>
        <w:ind w:firstLine="567"/>
        <w:rPr>
          <w:color w:val="000000" w:themeColor="text1"/>
        </w:rPr>
      </w:pPr>
      <w:bookmarkStart w:id="0" w:name="_Hlk35369505"/>
      <w:r w:rsidRPr="00A53E63">
        <w:rPr>
          <w:i/>
          <w:iCs/>
          <w:color w:val="000000" w:themeColor="text1"/>
        </w:rPr>
        <w:t>отмечая</w:t>
      </w:r>
      <w:r w:rsidRPr="00A53E63">
        <w:rPr>
          <w:color w:val="000000" w:themeColor="text1"/>
        </w:rPr>
        <w:t xml:space="preserve">, что несколько вопросов соблюдения, рассмотренных Комитетом, затрагивали пробелы в национальном законодательстве соответствующих Сторон в отношении осуществления Конвенции или указали на них, </w:t>
      </w:r>
    </w:p>
    <w:p w14:paraId="17047EA7" w14:textId="77777777" w:rsidR="00786610" w:rsidRPr="00A53E63" w:rsidRDefault="00786610" w:rsidP="00786610">
      <w:pPr>
        <w:pStyle w:val="SingleTxtG"/>
        <w:ind w:firstLine="567"/>
        <w:rPr>
          <w:color w:val="000000" w:themeColor="text1"/>
        </w:rPr>
      </w:pPr>
      <w:r w:rsidRPr="00A53E63">
        <w:rPr>
          <w:i/>
          <w:iCs/>
          <w:color w:val="000000" w:themeColor="text1"/>
        </w:rPr>
        <w:t>выражая признательность</w:t>
      </w:r>
      <w:r w:rsidRPr="00A53E63">
        <w:rPr>
          <w:color w:val="000000" w:themeColor="text1"/>
        </w:rPr>
        <w:t xml:space="preserve"> секретариату за его давнюю финансируемую донорами техническую помощь странам Восточной Европы, Кавказа и Центральной Азии по приведению их законодательства в соответствие с Конвенцией и призывая страны, получающие эту помощь, привести свое законодательство в полное соответствие с Конвенцией и Протоколом по стратегической экологической оценке к ней и, если они еще не являются их Сторонами, ратифицировать их,</w:t>
      </w:r>
    </w:p>
    <w:bookmarkEnd w:id="0"/>
    <w:p w14:paraId="227B8611" w14:textId="2FFFFEFF" w:rsidR="00786610" w:rsidRPr="00A53E63" w:rsidRDefault="00786610" w:rsidP="00786610">
      <w:pPr>
        <w:pStyle w:val="SingleTxtG"/>
        <w:ind w:firstLine="567"/>
        <w:rPr>
          <w:color w:val="000000" w:themeColor="text1"/>
        </w:rPr>
      </w:pPr>
      <w:r w:rsidRPr="00A53E63">
        <w:rPr>
          <w:color w:val="000000" w:themeColor="text1"/>
        </w:rPr>
        <w:t>1.</w:t>
      </w:r>
      <w:r w:rsidRPr="00A53E63">
        <w:rPr>
          <w:color w:val="000000" w:themeColor="text1"/>
        </w:rPr>
        <w:tab/>
      </w:r>
      <w:r w:rsidRPr="00A53E63">
        <w:rPr>
          <w:i/>
          <w:iCs/>
          <w:color w:val="000000" w:themeColor="text1"/>
        </w:rPr>
        <w:t>утверждает</w:t>
      </w:r>
      <w:r w:rsidRPr="00A53E63">
        <w:rPr>
          <w:color w:val="000000" w:themeColor="text1"/>
        </w:rPr>
        <w:t xml:space="preserve"> доклад Комитета по осуществлению своей деятельности, содержащийся в документе ECE/MP.EIA/2023/13</w:t>
      </w:r>
      <w:r w:rsidR="00340CF3" w:rsidRPr="00A53E63">
        <w:rPr>
          <w:color w:val="000000" w:themeColor="text1"/>
        </w:rPr>
        <w:t>–</w:t>
      </w:r>
      <w:r w:rsidRPr="00A53E63">
        <w:rPr>
          <w:color w:val="000000" w:themeColor="text1"/>
        </w:rPr>
        <w:t>ECE/MP.EIA/SEA/2023/13</w:t>
      </w:r>
      <w:r w:rsidRPr="00A53E63">
        <w:rPr>
          <w:rStyle w:val="aa"/>
          <w:color w:val="000000" w:themeColor="text1"/>
        </w:rPr>
        <w:footnoteReference w:id="20"/>
      </w:r>
      <w:r w:rsidRPr="00A53E63">
        <w:rPr>
          <w:color w:val="000000" w:themeColor="text1"/>
        </w:rPr>
        <w:t>, приветствует доклады Комитета о работе его сессий в период после завершения восьмой сессии Совещания Сторон Конвенции и просит Комитет продолжать:</w:t>
      </w:r>
    </w:p>
    <w:p w14:paraId="77D2F2E5" w14:textId="77777777" w:rsidR="00786610" w:rsidRPr="00A53E63" w:rsidRDefault="00786610" w:rsidP="00786610">
      <w:pPr>
        <w:pStyle w:val="SingleTxtG"/>
        <w:ind w:firstLine="567"/>
        <w:rPr>
          <w:color w:val="000000" w:themeColor="text1"/>
        </w:rPr>
      </w:pPr>
      <w:r w:rsidRPr="00A53E63">
        <w:rPr>
          <w:color w:val="000000" w:themeColor="text1"/>
        </w:rPr>
        <w:t>a)</w:t>
      </w:r>
      <w:r w:rsidRPr="00A53E63">
        <w:rPr>
          <w:color w:val="000000" w:themeColor="text1"/>
        </w:rPr>
        <w:tab/>
        <w:t>проводить рассмотрение вопросов осуществления и применения Конвенции;</w:t>
      </w:r>
    </w:p>
    <w:p w14:paraId="72BD2849" w14:textId="77777777" w:rsidR="00786610" w:rsidRPr="00A53E63" w:rsidRDefault="00786610" w:rsidP="00786610">
      <w:pPr>
        <w:pStyle w:val="SingleTxtG"/>
        <w:ind w:firstLine="567"/>
        <w:rPr>
          <w:color w:val="000000" w:themeColor="text1"/>
        </w:rPr>
      </w:pPr>
      <w:r w:rsidRPr="00A53E63">
        <w:rPr>
          <w:color w:val="000000" w:themeColor="text1"/>
        </w:rPr>
        <w:t>b)</w:t>
      </w:r>
      <w:r w:rsidRPr="00A53E63">
        <w:rPr>
          <w:color w:val="000000" w:themeColor="text1"/>
        </w:rPr>
        <w:tab/>
        <w:t>поощрять и поддерживать соблюдение Конвенции, в том числе, при необходимости, путем предоставления помощи в этой связи;</w:t>
      </w:r>
    </w:p>
    <w:p w14:paraId="5DBF6457" w14:textId="77777777" w:rsidR="00786610" w:rsidRPr="00A53E63" w:rsidRDefault="00786610" w:rsidP="00786610">
      <w:pPr>
        <w:pStyle w:val="SingleTxtG"/>
        <w:ind w:firstLine="567"/>
        <w:rPr>
          <w:color w:val="000000" w:themeColor="text1"/>
        </w:rPr>
      </w:pPr>
      <w:r w:rsidRPr="00A53E63">
        <w:rPr>
          <w:color w:val="000000" w:themeColor="text1"/>
        </w:rPr>
        <w:t>2.</w:t>
      </w:r>
      <w:r w:rsidRPr="00A53E63">
        <w:rPr>
          <w:color w:val="000000" w:themeColor="text1"/>
        </w:rPr>
        <w:tab/>
      </w:r>
      <w:r w:rsidRPr="00A53E63">
        <w:rPr>
          <w:i/>
          <w:iCs/>
          <w:color w:val="000000" w:themeColor="text1"/>
        </w:rPr>
        <w:t>приветствует</w:t>
      </w:r>
      <w:r w:rsidRPr="00A53E63">
        <w:rPr>
          <w:color w:val="000000" w:themeColor="text1"/>
        </w:rPr>
        <w:t xml:space="preserve"> последующие меры Комитета в связи с принятыми ранее решениями Совещания Сторон в отношении соблюдения отдельными Сторонами обязательств, вытекающих из Конвенции, которые отражены в решениях </w:t>
      </w:r>
      <w:r w:rsidRPr="00A53E63">
        <w:rPr>
          <w:color w:val="000000" w:themeColor="text1"/>
          <w:lang w:val="fr-CH"/>
        </w:rPr>
        <w:t>IX</w:t>
      </w:r>
      <w:r w:rsidRPr="00A53E63">
        <w:rPr>
          <w:color w:val="000000" w:themeColor="text1"/>
        </w:rPr>
        <w:t>/4</w:t>
      </w:r>
      <w:r w:rsidRPr="00A53E63">
        <w:rPr>
          <w:color w:val="000000" w:themeColor="text1"/>
          <w:lang w:val="fr-CH"/>
        </w:rPr>
        <w:t>b</w:t>
      </w:r>
      <w:r w:rsidRPr="00A53E63">
        <w:rPr>
          <w:color w:val="000000" w:themeColor="text1"/>
        </w:rPr>
        <w:t>–</w:t>
      </w:r>
      <w:r w:rsidRPr="00A53E63">
        <w:rPr>
          <w:color w:val="000000" w:themeColor="text1"/>
          <w:lang w:val="fr-CH"/>
        </w:rPr>
        <w:t>V</w:t>
      </w:r>
      <w:r w:rsidRPr="00A53E63">
        <w:rPr>
          <w:color w:val="000000" w:themeColor="text1"/>
        </w:rPr>
        <w:t>/4</w:t>
      </w:r>
      <w:r w:rsidRPr="00A53E63">
        <w:rPr>
          <w:color w:val="000000" w:themeColor="text1"/>
          <w:lang w:val="fr-CH"/>
        </w:rPr>
        <w:t>b</w:t>
      </w:r>
      <w:r w:rsidRPr="00A53E63">
        <w:rPr>
          <w:color w:val="000000" w:themeColor="text1"/>
        </w:rPr>
        <w:t xml:space="preserve"> по Армении, IX/4d по Азербайджану, IX/4e по Беларуси, а также </w:t>
      </w:r>
      <w:r w:rsidRPr="00A53E63">
        <w:rPr>
          <w:color w:val="000000" w:themeColor="text1"/>
          <w:lang w:val="en-US"/>
        </w:rPr>
        <w:t>IX</w:t>
      </w:r>
      <w:r w:rsidRPr="00A53E63">
        <w:rPr>
          <w:color w:val="000000" w:themeColor="text1"/>
        </w:rPr>
        <w:t>/4</w:t>
      </w:r>
      <w:r w:rsidRPr="00A53E63">
        <w:rPr>
          <w:color w:val="000000" w:themeColor="text1"/>
          <w:lang w:val="en-US"/>
        </w:rPr>
        <w:t>k</w:t>
      </w:r>
      <w:r w:rsidRPr="00A53E63">
        <w:rPr>
          <w:color w:val="000000" w:themeColor="text1"/>
        </w:rPr>
        <w:t xml:space="preserve"> и </w:t>
      </w:r>
      <w:r w:rsidRPr="00A53E63">
        <w:rPr>
          <w:color w:val="000000" w:themeColor="text1"/>
          <w:lang w:val="en-US"/>
        </w:rPr>
        <w:t>IX</w:t>
      </w:r>
      <w:r w:rsidRPr="00A53E63">
        <w:rPr>
          <w:color w:val="000000" w:themeColor="text1"/>
        </w:rPr>
        <w:t>/4</w:t>
      </w:r>
      <w:r w:rsidRPr="00A53E63">
        <w:rPr>
          <w:color w:val="000000" w:themeColor="text1"/>
          <w:lang w:val="en-US"/>
        </w:rPr>
        <w:t>l</w:t>
      </w:r>
      <w:r w:rsidRPr="00A53E63">
        <w:rPr>
          <w:color w:val="000000" w:themeColor="text1"/>
        </w:rPr>
        <w:t xml:space="preserve"> по Украине, которые были приняты Совещанием Сторон на его девятой сессии;</w:t>
      </w:r>
    </w:p>
    <w:p w14:paraId="12794622" w14:textId="77777777" w:rsidR="00786610" w:rsidRPr="00A53E63" w:rsidRDefault="00786610" w:rsidP="00786610">
      <w:pPr>
        <w:pStyle w:val="SingleTxtG"/>
        <w:ind w:firstLine="567"/>
        <w:rPr>
          <w:color w:val="000000" w:themeColor="text1"/>
        </w:rPr>
      </w:pPr>
      <w:r w:rsidRPr="00A53E63">
        <w:rPr>
          <w:color w:val="000000" w:themeColor="text1"/>
        </w:rPr>
        <w:t>3.</w:t>
      </w:r>
      <w:r w:rsidRPr="00A53E63">
        <w:rPr>
          <w:color w:val="000000" w:themeColor="text1"/>
        </w:rPr>
        <w:tab/>
      </w:r>
      <w:r w:rsidRPr="00A53E63">
        <w:rPr>
          <w:i/>
          <w:iCs/>
          <w:color w:val="000000" w:themeColor="text1"/>
        </w:rPr>
        <w:t>приветствует также</w:t>
      </w:r>
      <w:r w:rsidRPr="00A53E63">
        <w:rPr>
          <w:color w:val="000000" w:themeColor="text1"/>
        </w:rPr>
        <w:t xml:space="preserve"> рассмотрение Комитетом конкретных вопросов соблюдения, выявленных в ходе шестого обзора осуществления Конвенции в отношении:</w:t>
      </w:r>
    </w:p>
    <w:p w14:paraId="518448BD" w14:textId="77777777" w:rsidR="00786610" w:rsidRPr="00A53E63" w:rsidRDefault="00786610" w:rsidP="00786610">
      <w:pPr>
        <w:pStyle w:val="SingleTxtG"/>
        <w:ind w:firstLine="567"/>
        <w:rPr>
          <w:color w:val="000000" w:themeColor="text1"/>
        </w:rPr>
      </w:pPr>
      <w:r w:rsidRPr="00A53E63">
        <w:rPr>
          <w:color w:val="000000" w:themeColor="text1"/>
        </w:rPr>
        <w:t>a)</w:t>
      </w:r>
      <w:r w:rsidRPr="00A53E63">
        <w:rPr>
          <w:color w:val="000000" w:themeColor="text1"/>
        </w:rPr>
        <w:tab/>
        <w:t xml:space="preserve">Азербайджана, Бельгии, Боснии и Герцеговины, Дании, Испании, Казахстана, Латвии, Республики Молдова, Соединенного Королевства Великобритании и Северной Ирландии, Финляндии, Хорватии и Швейцарии, по итогам которого Комитет заявил о своем удовлетворении пояснениями, представленными Сторонами; </w:t>
      </w:r>
    </w:p>
    <w:p w14:paraId="5AE751F3" w14:textId="77777777" w:rsidR="00786610" w:rsidRPr="00A53E63" w:rsidRDefault="00786610" w:rsidP="00786610">
      <w:pPr>
        <w:pStyle w:val="SingleTxtG"/>
        <w:ind w:firstLine="567"/>
        <w:rPr>
          <w:color w:val="000000" w:themeColor="text1"/>
        </w:rPr>
      </w:pPr>
      <w:r w:rsidRPr="00A53E63">
        <w:rPr>
          <w:color w:val="000000" w:themeColor="text1"/>
        </w:rPr>
        <w:t>b)</w:t>
      </w:r>
      <w:r w:rsidRPr="00A53E63">
        <w:rPr>
          <w:color w:val="000000" w:themeColor="text1"/>
        </w:rPr>
        <w:tab/>
        <w:t>Кыргызстана, который, к сожалению, при отсутствии какого-либо ответа этой заинтересованной стороны, станет предметом рассмотрения Комитетом на его ближайших сессиях;</w:t>
      </w:r>
    </w:p>
    <w:p w14:paraId="773FC891" w14:textId="77777777" w:rsidR="00786610" w:rsidRPr="00A53E63" w:rsidRDefault="00786610" w:rsidP="00786610">
      <w:pPr>
        <w:pStyle w:val="SingleTxtG"/>
        <w:ind w:firstLine="567"/>
        <w:rPr>
          <w:color w:val="000000" w:themeColor="text1"/>
        </w:rPr>
      </w:pPr>
      <w:r w:rsidRPr="00A53E63">
        <w:rPr>
          <w:color w:val="000000" w:themeColor="text1"/>
        </w:rPr>
        <w:t>4.</w:t>
      </w:r>
      <w:r w:rsidRPr="00A53E63">
        <w:rPr>
          <w:color w:val="000000" w:themeColor="text1"/>
        </w:rPr>
        <w:tab/>
      </w:r>
      <w:r w:rsidRPr="00A53E63">
        <w:rPr>
          <w:i/>
          <w:iCs/>
          <w:color w:val="000000" w:themeColor="text1"/>
        </w:rPr>
        <w:t>принимает к сведению</w:t>
      </w:r>
      <w:r w:rsidRPr="00A53E63">
        <w:rPr>
          <w:color w:val="000000" w:themeColor="text1"/>
        </w:rPr>
        <w:t xml:space="preserve"> инициированное Беларусью в апреле 2023 года представление, по которому Комитетом потребуется провести дальнейшее рассмотрение на его следующих сессиях;</w:t>
      </w:r>
    </w:p>
    <w:p w14:paraId="64FE5517" w14:textId="77777777" w:rsidR="00786610" w:rsidRPr="00A53E63" w:rsidRDefault="00786610" w:rsidP="00786610">
      <w:pPr>
        <w:pStyle w:val="SingleTxtG"/>
        <w:ind w:firstLine="567"/>
        <w:rPr>
          <w:color w:val="000000" w:themeColor="text1"/>
        </w:rPr>
      </w:pPr>
      <w:r w:rsidRPr="00A53E63">
        <w:rPr>
          <w:color w:val="000000" w:themeColor="text1"/>
        </w:rPr>
        <w:t>5.</w:t>
      </w:r>
      <w:r w:rsidRPr="00A53E63">
        <w:rPr>
          <w:color w:val="000000" w:themeColor="text1"/>
        </w:rPr>
        <w:tab/>
      </w:r>
      <w:r w:rsidRPr="00A53E63">
        <w:rPr>
          <w:i/>
          <w:iCs/>
          <w:color w:val="000000" w:themeColor="text1"/>
        </w:rPr>
        <w:t>приветствует</w:t>
      </w:r>
      <w:r w:rsidRPr="00A53E63">
        <w:rPr>
          <w:color w:val="000000" w:themeColor="text1"/>
        </w:rPr>
        <w:t xml:space="preserve"> рассмотрение Комитетом информации, полученной из других источников, включая общественность, в отношении Беларуси, Бельгии, Болгарии (по двум вопросам), Боснии и Герцеговины (по трем вопросам), Германии, Дании, Испании, Нидерландов, Северной Македонии, Сербии, Украины (по трем вопросам), Франции, Чехии и Швейцарии, по итогам которого: </w:t>
      </w:r>
    </w:p>
    <w:p w14:paraId="0C133B49" w14:textId="77777777" w:rsidR="00786610" w:rsidRPr="00A53E63" w:rsidRDefault="00786610" w:rsidP="00786610">
      <w:pPr>
        <w:pStyle w:val="SingleTxtG"/>
        <w:ind w:firstLine="567"/>
        <w:rPr>
          <w:color w:val="000000" w:themeColor="text1"/>
        </w:rPr>
      </w:pPr>
      <w:r w:rsidRPr="00A53E63">
        <w:rPr>
          <w:color w:val="000000" w:themeColor="text1"/>
        </w:rPr>
        <w:t>a)</w:t>
      </w:r>
      <w:r w:rsidRPr="00A53E63">
        <w:rPr>
          <w:color w:val="000000" w:themeColor="text1"/>
        </w:rPr>
        <w:tab/>
        <w:t>в двух случаях в отношении Боснии и Герцеговины, одном случае в отношении Дании, одном случае в отношении Нидерландов, одном случае в отношении Испании и одном случае в отношении Швейцарии Комитет заявил о своем удовлетворении пояснениями, представленными на тот момент соответствующими Сторонами</w:t>
      </w:r>
      <w:r w:rsidRPr="00A53E63">
        <w:rPr>
          <w:color w:val="000000" w:themeColor="text1"/>
          <w:sz w:val="18"/>
          <w:vertAlign w:val="superscript"/>
        </w:rPr>
        <w:footnoteReference w:id="21"/>
      </w:r>
      <w:r w:rsidRPr="00A53E63">
        <w:rPr>
          <w:color w:val="000000" w:themeColor="text1"/>
        </w:rPr>
        <w:t>;</w:t>
      </w:r>
    </w:p>
    <w:p w14:paraId="58D61085" w14:textId="77777777" w:rsidR="00786610" w:rsidRPr="00A53E63" w:rsidRDefault="00786610" w:rsidP="00786610">
      <w:pPr>
        <w:pStyle w:val="SingleTxtG"/>
        <w:ind w:firstLine="567"/>
        <w:rPr>
          <w:color w:val="000000" w:themeColor="text1"/>
        </w:rPr>
      </w:pPr>
      <w:r w:rsidRPr="00A53E63">
        <w:rPr>
          <w:color w:val="000000" w:themeColor="text1"/>
        </w:rPr>
        <w:t>b)</w:t>
      </w:r>
      <w:r w:rsidRPr="00A53E63">
        <w:rPr>
          <w:color w:val="000000" w:themeColor="text1"/>
        </w:rPr>
        <w:tab/>
        <w:t>в одном случае в отношении Боснии и Герцеговины</w:t>
      </w:r>
      <w:r w:rsidRPr="00A53E63">
        <w:rPr>
          <w:color w:val="000000" w:themeColor="text1"/>
          <w:sz w:val="18"/>
          <w:vertAlign w:val="superscript"/>
        </w:rPr>
        <w:footnoteReference w:id="22"/>
      </w:r>
      <w:r w:rsidRPr="00A53E63">
        <w:rPr>
          <w:color w:val="000000" w:themeColor="text1"/>
        </w:rPr>
        <w:t xml:space="preserve"> и в одном случае в отношении Сербии</w:t>
      </w:r>
      <w:r w:rsidRPr="00A53E63">
        <w:rPr>
          <w:color w:val="000000" w:themeColor="text1"/>
          <w:sz w:val="18"/>
          <w:vertAlign w:val="superscript"/>
        </w:rPr>
        <w:footnoteReference w:id="23"/>
      </w:r>
      <w:r w:rsidRPr="00A53E63">
        <w:rPr>
          <w:color w:val="000000" w:themeColor="text1"/>
        </w:rPr>
        <w:t xml:space="preserve"> информация была заменена представлениями, инициированными Черногорией и Болгарией соответственно, по которым Комитет принял выводы и рекомендации;</w:t>
      </w:r>
    </w:p>
    <w:p w14:paraId="2744B694" w14:textId="77777777" w:rsidR="00786610" w:rsidRPr="00A53E63" w:rsidRDefault="00786610" w:rsidP="00786610">
      <w:pPr>
        <w:pStyle w:val="SingleTxtG"/>
        <w:ind w:firstLine="567"/>
        <w:rPr>
          <w:color w:val="000000" w:themeColor="text1"/>
        </w:rPr>
      </w:pPr>
      <w:r w:rsidRPr="00A53E63">
        <w:rPr>
          <w:color w:val="000000" w:themeColor="text1"/>
        </w:rPr>
        <w:t>c)</w:t>
      </w:r>
      <w:r w:rsidRPr="00A53E63">
        <w:rPr>
          <w:color w:val="000000" w:themeColor="text1"/>
        </w:rPr>
        <w:tab/>
        <w:t xml:space="preserve">в случаях в отношении Беларуси, Бельгии, Болгарии и Чехии Комитет выступил с инициативой и принял свои выводы и рекомендации; </w:t>
      </w:r>
    </w:p>
    <w:p w14:paraId="121D13B3" w14:textId="77777777" w:rsidR="00786610" w:rsidRPr="00A53E63" w:rsidRDefault="00786610" w:rsidP="00786610">
      <w:pPr>
        <w:pStyle w:val="SingleTxtG"/>
        <w:ind w:firstLine="567"/>
        <w:rPr>
          <w:color w:val="000000" w:themeColor="text1"/>
        </w:rPr>
      </w:pPr>
      <w:r w:rsidRPr="00A53E63">
        <w:rPr>
          <w:color w:val="000000" w:themeColor="text1"/>
        </w:rPr>
        <w:t>d)</w:t>
      </w:r>
      <w:r w:rsidRPr="00A53E63">
        <w:rPr>
          <w:color w:val="000000" w:themeColor="text1"/>
        </w:rPr>
        <w:tab/>
        <w:t>в случаях в отношении Болгарии, Германии, Северной Македонии и Украины потребуется дальнейшее рассмотрение Комитетом на его ближайших сессиях;</w:t>
      </w:r>
    </w:p>
    <w:p w14:paraId="00897BE5" w14:textId="77777777" w:rsidR="00786610" w:rsidRPr="00A53E63" w:rsidRDefault="00786610" w:rsidP="00786610">
      <w:pPr>
        <w:pStyle w:val="SingleTxtG"/>
        <w:ind w:firstLine="567"/>
        <w:rPr>
          <w:color w:val="000000" w:themeColor="text1"/>
        </w:rPr>
      </w:pPr>
      <w:r w:rsidRPr="00A53E63">
        <w:rPr>
          <w:color w:val="000000" w:themeColor="text1"/>
        </w:rPr>
        <w:t>e)</w:t>
      </w:r>
      <w:r w:rsidRPr="00A53E63">
        <w:rPr>
          <w:color w:val="000000" w:themeColor="text1"/>
        </w:rPr>
        <w:tab/>
        <w:t>в случае в отношении Франции Комитет выступил с инициативой;</w:t>
      </w:r>
    </w:p>
    <w:p w14:paraId="3562A6B5" w14:textId="5CAB16EE" w:rsidR="00786610" w:rsidRPr="00A53E63" w:rsidRDefault="00786610" w:rsidP="00786610">
      <w:pPr>
        <w:pStyle w:val="SingleTxtG"/>
        <w:ind w:firstLine="567"/>
        <w:rPr>
          <w:color w:val="000000" w:themeColor="text1"/>
        </w:rPr>
      </w:pPr>
      <w:r w:rsidRPr="00A53E63">
        <w:rPr>
          <w:color w:val="000000" w:themeColor="text1"/>
        </w:rPr>
        <w:t>6.</w:t>
      </w:r>
      <w:r w:rsidRPr="00A53E63">
        <w:rPr>
          <w:color w:val="000000" w:themeColor="text1"/>
        </w:rPr>
        <w:tab/>
      </w:r>
      <w:r w:rsidRPr="00A53E63">
        <w:rPr>
          <w:i/>
          <w:iCs/>
          <w:color w:val="000000" w:themeColor="text1"/>
        </w:rPr>
        <w:t>отмечает</w:t>
      </w:r>
      <w:r w:rsidRPr="00A53E63">
        <w:rPr>
          <w:color w:val="000000" w:themeColor="text1"/>
        </w:rPr>
        <w:t>, что в связи с вторжением Российской Федерации в Украину Комитет на своей пятьдесят второй сессии (Женева (в онлайн-формате), 29</w:t>
      </w:r>
      <w:r w:rsidR="00E5065F" w:rsidRPr="00A53E63">
        <w:rPr>
          <w:color w:val="000000" w:themeColor="text1"/>
        </w:rPr>
        <w:t>–</w:t>
      </w:r>
      <w:r w:rsidRPr="00A53E63">
        <w:rPr>
          <w:color w:val="000000" w:themeColor="text1"/>
        </w:rPr>
        <w:t>31</w:t>
      </w:r>
      <w:r w:rsidR="00E5065F" w:rsidRPr="00A53E63">
        <w:rPr>
          <w:color w:val="000000" w:themeColor="text1"/>
        </w:rPr>
        <w:t> </w:t>
      </w:r>
      <w:r w:rsidRPr="00A53E63">
        <w:rPr>
          <w:color w:val="000000" w:themeColor="text1"/>
        </w:rPr>
        <w:t>марта 2022 года) отложил до своих последующих сессий рассмотрение всех вопросов соблюдения, касающихся Украины</w:t>
      </w:r>
      <w:r w:rsidRPr="00A53E63">
        <w:rPr>
          <w:color w:val="000000" w:themeColor="text1"/>
          <w:sz w:val="18"/>
          <w:vertAlign w:val="superscript"/>
        </w:rPr>
        <w:footnoteReference w:id="24"/>
      </w:r>
      <w:r w:rsidRPr="00A53E63">
        <w:rPr>
          <w:color w:val="000000" w:themeColor="text1"/>
        </w:rPr>
        <w:t>, повторно оценил ситуацию и возобновил свое обсуждение вопросов на основе информации, полученной от Украины, на своей пятьдесят шестой сессии (Женева, 2</w:t>
      </w:r>
      <w:r w:rsidR="00E5065F" w:rsidRPr="00A53E63">
        <w:rPr>
          <w:color w:val="000000" w:themeColor="text1"/>
        </w:rPr>
        <w:t>–</w:t>
      </w:r>
      <w:r w:rsidRPr="00A53E63">
        <w:rPr>
          <w:color w:val="000000" w:themeColor="text1"/>
        </w:rPr>
        <w:t>5 мая 2023 года)</w:t>
      </w:r>
      <w:r w:rsidRPr="00A53E63">
        <w:rPr>
          <w:rStyle w:val="aa"/>
          <w:color w:val="000000" w:themeColor="text1"/>
        </w:rPr>
        <w:footnoteReference w:id="25"/>
      </w:r>
      <w:r w:rsidRPr="00A53E63">
        <w:rPr>
          <w:color w:val="000000" w:themeColor="text1"/>
        </w:rPr>
        <w:t>;</w:t>
      </w:r>
    </w:p>
    <w:p w14:paraId="24A22F2B" w14:textId="2D60B8F0" w:rsidR="00786610" w:rsidRPr="00A53E63" w:rsidRDefault="00786610" w:rsidP="00786610">
      <w:pPr>
        <w:pStyle w:val="SingleTxtG"/>
        <w:ind w:firstLine="567"/>
        <w:rPr>
          <w:color w:val="000000" w:themeColor="text1"/>
        </w:rPr>
      </w:pPr>
      <w:r w:rsidRPr="00A53E63">
        <w:rPr>
          <w:color w:val="000000" w:themeColor="text1"/>
        </w:rPr>
        <w:t>7.</w:t>
      </w:r>
      <w:r w:rsidRPr="00A53E63">
        <w:rPr>
          <w:color w:val="000000" w:themeColor="text1"/>
        </w:rPr>
        <w:tab/>
      </w:r>
      <w:r w:rsidRPr="00A53E63">
        <w:rPr>
          <w:i/>
          <w:iCs/>
          <w:color w:val="000000" w:themeColor="text1"/>
        </w:rPr>
        <w:t>отмечает также</w:t>
      </w:r>
      <w:r w:rsidRPr="00A53E63">
        <w:rPr>
          <w:color w:val="000000" w:themeColor="text1"/>
        </w:rPr>
        <w:t>, что в соответствии с рекомендациями Совещаний Сторон</w:t>
      </w:r>
      <w:r w:rsidRPr="00A53E63">
        <w:rPr>
          <w:color w:val="000000" w:themeColor="text1"/>
          <w:sz w:val="18"/>
          <w:vertAlign w:val="superscript"/>
        </w:rPr>
        <w:footnoteReference w:id="26"/>
      </w:r>
      <w:r w:rsidRPr="00A53E63">
        <w:rPr>
          <w:color w:val="000000" w:themeColor="text1"/>
        </w:rPr>
        <w:t xml:space="preserve"> при обсуждении вопросов соблюдения, связанных с продлением срока службы атомных электростанций, Комитет рассмотрел </w:t>
      </w:r>
      <w:r w:rsidRPr="00A53E63">
        <w:rPr>
          <w:i/>
          <w:iCs/>
          <w:color w:val="000000" w:themeColor="text1"/>
        </w:rPr>
        <w:t>Руководство по применимости Конвенции к продлению срока службы атомных электростанций</w:t>
      </w:r>
      <w:r w:rsidRPr="00A53E63">
        <w:rPr>
          <w:color w:val="000000" w:themeColor="text1"/>
        </w:rPr>
        <w:t xml:space="preserve"> 2020 года</w:t>
      </w:r>
      <w:r w:rsidRPr="00A53E63">
        <w:rPr>
          <w:i/>
          <w:iCs/>
          <w:color w:val="000000" w:themeColor="text1"/>
        </w:rPr>
        <w:t xml:space="preserve"> </w:t>
      </w:r>
      <w:r w:rsidRPr="00A53E63">
        <w:rPr>
          <w:color w:val="000000" w:themeColor="text1"/>
        </w:rPr>
        <w:t xml:space="preserve">(далее </w:t>
      </w:r>
      <w:r w:rsidR="00E5065F" w:rsidRPr="00A53E63">
        <w:rPr>
          <w:color w:val="000000" w:themeColor="text1"/>
        </w:rPr>
        <w:t>—</w:t>
      </w:r>
      <w:r w:rsidRPr="00A53E63">
        <w:rPr>
          <w:color w:val="000000" w:themeColor="text1"/>
        </w:rPr>
        <w:t xml:space="preserve"> Руководство)</w:t>
      </w:r>
      <w:r w:rsidRPr="00A53E63">
        <w:rPr>
          <w:color w:val="000000" w:themeColor="text1"/>
          <w:sz w:val="18"/>
          <w:vertAlign w:val="superscript"/>
        </w:rPr>
        <w:footnoteReference w:id="27"/>
      </w:r>
      <w:r w:rsidRPr="00A53E63">
        <w:rPr>
          <w:color w:val="000000" w:themeColor="text1"/>
        </w:rPr>
        <w:t xml:space="preserve">; </w:t>
      </w:r>
    </w:p>
    <w:p w14:paraId="7CF85983" w14:textId="77777777" w:rsidR="00786610" w:rsidRPr="00A53E63" w:rsidRDefault="00786610" w:rsidP="00786610">
      <w:pPr>
        <w:pStyle w:val="SingleTxtG"/>
        <w:ind w:firstLine="567"/>
        <w:rPr>
          <w:color w:val="000000" w:themeColor="text1"/>
        </w:rPr>
      </w:pPr>
      <w:r w:rsidRPr="00A53E63">
        <w:rPr>
          <w:color w:val="000000" w:themeColor="text1"/>
        </w:rPr>
        <w:t>8.</w:t>
      </w:r>
      <w:r w:rsidRPr="00A53E63">
        <w:rPr>
          <w:color w:val="000000" w:themeColor="text1"/>
        </w:rPr>
        <w:tab/>
      </w:r>
      <w:r w:rsidRPr="00A53E63">
        <w:rPr>
          <w:i/>
          <w:iCs/>
          <w:color w:val="000000" w:themeColor="text1"/>
        </w:rPr>
        <w:t>принимает далее к сведению</w:t>
      </w:r>
      <w:r w:rsidRPr="00A53E63">
        <w:rPr>
          <w:color w:val="000000" w:themeColor="text1"/>
        </w:rPr>
        <w:t xml:space="preserve"> решение Комитета, связанное с сообщениями о продлении срока службы атомных электростанций, которые, как правило, затрагивают большое количество заинтересованных Сторон и, следовательно, могут вызвать прямой или косвенный конфликт интересов у большинства членов Комитета, воздержаться в порядке исключения и на временной основе от применения пункта 2 правила 5 рабочих правил Комитета по осуществлению, чтобы выполнить свой мандат и продолжить работу</w:t>
      </w:r>
      <w:r w:rsidRPr="00A53E63">
        <w:rPr>
          <w:color w:val="000000" w:themeColor="text1"/>
          <w:sz w:val="18"/>
          <w:vertAlign w:val="superscript"/>
        </w:rPr>
        <w:footnoteReference w:id="28"/>
      </w:r>
      <w:r w:rsidRPr="00A53E63">
        <w:rPr>
          <w:color w:val="000000" w:themeColor="text1"/>
        </w:rPr>
        <w:t>;</w:t>
      </w:r>
    </w:p>
    <w:p w14:paraId="5E8EEF13" w14:textId="77777777" w:rsidR="00786610" w:rsidRPr="00A53E63" w:rsidRDefault="00786610" w:rsidP="00786610">
      <w:pPr>
        <w:pStyle w:val="SingleTxtG"/>
        <w:ind w:firstLine="567"/>
        <w:rPr>
          <w:color w:val="000000" w:themeColor="text1"/>
        </w:rPr>
      </w:pPr>
      <w:bookmarkStart w:id="1" w:name="_Hlk35099353"/>
      <w:r w:rsidRPr="00A53E63">
        <w:rPr>
          <w:color w:val="000000" w:themeColor="text1"/>
        </w:rPr>
        <w:t>9.</w:t>
      </w:r>
      <w:r w:rsidRPr="00A53E63">
        <w:rPr>
          <w:color w:val="000000" w:themeColor="text1"/>
        </w:rPr>
        <w:tab/>
      </w:r>
      <w:r w:rsidRPr="00A53E63">
        <w:rPr>
          <w:i/>
          <w:iCs/>
          <w:color w:val="000000" w:themeColor="text1"/>
        </w:rPr>
        <w:t>приветствует</w:t>
      </w:r>
      <w:r w:rsidRPr="00A53E63">
        <w:rPr>
          <w:color w:val="000000" w:themeColor="text1"/>
        </w:rPr>
        <w:t xml:space="preserve"> усилия Комитета по пересмотру своих структуры, функций и рабочих правил с целью повышения эффективности методов работы и адаптации своей практики, например в отношении конфликта интересов для наиболее эффективного выполнения своего мандата и решения вопросов соблюдения, количество, сложность и сфера охвата которых возросли;</w:t>
      </w:r>
    </w:p>
    <w:p w14:paraId="2C7688BD" w14:textId="06A77C1F" w:rsidR="00786610" w:rsidRPr="00A53E63" w:rsidRDefault="00786610" w:rsidP="00786610">
      <w:pPr>
        <w:pStyle w:val="SingleTxtG"/>
        <w:ind w:firstLine="567"/>
        <w:rPr>
          <w:color w:val="000000" w:themeColor="text1"/>
        </w:rPr>
      </w:pPr>
      <w:r w:rsidRPr="00A53E63">
        <w:rPr>
          <w:color w:val="000000" w:themeColor="text1"/>
        </w:rPr>
        <w:t>10.</w:t>
      </w:r>
      <w:r w:rsidRPr="00A53E63">
        <w:rPr>
          <w:color w:val="000000" w:themeColor="text1"/>
        </w:rPr>
        <w:tab/>
      </w:r>
      <w:r w:rsidRPr="00A53E63">
        <w:rPr>
          <w:i/>
          <w:iCs/>
          <w:color w:val="000000" w:themeColor="text1"/>
        </w:rPr>
        <w:t>с сожалением отмечает</w:t>
      </w:r>
      <w:r w:rsidRPr="00A53E63">
        <w:rPr>
          <w:color w:val="000000" w:themeColor="text1"/>
        </w:rPr>
        <w:t>, что работа Комитета затрудняется поздним представлением и ненадлежащим качеством ответов ряда заинтересованных Сторон, а</w:t>
      </w:r>
      <w:r w:rsidR="00E5065F" w:rsidRPr="00A53E63">
        <w:rPr>
          <w:color w:val="000000" w:themeColor="text1"/>
        </w:rPr>
        <w:t> </w:t>
      </w:r>
      <w:r w:rsidRPr="00A53E63">
        <w:rPr>
          <w:color w:val="000000" w:themeColor="text1"/>
        </w:rPr>
        <w:t xml:space="preserve">в некоторых случаях также их отказом от представления ответа и неготовностью к сотрудничеству; </w:t>
      </w:r>
    </w:p>
    <w:p w14:paraId="5A689685" w14:textId="77777777" w:rsidR="00786610" w:rsidRPr="00A53E63" w:rsidRDefault="00786610" w:rsidP="00786610">
      <w:pPr>
        <w:pStyle w:val="SingleTxtG"/>
        <w:ind w:firstLine="567"/>
        <w:rPr>
          <w:color w:val="000000" w:themeColor="text1"/>
        </w:rPr>
      </w:pPr>
      <w:r w:rsidRPr="00A53E63">
        <w:rPr>
          <w:color w:val="000000" w:themeColor="text1"/>
        </w:rPr>
        <w:t>11.</w:t>
      </w:r>
      <w:r w:rsidRPr="00A53E63">
        <w:rPr>
          <w:color w:val="000000" w:themeColor="text1"/>
        </w:rPr>
        <w:tab/>
      </w:r>
      <w:r w:rsidRPr="00A53E63">
        <w:rPr>
          <w:i/>
          <w:iCs/>
          <w:color w:val="000000" w:themeColor="text1"/>
        </w:rPr>
        <w:t>напоминает</w:t>
      </w:r>
      <w:r w:rsidRPr="00A53E63">
        <w:rPr>
          <w:color w:val="000000" w:themeColor="text1"/>
        </w:rPr>
        <w:t xml:space="preserve"> Сторонам их обязательство добросовестно оказывать Комитету содействие в его работе путем своевременного представления ему запрашиваемой информации надлежащего качества; </w:t>
      </w:r>
    </w:p>
    <w:p w14:paraId="796360AD" w14:textId="77777777" w:rsidR="00786610" w:rsidRPr="00A53E63" w:rsidRDefault="00786610" w:rsidP="00786610">
      <w:pPr>
        <w:pStyle w:val="SingleTxtG"/>
        <w:ind w:firstLine="567"/>
        <w:rPr>
          <w:color w:val="000000" w:themeColor="text1"/>
        </w:rPr>
      </w:pPr>
      <w:r w:rsidRPr="00A53E63">
        <w:rPr>
          <w:color w:val="000000" w:themeColor="text1"/>
        </w:rPr>
        <w:t>12.</w:t>
      </w:r>
      <w:r w:rsidRPr="00A53E63">
        <w:rPr>
          <w:color w:val="000000" w:themeColor="text1"/>
        </w:rPr>
        <w:tab/>
      </w:r>
      <w:r w:rsidRPr="00A53E63">
        <w:rPr>
          <w:i/>
          <w:iCs/>
          <w:color w:val="000000" w:themeColor="text1"/>
        </w:rPr>
        <w:t>подчеркивает</w:t>
      </w:r>
      <w:r w:rsidRPr="00A53E63">
        <w:rPr>
          <w:color w:val="000000" w:themeColor="text1"/>
        </w:rPr>
        <w:t>, что Стороны, особенно при подаче представления, должны на самой ранней стадии разбирательства представить Комитету все утверждения и информацию о фактах, на которые они хотят сослаться и которые имеют значение для исхода дела. Это в первую очередь относится к любым юридическим или процедурным ошибкам, в отношении которых Сторона желает проведение рассмотрения Комитета. Ожидание того, пока Комитет предпримет все шаги, чтобы представить вопрос Совещанию Сторон, а затем выдвижение новых утверждений об ошибках, касающихся процедурных шагов, которые должны были/могли быть ранее указаны в представлении, ставят под угрозу всю систему проверки соблюдения Конвенции;</w:t>
      </w:r>
    </w:p>
    <w:bookmarkEnd w:id="1"/>
    <w:p w14:paraId="7480D06B" w14:textId="77777777" w:rsidR="00786610" w:rsidRPr="00A53E63" w:rsidRDefault="00786610" w:rsidP="00786610">
      <w:pPr>
        <w:pStyle w:val="SingleTxtG"/>
        <w:ind w:firstLine="567"/>
        <w:rPr>
          <w:color w:val="000000" w:themeColor="text1"/>
        </w:rPr>
      </w:pPr>
      <w:r w:rsidRPr="00A53E63">
        <w:rPr>
          <w:color w:val="000000" w:themeColor="text1"/>
        </w:rPr>
        <w:t>13.</w:t>
      </w:r>
      <w:r w:rsidRPr="00A53E63">
        <w:rPr>
          <w:color w:val="000000" w:themeColor="text1"/>
        </w:rPr>
        <w:tab/>
      </w:r>
      <w:r w:rsidRPr="00A53E63">
        <w:rPr>
          <w:i/>
          <w:iCs/>
          <w:color w:val="000000" w:themeColor="text1"/>
        </w:rPr>
        <w:t>считает</w:t>
      </w:r>
      <w:r w:rsidRPr="00A53E63">
        <w:rPr>
          <w:color w:val="000000" w:themeColor="text1"/>
        </w:rPr>
        <w:t>, в соответствии с мнениями Комитета, что:</w:t>
      </w:r>
    </w:p>
    <w:p w14:paraId="0CC89794" w14:textId="77777777" w:rsidR="00786610" w:rsidRPr="00A53E63" w:rsidRDefault="00786610" w:rsidP="00786610">
      <w:pPr>
        <w:pStyle w:val="SingleTxtG"/>
        <w:ind w:firstLine="567"/>
        <w:rPr>
          <w:color w:val="000000" w:themeColor="text1"/>
        </w:rPr>
      </w:pPr>
      <w:r w:rsidRPr="00A53E63">
        <w:rPr>
          <w:color w:val="000000" w:themeColor="text1"/>
        </w:rPr>
        <w:t>a)</w:t>
      </w:r>
      <w:r w:rsidRPr="00A53E63">
        <w:rPr>
          <w:color w:val="000000" w:themeColor="text1"/>
        </w:rPr>
        <w:tab/>
        <w:t>когда Комитет рассматривает согласно пункту 6 структуры и функций Комитета вопрос о возможном несоблюдении Стороной своих обязательств по Конвенции, он не связан решениями национальных судов или других национальных или международных органов</w:t>
      </w:r>
      <w:r w:rsidRPr="00A53E63">
        <w:rPr>
          <w:rFonts w:eastAsia="SimSun"/>
          <w:color w:val="000000" w:themeColor="text1"/>
          <w:sz w:val="18"/>
          <w:szCs w:val="18"/>
          <w:vertAlign w:val="superscript"/>
        </w:rPr>
        <w:footnoteReference w:id="29"/>
      </w:r>
      <w:r w:rsidRPr="00A53E63">
        <w:rPr>
          <w:color w:val="000000" w:themeColor="text1"/>
        </w:rPr>
        <w:t>;</w:t>
      </w:r>
    </w:p>
    <w:p w14:paraId="066BC23D" w14:textId="77777777" w:rsidR="00786610" w:rsidRPr="00A53E63" w:rsidRDefault="00786610" w:rsidP="00786610">
      <w:pPr>
        <w:pStyle w:val="SingleTxtG"/>
        <w:ind w:firstLine="567"/>
        <w:rPr>
          <w:color w:val="000000" w:themeColor="text1"/>
        </w:rPr>
      </w:pPr>
      <w:r w:rsidRPr="00A53E63">
        <w:rPr>
          <w:color w:val="000000" w:themeColor="text1"/>
        </w:rPr>
        <w:t>b)</w:t>
      </w:r>
      <w:r w:rsidRPr="00A53E63">
        <w:rPr>
          <w:color w:val="000000" w:themeColor="text1"/>
        </w:rPr>
        <w:tab/>
        <w:t>Комитет может рассмотреть вопрос о соблюдении Конвенции даже после принятия окончательного решения по упомянутому виду деятельности, в соответствии с целью и функциями Комитета, указанными в пункте 4 структуры и функций Комитета</w:t>
      </w:r>
      <w:r w:rsidRPr="00A53E63">
        <w:rPr>
          <w:color w:val="000000" w:themeColor="text1"/>
          <w:sz w:val="18"/>
          <w:vertAlign w:val="superscript"/>
        </w:rPr>
        <w:footnoteReference w:id="30"/>
      </w:r>
      <w:r w:rsidRPr="00A53E63">
        <w:rPr>
          <w:color w:val="000000" w:themeColor="text1"/>
        </w:rPr>
        <w:t>;</w:t>
      </w:r>
    </w:p>
    <w:p w14:paraId="6F075DD9" w14:textId="77777777" w:rsidR="00786610" w:rsidRPr="00453CCE" w:rsidRDefault="00786610" w:rsidP="00786610">
      <w:pPr>
        <w:pStyle w:val="SingleTxtG"/>
        <w:ind w:firstLine="567"/>
      </w:pPr>
      <w:r w:rsidRPr="00A53E63">
        <w:rPr>
          <w:color w:val="000000" w:themeColor="text1"/>
        </w:rPr>
        <w:t>c)</w:t>
      </w:r>
      <w:r w:rsidRPr="00A53E63">
        <w:rPr>
          <w:color w:val="000000" w:themeColor="text1"/>
        </w:rPr>
        <w:tab/>
        <w:t>в рамках анализа по вопрос</w:t>
      </w:r>
      <w:r>
        <w:t>у о том, может ли какая-либо деятельность вызвать значительное вредное трансграничное воздействие, следует сосредоточиться на типичных последствиях и рисках для окружающей среды, связанных с планируемой деятельностью. В данном анализе не учитываются предложенные или описанные смягчающие или компенсирующие меры, которые могли бы быть или будут предусмотрены в качестве условий для осуществления деятельности</w:t>
      </w:r>
      <w:r w:rsidRPr="00DF745A">
        <w:rPr>
          <w:sz w:val="18"/>
          <w:vertAlign w:val="superscript"/>
        </w:rPr>
        <w:footnoteReference w:id="31"/>
      </w:r>
      <w:r>
        <w:t>;</w:t>
      </w:r>
    </w:p>
    <w:p w14:paraId="08A836CF" w14:textId="075AEB5D" w:rsidR="00786610" w:rsidRPr="00453CCE" w:rsidRDefault="00786610" w:rsidP="00786610">
      <w:pPr>
        <w:pStyle w:val="SingleTxtG"/>
        <w:ind w:firstLine="567"/>
      </w:pPr>
      <w:r>
        <w:t>d)</w:t>
      </w:r>
      <w:r>
        <w:tab/>
        <w:t>если Сторона желает вступить в консультации в соответствии с пунктом</w:t>
      </w:r>
      <w:r w:rsidR="00561F0A">
        <w:rPr>
          <w:lang w:val="fr-CH"/>
        </w:rPr>
        <w:t> </w:t>
      </w:r>
      <w:r>
        <w:t>5 статьи 2 в отношении деятельности, не указанной в добавлении I к Конвенции, Сторона происхождения обязана незамедлительно начать соответствующие консультации</w:t>
      </w:r>
      <w:r w:rsidRPr="00DF745A">
        <w:rPr>
          <w:sz w:val="18"/>
          <w:vertAlign w:val="superscript"/>
        </w:rPr>
        <w:footnoteReference w:id="32"/>
      </w:r>
      <w:r>
        <w:t>;</w:t>
      </w:r>
    </w:p>
    <w:p w14:paraId="384B691C" w14:textId="77777777" w:rsidR="00786610" w:rsidRPr="00453CCE" w:rsidRDefault="00786610" w:rsidP="00786610">
      <w:pPr>
        <w:pStyle w:val="SingleTxtG"/>
        <w:ind w:firstLine="567"/>
      </w:pPr>
      <w:r>
        <w:t>e)</w:t>
      </w:r>
      <w:r>
        <w:tab/>
        <w:t>отсутствие ответа Стороны происхождения на запросы потенциально затрагиваемой Стороны в отношении деятельности, не включенной в добавление I к Конвенции, и непредставление Стороной происхождения потенциально затрагиваемой Стороне информации о такой деятельности в свете критериев установления значительного вредного воздействия, изложенных в добавлении III к Конвенции, представляют собой несоблюдение пункта 5 статьи 2 Конвенции</w:t>
      </w:r>
      <w:r w:rsidRPr="00DF745A">
        <w:rPr>
          <w:sz w:val="18"/>
          <w:vertAlign w:val="superscript"/>
        </w:rPr>
        <w:footnoteReference w:id="33"/>
      </w:r>
      <w:r>
        <w:t>;</w:t>
      </w:r>
    </w:p>
    <w:p w14:paraId="400C1CB5" w14:textId="77777777" w:rsidR="00786610" w:rsidRPr="00453CCE" w:rsidRDefault="00786610" w:rsidP="00786610">
      <w:pPr>
        <w:pStyle w:val="SingleTxtG"/>
        <w:ind w:firstLine="567"/>
      </w:pPr>
      <w:r>
        <w:t>f)</w:t>
      </w:r>
      <w:r>
        <w:tab/>
        <w:t>в отсутствие каких-либо общих отступлений в отношении применения Конвенции к перечисленным в добавлении I к ней проектам, осуществляемым исключительно или главным образом для проведения исследований, разработок и испытаний новых методов или продуктов, Конвенция применяется к любой деятельности, которая может вызвать значительное вредное трансграничное воздействие на окружающую среду, независимо от ее продолжительности</w:t>
      </w:r>
      <w:r w:rsidRPr="00DF745A">
        <w:rPr>
          <w:sz w:val="18"/>
          <w:vertAlign w:val="superscript"/>
        </w:rPr>
        <w:footnoteReference w:id="34"/>
      </w:r>
      <w:r>
        <w:t>;</w:t>
      </w:r>
    </w:p>
    <w:p w14:paraId="2BB614D0" w14:textId="77777777" w:rsidR="00786610" w:rsidRPr="00453CCE" w:rsidRDefault="00786610" w:rsidP="00786610">
      <w:pPr>
        <w:pStyle w:val="SingleTxtG"/>
        <w:ind w:firstLine="567"/>
        <w:rPr>
          <w:i/>
          <w:iCs/>
        </w:rPr>
      </w:pPr>
      <w:r>
        <w:t>14.</w:t>
      </w:r>
      <w:r>
        <w:tab/>
      </w:r>
      <w:r w:rsidRPr="00650809">
        <w:rPr>
          <w:i/>
          <w:iCs/>
        </w:rPr>
        <w:t>считает также</w:t>
      </w:r>
      <w:r>
        <w:t xml:space="preserve"> в соответствии с мнениями Комитета по осуществлению в отношении продления срока службы атомных электростанций, что: </w:t>
      </w:r>
    </w:p>
    <w:p w14:paraId="034926DD" w14:textId="77777777" w:rsidR="00786610" w:rsidRPr="00453CCE" w:rsidRDefault="00786610" w:rsidP="00786610">
      <w:pPr>
        <w:pStyle w:val="SingleTxtG"/>
        <w:ind w:firstLine="567"/>
      </w:pPr>
      <w:r>
        <w:t>a)</w:t>
      </w:r>
      <w:r>
        <w:tab/>
        <w:t>Конвенция предоставляет своим Сторонам гибкость в способах выполнения их обязательств, но, что такая практика выполнения должна оставаться в пределах возникающих по Конвенции обязательств и их толкования</w:t>
      </w:r>
      <w:r w:rsidRPr="00312AB1">
        <w:rPr>
          <w:sz w:val="18"/>
          <w:vertAlign w:val="superscript"/>
        </w:rPr>
        <w:footnoteReference w:id="35"/>
      </w:r>
      <w:r>
        <w:t>. В соответствии с пунктом 3 b) статьи 31 Венской конвенции о праве международных договоров одобрение Руководства Совещанием Сторон может считаться последующей практикой Сторон в связи с толкованием Конвенции</w:t>
      </w:r>
      <w:r w:rsidRPr="00312AB1">
        <w:rPr>
          <w:sz w:val="18"/>
          <w:vertAlign w:val="superscript"/>
        </w:rPr>
        <w:footnoteReference w:id="36"/>
      </w:r>
      <w:r>
        <w:t>;</w:t>
      </w:r>
    </w:p>
    <w:p w14:paraId="2864A1B6" w14:textId="495D1FE4" w:rsidR="00786610" w:rsidRPr="005C19F7" w:rsidRDefault="00786610" w:rsidP="00786610">
      <w:pPr>
        <w:pStyle w:val="SingleTxtG"/>
        <w:ind w:firstLine="567"/>
      </w:pPr>
      <w:r>
        <w:t>b)</w:t>
      </w:r>
      <w:r>
        <w:tab/>
        <w:t>учитывая содержащееся в Руководстве положение, согласно которому изменения, охватываемые существующим разрешением на деятельность, не влекут за собой применение Конвенции</w:t>
      </w:r>
      <w:r w:rsidRPr="00312AB1">
        <w:rPr>
          <w:rFonts w:eastAsia="SimSun"/>
          <w:sz w:val="18"/>
          <w:vertAlign w:val="superscript"/>
        </w:rPr>
        <w:footnoteReference w:id="37"/>
      </w:r>
      <w:r>
        <w:t xml:space="preserve">, такие изменения сами по себе, как правило, не приводят к проведению оценки трансграничного воздействия на окружающую среду. </w:t>
      </w:r>
      <w:r w:rsidRPr="00A06629">
        <w:t xml:space="preserve">Однако изменения, нацеленные на выполнение требований </w:t>
      </w:r>
      <w:r w:rsidRPr="0074388D">
        <w:t>до</w:t>
      </w:r>
      <w:r w:rsidRPr="0074388D">
        <w:rPr>
          <w:lang w:val="fr-CH"/>
        </w:rPr>
        <w:t>c</w:t>
      </w:r>
      <w:r w:rsidRPr="0074388D">
        <w:t>таточно</w:t>
      </w:r>
      <w:r w:rsidRPr="00A06629">
        <w:t xml:space="preserve"> общей лицензии, или изменения, запрошенные для подготовки к продлению лицензии, могут иметь значение при решении вопроса о том, являются ли физические работы или модификации в условиях эксплуатации существенным изменением</w:t>
      </w:r>
      <w:r w:rsidRPr="00312AB1">
        <w:rPr>
          <w:sz w:val="18"/>
          <w:vertAlign w:val="superscript"/>
        </w:rPr>
        <w:footnoteReference w:id="38"/>
      </w:r>
      <w:r w:rsidR="005C19F7">
        <w:t>;</w:t>
      </w:r>
    </w:p>
    <w:p w14:paraId="379C8A27" w14:textId="7E922A91" w:rsidR="00786610" w:rsidRPr="00453CCE" w:rsidRDefault="00786610" w:rsidP="00786610">
      <w:pPr>
        <w:pStyle w:val="SingleTxtG"/>
        <w:ind w:firstLine="567"/>
      </w:pPr>
      <w:r>
        <w:t>c)</w:t>
      </w:r>
      <w:r>
        <w:tab/>
        <w:t>хотя в Руководстве указано, что физические работы, выполняемые в рамках периодического технического обслуживания или управления процессом старения, как правило, не считаются существенными изменениями, соответствующие физические работы должны рассматриваться по-разному в зависимости от их сроков с учетом того, что атомные электростанции в течение срока службы постоянно проходят поэтапную проверку безопасности и модернизацию. Физические работы, проведенные в начале срока эксплуатации, имеют меньшее значение, тогда как физические работы, проведенные ближе к концу срока службы АЭС, должны учитываться при принятии решения о применимости Конвенции к продлению срока службы, даже если они были частью периодического технического обслуживания или управления процессом старения</w:t>
      </w:r>
      <w:r w:rsidRPr="00312AB1">
        <w:rPr>
          <w:sz w:val="18"/>
          <w:vertAlign w:val="superscript"/>
        </w:rPr>
        <w:footnoteReference w:id="39"/>
      </w:r>
      <w:r w:rsidR="00E265A0">
        <w:t>;</w:t>
      </w:r>
    </w:p>
    <w:p w14:paraId="0B6CCC25" w14:textId="4D3979AA" w:rsidR="00786610" w:rsidRPr="004164F5" w:rsidRDefault="00786610" w:rsidP="00786610">
      <w:pPr>
        <w:pStyle w:val="SingleTxtG"/>
        <w:ind w:firstLine="567"/>
      </w:pPr>
      <w:r>
        <w:t>d)</w:t>
      </w:r>
      <w:r>
        <w:tab/>
        <w:t>Стороны обязаны представлять информацию о продлении срока службы ядерных энергетических установок, запрашиваемую Комитетом, с тем чтобы он мог выполнять свои обязанности. Если определенные части таких официальных решений, касающихся атомных энергоблоков или продления первоначальных лицензий, рассматриваются как информация, предоставление которой может нанести ущерб государственной безопасности, то эти части могут быть удалены при сохранении остальной информаций, являющейся открытой для Комитета</w:t>
      </w:r>
      <w:r w:rsidRPr="00312AB1">
        <w:rPr>
          <w:sz w:val="18"/>
          <w:vertAlign w:val="superscript"/>
        </w:rPr>
        <w:footnoteReference w:id="40"/>
      </w:r>
      <w:r w:rsidR="00495B0F">
        <w:t>;</w:t>
      </w:r>
    </w:p>
    <w:p w14:paraId="67E04FFA" w14:textId="77777777" w:rsidR="00786610" w:rsidRPr="00453CCE" w:rsidRDefault="00786610" w:rsidP="00786610">
      <w:pPr>
        <w:pStyle w:val="SingleTxtG"/>
        <w:ind w:firstLine="567"/>
      </w:pPr>
      <w:r>
        <w:t>e)</w:t>
      </w:r>
      <w:r>
        <w:tab/>
        <w:t>при принятии решения о применимости Конвенции компетентный орган должен учитывать, что физические работы на атомной электростанции, изменения условий эксплуатации меньшего масштаба (например, использование другого топлива) или изменения в окружающем пространстве (например, расширение расположенного поблизости предприятия по обогащению урана) могут в совокупности или по отдельности представлять собой существенное изменение</w:t>
      </w:r>
      <w:r w:rsidRPr="00312AB1">
        <w:rPr>
          <w:sz w:val="18"/>
          <w:vertAlign w:val="superscript"/>
        </w:rPr>
        <w:footnoteReference w:id="41"/>
      </w:r>
      <w:r>
        <w:t>;</w:t>
      </w:r>
    </w:p>
    <w:p w14:paraId="23690DED" w14:textId="77777777" w:rsidR="00786610" w:rsidRPr="00453CCE" w:rsidRDefault="00786610" w:rsidP="00786610">
      <w:pPr>
        <w:pStyle w:val="SingleTxtG"/>
        <w:ind w:firstLine="567"/>
      </w:pPr>
      <w:r>
        <w:t>15.</w:t>
      </w:r>
      <w:r>
        <w:tab/>
      </w:r>
      <w:r w:rsidRPr="004164F5">
        <w:rPr>
          <w:i/>
          <w:iCs/>
        </w:rPr>
        <w:t>считает далее</w:t>
      </w:r>
      <w:r w:rsidRPr="00C60779">
        <w:t xml:space="preserve"> </w:t>
      </w:r>
      <w:r>
        <w:t xml:space="preserve">также в соответствии с мнениями Комитета, что: </w:t>
      </w:r>
    </w:p>
    <w:p w14:paraId="10480A5A" w14:textId="7583A092" w:rsidR="00786610" w:rsidRPr="00453CCE" w:rsidRDefault="00786610" w:rsidP="00786610">
      <w:pPr>
        <w:pStyle w:val="SingleTxtG"/>
        <w:ind w:firstLine="567"/>
      </w:pPr>
      <w:r>
        <w:t>a)</w:t>
      </w:r>
      <w:r>
        <w:tab/>
        <w:t>в самой Конвенции не предусмотрена приостановка прав какой-либо Стороны. Статья 19 Конвенции, регулирующая выход той или иной Стороны из Конвенции, не затрагивает вопрос о применение статей 3–6 Конвенции к планируемой деятельности, в отношении которой уже было сделано или запрошено уведомление. В</w:t>
      </w:r>
      <w:r w:rsidR="00D032A9">
        <w:t> </w:t>
      </w:r>
      <w:r>
        <w:t>отношении</w:t>
      </w:r>
      <w:r w:rsidRPr="00CE796B">
        <w:t xml:space="preserve"> временно</w:t>
      </w:r>
      <w:r>
        <w:t>й</w:t>
      </w:r>
      <w:r w:rsidRPr="00CE796B">
        <w:t xml:space="preserve"> приостанов</w:t>
      </w:r>
      <w:r>
        <w:t>ки</w:t>
      </w:r>
      <w:r w:rsidRPr="00CE796B">
        <w:t xml:space="preserve"> </w:t>
      </w:r>
      <w:r>
        <w:t>текущих или запланированных процедур в принципе</w:t>
      </w:r>
      <w:r w:rsidRPr="008A10E5">
        <w:t xml:space="preserve"> </w:t>
      </w:r>
      <w:r>
        <w:t xml:space="preserve">нельзя провести </w:t>
      </w:r>
      <w:r>
        <w:rPr>
          <w:color w:val="333333"/>
          <w:shd w:val="clear" w:color="auto" w:fill="FFFFFF"/>
        </w:rPr>
        <w:t xml:space="preserve">какую-либо </w:t>
      </w:r>
      <w:r w:rsidRPr="00CE796B">
        <w:rPr>
          <w:color w:val="333333"/>
          <w:shd w:val="clear" w:color="auto" w:fill="FFFFFF"/>
        </w:rPr>
        <w:t>аналоги</w:t>
      </w:r>
      <w:r>
        <w:rPr>
          <w:color w:val="333333"/>
          <w:shd w:val="clear" w:color="auto" w:fill="FFFFFF"/>
        </w:rPr>
        <w:t>ю</w:t>
      </w:r>
      <w:r w:rsidRPr="00312AB1">
        <w:rPr>
          <w:sz w:val="18"/>
          <w:vertAlign w:val="superscript"/>
        </w:rPr>
        <w:footnoteReference w:id="42"/>
      </w:r>
      <w:r w:rsidR="00D879A4">
        <w:t>;</w:t>
      </w:r>
    </w:p>
    <w:p w14:paraId="36C1DC96" w14:textId="77777777" w:rsidR="00786610" w:rsidRPr="00453CCE" w:rsidRDefault="00786610" w:rsidP="00786610">
      <w:pPr>
        <w:pStyle w:val="SingleTxtG"/>
        <w:ind w:firstLine="567"/>
      </w:pPr>
      <w:r>
        <w:t>b)</w:t>
      </w:r>
      <w:r>
        <w:tab/>
        <w:t>в компетенцию Комитета не входит применение или толкование международного права вне рамок Конвенции. Тем не менее в качестве причины прекращения действия этого договора или выхода из него, ограничиваемой определенными ситуациями в рамках конкретных процедур оценки трансграничного воздействия на окружающую среду, при условии рассмотрения каждого конкретного случая в отдельности возможно временное применение пункта 1 статьи 62 Венской конвенции, допускающей «коренное изменение обстоятельств»</w:t>
      </w:r>
      <w:r w:rsidRPr="00312AB1">
        <w:rPr>
          <w:sz w:val="18"/>
          <w:vertAlign w:val="superscript"/>
        </w:rPr>
        <w:footnoteReference w:id="43"/>
      </w:r>
      <w:r>
        <w:t>;</w:t>
      </w:r>
    </w:p>
    <w:p w14:paraId="463841AE" w14:textId="04CB06FE" w:rsidR="00786610" w:rsidRPr="00453CCE" w:rsidRDefault="00786610" w:rsidP="00786610">
      <w:pPr>
        <w:pStyle w:val="SingleTxtG"/>
        <w:ind w:firstLine="567"/>
      </w:pPr>
      <w:r>
        <w:t>16.</w:t>
      </w:r>
      <w:r>
        <w:tab/>
      </w:r>
      <w:r w:rsidRPr="00D952C4">
        <w:rPr>
          <w:i/>
          <w:iCs/>
        </w:rPr>
        <w:t>настоятельно призывает</w:t>
      </w:r>
      <w:r>
        <w:t xml:space="preserve"> Стороны учитывать в своей будущей работе соображения и рекомендации по дальнейшему повышению эффективности осуществления и соблюдения Конвенции, в том числе путем укрепления национального законодательства, в частности на основе, но не ограничиваясь ими, изложенных в пунктах 13–15 соображений и результатов анализа общих вопросов</w:t>
      </w:r>
      <w:r w:rsidR="00A14D6C">
        <w:t> </w:t>
      </w:r>
      <w:r>
        <w:t>соблюдения, вытекающих из обзоров осуществления, утвержденных решениями</w:t>
      </w:r>
      <w:r w:rsidR="00A14D6C">
        <w:t> </w:t>
      </w:r>
      <w:r>
        <w:t>III/1</w:t>
      </w:r>
      <w:r>
        <w:rPr>
          <w:rStyle w:val="aa"/>
        </w:rPr>
        <w:footnoteReference w:id="44"/>
      </w:r>
      <w:r>
        <w:t>, IV/1</w:t>
      </w:r>
      <w:r>
        <w:rPr>
          <w:rStyle w:val="aa"/>
        </w:rPr>
        <w:footnoteReference w:id="45"/>
      </w:r>
      <w:r>
        <w:t>, V/3</w:t>
      </w:r>
      <w:r>
        <w:rPr>
          <w:rStyle w:val="aa"/>
        </w:rPr>
        <w:footnoteReference w:id="46"/>
      </w:r>
      <w:r>
        <w:t>, VI/1</w:t>
      </w:r>
      <w:r>
        <w:rPr>
          <w:rStyle w:val="aa"/>
        </w:rPr>
        <w:footnoteReference w:id="47"/>
      </w:r>
      <w:r>
        <w:t>, VII/1</w:t>
      </w:r>
      <w:r>
        <w:rPr>
          <w:rStyle w:val="aa"/>
        </w:rPr>
        <w:footnoteReference w:id="48"/>
      </w:r>
      <w:r w:rsidR="001C158D">
        <w:t>,</w:t>
      </w:r>
      <w:r>
        <w:t xml:space="preserve"> VIII/5</w:t>
      </w:r>
      <w:r>
        <w:rPr>
          <w:rStyle w:val="aa"/>
        </w:rPr>
        <w:footnoteReference w:id="49"/>
      </w:r>
      <w:r w:rsidR="001C158D">
        <w:t xml:space="preserve"> и </w:t>
      </w:r>
      <w:r w:rsidR="001C158D" w:rsidRPr="00312AB1">
        <w:rPr>
          <w:lang w:val="en-US"/>
        </w:rPr>
        <w:t>IX</w:t>
      </w:r>
      <w:r w:rsidR="001C158D" w:rsidRPr="001C158D">
        <w:t>/4</w:t>
      </w:r>
      <w:r>
        <w:t>;</w:t>
      </w:r>
    </w:p>
    <w:p w14:paraId="773C8C38" w14:textId="7E54208F" w:rsidR="00786610" w:rsidRPr="00453CCE" w:rsidRDefault="00786610" w:rsidP="00786610">
      <w:pPr>
        <w:pStyle w:val="SingleTxtG"/>
        <w:ind w:firstLine="567"/>
      </w:pPr>
      <w:r>
        <w:t>17.</w:t>
      </w:r>
      <w:r>
        <w:tab/>
      </w:r>
      <w:r w:rsidRPr="00B967A7">
        <w:rPr>
          <w:i/>
          <w:iCs/>
        </w:rPr>
        <w:t>настоятельно призывает также</w:t>
      </w:r>
      <w:r>
        <w:t xml:space="preserve"> Стороны принять во внимание в своей дальнейшей работе мнения Комитета, выработанные в период 2001−2023 годов, и</w:t>
      </w:r>
      <w:r w:rsidR="00DB587D">
        <w:t> </w:t>
      </w:r>
      <w:r>
        <w:t>просит секретариат организовать новый выпуск неофициальной электронной публикации этих мнений с целью включения в них мнений Комитета за 2021, 2022 и 2023 годы;</w:t>
      </w:r>
    </w:p>
    <w:p w14:paraId="68DC42A4" w14:textId="6ABDF3E3" w:rsidR="00786610" w:rsidRPr="00453CCE" w:rsidRDefault="00786610" w:rsidP="00786610">
      <w:pPr>
        <w:pStyle w:val="SingleTxtG"/>
        <w:ind w:firstLine="567"/>
      </w:pPr>
      <w:r>
        <w:t>18.</w:t>
      </w:r>
      <w:r>
        <w:tab/>
      </w:r>
      <w:r w:rsidRPr="00B466D6">
        <w:rPr>
          <w:i/>
          <w:iCs/>
        </w:rPr>
        <w:t>принимает</w:t>
      </w:r>
      <w:r>
        <w:t xml:space="preserve"> изложенные в документе ECE/MP.EIA/2023/5</w:t>
      </w:r>
      <w:r w:rsidR="00053D9D">
        <w:t>–</w:t>
      </w:r>
      <w:r>
        <w:t>ECE/MP.EIA/SEA/2023/5 поправки к структурам и функциям, а также к рабочим правилам Комитета по осуществлению, которые должны применяться на любом совещании и в рамках любой другой формы осуществления деятельности Комитета, и</w:t>
      </w:r>
      <w:r w:rsidR="00053D9D">
        <w:t> </w:t>
      </w:r>
      <w:r>
        <w:t>поручает секретариату организовать публикацию измененных структур и функций, а также рабочих правил в электронном формате в качестве официального документа;</w:t>
      </w:r>
    </w:p>
    <w:p w14:paraId="64F588FC" w14:textId="77777777" w:rsidR="00786610" w:rsidRDefault="00786610" w:rsidP="00786610">
      <w:pPr>
        <w:pStyle w:val="SingleTxtG"/>
        <w:ind w:firstLine="567"/>
      </w:pPr>
      <w:bookmarkStart w:id="2" w:name="_Hlk35099642"/>
      <w:r>
        <w:t>19.</w:t>
      </w:r>
      <w:r>
        <w:tab/>
      </w:r>
      <w:r w:rsidRPr="00461F2C">
        <w:rPr>
          <w:i/>
          <w:iCs/>
        </w:rPr>
        <w:t>постановляет</w:t>
      </w:r>
      <w:r>
        <w:t xml:space="preserve"> продолжить рассмотрение и, при необходимости, дальнейшую разработку структуры и функций, а также рабочих правил Комитета и просит Комитет подготовить предложения, которые он сочтет необходимыми, для представления Совещанию Сторон на его десятой сессии.</w:t>
      </w:r>
      <w:bookmarkEnd w:id="2"/>
    </w:p>
    <w:p w14:paraId="59DF44A0" w14:textId="4009181A" w:rsidR="00E12C5F" w:rsidRPr="008D53B6" w:rsidRDefault="00786610" w:rsidP="00786610">
      <w:pPr>
        <w:spacing w:before="240"/>
        <w:jc w:val="center"/>
      </w:pPr>
      <w:r>
        <w:rPr>
          <w:u w:val="single"/>
          <w:lang w:val="en-US"/>
        </w:rPr>
        <w:tab/>
      </w:r>
      <w:r>
        <w:rPr>
          <w:u w:val="single"/>
          <w:lang w:val="en-US"/>
        </w:rPr>
        <w:tab/>
      </w:r>
      <w:r>
        <w:rPr>
          <w:u w:val="single"/>
          <w:lang w:val="en-US"/>
        </w:rPr>
        <w:tab/>
      </w:r>
    </w:p>
    <w:sectPr w:rsidR="00E12C5F" w:rsidRPr="008D53B6" w:rsidSect="00786610">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2D400" w14:textId="77777777" w:rsidR="00115791" w:rsidRPr="00A312BC" w:rsidRDefault="00115791" w:rsidP="00A312BC"/>
  </w:endnote>
  <w:endnote w:type="continuationSeparator" w:id="0">
    <w:p w14:paraId="01C6B451" w14:textId="77777777" w:rsidR="00115791" w:rsidRPr="00A312BC" w:rsidRDefault="00115791"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35661" w14:textId="5A9FBBAE" w:rsidR="00786610" w:rsidRPr="00786610" w:rsidRDefault="00786610">
    <w:pPr>
      <w:pStyle w:val="a8"/>
    </w:pPr>
    <w:r w:rsidRPr="00786610">
      <w:rPr>
        <w:b/>
        <w:sz w:val="18"/>
      </w:rPr>
      <w:fldChar w:fldCharType="begin"/>
    </w:r>
    <w:r w:rsidRPr="00786610">
      <w:rPr>
        <w:b/>
        <w:sz w:val="18"/>
      </w:rPr>
      <w:instrText xml:space="preserve"> PAGE  \* MERGEFORMAT </w:instrText>
    </w:r>
    <w:r w:rsidRPr="00786610">
      <w:rPr>
        <w:b/>
        <w:sz w:val="18"/>
      </w:rPr>
      <w:fldChar w:fldCharType="separate"/>
    </w:r>
    <w:r w:rsidRPr="00786610">
      <w:rPr>
        <w:b/>
        <w:noProof/>
        <w:sz w:val="18"/>
      </w:rPr>
      <w:t>2</w:t>
    </w:r>
    <w:r w:rsidRPr="00786610">
      <w:rPr>
        <w:b/>
        <w:sz w:val="18"/>
      </w:rPr>
      <w:fldChar w:fldCharType="end"/>
    </w:r>
    <w:r>
      <w:rPr>
        <w:b/>
        <w:sz w:val="18"/>
      </w:rPr>
      <w:tab/>
    </w:r>
    <w:r>
      <w:t>GE.23-18435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991A3" w14:textId="1F3BD16F" w:rsidR="00786610" w:rsidRPr="00786610" w:rsidRDefault="00786610" w:rsidP="00786610">
    <w:pPr>
      <w:pStyle w:val="a8"/>
      <w:tabs>
        <w:tab w:val="clear" w:pos="9639"/>
        <w:tab w:val="right" w:pos="9638"/>
      </w:tabs>
      <w:rPr>
        <w:b/>
        <w:sz w:val="18"/>
      </w:rPr>
    </w:pPr>
    <w:r>
      <w:t>GE.23-18435</w:t>
    </w:r>
    <w:r>
      <w:tab/>
    </w:r>
    <w:r w:rsidRPr="00786610">
      <w:rPr>
        <w:b/>
        <w:sz w:val="18"/>
      </w:rPr>
      <w:fldChar w:fldCharType="begin"/>
    </w:r>
    <w:r w:rsidRPr="00786610">
      <w:rPr>
        <w:b/>
        <w:sz w:val="18"/>
      </w:rPr>
      <w:instrText xml:space="preserve"> PAGE  \* MERGEFORMAT </w:instrText>
    </w:r>
    <w:r w:rsidRPr="00786610">
      <w:rPr>
        <w:b/>
        <w:sz w:val="18"/>
      </w:rPr>
      <w:fldChar w:fldCharType="separate"/>
    </w:r>
    <w:r w:rsidRPr="00786610">
      <w:rPr>
        <w:b/>
        <w:noProof/>
        <w:sz w:val="18"/>
      </w:rPr>
      <w:t>3</w:t>
    </w:r>
    <w:r w:rsidRPr="0078661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8DABE" w14:textId="28EDFB8E" w:rsidR="00042B72" w:rsidRPr="00786610" w:rsidRDefault="00786610" w:rsidP="00786610">
    <w:pPr>
      <w:spacing w:before="120" w:line="240" w:lineRule="auto"/>
      <w:rPr>
        <w:lang w:val="fr-CH"/>
      </w:rPr>
    </w:pPr>
    <w:r>
      <w:t>GE.</w:t>
    </w:r>
    <w:r w:rsidR="00DF71B9">
      <w:rPr>
        <w:b/>
        <w:noProof/>
        <w:lang w:val="fr-CH" w:eastAsia="fr-CH"/>
      </w:rPr>
      <w:drawing>
        <wp:anchor distT="0" distB="0" distL="114300" distR="114300" simplePos="0" relativeHeight="251658240" behindDoc="0" locked="0" layoutInCell="1" allowOverlap="1" wp14:anchorId="3D54E947" wp14:editId="3868DD6A">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23-18435  (R)</w:t>
    </w:r>
    <w:r>
      <w:rPr>
        <w:noProof/>
      </w:rPr>
      <w:drawing>
        <wp:anchor distT="0" distB="0" distL="114300" distR="114300" simplePos="0" relativeHeight="251659264" behindDoc="0" locked="0" layoutInCell="1" allowOverlap="1" wp14:anchorId="7B71A628" wp14:editId="77F52160">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fr-CH"/>
      </w:rPr>
      <w:t xml:space="preserve">  021023  1</w:t>
    </w:r>
    <w:r w:rsidR="00126F3A">
      <w:t>8</w:t>
    </w:r>
    <w:r>
      <w:rPr>
        <w:lang w:val="fr-CH"/>
      </w:rPr>
      <w:t>1023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24615" w14:textId="77777777" w:rsidR="00115791" w:rsidRPr="001075E9" w:rsidRDefault="00115791" w:rsidP="001075E9">
      <w:pPr>
        <w:tabs>
          <w:tab w:val="right" w:pos="2155"/>
        </w:tabs>
        <w:spacing w:after="80" w:line="240" w:lineRule="auto"/>
        <w:ind w:left="680"/>
        <w:rPr>
          <w:u w:val="single"/>
        </w:rPr>
      </w:pPr>
      <w:r>
        <w:rPr>
          <w:u w:val="single"/>
        </w:rPr>
        <w:tab/>
      </w:r>
    </w:p>
  </w:footnote>
  <w:footnote w:type="continuationSeparator" w:id="0">
    <w:p w14:paraId="065BAACC" w14:textId="77777777" w:rsidR="00115791" w:rsidRDefault="00115791" w:rsidP="00407B78">
      <w:pPr>
        <w:tabs>
          <w:tab w:val="right" w:pos="2155"/>
        </w:tabs>
        <w:spacing w:after="80"/>
        <w:ind w:left="680"/>
        <w:rPr>
          <w:u w:val="single"/>
        </w:rPr>
      </w:pPr>
      <w:r>
        <w:rPr>
          <w:u w:val="single"/>
        </w:rPr>
        <w:tab/>
      </w:r>
    </w:p>
  </w:footnote>
  <w:footnote w:id="1">
    <w:p w14:paraId="5990849A" w14:textId="77777777" w:rsidR="00BF418D" w:rsidRPr="002D2C04" w:rsidRDefault="00BF418D" w:rsidP="00BF418D">
      <w:pPr>
        <w:pStyle w:val="ad"/>
      </w:pPr>
      <w:r w:rsidRPr="00B76EA2">
        <w:tab/>
      </w:r>
      <w:r>
        <w:rPr>
          <w:rStyle w:val="aa"/>
        </w:rPr>
        <w:footnoteRef/>
      </w:r>
      <w:r w:rsidRPr="002D2C04">
        <w:t xml:space="preserve"> </w:t>
      </w:r>
      <w:r w:rsidRPr="002D2C04">
        <w:tab/>
      </w:r>
      <w:r w:rsidRPr="002D2C04">
        <w:rPr>
          <w:szCs w:val="18"/>
        </w:rPr>
        <w:t xml:space="preserve">См. </w:t>
      </w:r>
      <w:r w:rsidRPr="00745DF1">
        <w:rPr>
          <w:szCs w:val="18"/>
        </w:rPr>
        <w:t>ECE</w:t>
      </w:r>
      <w:r w:rsidRPr="002D2C04">
        <w:rPr>
          <w:szCs w:val="18"/>
        </w:rPr>
        <w:t>/</w:t>
      </w:r>
      <w:r w:rsidRPr="00745DF1">
        <w:rPr>
          <w:szCs w:val="18"/>
        </w:rPr>
        <w:t>MP</w:t>
      </w:r>
      <w:r w:rsidRPr="002D2C04">
        <w:rPr>
          <w:szCs w:val="18"/>
        </w:rPr>
        <w:t>.</w:t>
      </w:r>
      <w:r w:rsidRPr="00745DF1">
        <w:rPr>
          <w:szCs w:val="18"/>
        </w:rPr>
        <w:t>EIA</w:t>
      </w:r>
      <w:r w:rsidRPr="002D2C04">
        <w:rPr>
          <w:szCs w:val="18"/>
        </w:rPr>
        <w:t xml:space="preserve">/6, </w:t>
      </w:r>
      <w:r>
        <w:rPr>
          <w:szCs w:val="18"/>
        </w:rPr>
        <w:t>приложение</w:t>
      </w:r>
      <w:r w:rsidRPr="002D2C04">
        <w:rPr>
          <w:szCs w:val="18"/>
        </w:rPr>
        <w:t xml:space="preserve"> </w:t>
      </w:r>
      <w:r>
        <w:rPr>
          <w:szCs w:val="18"/>
        </w:rPr>
        <w:t>II</w:t>
      </w:r>
      <w:r w:rsidRPr="002D2C04">
        <w:rPr>
          <w:szCs w:val="18"/>
        </w:rPr>
        <w:t>.</w:t>
      </w:r>
    </w:p>
  </w:footnote>
  <w:footnote w:id="2">
    <w:p w14:paraId="1EC1FCD3" w14:textId="77777777" w:rsidR="00BF418D" w:rsidRPr="009B5957" w:rsidRDefault="00BF418D" w:rsidP="00BF418D">
      <w:pPr>
        <w:pStyle w:val="ad"/>
      </w:pPr>
      <w:r w:rsidRPr="002D2C04">
        <w:tab/>
      </w:r>
      <w:r>
        <w:rPr>
          <w:rStyle w:val="aa"/>
        </w:rPr>
        <w:footnoteRef/>
      </w:r>
      <w:r w:rsidRPr="009B5957">
        <w:t xml:space="preserve"> </w:t>
      </w:r>
      <w:r w:rsidRPr="009B5957">
        <w:tab/>
      </w:r>
      <w:r w:rsidRPr="009B5957">
        <w:rPr>
          <w:szCs w:val="18"/>
        </w:rPr>
        <w:t xml:space="preserve">См. </w:t>
      </w:r>
      <w:r w:rsidRPr="00745DF1">
        <w:rPr>
          <w:szCs w:val="18"/>
        </w:rPr>
        <w:t>ECE</w:t>
      </w:r>
      <w:r w:rsidRPr="009B5957">
        <w:rPr>
          <w:szCs w:val="18"/>
        </w:rPr>
        <w:t>/</w:t>
      </w:r>
      <w:r w:rsidRPr="00745DF1">
        <w:rPr>
          <w:szCs w:val="18"/>
        </w:rPr>
        <w:t>MP</w:t>
      </w:r>
      <w:r w:rsidRPr="009B5957">
        <w:rPr>
          <w:szCs w:val="18"/>
        </w:rPr>
        <w:t>.</w:t>
      </w:r>
      <w:r w:rsidRPr="00745DF1">
        <w:rPr>
          <w:szCs w:val="18"/>
        </w:rPr>
        <w:t>EIA</w:t>
      </w:r>
      <w:r w:rsidRPr="009B5957">
        <w:rPr>
          <w:szCs w:val="18"/>
        </w:rPr>
        <w:t>/10.</w:t>
      </w:r>
    </w:p>
  </w:footnote>
  <w:footnote w:id="3">
    <w:p w14:paraId="0DA2AF5E" w14:textId="77777777" w:rsidR="00786610" w:rsidRPr="009B5957" w:rsidRDefault="00786610" w:rsidP="00786610">
      <w:pPr>
        <w:pStyle w:val="ad"/>
      </w:pPr>
      <w:r w:rsidRPr="009B5957">
        <w:tab/>
      </w:r>
      <w:r>
        <w:rPr>
          <w:rStyle w:val="aa"/>
        </w:rPr>
        <w:footnoteRef/>
      </w:r>
      <w:r w:rsidRPr="009B5957">
        <w:t xml:space="preserve"> </w:t>
      </w:r>
      <w:r w:rsidRPr="009B5957">
        <w:tab/>
      </w:r>
      <w:r w:rsidRPr="009B5957">
        <w:rPr>
          <w:szCs w:val="18"/>
        </w:rPr>
        <w:t xml:space="preserve">См. </w:t>
      </w:r>
      <w:r w:rsidRPr="00745DF1">
        <w:rPr>
          <w:szCs w:val="18"/>
        </w:rPr>
        <w:t>ECE</w:t>
      </w:r>
      <w:r w:rsidRPr="009B5957">
        <w:rPr>
          <w:szCs w:val="18"/>
        </w:rPr>
        <w:t>/</w:t>
      </w:r>
      <w:r w:rsidRPr="00745DF1">
        <w:rPr>
          <w:szCs w:val="18"/>
        </w:rPr>
        <w:t>MP</w:t>
      </w:r>
      <w:r w:rsidRPr="009B5957">
        <w:rPr>
          <w:szCs w:val="18"/>
        </w:rPr>
        <w:t>.</w:t>
      </w:r>
      <w:r w:rsidRPr="00745DF1">
        <w:rPr>
          <w:szCs w:val="18"/>
        </w:rPr>
        <w:t>EIA</w:t>
      </w:r>
      <w:r w:rsidRPr="009B5957">
        <w:rPr>
          <w:szCs w:val="18"/>
        </w:rPr>
        <w:t>/15.</w:t>
      </w:r>
    </w:p>
  </w:footnote>
  <w:footnote w:id="4">
    <w:p w14:paraId="352E7427" w14:textId="77777777" w:rsidR="00786610" w:rsidRPr="00C844A6" w:rsidRDefault="00786610" w:rsidP="00786610">
      <w:pPr>
        <w:pStyle w:val="ad"/>
        <w:rPr>
          <w:lang w:val="es-ES"/>
        </w:rPr>
      </w:pPr>
      <w:r w:rsidRPr="009B5957">
        <w:tab/>
      </w:r>
      <w:r>
        <w:rPr>
          <w:rStyle w:val="aa"/>
        </w:rPr>
        <w:footnoteRef/>
      </w:r>
      <w:r w:rsidRPr="00C844A6">
        <w:rPr>
          <w:lang w:val="es-ES"/>
        </w:rPr>
        <w:t xml:space="preserve"> </w:t>
      </w:r>
      <w:r w:rsidRPr="00C844A6">
        <w:rPr>
          <w:lang w:val="es-ES"/>
        </w:rPr>
        <w:tab/>
      </w:r>
      <w:r>
        <w:rPr>
          <w:szCs w:val="18"/>
        </w:rPr>
        <w:t>См</w:t>
      </w:r>
      <w:r w:rsidRPr="00C844A6">
        <w:rPr>
          <w:szCs w:val="18"/>
          <w:lang w:val="es-ES"/>
        </w:rPr>
        <w:t>. ECE/MP.EIA/20.Add.1–ECE/MP.EIA/SEA/4.Add.1</w:t>
      </w:r>
      <w:r w:rsidRPr="00C844A6">
        <w:rPr>
          <w:lang w:val="es-ES"/>
        </w:rPr>
        <w:t>.</w:t>
      </w:r>
    </w:p>
  </w:footnote>
  <w:footnote w:id="5">
    <w:p w14:paraId="522ACF30" w14:textId="77777777" w:rsidR="00786610" w:rsidRPr="00C844A6" w:rsidRDefault="00786610" w:rsidP="00786610">
      <w:pPr>
        <w:pStyle w:val="ad"/>
        <w:rPr>
          <w:lang w:val="es-ES"/>
        </w:rPr>
      </w:pPr>
      <w:r w:rsidRPr="00C844A6">
        <w:rPr>
          <w:lang w:val="es-ES"/>
        </w:rPr>
        <w:tab/>
      </w:r>
      <w:r>
        <w:rPr>
          <w:rStyle w:val="aa"/>
        </w:rPr>
        <w:footnoteRef/>
      </w:r>
      <w:r w:rsidRPr="00C844A6">
        <w:rPr>
          <w:lang w:val="es-ES"/>
        </w:rPr>
        <w:t xml:space="preserve"> </w:t>
      </w:r>
      <w:r w:rsidRPr="00C844A6">
        <w:rPr>
          <w:lang w:val="es-ES"/>
        </w:rPr>
        <w:tab/>
      </w:r>
      <w:r>
        <w:rPr>
          <w:szCs w:val="18"/>
        </w:rPr>
        <w:t>См</w:t>
      </w:r>
      <w:r w:rsidRPr="00C844A6">
        <w:rPr>
          <w:szCs w:val="18"/>
          <w:lang w:val="es-ES"/>
        </w:rPr>
        <w:t>. ECE/MP.EIA/27/Add.1–ECE/MP.EIA/SEA/11/Add.1.</w:t>
      </w:r>
    </w:p>
  </w:footnote>
  <w:footnote w:id="6">
    <w:p w14:paraId="4F5B482B" w14:textId="77777777" w:rsidR="00786610" w:rsidRPr="00C844A6" w:rsidRDefault="00786610" w:rsidP="00786610">
      <w:pPr>
        <w:pStyle w:val="ad"/>
        <w:rPr>
          <w:lang w:val="es-ES"/>
        </w:rPr>
      </w:pPr>
      <w:r w:rsidRPr="00C844A6">
        <w:rPr>
          <w:lang w:val="es-ES"/>
        </w:rPr>
        <w:tab/>
      </w:r>
      <w:r>
        <w:rPr>
          <w:rStyle w:val="aa"/>
        </w:rPr>
        <w:footnoteRef/>
      </w:r>
      <w:r w:rsidRPr="00C844A6">
        <w:rPr>
          <w:lang w:val="es-ES"/>
        </w:rPr>
        <w:t xml:space="preserve"> </w:t>
      </w:r>
      <w:r w:rsidRPr="00C844A6">
        <w:rPr>
          <w:lang w:val="es-ES"/>
        </w:rPr>
        <w:tab/>
      </w:r>
      <w:r>
        <w:rPr>
          <w:szCs w:val="18"/>
        </w:rPr>
        <w:t>См</w:t>
      </w:r>
      <w:r w:rsidRPr="00C844A6">
        <w:rPr>
          <w:szCs w:val="18"/>
          <w:lang w:val="es-ES"/>
        </w:rPr>
        <w:t>. ECE/MP.EIA/30/Add.2–ECE/MP.EIA/SEA/13/Add.2.</w:t>
      </w:r>
    </w:p>
  </w:footnote>
  <w:footnote w:id="7">
    <w:p w14:paraId="7BEC6A64" w14:textId="77777777" w:rsidR="00786610" w:rsidRPr="00453CCE" w:rsidRDefault="00786610" w:rsidP="00786610">
      <w:pPr>
        <w:pStyle w:val="ad"/>
      </w:pPr>
      <w:r w:rsidRPr="00C844A6">
        <w:rPr>
          <w:lang w:val="es-ES"/>
        </w:rPr>
        <w:tab/>
      </w:r>
      <w:r>
        <w:rPr>
          <w:rStyle w:val="aa"/>
        </w:rPr>
        <w:footnoteRef/>
      </w:r>
      <w:r>
        <w:t xml:space="preserve"> </w:t>
      </w:r>
      <w:r>
        <w:tab/>
        <w:t>Там же.</w:t>
      </w:r>
    </w:p>
  </w:footnote>
  <w:footnote w:id="8">
    <w:p w14:paraId="37BA7730" w14:textId="77777777" w:rsidR="00786610" w:rsidRPr="009B5957" w:rsidRDefault="00786610" w:rsidP="00786610">
      <w:pPr>
        <w:pStyle w:val="ad"/>
      </w:pPr>
      <w:r w:rsidRPr="009B5957">
        <w:tab/>
      </w:r>
      <w:r>
        <w:rPr>
          <w:rStyle w:val="aa"/>
        </w:rPr>
        <w:footnoteRef/>
      </w:r>
      <w:r w:rsidRPr="009B5957">
        <w:t xml:space="preserve"> </w:t>
      </w:r>
      <w:r w:rsidRPr="009B5957">
        <w:tab/>
      </w:r>
      <w:r w:rsidRPr="009B5957">
        <w:rPr>
          <w:szCs w:val="18"/>
        </w:rPr>
        <w:t xml:space="preserve">См. </w:t>
      </w:r>
      <w:r w:rsidRPr="00745DF1">
        <w:rPr>
          <w:szCs w:val="18"/>
        </w:rPr>
        <w:t>ECE</w:t>
      </w:r>
      <w:r w:rsidRPr="009B5957">
        <w:rPr>
          <w:szCs w:val="18"/>
        </w:rPr>
        <w:t>/</w:t>
      </w:r>
      <w:r w:rsidRPr="00745DF1">
        <w:rPr>
          <w:szCs w:val="18"/>
        </w:rPr>
        <w:t>MP</w:t>
      </w:r>
      <w:r w:rsidRPr="009B5957">
        <w:rPr>
          <w:szCs w:val="18"/>
        </w:rPr>
        <w:t>.</w:t>
      </w:r>
      <w:r w:rsidRPr="00745DF1">
        <w:rPr>
          <w:szCs w:val="18"/>
        </w:rPr>
        <w:t>EIA</w:t>
      </w:r>
      <w:r w:rsidRPr="009B5957">
        <w:rPr>
          <w:szCs w:val="18"/>
        </w:rPr>
        <w:t>/</w:t>
      </w:r>
      <w:r w:rsidRPr="00745DF1">
        <w:rPr>
          <w:szCs w:val="18"/>
        </w:rPr>
        <w:t>IC</w:t>
      </w:r>
      <w:r w:rsidRPr="009B5957">
        <w:rPr>
          <w:szCs w:val="18"/>
        </w:rPr>
        <w:t>/2023/9.</w:t>
      </w:r>
    </w:p>
  </w:footnote>
  <w:footnote w:id="9">
    <w:p w14:paraId="077B45D5" w14:textId="77777777" w:rsidR="00786610" w:rsidRPr="00C844A6" w:rsidRDefault="00786610" w:rsidP="00786610">
      <w:pPr>
        <w:pStyle w:val="ad"/>
      </w:pPr>
      <w:r w:rsidRPr="009B5957">
        <w:tab/>
      </w:r>
      <w:r>
        <w:rPr>
          <w:rStyle w:val="aa"/>
        </w:rPr>
        <w:footnoteRef/>
      </w:r>
      <w:r w:rsidRPr="00C844A6">
        <w:t xml:space="preserve"> </w:t>
      </w:r>
      <w:r w:rsidRPr="00C844A6">
        <w:tab/>
      </w:r>
      <w:r w:rsidRPr="00C844A6">
        <w:rPr>
          <w:szCs w:val="18"/>
        </w:rPr>
        <w:t xml:space="preserve">См. </w:t>
      </w:r>
      <w:r w:rsidRPr="00745DF1">
        <w:rPr>
          <w:szCs w:val="18"/>
        </w:rPr>
        <w:t>ECE</w:t>
      </w:r>
      <w:r w:rsidRPr="00C844A6">
        <w:rPr>
          <w:szCs w:val="18"/>
        </w:rPr>
        <w:t>/</w:t>
      </w:r>
      <w:r w:rsidRPr="00745DF1">
        <w:rPr>
          <w:szCs w:val="18"/>
        </w:rPr>
        <w:t>MP</w:t>
      </w:r>
      <w:r w:rsidRPr="00C844A6">
        <w:rPr>
          <w:szCs w:val="18"/>
        </w:rPr>
        <w:t>.</w:t>
      </w:r>
      <w:r w:rsidRPr="00745DF1">
        <w:rPr>
          <w:szCs w:val="18"/>
        </w:rPr>
        <w:t>EIA</w:t>
      </w:r>
      <w:r w:rsidRPr="00C844A6">
        <w:rPr>
          <w:szCs w:val="18"/>
        </w:rPr>
        <w:t>/</w:t>
      </w:r>
      <w:r w:rsidRPr="00745DF1">
        <w:rPr>
          <w:szCs w:val="18"/>
        </w:rPr>
        <w:t>IC</w:t>
      </w:r>
      <w:r w:rsidRPr="00C844A6">
        <w:rPr>
          <w:szCs w:val="18"/>
        </w:rPr>
        <w:t>/2023/5.</w:t>
      </w:r>
    </w:p>
  </w:footnote>
  <w:footnote w:id="10">
    <w:p w14:paraId="1F32A43E" w14:textId="77777777" w:rsidR="00786610" w:rsidRPr="00C844A6" w:rsidRDefault="00786610" w:rsidP="00786610">
      <w:pPr>
        <w:pStyle w:val="ad"/>
      </w:pPr>
      <w:r w:rsidRPr="00C844A6">
        <w:tab/>
      </w:r>
      <w:r>
        <w:rPr>
          <w:rStyle w:val="aa"/>
        </w:rPr>
        <w:footnoteRef/>
      </w:r>
      <w:r w:rsidRPr="00C844A6">
        <w:t xml:space="preserve"> </w:t>
      </w:r>
      <w:r w:rsidRPr="00C844A6">
        <w:tab/>
      </w:r>
      <w:r w:rsidRPr="00C844A6">
        <w:rPr>
          <w:szCs w:val="18"/>
        </w:rPr>
        <w:t xml:space="preserve">См. </w:t>
      </w:r>
      <w:r w:rsidRPr="00745DF1">
        <w:rPr>
          <w:szCs w:val="18"/>
        </w:rPr>
        <w:t>ECE</w:t>
      </w:r>
      <w:r w:rsidRPr="00C844A6">
        <w:rPr>
          <w:szCs w:val="18"/>
        </w:rPr>
        <w:t>/</w:t>
      </w:r>
      <w:r w:rsidRPr="00745DF1">
        <w:rPr>
          <w:szCs w:val="18"/>
        </w:rPr>
        <w:t>MP</w:t>
      </w:r>
      <w:r w:rsidRPr="00C844A6">
        <w:rPr>
          <w:szCs w:val="18"/>
        </w:rPr>
        <w:t>.</w:t>
      </w:r>
      <w:r w:rsidRPr="00745DF1">
        <w:rPr>
          <w:szCs w:val="18"/>
        </w:rPr>
        <w:t>EIA</w:t>
      </w:r>
      <w:r w:rsidRPr="00C844A6">
        <w:rPr>
          <w:szCs w:val="18"/>
        </w:rPr>
        <w:t>/</w:t>
      </w:r>
      <w:r w:rsidRPr="00745DF1">
        <w:rPr>
          <w:szCs w:val="18"/>
        </w:rPr>
        <w:t>IC</w:t>
      </w:r>
      <w:r w:rsidRPr="00C844A6">
        <w:rPr>
          <w:szCs w:val="18"/>
        </w:rPr>
        <w:t>/2022/8.</w:t>
      </w:r>
    </w:p>
  </w:footnote>
  <w:footnote w:id="11">
    <w:p w14:paraId="74D3AA46" w14:textId="77777777" w:rsidR="00786610" w:rsidRPr="00C844A6" w:rsidRDefault="00786610" w:rsidP="00786610">
      <w:pPr>
        <w:pStyle w:val="ad"/>
      </w:pPr>
      <w:r w:rsidRPr="00C844A6">
        <w:tab/>
      </w:r>
      <w:r>
        <w:rPr>
          <w:rStyle w:val="aa"/>
        </w:rPr>
        <w:footnoteRef/>
      </w:r>
      <w:r w:rsidRPr="00C844A6">
        <w:tab/>
        <w:t xml:space="preserve">См. </w:t>
      </w:r>
      <w:r w:rsidRPr="000B7D07">
        <w:t>ECE</w:t>
      </w:r>
      <w:r w:rsidRPr="00C844A6">
        <w:t>/</w:t>
      </w:r>
      <w:r w:rsidRPr="000B7D07">
        <w:t>MP</w:t>
      </w:r>
      <w:r w:rsidRPr="00C844A6">
        <w:t>.</w:t>
      </w:r>
      <w:r w:rsidRPr="000B7D07">
        <w:t>EIA</w:t>
      </w:r>
      <w:r w:rsidRPr="00C844A6">
        <w:t>/</w:t>
      </w:r>
      <w:r w:rsidRPr="000B7D07">
        <w:t>IC</w:t>
      </w:r>
      <w:r w:rsidRPr="00C844A6">
        <w:t xml:space="preserve">/2023/8, </w:t>
      </w:r>
      <w:r>
        <w:t>приложение</w:t>
      </w:r>
      <w:r w:rsidRPr="00C844A6">
        <w:t xml:space="preserve"> </w:t>
      </w:r>
      <w:r>
        <w:t>I</w:t>
      </w:r>
      <w:r w:rsidRPr="00C844A6">
        <w:t xml:space="preserve">. </w:t>
      </w:r>
    </w:p>
  </w:footnote>
  <w:footnote w:id="12">
    <w:p w14:paraId="773831C4" w14:textId="77777777" w:rsidR="00786610" w:rsidRPr="00C844A6" w:rsidRDefault="00786610" w:rsidP="00786610">
      <w:pPr>
        <w:pStyle w:val="ad"/>
      </w:pPr>
      <w:r w:rsidRPr="00C844A6">
        <w:tab/>
      </w:r>
      <w:r>
        <w:rPr>
          <w:rStyle w:val="aa"/>
        </w:rPr>
        <w:footnoteRef/>
      </w:r>
      <w:r w:rsidRPr="00C844A6">
        <w:t xml:space="preserve"> </w:t>
      </w:r>
      <w:r w:rsidRPr="00C844A6">
        <w:tab/>
      </w:r>
      <w:r w:rsidRPr="00C844A6">
        <w:rPr>
          <w:szCs w:val="18"/>
        </w:rPr>
        <w:t xml:space="preserve">См. </w:t>
      </w:r>
      <w:r w:rsidRPr="00745DF1">
        <w:rPr>
          <w:szCs w:val="18"/>
        </w:rPr>
        <w:t>ECE</w:t>
      </w:r>
      <w:r w:rsidRPr="00C844A6">
        <w:rPr>
          <w:szCs w:val="18"/>
        </w:rPr>
        <w:t>/</w:t>
      </w:r>
      <w:r w:rsidRPr="00745DF1">
        <w:rPr>
          <w:szCs w:val="18"/>
        </w:rPr>
        <w:t>MP</w:t>
      </w:r>
      <w:r w:rsidRPr="00C844A6">
        <w:rPr>
          <w:szCs w:val="18"/>
        </w:rPr>
        <w:t>.</w:t>
      </w:r>
      <w:r w:rsidRPr="00745DF1">
        <w:rPr>
          <w:szCs w:val="18"/>
        </w:rPr>
        <w:t>EIA</w:t>
      </w:r>
      <w:r w:rsidRPr="00C844A6">
        <w:rPr>
          <w:szCs w:val="18"/>
        </w:rPr>
        <w:t>/</w:t>
      </w:r>
      <w:r w:rsidRPr="00745DF1">
        <w:rPr>
          <w:szCs w:val="18"/>
        </w:rPr>
        <w:t>IC</w:t>
      </w:r>
      <w:r w:rsidRPr="00C844A6">
        <w:rPr>
          <w:szCs w:val="18"/>
        </w:rPr>
        <w:t>/2023/10.</w:t>
      </w:r>
    </w:p>
  </w:footnote>
  <w:footnote w:id="13">
    <w:p w14:paraId="41DA3399" w14:textId="77777777" w:rsidR="00786610" w:rsidRPr="00C844A6" w:rsidRDefault="00786610" w:rsidP="00786610">
      <w:pPr>
        <w:pStyle w:val="ad"/>
      </w:pPr>
      <w:r w:rsidRPr="00C844A6">
        <w:tab/>
      </w:r>
      <w:r>
        <w:rPr>
          <w:rStyle w:val="aa"/>
        </w:rPr>
        <w:footnoteRef/>
      </w:r>
      <w:r w:rsidRPr="00C844A6">
        <w:t xml:space="preserve"> </w:t>
      </w:r>
      <w:r w:rsidRPr="00C844A6">
        <w:tab/>
      </w:r>
      <w:r w:rsidRPr="00C844A6">
        <w:rPr>
          <w:szCs w:val="18"/>
        </w:rPr>
        <w:t xml:space="preserve">См. </w:t>
      </w:r>
      <w:r w:rsidRPr="00745DF1">
        <w:rPr>
          <w:szCs w:val="18"/>
        </w:rPr>
        <w:t>ECE</w:t>
      </w:r>
      <w:r w:rsidRPr="00C844A6">
        <w:rPr>
          <w:szCs w:val="18"/>
        </w:rPr>
        <w:t>/</w:t>
      </w:r>
      <w:r w:rsidRPr="00745DF1">
        <w:rPr>
          <w:szCs w:val="18"/>
        </w:rPr>
        <w:t>MP</w:t>
      </w:r>
      <w:r w:rsidRPr="00C844A6">
        <w:rPr>
          <w:szCs w:val="18"/>
        </w:rPr>
        <w:t>.</w:t>
      </w:r>
      <w:r w:rsidRPr="00745DF1">
        <w:rPr>
          <w:szCs w:val="18"/>
        </w:rPr>
        <w:t>EIA</w:t>
      </w:r>
      <w:r w:rsidRPr="00C844A6">
        <w:rPr>
          <w:szCs w:val="18"/>
        </w:rPr>
        <w:t>/</w:t>
      </w:r>
      <w:r w:rsidRPr="00745DF1">
        <w:rPr>
          <w:szCs w:val="18"/>
        </w:rPr>
        <w:t>IC</w:t>
      </w:r>
      <w:r w:rsidRPr="00C844A6">
        <w:rPr>
          <w:szCs w:val="18"/>
        </w:rPr>
        <w:t>/2023/6.</w:t>
      </w:r>
    </w:p>
  </w:footnote>
  <w:footnote w:id="14">
    <w:p w14:paraId="6AFA571C" w14:textId="77777777" w:rsidR="00786610" w:rsidRPr="00C844A6" w:rsidRDefault="00786610" w:rsidP="00786610">
      <w:pPr>
        <w:pStyle w:val="ad"/>
      </w:pPr>
      <w:r w:rsidRPr="00C844A6">
        <w:tab/>
      </w:r>
      <w:r>
        <w:rPr>
          <w:rStyle w:val="aa"/>
        </w:rPr>
        <w:footnoteRef/>
      </w:r>
      <w:r w:rsidRPr="00C844A6">
        <w:t xml:space="preserve"> </w:t>
      </w:r>
      <w:r w:rsidRPr="00C844A6">
        <w:tab/>
      </w:r>
      <w:r w:rsidRPr="00C844A6">
        <w:rPr>
          <w:szCs w:val="18"/>
        </w:rPr>
        <w:t xml:space="preserve">См. </w:t>
      </w:r>
      <w:r w:rsidRPr="00745DF1">
        <w:rPr>
          <w:szCs w:val="18"/>
        </w:rPr>
        <w:t>ECE</w:t>
      </w:r>
      <w:r w:rsidRPr="00C844A6">
        <w:rPr>
          <w:szCs w:val="18"/>
        </w:rPr>
        <w:t>/</w:t>
      </w:r>
      <w:r w:rsidRPr="00745DF1">
        <w:rPr>
          <w:szCs w:val="18"/>
        </w:rPr>
        <w:t>MP</w:t>
      </w:r>
      <w:r w:rsidRPr="00C844A6">
        <w:rPr>
          <w:szCs w:val="18"/>
        </w:rPr>
        <w:t>.</w:t>
      </w:r>
      <w:r w:rsidRPr="00745DF1">
        <w:rPr>
          <w:szCs w:val="18"/>
        </w:rPr>
        <w:t>EIA</w:t>
      </w:r>
      <w:r w:rsidRPr="00C844A6">
        <w:rPr>
          <w:szCs w:val="18"/>
        </w:rPr>
        <w:t>/</w:t>
      </w:r>
      <w:r w:rsidRPr="00745DF1">
        <w:rPr>
          <w:szCs w:val="18"/>
        </w:rPr>
        <w:t>IC</w:t>
      </w:r>
      <w:r w:rsidRPr="00C844A6">
        <w:rPr>
          <w:szCs w:val="18"/>
        </w:rPr>
        <w:t>/2023/11.</w:t>
      </w:r>
    </w:p>
  </w:footnote>
  <w:footnote w:id="15">
    <w:p w14:paraId="20ECC7E8" w14:textId="226079B6" w:rsidR="00786610" w:rsidRPr="000E23DF" w:rsidRDefault="00786610" w:rsidP="00786610">
      <w:pPr>
        <w:pStyle w:val="ad"/>
      </w:pPr>
      <w:r w:rsidRPr="00C844A6">
        <w:tab/>
      </w:r>
      <w:r w:rsidRPr="00745DF1">
        <w:rPr>
          <w:rStyle w:val="aa"/>
          <w:szCs w:val="18"/>
        </w:rPr>
        <w:footnoteRef/>
      </w:r>
      <w:r w:rsidRPr="000E23DF">
        <w:tab/>
        <w:t xml:space="preserve">См. </w:t>
      </w:r>
      <w:hyperlink r:id="rId1" w:history="1">
        <w:r w:rsidR="00053D9D" w:rsidRPr="00966BDE">
          <w:rPr>
            <w:rStyle w:val="af1"/>
          </w:rPr>
          <w:t>https://unece.org/sessions-3</w:t>
        </w:r>
      </w:hyperlink>
      <w:r w:rsidRPr="000E23DF">
        <w:t>.</w:t>
      </w:r>
      <w:r w:rsidR="00053D9D">
        <w:t xml:space="preserve"> </w:t>
      </w:r>
    </w:p>
  </w:footnote>
  <w:footnote w:id="16">
    <w:p w14:paraId="36BDD723" w14:textId="77777777" w:rsidR="00786610" w:rsidRPr="00453CCE" w:rsidRDefault="00786610" w:rsidP="00786610">
      <w:pPr>
        <w:pStyle w:val="ad"/>
      </w:pPr>
      <w:r w:rsidRPr="000E23DF">
        <w:tab/>
      </w:r>
      <w:r w:rsidRPr="00745DF1">
        <w:rPr>
          <w:rStyle w:val="aa"/>
          <w:szCs w:val="18"/>
        </w:rPr>
        <w:footnoteRef/>
      </w:r>
      <w:r>
        <w:tab/>
        <w:t>Решение III/2 (ECE/MP.EIA/6, приложение II, добавление) с поправками, внесенными решением VI/2, приложение I (</w:t>
      </w:r>
      <w:r w:rsidRPr="00BB0B74">
        <w:t>ECE/MP.EIA/20/Add.1–ECE/MP.EIA/SEA/4/Add.1</w:t>
      </w:r>
      <w:r>
        <w:t>).</w:t>
      </w:r>
    </w:p>
  </w:footnote>
  <w:footnote w:id="17">
    <w:p w14:paraId="2BF33AF9" w14:textId="77777777" w:rsidR="00786610" w:rsidRPr="00453CCE" w:rsidRDefault="00786610" w:rsidP="00786610">
      <w:pPr>
        <w:pStyle w:val="ad"/>
      </w:pPr>
      <w:r>
        <w:tab/>
      </w:r>
      <w:r w:rsidRPr="00745DF1">
        <w:rPr>
          <w:rStyle w:val="aa"/>
          <w:szCs w:val="18"/>
        </w:rPr>
        <w:footnoteRef/>
      </w:r>
      <w:r>
        <w:tab/>
        <w:t>Решение IV/2, приложение IV (ECE/MP.EIA/10) с поправками, внесенными решениями V/4, приложение (ECE/MP.EIA/15), VI/2, приложение I (</w:t>
      </w:r>
      <w:r w:rsidRPr="00694B26">
        <w:t>ECE/MP.EIA/20/Add.1–ECE/MP.EIA/SEA/4/Add.1</w:t>
      </w:r>
      <w:r>
        <w:t>) и VIII/4, приложение (</w:t>
      </w:r>
      <w:r w:rsidRPr="001670B9">
        <w:t>ECE/MP.EIA/30/Add.2–ECE/MP.EIA/SEA/13/Add.2</w:t>
      </w:r>
      <w:r>
        <w:t xml:space="preserve">). </w:t>
      </w:r>
    </w:p>
  </w:footnote>
  <w:footnote w:id="18">
    <w:p w14:paraId="2D2A3375" w14:textId="77777777" w:rsidR="00786610" w:rsidRPr="00453CCE" w:rsidRDefault="00786610" w:rsidP="00786610">
      <w:pPr>
        <w:pStyle w:val="ad"/>
      </w:pPr>
      <w:r>
        <w:tab/>
      </w:r>
      <w:r w:rsidRPr="00745DF1">
        <w:rPr>
          <w:rStyle w:val="aa"/>
          <w:szCs w:val="18"/>
        </w:rPr>
        <w:footnoteRef/>
      </w:r>
      <w:r>
        <w:t xml:space="preserve"> </w:t>
      </w:r>
      <w:r>
        <w:tab/>
        <w:t>Неофициальная подборка мнений Комитета по осуществлению, вынесенных до 2023 года (готовится к выпуску).</w:t>
      </w:r>
    </w:p>
  </w:footnote>
  <w:footnote w:id="19">
    <w:p w14:paraId="4704D08B" w14:textId="77777777" w:rsidR="00786610" w:rsidRPr="00453CCE" w:rsidRDefault="00786610" w:rsidP="00786610">
      <w:pPr>
        <w:pStyle w:val="ad"/>
      </w:pPr>
      <w:r w:rsidRPr="00453CCE">
        <w:tab/>
      </w:r>
      <w:r>
        <w:rPr>
          <w:rStyle w:val="aa"/>
        </w:rPr>
        <w:footnoteRef/>
      </w:r>
      <w:r w:rsidRPr="00453CCE">
        <w:tab/>
      </w:r>
      <w:r w:rsidRPr="009B5957">
        <w:t>См.</w:t>
      </w:r>
      <w:r w:rsidRPr="00453CCE">
        <w:t xml:space="preserve"> </w:t>
      </w:r>
      <w:r w:rsidRPr="000B7D07">
        <w:t>ECE</w:t>
      </w:r>
      <w:r w:rsidRPr="00453CCE">
        <w:t>/</w:t>
      </w:r>
      <w:r w:rsidRPr="000B7D07">
        <w:t>MP</w:t>
      </w:r>
      <w:r w:rsidRPr="00453CCE">
        <w:t>.</w:t>
      </w:r>
      <w:r w:rsidRPr="005E0AF3">
        <w:t>EIA</w:t>
      </w:r>
      <w:r w:rsidRPr="00453CCE">
        <w:t xml:space="preserve">/2023/8. </w:t>
      </w:r>
    </w:p>
  </w:footnote>
  <w:footnote w:id="20">
    <w:p w14:paraId="1EC13173" w14:textId="77777777" w:rsidR="00786610" w:rsidRPr="00453CCE" w:rsidRDefault="00786610" w:rsidP="00786610">
      <w:pPr>
        <w:pStyle w:val="ad"/>
      </w:pPr>
      <w:r>
        <w:tab/>
      </w:r>
      <w:r>
        <w:rPr>
          <w:rStyle w:val="aa"/>
        </w:rPr>
        <w:footnoteRef/>
      </w:r>
      <w:r>
        <w:tab/>
        <w:t xml:space="preserve">Готовится к выпуску. </w:t>
      </w:r>
    </w:p>
  </w:footnote>
  <w:footnote w:id="21">
    <w:p w14:paraId="7492D128" w14:textId="77777777" w:rsidR="00786610" w:rsidRPr="00C844A6" w:rsidRDefault="00786610" w:rsidP="00786610">
      <w:pPr>
        <w:pStyle w:val="ad"/>
      </w:pPr>
      <w:r w:rsidRPr="00453CCE">
        <w:tab/>
      </w:r>
      <w:r w:rsidRPr="00745DF1">
        <w:rPr>
          <w:rStyle w:val="aa"/>
          <w:szCs w:val="18"/>
        </w:rPr>
        <w:footnoteRef/>
      </w:r>
      <w:r w:rsidRPr="00C844A6">
        <w:tab/>
      </w:r>
      <w:r w:rsidRPr="009009A1">
        <w:rPr>
          <w:lang w:val="es-ES"/>
        </w:rPr>
        <w:t>ECE</w:t>
      </w:r>
      <w:r w:rsidRPr="00C844A6">
        <w:t>/</w:t>
      </w:r>
      <w:r w:rsidRPr="009009A1">
        <w:rPr>
          <w:lang w:val="es-ES"/>
        </w:rPr>
        <w:t>MP</w:t>
      </w:r>
      <w:r w:rsidRPr="00C844A6">
        <w:t>.</w:t>
      </w:r>
      <w:r w:rsidRPr="009009A1">
        <w:rPr>
          <w:lang w:val="es-ES"/>
        </w:rPr>
        <w:t>EIA</w:t>
      </w:r>
      <w:r w:rsidRPr="00C844A6">
        <w:t>/2023/13–</w:t>
      </w:r>
      <w:r w:rsidRPr="009009A1">
        <w:rPr>
          <w:lang w:val="es-ES"/>
        </w:rPr>
        <w:t>ECE</w:t>
      </w:r>
      <w:r w:rsidRPr="00C844A6">
        <w:t>/</w:t>
      </w:r>
      <w:r w:rsidRPr="009009A1">
        <w:rPr>
          <w:lang w:val="es-ES"/>
        </w:rPr>
        <w:t>MP</w:t>
      </w:r>
      <w:r w:rsidRPr="00C844A6">
        <w:t>.</w:t>
      </w:r>
      <w:r w:rsidRPr="009009A1">
        <w:rPr>
          <w:lang w:val="es-ES"/>
        </w:rPr>
        <w:t>EIA</w:t>
      </w:r>
      <w:r w:rsidRPr="00C844A6">
        <w:t>/</w:t>
      </w:r>
      <w:r w:rsidRPr="009009A1">
        <w:rPr>
          <w:lang w:val="es-ES"/>
        </w:rPr>
        <w:t>SEA</w:t>
      </w:r>
      <w:r w:rsidRPr="00C844A6">
        <w:t>/2023/13 (</w:t>
      </w:r>
      <w:r>
        <w:t>готовится к выпуску</w:t>
      </w:r>
      <w:r w:rsidRPr="00C844A6">
        <w:t>).</w:t>
      </w:r>
    </w:p>
  </w:footnote>
  <w:footnote w:id="22">
    <w:p w14:paraId="3F6ED734" w14:textId="77777777" w:rsidR="00786610" w:rsidRPr="00C844A6" w:rsidRDefault="00786610" w:rsidP="00786610">
      <w:pPr>
        <w:pStyle w:val="ad"/>
      </w:pPr>
      <w:r w:rsidRPr="00C844A6">
        <w:tab/>
      </w:r>
      <w:r>
        <w:rPr>
          <w:rStyle w:val="aa"/>
        </w:rPr>
        <w:footnoteRef/>
      </w:r>
      <w:r w:rsidRPr="00C844A6">
        <w:tab/>
        <w:t xml:space="preserve">См. </w:t>
      </w:r>
      <w:r w:rsidRPr="00745DF1">
        <w:t>ECE</w:t>
      </w:r>
      <w:r w:rsidRPr="00C844A6">
        <w:t>/</w:t>
      </w:r>
      <w:r w:rsidRPr="00745DF1">
        <w:t>MP</w:t>
      </w:r>
      <w:r w:rsidRPr="00C844A6">
        <w:t>.</w:t>
      </w:r>
      <w:r w:rsidRPr="00745DF1">
        <w:t>EIA</w:t>
      </w:r>
      <w:r w:rsidRPr="00C844A6">
        <w:t>/</w:t>
      </w:r>
      <w:r w:rsidRPr="00745DF1">
        <w:t>IC</w:t>
      </w:r>
      <w:r w:rsidRPr="00C844A6">
        <w:t>/2023/5.</w:t>
      </w:r>
    </w:p>
  </w:footnote>
  <w:footnote w:id="23">
    <w:p w14:paraId="1A42C07B" w14:textId="77777777" w:rsidR="00786610" w:rsidRPr="00C844A6" w:rsidRDefault="00786610" w:rsidP="00786610">
      <w:pPr>
        <w:pStyle w:val="ad"/>
      </w:pPr>
      <w:r w:rsidRPr="00C844A6">
        <w:tab/>
      </w:r>
      <w:r>
        <w:rPr>
          <w:rStyle w:val="aa"/>
        </w:rPr>
        <w:footnoteRef/>
      </w:r>
      <w:r w:rsidRPr="00C844A6">
        <w:tab/>
        <w:t xml:space="preserve">См. </w:t>
      </w:r>
      <w:r w:rsidRPr="00745DF1">
        <w:t>ECE</w:t>
      </w:r>
      <w:r w:rsidRPr="00C844A6">
        <w:t>/</w:t>
      </w:r>
      <w:r w:rsidRPr="00745DF1">
        <w:t>MP</w:t>
      </w:r>
      <w:r w:rsidRPr="00C844A6">
        <w:t>.</w:t>
      </w:r>
      <w:r w:rsidRPr="00745DF1">
        <w:t>EIA</w:t>
      </w:r>
      <w:r w:rsidRPr="00C844A6">
        <w:t>/</w:t>
      </w:r>
      <w:r w:rsidRPr="00745DF1">
        <w:t>IC</w:t>
      </w:r>
      <w:r w:rsidRPr="00C844A6">
        <w:t>/2022/8.</w:t>
      </w:r>
    </w:p>
  </w:footnote>
  <w:footnote w:id="24">
    <w:p w14:paraId="0DDEF951" w14:textId="77777777" w:rsidR="00786610" w:rsidRPr="00297665" w:rsidRDefault="00786610" w:rsidP="00786610">
      <w:pPr>
        <w:pStyle w:val="ad"/>
      </w:pPr>
      <w:r w:rsidRPr="00C844A6">
        <w:tab/>
      </w:r>
      <w:r w:rsidRPr="00745DF1">
        <w:rPr>
          <w:rStyle w:val="aa"/>
          <w:szCs w:val="18"/>
        </w:rPr>
        <w:footnoteRef/>
      </w:r>
      <w:r w:rsidRPr="00C844A6">
        <w:tab/>
        <w:t xml:space="preserve">См. </w:t>
      </w:r>
      <w:r w:rsidRPr="00453CCE">
        <w:rPr>
          <w:lang w:val="en-US"/>
        </w:rPr>
        <w:t>ECE</w:t>
      </w:r>
      <w:r w:rsidRPr="00C844A6">
        <w:t>/</w:t>
      </w:r>
      <w:r w:rsidRPr="00453CCE">
        <w:rPr>
          <w:lang w:val="en-US"/>
        </w:rPr>
        <w:t>MP</w:t>
      </w:r>
      <w:r w:rsidRPr="00C844A6">
        <w:t>.</w:t>
      </w:r>
      <w:r w:rsidRPr="00453CCE">
        <w:rPr>
          <w:lang w:val="en-US"/>
        </w:rPr>
        <w:t>EIA</w:t>
      </w:r>
      <w:r w:rsidRPr="00C844A6">
        <w:t>/</w:t>
      </w:r>
      <w:r w:rsidRPr="00453CCE">
        <w:rPr>
          <w:lang w:val="en-US"/>
        </w:rPr>
        <w:t>IC</w:t>
      </w:r>
      <w:r w:rsidRPr="00C844A6">
        <w:t xml:space="preserve">/2022/2, </w:t>
      </w:r>
      <w:r>
        <w:t>п</w:t>
      </w:r>
      <w:r w:rsidRPr="00C844A6">
        <w:t xml:space="preserve">. 3. </w:t>
      </w:r>
      <w:r>
        <w:t>Последую</w:t>
      </w:r>
      <w:r w:rsidRPr="00465630">
        <w:t xml:space="preserve">щие меры </w:t>
      </w:r>
      <w:r>
        <w:t xml:space="preserve">в связи с решением VIII/4d о соблюдении Украиной ее обязательств по Конвенции в связи с проектом строительства глубоководного судоходного канала «Дунай — Черное море» в украинском секторе дельты реки Дуная (EIA/IC/S/1); последующие меры в связи с решением VIII/4e о соблюдении Украиной ее обязательств по Конвенции в связи с продлением срока эксплуатации Ровенской атомной электростанции (энергоблоки № 1 и № 2) (EIA/IC/CI/4); инициатива Комитета (EIA/IC/CI/7) относительно соблюдения Украиной своих обязательств по Конвенции в отношении строительства крупного туристического комплекса (горный массив Свидовец, Украина); </w:t>
      </w:r>
      <w:r>
        <w:rPr>
          <w:lang w:val="fr-CH"/>
        </w:rPr>
        <w:t>c</w:t>
      </w:r>
      <w:r>
        <w:t xml:space="preserve">бор информации в связи с планируемым строительством атомных энергоблоков № 3 и № 4 на Хмельницкой АЭС </w:t>
      </w:r>
      <w:r w:rsidRPr="00297665">
        <w:t>(</w:t>
      </w:r>
      <w:r w:rsidRPr="00745DF1">
        <w:t>EIA</w:t>
      </w:r>
      <w:r w:rsidRPr="00297665">
        <w:t>/</w:t>
      </w:r>
      <w:r w:rsidRPr="00745DF1">
        <w:t>IC</w:t>
      </w:r>
      <w:r w:rsidRPr="00297665">
        <w:t>/</w:t>
      </w:r>
      <w:r w:rsidRPr="00745DF1">
        <w:t>INFO</w:t>
      </w:r>
      <w:r w:rsidRPr="00297665">
        <w:t>/10)</w:t>
      </w:r>
      <w:r>
        <w:t xml:space="preserve">; сбор информации о деятельности на золотодобывающем предприятии «Мужиево» (EIA/IC/INFO/13); и продление срока службы Ровенской (энергоблоки № 3 и № 4), Южноукраинской, Запорожской и Хмельницкой АЭС в Украине </w:t>
      </w:r>
      <w:r w:rsidRPr="00297665">
        <w:t>(</w:t>
      </w:r>
      <w:r w:rsidRPr="00745DF1">
        <w:t>EIA</w:t>
      </w:r>
      <w:r w:rsidRPr="00297665">
        <w:t>/</w:t>
      </w:r>
      <w:r w:rsidRPr="00745DF1">
        <w:t>IC</w:t>
      </w:r>
      <w:r w:rsidRPr="00297665">
        <w:t>/</w:t>
      </w:r>
      <w:r w:rsidRPr="00745DF1">
        <w:t>INFO</w:t>
      </w:r>
      <w:r w:rsidRPr="00297665">
        <w:t>/20).</w:t>
      </w:r>
    </w:p>
  </w:footnote>
  <w:footnote w:id="25">
    <w:p w14:paraId="3E0F489B" w14:textId="77777777" w:rsidR="00786610" w:rsidRPr="00C844A6" w:rsidRDefault="00786610" w:rsidP="00786610">
      <w:pPr>
        <w:pStyle w:val="ad"/>
      </w:pPr>
      <w:r w:rsidRPr="00C844A6">
        <w:tab/>
      </w:r>
      <w:r>
        <w:rPr>
          <w:rStyle w:val="aa"/>
        </w:rPr>
        <w:footnoteRef/>
      </w:r>
      <w:r w:rsidRPr="00C844A6">
        <w:tab/>
      </w:r>
      <w:r w:rsidRPr="005E7FAC">
        <w:rPr>
          <w:lang w:val="en-US"/>
        </w:rPr>
        <w:t>ECE</w:t>
      </w:r>
      <w:r w:rsidRPr="00C844A6">
        <w:t>/</w:t>
      </w:r>
      <w:r w:rsidRPr="002C544D">
        <w:rPr>
          <w:lang w:val="es-ES"/>
        </w:rPr>
        <w:t>EIA</w:t>
      </w:r>
      <w:r w:rsidRPr="00C844A6">
        <w:t>/</w:t>
      </w:r>
      <w:r w:rsidRPr="002C544D">
        <w:rPr>
          <w:lang w:val="es-ES"/>
        </w:rPr>
        <w:t>MP</w:t>
      </w:r>
      <w:r w:rsidRPr="00C844A6">
        <w:t>.</w:t>
      </w:r>
      <w:r w:rsidRPr="002C544D">
        <w:rPr>
          <w:lang w:val="es-ES"/>
        </w:rPr>
        <w:t>IC</w:t>
      </w:r>
      <w:r w:rsidRPr="00C844A6">
        <w:t xml:space="preserve">/2023/4, </w:t>
      </w:r>
      <w:r>
        <w:t>пп</w:t>
      </w:r>
      <w:r w:rsidRPr="00C844A6">
        <w:t>. 64</w:t>
      </w:r>
      <w:r w:rsidRPr="00C844A6">
        <w:rPr>
          <w:lang w:eastAsia="en-US"/>
        </w:rPr>
        <w:t>–</w:t>
      </w:r>
      <w:r w:rsidRPr="00C844A6">
        <w:t>92.</w:t>
      </w:r>
    </w:p>
  </w:footnote>
  <w:footnote w:id="26">
    <w:p w14:paraId="6B613447" w14:textId="77777777" w:rsidR="00786610" w:rsidRPr="00C844A6" w:rsidRDefault="00786610" w:rsidP="00786610">
      <w:pPr>
        <w:pStyle w:val="ad"/>
      </w:pPr>
      <w:r w:rsidRPr="00C844A6">
        <w:tab/>
      </w:r>
      <w:r>
        <w:rPr>
          <w:rStyle w:val="aa"/>
        </w:rPr>
        <w:footnoteRef/>
      </w:r>
      <w:r w:rsidRPr="00C844A6">
        <w:tab/>
      </w:r>
      <w:r w:rsidRPr="002C544D">
        <w:rPr>
          <w:lang w:val="es-ES"/>
        </w:rPr>
        <w:t>ECE</w:t>
      </w:r>
      <w:r w:rsidRPr="00C844A6">
        <w:t>/</w:t>
      </w:r>
      <w:r w:rsidRPr="002C544D">
        <w:rPr>
          <w:lang w:val="es-ES"/>
        </w:rPr>
        <w:t>MP</w:t>
      </w:r>
      <w:r w:rsidRPr="00C844A6">
        <w:t>.</w:t>
      </w:r>
      <w:r w:rsidRPr="002C544D">
        <w:rPr>
          <w:lang w:val="es-ES"/>
        </w:rPr>
        <w:t>EIA</w:t>
      </w:r>
      <w:r w:rsidRPr="00C844A6">
        <w:t>/30/</w:t>
      </w:r>
      <w:r w:rsidRPr="002C544D">
        <w:rPr>
          <w:lang w:val="es-ES"/>
        </w:rPr>
        <w:t>Add</w:t>
      </w:r>
      <w:r w:rsidRPr="00C844A6">
        <w:t>.2</w:t>
      </w:r>
      <w:r w:rsidRPr="00C844A6">
        <w:rPr>
          <w:lang w:eastAsia="en-US"/>
        </w:rPr>
        <w:t>–</w:t>
      </w:r>
      <w:r w:rsidRPr="002C544D">
        <w:rPr>
          <w:lang w:val="es-ES"/>
        </w:rPr>
        <w:t>ECE</w:t>
      </w:r>
      <w:r w:rsidRPr="00C844A6">
        <w:t>/</w:t>
      </w:r>
      <w:r w:rsidRPr="002C544D">
        <w:rPr>
          <w:lang w:val="es-ES"/>
        </w:rPr>
        <w:t>MP</w:t>
      </w:r>
      <w:r w:rsidRPr="00C844A6">
        <w:t>.</w:t>
      </w:r>
      <w:r w:rsidRPr="002C544D">
        <w:rPr>
          <w:lang w:val="es-ES"/>
        </w:rPr>
        <w:t>EIA</w:t>
      </w:r>
      <w:r w:rsidRPr="00C844A6">
        <w:t>/</w:t>
      </w:r>
      <w:r w:rsidRPr="002C544D">
        <w:rPr>
          <w:lang w:val="es-ES"/>
        </w:rPr>
        <w:t>SEA</w:t>
      </w:r>
      <w:r w:rsidRPr="00C844A6">
        <w:t>/13/</w:t>
      </w:r>
      <w:r w:rsidRPr="002C544D">
        <w:rPr>
          <w:lang w:val="es-ES"/>
        </w:rPr>
        <w:t>Add</w:t>
      </w:r>
      <w:r w:rsidRPr="00C844A6">
        <w:t xml:space="preserve">.2, </w:t>
      </w:r>
      <w:r>
        <w:t>решение</w:t>
      </w:r>
      <w:r w:rsidRPr="00C844A6">
        <w:t xml:space="preserve"> </w:t>
      </w:r>
      <w:r w:rsidRPr="002C544D">
        <w:rPr>
          <w:lang w:val="es-ES"/>
        </w:rPr>
        <w:t>VIII</w:t>
      </w:r>
      <w:r w:rsidRPr="00C844A6">
        <w:t xml:space="preserve">/6, </w:t>
      </w:r>
      <w:r>
        <w:t>п</w:t>
      </w:r>
      <w:r w:rsidRPr="00C844A6">
        <w:t>. 5.</w:t>
      </w:r>
    </w:p>
  </w:footnote>
  <w:footnote w:id="27">
    <w:p w14:paraId="0B1F7D0F" w14:textId="77777777" w:rsidR="00786610" w:rsidRPr="005E7FAC" w:rsidRDefault="00786610" w:rsidP="00786610">
      <w:pPr>
        <w:pStyle w:val="ad"/>
      </w:pPr>
      <w:r w:rsidRPr="00C844A6">
        <w:tab/>
      </w:r>
      <w:r w:rsidRPr="00745DF1">
        <w:rPr>
          <w:rStyle w:val="aa"/>
          <w:szCs w:val="18"/>
        </w:rPr>
        <w:footnoteRef/>
      </w:r>
      <w:r w:rsidRPr="005E7FAC">
        <w:tab/>
      </w:r>
      <w:r>
        <w:t>Издание Организации Объединенных Наций</w:t>
      </w:r>
      <w:r w:rsidRPr="005E7FAC">
        <w:t xml:space="preserve">, </w:t>
      </w:r>
      <w:r>
        <w:t>ECE</w:t>
      </w:r>
      <w:r w:rsidRPr="005E7FAC">
        <w:t>/</w:t>
      </w:r>
      <w:r>
        <w:t>MP</w:t>
      </w:r>
      <w:r w:rsidRPr="005E7FAC">
        <w:t>.</w:t>
      </w:r>
      <w:r>
        <w:t>EIA</w:t>
      </w:r>
      <w:r w:rsidRPr="005E7FAC">
        <w:t xml:space="preserve">/31. </w:t>
      </w:r>
    </w:p>
  </w:footnote>
  <w:footnote w:id="28">
    <w:p w14:paraId="520D6644" w14:textId="77777777" w:rsidR="00786610" w:rsidRPr="00851CAE" w:rsidRDefault="00786610" w:rsidP="00786610">
      <w:pPr>
        <w:pStyle w:val="ad"/>
        <w:rPr>
          <w:color w:val="000000" w:themeColor="text1"/>
        </w:rPr>
      </w:pPr>
      <w:r w:rsidRPr="005E7FAC">
        <w:tab/>
      </w:r>
      <w:r w:rsidRPr="00745DF1">
        <w:rPr>
          <w:rStyle w:val="aa"/>
          <w:szCs w:val="18"/>
        </w:rPr>
        <w:footnoteRef/>
      </w:r>
      <w:r w:rsidRPr="00C844A6">
        <w:tab/>
      </w:r>
      <w:r w:rsidRPr="00851CAE">
        <w:rPr>
          <w:color w:val="000000" w:themeColor="text1"/>
        </w:rPr>
        <w:t>См. ECE/MP.EIA/IC/2021/6, пп. 56</w:t>
      </w:r>
      <w:r w:rsidRPr="00851CAE">
        <w:rPr>
          <w:color w:val="000000" w:themeColor="text1"/>
          <w:lang w:eastAsia="en-US"/>
        </w:rPr>
        <w:t>–</w:t>
      </w:r>
      <w:r w:rsidRPr="00851CAE">
        <w:rPr>
          <w:color w:val="000000" w:themeColor="text1"/>
        </w:rPr>
        <w:t>58.</w:t>
      </w:r>
    </w:p>
  </w:footnote>
  <w:footnote w:id="29">
    <w:p w14:paraId="671912EC" w14:textId="77777777" w:rsidR="00786610" w:rsidRPr="00851CAE" w:rsidRDefault="00786610" w:rsidP="00786610">
      <w:pPr>
        <w:pStyle w:val="ad"/>
        <w:rPr>
          <w:color w:val="000000" w:themeColor="text1"/>
        </w:rPr>
      </w:pPr>
      <w:r w:rsidRPr="00851CAE">
        <w:rPr>
          <w:color w:val="000000" w:themeColor="text1"/>
        </w:rPr>
        <w:tab/>
      </w:r>
      <w:r w:rsidRPr="00851CAE">
        <w:rPr>
          <w:rStyle w:val="aa"/>
          <w:color w:val="000000" w:themeColor="text1"/>
          <w:szCs w:val="18"/>
        </w:rPr>
        <w:footnoteRef/>
      </w:r>
      <w:r w:rsidRPr="00851CAE">
        <w:rPr>
          <w:color w:val="000000" w:themeColor="text1"/>
        </w:rPr>
        <w:tab/>
        <w:t xml:space="preserve">См. ECE/MP.EIA/IC/2023/10, п. 30. </w:t>
      </w:r>
    </w:p>
  </w:footnote>
  <w:footnote w:id="30">
    <w:p w14:paraId="47F7C7DE" w14:textId="77777777" w:rsidR="00786610" w:rsidRPr="00851CAE" w:rsidRDefault="00786610" w:rsidP="00786610">
      <w:pPr>
        <w:pStyle w:val="ad"/>
        <w:rPr>
          <w:color w:val="000000" w:themeColor="text1"/>
          <w:szCs w:val="18"/>
        </w:rPr>
      </w:pPr>
      <w:r w:rsidRPr="00851CAE">
        <w:rPr>
          <w:color w:val="000000" w:themeColor="text1"/>
          <w:szCs w:val="18"/>
        </w:rPr>
        <w:tab/>
      </w:r>
      <w:r w:rsidRPr="00851CAE">
        <w:rPr>
          <w:rStyle w:val="aa"/>
          <w:color w:val="000000" w:themeColor="text1"/>
          <w:szCs w:val="18"/>
        </w:rPr>
        <w:footnoteRef/>
      </w:r>
      <w:r w:rsidRPr="00851CAE">
        <w:rPr>
          <w:color w:val="000000" w:themeColor="text1"/>
          <w:szCs w:val="18"/>
        </w:rPr>
        <w:tab/>
        <w:t>См. ECE/MP.EIA/IC/2023/6, п. 33; и ECE/MP.EIA/IC/2021/6, п. 67.</w:t>
      </w:r>
    </w:p>
  </w:footnote>
  <w:footnote w:id="31">
    <w:p w14:paraId="07BB6B37" w14:textId="77777777" w:rsidR="00786610" w:rsidRPr="00851CAE" w:rsidRDefault="00786610" w:rsidP="00786610">
      <w:pPr>
        <w:pStyle w:val="ad"/>
        <w:rPr>
          <w:color w:val="000000" w:themeColor="text1"/>
          <w:highlight w:val="yellow"/>
          <w:lang w:eastAsia="zh-CN"/>
        </w:rPr>
      </w:pPr>
      <w:r w:rsidRPr="00851CAE">
        <w:rPr>
          <w:color w:val="000000" w:themeColor="text1"/>
        </w:rPr>
        <w:tab/>
      </w:r>
      <w:r w:rsidRPr="00851CAE">
        <w:rPr>
          <w:rStyle w:val="aa"/>
          <w:color w:val="000000" w:themeColor="text1"/>
          <w:szCs w:val="18"/>
        </w:rPr>
        <w:footnoteRef/>
      </w:r>
      <w:r w:rsidRPr="00851CAE">
        <w:rPr>
          <w:color w:val="000000" w:themeColor="text1"/>
        </w:rPr>
        <w:tab/>
        <w:t xml:space="preserve">См. </w:t>
      </w:r>
      <w:r w:rsidRPr="00851CAE">
        <w:rPr>
          <w:color w:val="000000" w:themeColor="text1"/>
          <w:lang w:eastAsia="zh-CN"/>
        </w:rPr>
        <w:t xml:space="preserve">ECE/MP.EIA/IC/2023/8, п. 54 (готовится к выпуску). </w:t>
      </w:r>
    </w:p>
  </w:footnote>
  <w:footnote w:id="32">
    <w:p w14:paraId="3C0CCF1C" w14:textId="77777777" w:rsidR="00786610" w:rsidRPr="00851CAE" w:rsidRDefault="00786610" w:rsidP="00786610">
      <w:pPr>
        <w:pStyle w:val="ad"/>
        <w:rPr>
          <w:color w:val="000000" w:themeColor="text1"/>
        </w:rPr>
      </w:pPr>
      <w:r w:rsidRPr="00851CAE">
        <w:rPr>
          <w:color w:val="000000" w:themeColor="text1"/>
        </w:rPr>
        <w:tab/>
      </w:r>
      <w:r w:rsidRPr="00851CAE">
        <w:rPr>
          <w:rStyle w:val="aa"/>
          <w:color w:val="000000" w:themeColor="text1"/>
          <w:szCs w:val="18"/>
        </w:rPr>
        <w:footnoteRef/>
      </w:r>
      <w:r w:rsidRPr="00851CAE">
        <w:rPr>
          <w:color w:val="000000" w:themeColor="text1"/>
        </w:rPr>
        <w:tab/>
        <w:t xml:space="preserve">См. ECE/MP.EIA/IC/2021/4, п. 58. </w:t>
      </w:r>
    </w:p>
  </w:footnote>
  <w:footnote w:id="33">
    <w:p w14:paraId="52722C81" w14:textId="77777777" w:rsidR="00786610" w:rsidRPr="00851CAE" w:rsidRDefault="00786610" w:rsidP="00786610">
      <w:pPr>
        <w:pStyle w:val="ad"/>
        <w:rPr>
          <w:color w:val="000000" w:themeColor="text1"/>
          <w:lang w:eastAsia="zh-CN"/>
        </w:rPr>
      </w:pPr>
      <w:r w:rsidRPr="00C844A6">
        <w:tab/>
      </w:r>
      <w:r w:rsidRPr="00745DF1">
        <w:rPr>
          <w:rStyle w:val="aa"/>
          <w:szCs w:val="18"/>
        </w:rPr>
        <w:footnoteRef/>
      </w:r>
      <w:r w:rsidRPr="00C844A6">
        <w:tab/>
      </w:r>
      <w:r w:rsidRPr="00851CAE">
        <w:rPr>
          <w:color w:val="000000" w:themeColor="text1"/>
        </w:rPr>
        <w:t xml:space="preserve">См. </w:t>
      </w:r>
      <w:r w:rsidRPr="00851CAE">
        <w:rPr>
          <w:color w:val="000000" w:themeColor="text1"/>
          <w:lang w:eastAsia="zh-CN"/>
        </w:rPr>
        <w:t xml:space="preserve">ECE/MP.EIA/IC/2021/2, п. 65. </w:t>
      </w:r>
    </w:p>
  </w:footnote>
  <w:footnote w:id="34">
    <w:p w14:paraId="012227B6" w14:textId="77777777" w:rsidR="00786610" w:rsidRPr="00851CAE" w:rsidRDefault="00786610" w:rsidP="00786610">
      <w:pPr>
        <w:pStyle w:val="ad"/>
        <w:rPr>
          <w:color w:val="000000" w:themeColor="text1"/>
        </w:rPr>
      </w:pPr>
      <w:r w:rsidRPr="00851CAE">
        <w:rPr>
          <w:color w:val="000000" w:themeColor="text1"/>
        </w:rPr>
        <w:tab/>
      </w:r>
      <w:r w:rsidRPr="00851CAE">
        <w:rPr>
          <w:rStyle w:val="aa"/>
          <w:color w:val="000000" w:themeColor="text1"/>
          <w:szCs w:val="18"/>
        </w:rPr>
        <w:footnoteRef/>
      </w:r>
      <w:r w:rsidRPr="00851CAE">
        <w:rPr>
          <w:color w:val="000000" w:themeColor="text1"/>
        </w:rPr>
        <w:tab/>
        <w:t>См. ECE/MP.EIA/IC/2022/8, п. 46.</w:t>
      </w:r>
    </w:p>
  </w:footnote>
  <w:footnote w:id="35">
    <w:p w14:paraId="165A123D" w14:textId="77777777" w:rsidR="00786610" w:rsidRPr="00851CAE" w:rsidRDefault="00786610" w:rsidP="00786610">
      <w:pPr>
        <w:pStyle w:val="ad"/>
        <w:rPr>
          <w:color w:val="000000" w:themeColor="text1"/>
        </w:rPr>
      </w:pPr>
      <w:r w:rsidRPr="00851CAE">
        <w:rPr>
          <w:rFonts w:eastAsia="SimSun"/>
          <w:color w:val="000000" w:themeColor="text1"/>
        </w:rPr>
        <w:tab/>
      </w:r>
      <w:r w:rsidRPr="00851CAE">
        <w:rPr>
          <w:rStyle w:val="aa"/>
          <w:color w:val="000000" w:themeColor="text1"/>
          <w:szCs w:val="18"/>
        </w:rPr>
        <w:footnoteRef/>
      </w:r>
      <w:r w:rsidRPr="00851CAE">
        <w:rPr>
          <w:color w:val="000000" w:themeColor="text1"/>
        </w:rPr>
        <w:tab/>
        <w:t>См. также ECE/MP.EIA/IC/2020/4, приложение I, п. 11: «Комитет подчеркнул, что, хотя Конвенция предоставляет своим Сторонам гибкость в отношении применения своих процедур в различных национальных контекстах, эта гибкость ограничивается обязанностью каждой Стороны соблюдать Конвенцию и эффективно и в соответствии с ее целью осуществлять ее».</w:t>
      </w:r>
    </w:p>
  </w:footnote>
  <w:footnote w:id="36">
    <w:p w14:paraId="187A6C94" w14:textId="77777777" w:rsidR="00786610" w:rsidRPr="00851CAE" w:rsidRDefault="00786610" w:rsidP="00786610">
      <w:pPr>
        <w:pStyle w:val="ad"/>
        <w:rPr>
          <w:color w:val="000000" w:themeColor="text1"/>
          <w:lang w:val="es-ES"/>
        </w:rPr>
      </w:pPr>
      <w:r w:rsidRPr="00851CAE">
        <w:rPr>
          <w:color w:val="000000" w:themeColor="text1"/>
        </w:rPr>
        <w:tab/>
      </w:r>
      <w:r w:rsidRPr="00851CAE">
        <w:rPr>
          <w:rStyle w:val="aa"/>
          <w:color w:val="000000" w:themeColor="text1"/>
          <w:szCs w:val="18"/>
        </w:rPr>
        <w:footnoteRef/>
      </w:r>
      <w:r w:rsidRPr="00851CAE">
        <w:rPr>
          <w:color w:val="000000" w:themeColor="text1"/>
          <w:lang w:val="es-ES"/>
        </w:rPr>
        <w:tab/>
      </w:r>
      <w:r w:rsidRPr="00851CAE">
        <w:rPr>
          <w:color w:val="000000" w:themeColor="text1"/>
        </w:rPr>
        <w:t>См</w:t>
      </w:r>
      <w:r w:rsidRPr="00851CAE">
        <w:rPr>
          <w:color w:val="000000" w:themeColor="text1"/>
          <w:lang w:val="es-ES"/>
        </w:rPr>
        <w:t xml:space="preserve">. ECE/MP.EIA/IC/2023/10, </w:t>
      </w:r>
      <w:r w:rsidRPr="00851CAE">
        <w:rPr>
          <w:color w:val="000000" w:themeColor="text1"/>
        </w:rPr>
        <w:t>п</w:t>
      </w:r>
      <w:r w:rsidRPr="00851CAE">
        <w:rPr>
          <w:color w:val="000000" w:themeColor="text1"/>
          <w:lang w:val="es-ES"/>
        </w:rPr>
        <w:t>. 44.</w:t>
      </w:r>
    </w:p>
  </w:footnote>
  <w:footnote w:id="37">
    <w:p w14:paraId="2BA43482" w14:textId="77777777" w:rsidR="00786610" w:rsidRPr="00851CAE" w:rsidRDefault="00786610" w:rsidP="00786610">
      <w:pPr>
        <w:pStyle w:val="ad"/>
        <w:rPr>
          <w:color w:val="000000" w:themeColor="text1"/>
          <w:lang w:val="es-ES"/>
        </w:rPr>
      </w:pPr>
      <w:r w:rsidRPr="00851CAE">
        <w:rPr>
          <w:color w:val="000000" w:themeColor="text1"/>
          <w:lang w:val="es-ES"/>
        </w:rPr>
        <w:tab/>
      </w:r>
      <w:r w:rsidRPr="00851CAE">
        <w:rPr>
          <w:rStyle w:val="aa"/>
          <w:color w:val="000000" w:themeColor="text1"/>
        </w:rPr>
        <w:footnoteRef/>
      </w:r>
      <w:r w:rsidRPr="00851CAE">
        <w:rPr>
          <w:color w:val="000000" w:themeColor="text1"/>
          <w:lang w:val="es-ES"/>
        </w:rPr>
        <w:tab/>
      </w:r>
      <w:r w:rsidRPr="00851CAE">
        <w:rPr>
          <w:color w:val="000000" w:themeColor="text1"/>
        </w:rPr>
        <w:t>См</w:t>
      </w:r>
      <w:r w:rsidRPr="00851CAE">
        <w:rPr>
          <w:color w:val="000000" w:themeColor="text1"/>
          <w:lang w:val="es-ES"/>
        </w:rPr>
        <w:t>. ECE/MP.EIA/31, para. 43.</w:t>
      </w:r>
    </w:p>
  </w:footnote>
  <w:footnote w:id="38">
    <w:p w14:paraId="557F2D0A" w14:textId="77777777" w:rsidR="00786610" w:rsidRPr="00851CAE" w:rsidRDefault="00786610" w:rsidP="00786610">
      <w:pPr>
        <w:pStyle w:val="ad"/>
        <w:rPr>
          <w:color w:val="000000" w:themeColor="text1"/>
          <w:lang w:val="es-ES"/>
        </w:rPr>
      </w:pPr>
      <w:r w:rsidRPr="00851CAE">
        <w:rPr>
          <w:color w:val="000000" w:themeColor="text1"/>
          <w:szCs w:val="18"/>
          <w:lang w:val="es-ES"/>
        </w:rPr>
        <w:tab/>
      </w:r>
      <w:r w:rsidRPr="00851CAE">
        <w:rPr>
          <w:rStyle w:val="aa"/>
          <w:color w:val="000000" w:themeColor="text1"/>
          <w:szCs w:val="18"/>
        </w:rPr>
        <w:footnoteRef/>
      </w:r>
      <w:r w:rsidRPr="00851CAE">
        <w:rPr>
          <w:color w:val="000000" w:themeColor="text1"/>
          <w:szCs w:val="18"/>
          <w:lang w:val="es-ES"/>
        </w:rPr>
        <w:tab/>
      </w:r>
      <w:r w:rsidRPr="00851CAE">
        <w:rPr>
          <w:color w:val="000000" w:themeColor="text1"/>
          <w:szCs w:val="18"/>
        </w:rPr>
        <w:t>См</w:t>
      </w:r>
      <w:r w:rsidRPr="00851CAE">
        <w:rPr>
          <w:color w:val="000000" w:themeColor="text1"/>
          <w:szCs w:val="18"/>
          <w:lang w:val="es-ES"/>
        </w:rPr>
        <w:t xml:space="preserve">. ECE/MP.EIA/IC/2023/11, </w:t>
      </w:r>
      <w:r w:rsidRPr="00851CAE">
        <w:rPr>
          <w:color w:val="000000" w:themeColor="text1"/>
          <w:szCs w:val="18"/>
        </w:rPr>
        <w:t>п</w:t>
      </w:r>
      <w:r w:rsidRPr="00851CAE">
        <w:rPr>
          <w:color w:val="000000" w:themeColor="text1"/>
          <w:szCs w:val="18"/>
          <w:lang w:val="es-ES"/>
        </w:rPr>
        <w:t>. 57.</w:t>
      </w:r>
    </w:p>
  </w:footnote>
  <w:footnote w:id="39">
    <w:p w14:paraId="0AEFB79C" w14:textId="77777777" w:rsidR="00786610" w:rsidRPr="00851CAE" w:rsidRDefault="00786610" w:rsidP="00786610">
      <w:pPr>
        <w:pStyle w:val="ad"/>
        <w:rPr>
          <w:color w:val="000000" w:themeColor="text1"/>
          <w:szCs w:val="18"/>
          <w:lang w:val="es-ES"/>
        </w:rPr>
      </w:pPr>
      <w:r w:rsidRPr="00851CAE">
        <w:rPr>
          <w:color w:val="000000" w:themeColor="text1"/>
          <w:szCs w:val="18"/>
          <w:lang w:val="es-ES"/>
        </w:rPr>
        <w:tab/>
      </w:r>
      <w:r w:rsidRPr="00851CAE">
        <w:rPr>
          <w:rStyle w:val="aa"/>
          <w:color w:val="000000" w:themeColor="text1"/>
          <w:szCs w:val="18"/>
        </w:rPr>
        <w:footnoteRef/>
      </w:r>
      <w:r w:rsidRPr="00851CAE">
        <w:rPr>
          <w:color w:val="000000" w:themeColor="text1"/>
          <w:szCs w:val="18"/>
          <w:lang w:val="es-ES"/>
        </w:rPr>
        <w:tab/>
      </w:r>
      <w:r w:rsidRPr="00851CAE">
        <w:rPr>
          <w:color w:val="000000" w:themeColor="text1"/>
          <w:szCs w:val="18"/>
        </w:rPr>
        <w:t>См</w:t>
      </w:r>
      <w:r w:rsidRPr="00851CAE">
        <w:rPr>
          <w:color w:val="000000" w:themeColor="text1"/>
          <w:szCs w:val="18"/>
          <w:lang w:val="es-ES"/>
        </w:rPr>
        <w:t xml:space="preserve">. ECE/MP.EIA/IC/2023/6, </w:t>
      </w:r>
      <w:r w:rsidRPr="00851CAE">
        <w:rPr>
          <w:color w:val="000000" w:themeColor="text1"/>
          <w:szCs w:val="18"/>
        </w:rPr>
        <w:t>п</w:t>
      </w:r>
      <w:r w:rsidRPr="00851CAE">
        <w:rPr>
          <w:color w:val="000000" w:themeColor="text1"/>
          <w:szCs w:val="18"/>
          <w:lang w:val="es-ES"/>
        </w:rPr>
        <w:t>. 53.</w:t>
      </w:r>
    </w:p>
  </w:footnote>
  <w:footnote w:id="40">
    <w:p w14:paraId="296384BC" w14:textId="77777777" w:rsidR="00786610" w:rsidRPr="00851CAE" w:rsidRDefault="00786610" w:rsidP="00786610">
      <w:pPr>
        <w:pStyle w:val="ad"/>
        <w:rPr>
          <w:color w:val="000000" w:themeColor="text1"/>
          <w:szCs w:val="18"/>
          <w:lang w:val="es-ES"/>
        </w:rPr>
      </w:pPr>
      <w:r w:rsidRPr="00851CAE">
        <w:rPr>
          <w:color w:val="000000" w:themeColor="text1"/>
          <w:szCs w:val="18"/>
          <w:lang w:val="es-ES"/>
        </w:rPr>
        <w:tab/>
      </w:r>
      <w:r w:rsidRPr="00851CAE">
        <w:rPr>
          <w:rStyle w:val="aa"/>
          <w:color w:val="000000" w:themeColor="text1"/>
          <w:szCs w:val="18"/>
        </w:rPr>
        <w:footnoteRef/>
      </w:r>
      <w:r w:rsidRPr="00851CAE">
        <w:rPr>
          <w:color w:val="000000" w:themeColor="text1"/>
          <w:szCs w:val="18"/>
          <w:lang w:val="es-ES"/>
        </w:rPr>
        <w:tab/>
      </w:r>
      <w:r w:rsidRPr="00851CAE">
        <w:rPr>
          <w:color w:val="000000" w:themeColor="text1"/>
          <w:szCs w:val="18"/>
        </w:rPr>
        <w:t>См</w:t>
      </w:r>
      <w:r w:rsidRPr="00851CAE">
        <w:rPr>
          <w:color w:val="000000" w:themeColor="text1"/>
          <w:szCs w:val="18"/>
          <w:lang w:val="es-ES"/>
        </w:rPr>
        <w:t xml:space="preserve">. ECE/MP.EIA/IC/2021/4, </w:t>
      </w:r>
      <w:r w:rsidRPr="00851CAE">
        <w:rPr>
          <w:color w:val="000000" w:themeColor="text1"/>
          <w:szCs w:val="18"/>
        </w:rPr>
        <w:t>п</w:t>
      </w:r>
      <w:r w:rsidRPr="00851CAE">
        <w:rPr>
          <w:color w:val="000000" w:themeColor="text1"/>
          <w:szCs w:val="18"/>
          <w:lang w:val="es-ES"/>
        </w:rPr>
        <w:t>. 70.</w:t>
      </w:r>
    </w:p>
  </w:footnote>
  <w:footnote w:id="41">
    <w:p w14:paraId="69E7E873" w14:textId="77777777" w:rsidR="00786610" w:rsidRPr="003F5C52" w:rsidRDefault="00786610" w:rsidP="00786610">
      <w:pPr>
        <w:pStyle w:val="ad"/>
        <w:rPr>
          <w:color w:val="000000" w:themeColor="text1"/>
          <w:szCs w:val="18"/>
          <w:lang w:val="es-ES"/>
        </w:rPr>
      </w:pPr>
      <w:r w:rsidRPr="00C844A6">
        <w:rPr>
          <w:szCs w:val="18"/>
          <w:lang w:val="es-ES"/>
        </w:rPr>
        <w:tab/>
      </w:r>
      <w:r w:rsidRPr="003F5C52">
        <w:rPr>
          <w:rStyle w:val="aa"/>
          <w:color w:val="000000" w:themeColor="text1"/>
          <w:szCs w:val="18"/>
        </w:rPr>
        <w:footnoteRef/>
      </w:r>
      <w:r w:rsidRPr="003F5C52">
        <w:rPr>
          <w:color w:val="000000" w:themeColor="text1"/>
          <w:szCs w:val="18"/>
          <w:lang w:val="es-ES"/>
        </w:rPr>
        <w:tab/>
      </w:r>
      <w:r w:rsidRPr="003F5C52">
        <w:rPr>
          <w:color w:val="000000" w:themeColor="text1"/>
          <w:szCs w:val="18"/>
        </w:rPr>
        <w:t>См</w:t>
      </w:r>
      <w:r w:rsidRPr="003F5C52">
        <w:rPr>
          <w:color w:val="000000" w:themeColor="text1"/>
          <w:szCs w:val="18"/>
          <w:lang w:val="es-ES"/>
        </w:rPr>
        <w:t xml:space="preserve">. ECE/MP.EIA/IC/2022/2, </w:t>
      </w:r>
      <w:r w:rsidRPr="003F5C52">
        <w:rPr>
          <w:color w:val="000000" w:themeColor="text1"/>
          <w:szCs w:val="18"/>
        </w:rPr>
        <w:t>п</w:t>
      </w:r>
      <w:r w:rsidRPr="003F5C52">
        <w:rPr>
          <w:color w:val="000000" w:themeColor="text1"/>
          <w:szCs w:val="18"/>
          <w:lang w:val="es-ES"/>
        </w:rPr>
        <w:t>. 45 b).</w:t>
      </w:r>
    </w:p>
  </w:footnote>
  <w:footnote w:id="42">
    <w:p w14:paraId="00CD80E9" w14:textId="77777777" w:rsidR="00786610" w:rsidRPr="003F5C52" w:rsidRDefault="00786610" w:rsidP="00786610">
      <w:pPr>
        <w:pStyle w:val="ad"/>
        <w:rPr>
          <w:color w:val="000000" w:themeColor="text1"/>
          <w:szCs w:val="18"/>
        </w:rPr>
      </w:pPr>
      <w:r w:rsidRPr="003F5C52">
        <w:rPr>
          <w:color w:val="000000" w:themeColor="text1"/>
          <w:szCs w:val="18"/>
          <w:lang w:val="es-ES"/>
        </w:rPr>
        <w:tab/>
      </w:r>
      <w:r w:rsidRPr="003F5C52">
        <w:rPr>
          <w:rStyle w:val="aa"/>
          <w:color w:val="000000" w:themeColor="text1"/>
          <w:szCs w:val="18"/>
        </w:rPr>
        <w:footnoteRef/>
      </w:r>
      <w:r w:rsidRPr="003F5C52">
        <w:rPr>
          <w:color w:val="000000" w:themeColor="text1"/>
          <w:szCs w:val="18"/>
        </w:rPr>
        <w:tab/>
        <w:t xml:space="preserve">См. ECE/MP.EIA/IC/2022/4, п. 50. </w:t>
      </w:r>
    </w:p>
  </w:footnote>
  <w:footnote w:id="43">
    <w:p w14:paraId="66D72B28" w14:textId="77777777" w:rsidR="00786610" w:rsidRPr="003F5C52" w:rsidRDefault="00786610" w:rsidP="00786610">
      <w:pPr>
        <w:pStyle w:val="ad"/>
        <w:rPr>
          <w:color w:val="000000" w:themeColor="text1"/>
        </w:rPr>
      </w:pPr>
      <w:r w:rsidRPr="003F5C52">
        <w:rPr>
          <w:color w:val="000000" w:themeColor="text1"/>
          <w:szCs w:val="18"/>
        </w:rPr>
        <w:tab/>
      </w:r>
      <w:r w:rsidRPr="003F5C52">
        <w:rPr>
          <w:rStyle w:val="aa"/>
          <w:color w:val="000000" w:themeColor="text1"/>
          <w:szCs w:val="18"/>
        </w:rPr>
        <w:footnoteRef/>
      </w:r>
      <w:r w:rsidRPr="003F5C52">
        <w:rPr>
          <w:color w:val="000000" w:themeColor="text1"/>
        </w:rPr>
        <w:tab/>
        <w:t xml:space="preserve">Там же, п. 53. </w:t>
      </w:r>
    </w:p>
  </w:footnote>
  <w:footnote w:id="44">
    <w:p w14:paraId="679F866E" w14:textId="77777777" w:rsidR="00786610" w:rsidRPr="003F5C52" w:rsidRDefault="00786610" w:rsidP="00786610">
      <w:pPr>
        <w:pStyle w:val="ad"/>
        <w:rPr>
          <w:color w:val="000000" w:themeColor="text1"/>
        </w:rPr>
      </w:pPr>
      <w:r w:rsidRPr="003F5C52">
        <w:rPr>
          <w:color w:val="000000" w:themeColor="text1"/>
        </w:rPr>
        <w:tab/>
      </w:r>
      <w:r w:rsidRPr="003F5C52">
        <w:rPr>
          <w:rStyle w:val="aa"/>
          <w:color w:val="000000" w:themeColor="text1"/>
        </w:rPr>
        <w:footnoteRef/>
      </w:r>
      <w:r w:rsidRPr="003F5C52">
        <w:rPr>
          <w:color w:val="000000" w:themeColor="text1"/>
        </w:rPr>
        <w:tab/>
        <w:t>См. ECE/MP.EIA/6, приложение I.</w:t>
      </w:r>
    </w:p>
  </w:footnote>
  <w:footnote w:id="45">
    <w:p w14:paraId="6DF51AA7" w14:textId="77777777" w:rsidR="00786610" w:rsidRPr="003F5C52" w:rsidRDefault="00786610" w:rsidP="00786610">
      <w:pPr>
        <w:pStyle w:val="ad"/>
        <w:rPr>
          <w:color w:val="000000" w:themeColor="text1"/>
        </w:rPr>
      </w:pPr>
      <w:r w:rsidRPr="003F5C52">
        <w:rPr>
          <w:color w:val="000000" w:themeColor="text1"/>
        </w:rPr>
        <w:tab/>
      </w:r>
      <w:r w:rsidRPr="003F5C52">
        <w:rPr>
          <w:rStyle w:val="aa"/>
          <w:color w:val="000000" w:themeColor="text1"/>
        </w:rPr>
        <w:footnoteRef/>
      </w:r>
      <w:r w:rsidRPr="003F5C52">
        <w:rPr>
          <w:color w:val="000000" w:themeColor="text1"/>
        </w:rPr>
        <w:tab/>
        <w:t>См. ECE/MP.EIA/10.</w:t>
      </w:r>
    </w:p>
  </w:footnote>
  <w:footnote w:id="46">
    <w:p w14:paraId="6F0C59B3" w14:textId="77777777" w:rsidR="00786610" w:rsidRPr="003F5C52" w:rsidRDefault="00786610" w:rsidP="00786610">
      <w:pPr>
        <w:pStyle w:val="ad"/>
        <w:rPr>
          <w:color w:val="000000" w:themeColor="text1"/>
        </w:rPr>
      </w:pPr>
      <w:r w:rsidRPr="003F5C52">
        <w:rPr>
          <w:color w:val="000000" w:themeColor="text1"/>
        </w:rPr>
        <w:tab/>
      </w:r>
      <w:r w:rsidRPr="003F5C52">
        <w:rPr>
          <w:rStyle w:val="aa"/>
          <w:color w:val="000000" w:themeColor="text1"/>
        </w:rPr>
        <w:footnoteRef/>
      </w:r>
      <w:r w:rsidRPr="003F5C52">
        <w:rPr>
          <w:color w:val="000000" w:themeColor="text1"/>
        </w:rPr>
        <w:tab/>
        <w:t>См. ECE/MP.EIA/15.</w:t>
      </w:r>
    </w:p>
  </w:footnote>
  <w:footnote w:id="47">
    <w:p w14:paraId="47DA0A8F" w14:textId="77777777" w:rsidR="00786610" w:rsidRPr="003F5C52" w:rsidRDefault="00786610" w:rsidP="00786610">
      <w:pPr>
        <w:pStyle w:val="ad"/>
        <w:rPr>
          <w:color w:val="000000" w:themeColor="text1"/>
          <w:lang w:val="es-ES"/>
        </w:rPr>
      </w:pPr>
      <w:r w:rsidRPr="003F5C52">
        <w:rPr>
          <w:color w:val="000000" w:themeColor="text1"/>
        </w:rPr>
        <w:tab/>
      </w:r>
      <w:r w:rsidRPr="003F5C52">
        <w:rPr>
          <w:rStyle w:val="aa"/>
          <w:color w:val="000000" w:themeColor="text1"/>
        </w:rPr>
        <w:footnoteRef/>
      </w:r>
      <w:r w:rsidRPr="003F5C52">
        <w:rPr>
          <w:color w:val="000000" w:themeColor="text1"/>
          <w:lang w:val="es-ES"/>
        </w:rPr>
        <w:tab/>
      </w:r>
      <w:r w:rsidRPr="003F5C52">
        <w:rPr>
          <w:color w:val="000000" w:themeColor="text1"/>
        </w:rPr>
        <w:t>См</w:t>
      </w:r>
      <w:r w:rsidRPr="003F5C52">
        <w:rPr>
          <w:color w:val="000000" w:themeColor="text1"/>
          <w:lang w:val="es-ES"/>
        </w:rPr>
        <w:t>. ECE/MP.EIA/20.Add.1–ECE/MP.EIA/SEA/4.Add.1.</w:t>
      </w:r>
    </w:p>
  </w:footnote>
  <w:footnote w:id="48">
    <w:p w14:paraId="12D3E466" w14:textId="77777777" w:rsidR="00786610" w:rsidRPr="003F5C52" w:rsidRDefault="00786610" w:rsidP="00786610">
      <w:pPr>
        <w:pStyle w:val="ad"/>
        <w:rPr>
          <w:color w:val="000000" w:themeColor="text1"/>
          <w:lang w:val="es-ES"/>
        </w:rPr>
      </w:pPr>
      <w:r w:rsidRPr="003F5C52">
        <w:rPr>
          <w:color w:val="000000" w:themeColor="text1"/>
          <w:lang w:val="es-ES"/>
        </w:rPr>
        <w:tab/>
      </w:r>
      <w:r w:rsidRPr="003F5C52">
        <w:rPr>
          <w:rStyle w:val="aa"/>
          <w:color w:val="000000" w:themeColor="text1"/>
        </w:rPr>
        <w:footnoteRef/>
      </w:r>
      <w:r w:rsidRPr="003F5C52">
        <w:rPr>
          <w:color w:val="000000" w:themeColor="text1"/>
          <w:lang w:val="es-ES"/>
        </w:rPr>
        <w:tab/>
      </w:r>
      <w:r w:rsidRPr="003F5C52">
        <w:rPr>
          <w:color w:val="000000" w:themeColor="text1"/>
        </w:rPr>
        <w:t>См</w:t>
      </w:r>
      <w:r w:rsidRPr="003F5C52">
        <w:rPr>
          <w:color w:val="000000" w:themeColor="text1"/>
          <w:lang w:val="es-ES"/>
        </w:rPr>
        <w:t>. ECE/MP.EIA/23.Add.2–ECE/MP.EIA/SEA/7.Add.2.</w:t>
      </w:r>
    </w:p>
  </w:footnote>
  <w:footnote w:id="49">
    <w:p w14:paraId="65EDC55D" w14:textId="77777777" w:rsidR="00786610" w:rsidRPr="003F5C52" w:rsidRDefault="00786610" w:rsidP="00786610">
      <w:pPr>
        <w:pStyle w:val="ad"/>
        <w:rPr>
          <w:color w:val="000000" w:themeColor="text1"/>
          <w:lang w:val="es-ES"/>
        </w:rPr>
      </w:pPr>
      <w:r w:rsidRPr="003F5C52">
        <w:rPr>
          <w:color w:val="000000" w:themeColor="text1"/>
          <w:lang w:val="es-ES"/>
        </w:rPr>
        <w:tab/>
      </w:r>
      <w:r w:rsidRPr="003F5C52">
        <w:rPr>
          <w:rStyle w:val="aa"/>
          <w:color w:val="000000" w:themeColor="text1"/>
        </w:rPr>
        <w:footnoteRef/>
      </w:r>
      <w:r w:rsidRPr="003F5C52">
        <w:rPr>
          <w:color w:val="000000" w:themeColor="text1"/>
          <w:lang w:val="es-ES"/>
        </w:rPr>
        <w:tab/>
      </w:r>
      <w:r w:rsidRPr="003F5C52">
        <w:rPr>
          <w:color w:val="000000" w:themeColor="text1"/>
        </w:rPr>
        <w:t>См</w:t>
      </w:r>
      <w:r w:rsidRPr="003F5C52">
        <w:rPr>
          <w:color w:val="000000" w:themeColor="text1"/>
          <w:lang w:val="es-ES"/>
        </w:rPr>
        <w:t>. ECE/MP.EIA/30/Add.2</w:t>
      </w:r>
      <w:r w:rsidRPr="003F5C52">
        <w:rPr>
          <w:color w:val="000000" w:themeColor="text1"/>
          <w:lang w:val="es-ES" w:eastAsia="en-US"/>
        </w:rPr>
        <w:t>–</w:t>
      </w:r>
      <w:r w:rsidRPr="003F5C52">
        <w:rPr>
          <w:color w:val="000000" w:themeColor="text1"/>
          <w:lang w:val="es-ES"/>
        </w:rPr>
        <w:t>ECE/MP.EIA/SEA/13/Add.2.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9E369" w14:textId="373EEB75" w:rsidR="00786610" w:rsidRPr="00786610" w:rsidRDefault="003F5C52">
    <w:pPr>
      <w:pStyle w:val="a5"/>
    </w:pPr>
    <w:fldSimple w:instr=" TITLE  \* MERGEFORMAT ">
      <w:r w:rsidR="00012E6E">
        <w:t>ECE/MP.EIA/2023/6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E324F" w14:textId="20A09E20" w:rsidR="00786610" w:rsidRPr="00786610" w:rsidRDefault="003F5C52" w:rsidP="00786610">
    <w:pPr>
      <w:pStyle w:val="a5"/>
      <w:jc w:val="right"/>
    </w:pPr>
    <w:fldSimple w:instr=" TITLE  \* MERGEFORMAT ">
      <w:r w:rsidR="00012E6E">
        <w:t>ECE/MP.EIA/2023/6</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204F2" w14:textId="77777777" w:rsidR="00786610" w:rsidRDefault="00786610" w:rsidP="00786610">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56733885">
    <w:abstractNumId w:val="16"/>
  </w:num>
  <w:num w:numId="2" w16cid:durableId="966817556">
    <w:abstractNumId w:val="11"/>
  </w:num>
  <w:num w:numId="3" w16cid:durableId="1816291531">
    <w:abstractNumId w:val="10"/>
  </w:num>
  <w:num w:numId="4" w16cid:durableId="1492480875">
    <w:abstractNumId w:val="17"/>
  </w:num>
  <w:num w:numId="5" w16cid:durableId="1298685170">
    <w:abstractNumId w:val="13"/>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15"/>
  </w:num>
  <w:num w:numId="17" w16cid:durableId="53941411">
    <w:abstractNumId w:val="12"/>
  </w:num>
  <w:num w:numId="18" w16cid:durableId="961153681">
    <w:abstractNumId w:val="14"/>
  </w:num>
  <w:num w:numId="19" w16cid:durableId="1272468768">
    <w:abstractNumId w:val="15"/>
  </w:num>
  <w:num w:numId="20" w16cid:durableId="807743971">
    <w:abstractNumId w:val="12"/>
  </w:num>
  <w:num w:numId="21" w16cid:durableId="159116218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791"/>
    <w:rsid w:val="00012E6E"/>
    <w:rsid w:val="00033EE1"/>
    <w:rsid w:val="00042B72"/>
    <w:rsid w:val="00053D9D"/>
    <w:rsid w:val="000558BD"/>
    <w:rsid w:val="00094621"/>
    <w:rsid w:val="000B57E7"/>
    <w:rsid w:val="000B6373"/>
    <w:rsid w:val="000E4E5B"/>
    <w:rsid w:val="000F09DF"/>
    <w:rsid w:val="000F61B2"/>
    <w:rsid w:val="001075E9"/>
    <w:rsid w:val="00112D48"/>
    <w:rsid w:val="00115791"/>
    <w:rsid w:val="00126F3A"/>
    <w:rsid w:val="0014152F"/>
    <w:rsid w:val="00180183"/>
    <w:rsid w:val="0018024D"/>
    <w:rsid w:val="0018649F"/>
    <w:rsid w:val="00196389"/>
    <w:rsid w:val="001B3EF6"/>
    <w:rsid w:val="001C158D"/>
    <w:rsid w:val="001C7A89"/>
    <w:rsid w:val="0022391F"/>
    <w:rsid w:val="00227E66"/>
    <w:rsid w:val="002506B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40CF3"/>
    <w:rsid w:val="00381C24"/>
    <w:rsid w:val="00387CD4"/>
    <w:rsid w:val="003958D0"/>
    <w:rsid w:val="003A0D43"/>
    <w:rsid w:val="003A48CE"/>
    <w:rsid w:val="003B00E5"/>
    <w:rsid w:val="003E0B46"/>
    <w:rsid w:val="003F5C52"/>
    <w:rsid w:val="00407B78"/>
    <w:rsid w:val="00424203"/>
    <w:rsid w:val="00452493"/>
    <w:rsid w:val="00453318"/>
    <w:rsid w:val="00454AF2"/>
    <w:rsid w:val="00454E07"/>
    <w:rsid w:val="00472C5C"/>
    <w:rsid w:val="00485F8A"/>
    <w:rsid w:val="00495B0F"/>
    <w:rsid w:val="004E05B7"/>
    <w:rsid w:val="0050108D"/>
    <w:rsid w:val="00513081"/>
    <w:rsid w:val="00517901"/>
    <w:rsid w:val="00526683"/>
    <w:rsid w:val="00526DB8"/>
    <w:rsid w:val="005560D9"/>
    <w:rsid w:val="00561F0A"/>
    <w:rsid w:val="005639C1"/>
    <w:rsid w:val="005709E0"/>
    <w:rsid w:val="00572E19"/>
    <w:rsid w:val="005961C8"/>
    <w:rsid w:val="005966F1"/>
    <w:rsid w:val="005C19F7"/>
    <w:rsid w:val="005D7914"/>
    <w:rsid w:val="005E2B41"/>
    <w:rsid w:val="005F0B42"/>
    <w:rsid w:val="00617A43"/>
    <w:rsid w:val="006345DB"/>
    <w:rsid w:val="00640F49"/>
    <w:rsid w:val="00666EB6"/>
    <w:rsid w:val="00680D03"/>
    <w:rsid w:val="00681A10"/>
    <w:rsid w:val="006A1ED8"/>
    <w:rsid w:val="006C2031"/>
    <w:rsid w:val="006D461A"/>
    <w:rsid w:val="006F35EE"/>
    <w:rsid w:val="007021FF"/>
    <w:rsid w:val="00712895"/>
    <w:rsid w:val="00734ACB"/>
    <w:rsid w:val="0074388D"/>
    <w:rsid w:val="00757357"/>
    <w:rsid w:val="00786610"/>
    <w:rsid w:val="00792497"/>
    <w:rsid w:val="00806737"/>
    <w:rsid w:val="00825F8D"/>
    <w:rsid w:val="00834B71"/>
    <w:rsid w:val="00851CAE"/>
    <w:rsid w:val="0086445C"/>
    <w:rsid w:val="00894693"/>
    <w:rsid w:val="008A08D7"/>
    <w:rsid w:val="008A37C8"/>
    <w:rsid w:val="008B6909"/>
    <w:rsid w:val="008D53B6"/>
    <w:rsid w:val="008F7609"/>
    <w:rsid w:val="00906890"/>
    <w:rsid w:val="00911BE4"/>
    <w:rsid w:val="00942521"/>
    <w:rsid w:val="00951972"/>
    <w:rsid w:val="009608F3"/>
    <w:rsid w:val="009A24AC"/>
    <w:rsid w:val="009B66AD"/>
    <w:rsid w:val="009C59D7"/>
    <w:rsid w:val="009C6FE6"/>
    <w:rsid w:val="009D7E7D"/>
    <w:rsid w:val="00A14D6C"/>
    <w:rsid w:val="00A14DA8"/>
    <w:rsid w:val="00A312BC"/>
    <w:rsid w:val="00A53E63"/>
    <w:rsid w:val="00A729E2"/>
    <w:rsid w:val="00A84021"/>
    <w:rsid w:val="00A84D35"/>
    <w:rsid w:val="00A917B3"/>
    <w:rsid w:val="00AB4B51"/>
    <w:rsid w:val="00B10CC7"/>
    <w:rsid w:val="00B36DF7"/>
    <w:rsid w:val="00B539E7"/>
    <w:rsid w:val="00B54F6A"/>
    <w:rsid w:val="00B62458"/>
    <w:rsid w:val="00BA52C3"/>
    <w:rsid w:val="00BC18B2"/>
    <w:rsid w:val="00BD33EE"/>
    <w:rsid w:val="00BE1CC7"/>
    <w:rsid w:val="00BF418D"/>
    <w:rsid w:val="00C106D6"/>
    <w:rsid w:val="00C119AE"/>
    <w:rsid w:val="00C60F0C"/>
    <w:rsid w:val="00C71E84"/>
    <w:rsid w:val="00C805C9"/>
    <w:rsid w:val="00C92939"/>
    <w:rsid w:val="00C95057"/>
    <w:rsid w:val="00CA1679"/>
    <w:rsid w:val="00CB151C"/>
    <w:rsid w:val="00CE5A1A"/>
    <w:rsid w:val="00CF55F6"/>
    <w:rsid w:val="00D032A9"/>
    <w:rsid w:val="00D33D63"/>
    <w:rsid w:val="00D5253A"/>
    <w:rsid w:val="00D873A8"/>
    <w:rsid w:val="00D879A4"/>
    <w:rsid w:val="00D90028"/>
    <w:rsid w:val="00D90138"/>
    <w:rsid w:val="00D9145B"/>
    <w:rsid w:val="00DB587D"/>
    <w:rsid w:val="00DD78D1"/>
    <w:rsid w:val="00DE32CD"/>
    <w:rsid w:val="00DF5767"/>
    <w:rsid w:val="00DF71B9"/>
    <w:rsid w:val="00E12C5F"/>
    <w:rsid w:val="00E12FE4"/>
    <w:rsid w:val="00E265A0"/>
    <w:rsid w:val="00E5065F"/>
    <w:rsid w:val="00E73F76"/>
    <w:rsid w:val="00EA0E07"/>
    <w:rsid w:val="00EA2C9F"/>
    <w:rsid w:val="00EA420E"/>
    <w:rsid w:val="00ED0BDA"/>
    <w:rsid w:val="00EE142A"/>
    <w:rsid w:val="00EF1360"/>
    <w:rsid w:val="00EF3220"/>
    <w:rsid w:val="00F2523A"/>
    <w:rsid w:val="00F43903"/>
    <w:rsid w:val="00F73C9D"/>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8354A1"/>
  <w15:docId w15:val="{79C8FA03-9F1E-48EE-AD5F-CAF43D78B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4_GR,Footnote Reference Superscript,BVI fnr,Footnote symbol,Footnote call,SUPERS,(Footnote Reference),Footnote,Voetnootverwijzing,Times 10 Point,Exposant 3 Point,Footnote reference number,note TESI,Footnotes refss"/>
    <w:basedOn w:val="a0"/>
    <w:uiPriority w:val="99"/>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rsid w:val="00786610"/>
    <w:rPr>
      <w:lang w:val="ru-RU" w:eastAsia="en-US"/>
    </w:rPr>
  </w:style>
  <w:style w:type="character" w:styleId="af3">
    <w:name w:val="Unresolved Mention"/>
    <w:basedOn w:val="a0"/>
    <w:uiPriority w:val="99"/>
    <w:semiHidden/>
    <w:unhideWhenUsed/>
    <w:rsid w:val="0005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unece.org/sessions-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8" ma:contentTypeDescription="Create a new document." ma:contentTypeScope="" ma:versionID="d22e6ad98b7321529a84105081bfcf9c">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0b3bd6ac9ac9790cf6efe025ca4e12b4"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1F29E1-3307-4096-A508-AD65CE5294CE}"/>
</file>

<file path=customXml/itemProps2.xml><?xml version="1.0" encoding="utf-8"?>
<ds:datastoreItem xmlns:ds="http://schemas.openxmlformats.org/officeDocument/2006/customXml" ds:itemID="{C84E3A1A-8B4A-4C1C-80BC-AF7AFAE221F6}"/>
</file>

<file path=docProps/app.xml><?xml version="1.0" encoding="utf-8"?>
<Properties xmlns="http://schemas.openxmlformats.org/officeDocument/2006/extended-properties" xmlns:vt="http://schemas.openxmlformats.org/officeDocument/2006/docPropsVTypes">
  <Template>ECE.dotm</Template>
  <TotalTime>0</TotalTime>
  <Pages>7</Pages>
  <Words>2266</Words>
  <Characters>15244</Characters>
  <Application>Microsoft Office Word</Application>
  <DocSecurity>0</DocSecurity>
  <Lines>287</Lines>
  <Paragraphs>79</Paragraphs>
  <ScaleCrop>false</ScaleCrop>
  <HeadingPairs>
    <vt:vector size="8" baseType="variant">
      <vt:variant>
        <vt:lpstr>Название</vt:lpstr>
      </vt:variant>
      <vt:variant>
        <vt:i4>1</vt:i4>
      </vt:variant>
      <vt:variant>
        <vt:lpstr>Заголовки</vt:lpstr>
      </vt:variant>
      <vt:variant>
        <vt:i4>4</vt:i4>
      </vt:variant>
      <vt:variant>
        <vt:lpstr>Title</vt:lpstr>
      </vt:variant>
      <vt:variant>
        <vt:i4>1</vt:i4>
      </vt:variant>
      <vt:variant>
        <vt:lpstr>Título</vt:lpstr>
      </vt:variant>
      <vt:variant>
        <vt:i4>1</vt:i4>
      </vt:variant>
    </vt:vector>
  </HeadingPairs>
  <TitlesOfParts>
    <vt:vector size="7" baseType="lpstr">
      <vt:lpstr>ECE/MP.EIA/2023/6</vt:lpstr>
      <vt:lpstr>    Проект решения по общим вопросам соблюдения Конвенции</vt:lpstr>
      <vt:lpstr>        Предложение Комитета по осуществлению</vt:lpstr>
      <vt:lpstr>    Решение IX/4 </vt:lpstr>
      <vt:lpstr>        Общие вопросы соблюдения Конвенции</vt:lpstr>
      <vt:lpstr>A/</vt:lpstr>
      <vt:lpstr>A/</vt:lpstr>
    </vt:vector>
  </TitlesOfParts>
  <Company>DCM</Company>
  <LinksUpToDate>false</LinksUpToDate>
  <CharactersWithSpaces>17420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ECE/MP.EIA/2023/6</dc:title>
  <dc:subject/>
  <dc:creator>Olga OVTCHINNIKOVA</dc:creator>
  <cp:keywords/>
  <cp:lastModifiedBy>Olga Ovchinnikova</cp:lastModifiedBy>
  <cp:revision>3</cp:revision>
  <cp:lastPrinted>2023-10-18T06:37:00Z</cp:lastPrinted>
  <dcterms:created xsi:type="dcterms:W3CDTF">2023-10-18T06:37:00Z</dcterms:created>
  <dcterms:modified xsi:type="dcterms:W3CDTF">2023-10-18T06:38:00Z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