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3633C5" w14:paraId="4C1C7CD7" w14:textId="77777777" w:rsidTr="00DF5712">
        <w:trPr>
          <w:trHeight w:hRule="exact" w:val="851"/>
        </w:trPr>
        <w:tc>
          <w:tcPr>
            <w:tcW w:w="1276" w:type="dxa"/>
            <w:tcBorders>
              <w:bottom w:val="single" w:sz="4" w:space="0" w:color="auto"/>
            </w:tcBorders>
          </w:tcPr>
          <w:p w14:paraId="01FBC0C0" w14:textId="77777777" w:rsidR="00A14420" w:rsidRPr="00DB58B5" w:rsidRDefault="00A14420" w:rsidP="004441FB"/>
        </w:tc>
        <w:tc>
          <w:tcPr>
            <w:tcW w:w="2268" w:type="dxa"/>
            <w:tcBorders>
              <w:bottom w:val="single" w:sz="4" w:space="0" w:color="auto"/>
            </w:tcBorders>
            <w:vAlign w:val="bottom"/>
          </w:tcPr>
          <w:p w14:paraId="321E3D0C"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18D126" w14:textId="30EB8223" w:rsidR="004441FB" w:rsidRPr="004441FB" w:rsidRDefault="004441FB" w:rsidP="004441FB">
            <w:pPr>
              <w:jc w:val="right"/>
              <w:rPr>
                <w:lang w:val="es-ES"/>
              </w:rPr>
            </w:pPr>
            <w:r w:rsidRPr="004441FB">
              <w:rPr>
                <w:sz w:val="40"/>
                <w:lang w:val="es-ES"/>
              </w:rPr>
              <w:t>ECE</w:t>
            </w:r>
            <w:r w:rsidRPr="004441FB">
              <w:rPr>
                <w:lang w:val="es-ES"/>
              </w:rPr>
              <w:t>/MP.EIA/2023/5−</w:t>
            </w:r>
            <w:r w:rsidRPr="004441FB">
              <w:rPr>
                <w:sz w:val="40"/>
                <w:lang w:val="es-ES"/>
              </w:rPr>
              <w:t>ECE</w:t>
            </w:r>
            <w:r w:rsidRPr="004441FB">
              <w:rPr>
                <w:lang w:val="es-ES"/>
              </w:rPr>
              <w:t>/MP.EIA/SEA/2023/5</w:t>
            </w:r>
          </w:p>
        </w:tc>
      </w:tr>
      <w:tr w:rsidR="00A14420" w:rsidRPr="00DB58B5" w14:paraId="0A6F2D05" w14:textId="77777777" w:rsidTr="00DF5712">
        <w:trPr>
          <w:trHeight w:hRule="exact" w:val="2835"/>
        </w:trPr>
        <w:tc>
          <w:tcPr>
            <w:tcW w:w="1276" w:type="dxa"/>
            <w:tcBorders>
              <w:top w:val="single" w:sz="4" w:space="0" w:color="auto"/>
              <w:bottom w:val="single" w:sz="12" w:space="0" w:color="auto"/>
            </w:tcBorders>
          </w:tcPr>
          <w:p w14:paraId="7BEE1C5E" w14:textId="77777777" w:rsidR="00A14420" w:rsidRPr="00DB58B5" w:rsidRDefault="00A14420" w:rsidP="00DF5712">
            <w:pPr>
              <w:spacing w:before="120"/>
              <w:jc w:val="center"/>
            </w:pPr>
            <w:r>
              <w:rPr>
                <w:noProof/>
                <w:lang w:eastAsia="fr-CH"/>
              </w:rPr>
              <w:drawing>
                <wp:inline distT="0" distB="0" distL="0" distR="0" wp14:anchorId="04A2631A" wp14:editId="64C08B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C3414C"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5183688" w14:textId="77777777" w:rsidR="00A14420" w:rsidRDefault="004441FB" w:rsidP="00DF5712">
            <w:pPr>
              <w:spacing w:before="240"/>
            </w:pPr>
            <w:proofErr w:type="spellStart"/>
            <w:r>
              <w:t>Distr</w:t>
            </w:r>
            <w:proofErr w:type="spellEnd"/>
            <w:r>
              <w:t>. générale</w:t>
            </w:r>
          </w:p>
          <w:p w14:paraId="4F9E6AAB" w14:textId="77777777" w:rsidR="004441FB" w:rsidRDefault="004441FB" w:rsidP="004441FB">
            <w:pPr>
              <w:spacing w:line="240" w:lineRule="exact"/>
            </w:pPr>
            <w:r>
              <w:t>2 octobre 2023</w:t>
            </w:r>
          </w:p>
          <w:p w14:paraId="3B2B4A95" w14:textId="77777777" w:rsidR="004441FB" w:rsidRDefault="004441FB" w:rsidP="004441FB">
            <w:pPr>
              <w:spacing w:line="240" w:lineRule="exact"/>
            </w:pPr>
            <w:r>
              <w:t>Français</w:t>
            </w:r>
          </w:p>
          <w:p w14:paraId="75AD0A40" w14:textId="6E8BACE6" w:rsidR="004441FB" w:rsidRPr="00DB58B5" w:rsidRDefault="004441FB" w:rsidP="004441FB">
            <w:pPr>
              <w:spacing w:line="240" w:lineRule="exact"/>
            </w:pPr>
            <w:r>
              <w:t>Original : anglais</w:t>
            </w:r>
          </w:p>
        </w:tc>
      </w:tr>
    </w:tbl>
    <w:p w14:paraId="661EBE5A" w14:textId="77777777" w:rsidR="00C554CE" w:rsidRDefault="00C554CE" w:rsidP="00C554CE">
      <w:pPr>
        <w:spacing w:before="120"/>
        <w:rPr>
          <w:b/>
          <w:sz w:val="28"/>
          <w:szCs w:val="28"/>
        </w:rPr>
      </w:pPr>
      <w:r w:rsidRPr="000312C0">
        <w:rPr>
          <w:b/>
          <w:sz w:val="28"/>
          <w:szCs w:val="28"/>
        </w:rPr>
        <w:t>Commission économique pour l’Europe</w:t>
      </w:r>
    </w:p>
    <w:p w14:paraId="4CE64955" w14:textId="0194B997" w:rsidR="004441FB" w:rsidRPr="004441FB" w:rsidRDefault="004441FB" w:rsidP="004441FB">
      <w:pPr>
        <w:spacing w:before="120"/>
        <w:rPr>
          <w:bCs/>
          <w:color w:val="000000"/>
          <w:sz w:val="28"/>
          <w:szCs w:val="28"/>
        </w:rPr>
      </w:pPr>
      <w:r w:rsidRPr="004441FB">
        <w:rPr>
          <w:sz w:val="28"/>
          <w:szCs w:val="28"/>
          <w:lang w:val="fr-FR"/>
        </w:rPr>
        <w:t xml:space="preserve">Réunion des Parties à la Convention sur </w:t>
      </w:r>
      <w:r>
        <w:rPr>
          <w:sz w:val="28"/>
          <w:szCs w:val="28"/>
          <w:lang w:val="fr-FR"/>
        </w:rPr>
        <w:br/>
      </w:r>
      <w:r w:rsidRPr="004441FB">
        <w:rPr>
          <w:sz w:val="28"/>
          <w:szCs w:val="28"/>
          <w:lang w:val="fr-FR"/>
        </w:rPr>
        <w:t xml:space="preserve">l’évaluation de l’impact sur l’environnement </w:t>
      </w:r>
      <w:r>
        <w:rPr>
          <w:sz w:val="28"/>
          <w:szCs w:val="28"/>
          <w:lang w:val="fr-FR"/>
        </w:rPr>
        <w:br/>
      </w:r>
      <w:r w:rsidRPr="004441FB">
        <w:rPr>
          <w:sz w:val="28"/>
          <w:szCs w:val="28"/>
          <w:lang w:val="fr-FR"/>
        </w:rPr>
        <w:t>dans un contexte transfrontière</w:t>
      </w:r>
    </w:p>
    <w:p w14:paraId="3998137A" w14:textId="77777777" w:rsidR="004441FB" w:rsidRPr="004441FB" w:rsidRDefault="004441FB" w:rsidP="004441FB">
      <w:pPr>
        <w:spacing w:before="120"/>
        <w:rPr>
          <w:b/>
          <w:color w:val="000000"/>
        </w:rPr>
      </w:pPr>
      <w:r w:rsidRPr="004441FB">
        <w:rPr>
          <w:b/>
          <w:bCs/>
          <w:lang w:val="fr-FR"/>
        </w:rPr>
        <w:t>Neuvième session</w:t>
      </w:r>
    </w:p>
    <w:p w14:paraId="1A3001BE" w14:textId="217298B4" w:rsidR="004441FB" w:rsidRPr="004441FB" w:rsidRDefault="004441FB" w:rsidP="004441FB">
      <w:pPr>
        <w:spacing w:before="120"/>
        <w:rPr>
          <w:color w:val="000000"/>
          <w:sz w:val="28"/>
          <w:szCs w:val="28"/>
        </w:rPr>
      </w:pPr>
      <w:r w:rsidRPr="004441FB">
        <w:rPr>
          <w:sz w:val="28"/>
          <w:szCs w:val="28"/>
          <w:lang w:val="fr-FR"/>
        </w:rPr>
        <w:t xml:space="preserve">Réunion des Parties à la Convention sur </w:t>
      </w:r>
      <w:r>
        <w:rPr>
          <w:sz w:val="28"/>
          <w:szCs w:val="28"/>
          <w:lang w:val="fr-FR"/>
        </w:rPr>
        <w:br/>
      </w:r>
      <w:r w:rsidRPr="004441FB">
        <w:rPr>
          <w:sz w:val="28"/>
          <w:szCs w:val="28"/>
          <w:lang w:val="fr-FR"/>
        </w:rPr>
        <w:t xml:space="preserve">l’évaluation de l’impact sur l’environnement </w:t>
      </w:r>
      <w:r>
        <w:rPr>
          <w:sz w:val="28"/>
          <w:szCs w:val="28"/>
          <w:lang w:val="fr-FR"/>
        </w:rPr>
        <w:br/>
      </w:r>
      <w:r w:rsidRPr="004441FB">
        <w:rPr>
          <w:sz w:val="28"/>
          <w:szCs w:val="28"/>
          <w:lang w:val="fr-FR"/>
        </w:rPr>
        <w:t xml:space="preserve">dans un contexte transfrontière agissant comme </w:t>
      </w:r>
      <w:r>
        <w:rPr>
          <w:sz w:val="28"/>
          <w:szCs w:val="28"/>
          <w:lang w:val="fr-FR"/>
        </w:rPr>
        <w:br/>
      </w:r>
      <w:r w:rsidRPr="004441FB">
        <w:rPr>
          <w:sz w:val="28"/>
          <w:szCs w:val="28"/>
          <w:lang w:val="fr-FR"/>
        </w:rPr>
        <w:t xml:space="preserve">réunion des Parties au Protocole relatif </w:t>
      </w:r>
      <w:r>
        <w:rPr>
          <w:sz w:val="28"/>
          <w:szCs w:val="28"/>
          <w:lang w:val="fr-FR"/>
        </w:rPr>
        <w:br/>
      </w:r>
      <w:r w:rsidRPr="004441FB">
        <w:rPr>
          <w:sz w:val="28"/>
          <w:szCs w:val="28"/>
          <w:lang w:val="fr-FR"/>
        </w:rPr>
        <w:t>à l’évaluation stratégique environnementale</w:t>
      </w:r>
    </w:p>
    <w:p w14:paraId="3EBFA85F" w14:textId="77777777" w:rsidR="004441FB" w:rsidRPr="004441FB" w:rsidRDefault="004441FB" w:rsidP="004441FB">
      <w:pPr>
        <w:spacing w:before="120"/>
        <w:rPr>
          <w:b/>
          <w:color w:val="000000"/>
        </w:rPr>
      </w:pPr>
      <w:r w:rsidRPr="004441FB">
        <w:rPr>
          <w:b/>
          <w:bCs/>
          <w:lang w:val="fr-FR"/>
        </w:rPr>
        <w:t>Cinquième session</w:t>
      </w:r>
    </w:p>
    <w:p w14:paraId="59AB0FE3" w14:textId="77777777" w:rsidR="004441FB" w:rsidRPr="005D01E6" w:rsidRDefault="004441FB" w:rsidP="004441FB">
      <w:pPr>
        <w:spacing w:before="100" w:line="240" w:lineRule="auto"/>
      </w:pPr>
      <w:r w:rsidRPr="005D01E6">
        <w:rPr>
          <w:lang w:val="fr-FR"/>
        </w:rPr>
        <w:t>Genève, 12-15 décembre 2023</w:t>
      </w:r>
    </w:p>
    <w:p w14:paraId="128D6D55" w14:textId="77777777" w:rsidR="004441FB" w:rsidRPr="005D01E6" w:rsidRDefault="004441FB" w:rsidP="004441FB">
      <w:bookmarkStart w:id="0" w:name="_Hlk127636376"/>
      <w:r w:rsidRPr="005D01E6">
        <w:rPr>
          <w:lang w:val="fr-FR"/>
        </w:rPr>
        <w:t>Points 3 a) et 8 a) de l’ordre du jour provisoire</w:t>
      </w:r>
    </w:p>
    <w:bookmarkEnd w:id="0"/>
    <w:p w14:paraId="56A7FEA4" w14:textId="0E33E8A7" w:rsidR="004441FB" w:rsidRPr="005D01E6" w:rsidRDefault="004441FB" w:rsidP="004441FB">
      <w:pPr>
        <w:spacing w:before="120"/>
        <w:rPr>
          <w:b/>
          <w:bCs/>
        </w:rPr>
      </w:pPr>
      <w:r w:rsidRPr="005D01E6">
        <w:rPr>
          <w:b/>
          <w:bCs/>
          <w:lang w:val="fr-FR"/>
        </w:rPr>
        <w:t>Questions en suspens</w:t>
      </w:r>
      <w:r w:rsidR="004A1DF6" w:rsidRPr="005D01E6">
        <w:rPr>
          <w:b/>
          <w:bCs/>
          <w:lang w:val="fr-FR"/>
        </w:rPr>
        <w:t> </w:t>
      </w:r>
      <w:r w:rsidRPr="005D01E6">
        <w:rPr>
          <w:b/>
          <w:bCs/>
          <w:lang w:val="fr-FR"/>
        </w:rPr>
        <w:t>: projets de décision</w:t>
      </w:r>
      <w:r w:rsidR="004A1DF6" w:rsidRPr="005D01E6">
        <w:rPr>
          <w:b/>
          <w:bCs/>
          <w:lang w:val="fr-FR"/>
        </w:rPr>
        <w:t xml:space="preserve"> </w:t>
      </w:r>
      <w:r w:rsidRPr="005D01E6">
        <w:rPr>
          <w:b/>
          <w:bCs/>
          <w:lang w:val="fr-FR"/>
        </w:rPr>
        <w:t>conjointe</w:t>
      </w:r>
      <w:r w:rsidRPr="005D01E6">
        <w:rPr>
          <w:lang w:val="fr-FR"/>
        </w:rPr>
        <w:t xml:space="preserve"> </w:t>
      </w:r>
    </w:p>
    <w:p w14:paraId="05E0AC3A" w14:textId="21834197" w:rsidR="004441FB" w:rsidRPr="005D01E6" w:rsidRDefault="004441FB" w:rsidP="004441FB">
      <w:pPr>
        <w:rPr>
          <w:b/>
          <w:bCs/>
        </w:rPr>
      </w:pPr>
      <w:r w:rsidRPr="005D01E6">
        <w:rPr>
          <w:b/>
          <w:bCs/>
          <w:lang w:val="fr-FR"/>
        </w:rPr>
        <w:t>Adoption des décisions</w:t>
      </w:r>
      <w:r w:rsidR="004A1DF6" w:rsidRPr="005D01E6">
        <w:rPr>
          <w:b/>
          <w:bCs/>
          <w:lang w:val="fr-FR"/>
        </w:rPr>
        <w:t> </w:t>
      </w:r>
      <w:r w:rsidRPr="005D01E6">
        <w:rPr>
          <w:b/>
          <w:bCs/>
          <w:lang w:val="fr-FR"/>
        </w:rPr>
        <w:t>: décisions à prendre conjointement</w:t>
      </w:r>
    </w:p>
    <w:p w14:paraId="173BEDF6" w14:textId="43B68F6B" w:rsidR="004441FB" w:rsidRPr="00D631A2" w:rsidRDefault="004441FB" w:rsidP="004441FB">
      <w:pPr>
        <w:pStyle w:val="HChG"/>
      </w:pPr>
      <w:r w:rsidRPr="00D631A2">
        <w:rPr>
          <w:lang w:val="fr-FR"/>
        </w:rPr>
        <w:tab/>
      </w:r>
      <w:r w:rsidRPr="00D631A2">
        <w:rPr>
          <w:lang w:val="fr-FR"/>
        </w:rPr>
        <w:tab/>
        <w:t>Propositions de modification</w:t>
      </w:r>
      <w:r>
        <w:rPr>
          <w:lang w:val="fr-FR"/>
        </w:rPr>
        <w:t xml:space="preserve"> du texte définissant</w:t>
      </w:r>
      <w:r w:rsidRPr="00D631A2">
        <w:rPr>
          <w:lang w:val="fr-FR"/>
        </w:rPr>
        <w:t xml:space="preserve"> la structure</w:t>
      </w:r>
      <w:r>
        <w:rPr>
          <w:lang w:val="fr-FR"/>
        </w:rPr>
        <w:t xml:space="preserve"> et</w:t>
      </w:r>
      <w:r w:rsidRPr="00D631A2">
        <w:rPr>
          <w:lang w:val="fr-FR"/>
        </w:rPr>
        <w:t xml:space="preserve"> </w:t>
      </w:r>
      <w:r>
        <w:rPr>
          <w:lang w:val="fr-FR"/>
        </w:rPr>
        <w:t>l</w:t>
      </w:r>
      <w:r w:rsidRPr="00D631A2">
        <w:rPr>
          <w:lang w:val="fr-FR"/>
        </w:rPr>
        <w:t xml:space="preserve">es fonctions </w:t>
      </w:r>
      <w:r w:rsidRPr="002D6FA6">
        <w:rPr>
          <w:lang w:val="fr-FR"/>
        </w:rPr>
        <w:t>du Comité d</w:t>
      </w:r>
      <w:r>
        <w:rPr>
          <w:lang w:val="fr-FR"/>
        </w:rPr>
        <w:t>’</w:t>
      </w:r>
      <w:r w:rsidRPr="002D6FA6">
        <w:rPr>
          <w:lang w:val="fr-FR"/>
        </w:rPr>
        <w:t xml:space="preserve">application </w:t>
      </w:r>
      <w:r>
        <w:rPr>
          <w:lang w:val="fr-FR"/>
        </w:rPr>
        <w:br/>
        <w:t>ainsi que</w:t>
      </w:r>
      <w:r w:rsidRPr="00D631A2">
        <w:rPr>
          <w:lang w:val="fr-FR"/>
        </w:rPr>
        <w:t xml:space="preserve"> d</w:t>
      </w:r>
      <w:r>
        <w:rPr>
          <w:lang w:val="fr-FR"/>
        </w:rPr>
        <w:t>e son</w:t>
      </w:r>
      <w:r w:rsidRPr="00D631A2">
        <w:rPr>
          <w:lang w:val="fr-FR"/>
        </w:rPr>
        <w:t xml:space="preserve"> </w:t>
      </w:r>
      <w:r>
        <w:rPr>
          <w:lang w:val="fr-FR"/>
        </w:rPr>
        <w:t>r</w:t>
      </w:r>
      <w:r w:rsidRPr="00D631A2">
        <w:rPr>
          <w:lang w:val="fr-FR"/>
        </w:rPr>
        <w:t xml:space="preserve">èglement intérieur </w:t>
      </w:r>
    </w:p>
    <w:p w14:paraId="7124B561" w14:textId="77777777" w:rsidR="004441FB" w:rsidRPr="00D631A2" w:rsidRDefault="004441FB" w:rsidP="004441FB">
      <w:pPr>
        <w:pStyle w:val="H1G"/>
      </w:pPr>
      <w:r w:rsidRPr="00D631A2">
        <w:rPr>
          <w:lang w:val="fr-FR"/>
        </w:rPr>
        <w:tab/>
      </w:r>
      <w:r w:rsidRPr="00D631A2">
        <w:rPr>
          <w:lang w:val="fr-FR"/>
        </w:rPr>
        <w:tab/>
        <w:t>Proposition du Comité d</w:t>
      </w:r>
      <w:r>
        <w:rPr>
          <w:lang w:val="fr-FR"/>
        </w:rPr>
        <w:t>’</w:t>
      </w:r>
      <w:r w:rsidRPr="00D631A2">
        <w:rPr>
          <w:lang w:val="fr-FR"/>
        </w:rPr>
        <w:t>application</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37"/>
      </w:tblGrid>
      <w:tr w:rsidR="004441FB" w:rsidRPr="00D631A2" w14:paraId="038612A2" w14:textId="77777777" w:rsidTr="00727FAD">
        <w:trPr>
          <w:jc w:val="center"/>
        </w:trPr>
        <w:tc>
          <w:tcPr>
            <w:tcW w:w="9637" w:type="dxa"/>
            <w:tcBorders>
              <w:bottom w:val="nil"/>
            </w:tcBorders>
            <w:shd w:val="clear" w:color="auto" w:fill="auto"/>
          </w:tcPr>
          <w:p w14:paraId="284F413A" w14:textId="77777777" w:rsidR="004441FB" w:rsidRPr="00D631A2" w:rsidRDefault="004441FB" w:rsidP="00727FAD">
            <w:pPr>
              <w:spacing w:before="240" w:after="120"/>
              <w:ind w:left="255"/>
              <w:rPr>
                <w:i/>
                <w:sz w:val="24"/>
                <w:szCs w:val="24"/>
              </w:rPr>
            </w:pPr>
            <w:r w:rsidRPr="00D631A2">
              <w:rPr>
                <w:i/>
                <w:iCs/>
                <w:sz w:val="24"/>
                <w:szCs w:val="24"/>
                <w:lang w:val="fr-FR"/>
              </w:rPr>
              <w:t>Résumé</w:t>
            </w:r>
          </w:p>
        </w:tc>
      </w:tr>
      <w:tr w:rsidR="004441FB" w:rsidRPr="00400D0A" w14:paraId="6AED16A8" w14:textId="77777777" w:rsidTr="00727FAD">
        <w:trPr>
          <w:jc w:val="center"/>
        </w:trPr>
        <w:tc>
          <w:tcPr>
            <w:tcW w:w="9637" w:type="dxa"/>
            <w:tcBorders>
              <w:top w:val="nil"/>
              <w:bottom w:val="nil"/>
            </w:tcBorders>
            <w:shd w:val="clear" w:color="auto" w:fill="auto"/>
          </w:tcPr>
          <w:p w14:paraId="49858C0B" w14:textId="50A5421D" w:rsidR="004441FB" w:rsidRPr="004441FB" w:rsidRDefault="004441FB" w:rsidP="004441FB">
            <w:pPr>
              <w:pStyle w:val="SingleTxtG"/>
              <w:ind w:firstLine="567"/>
              <w:rPr>
                <w:lang w:val="fr-FR"/>
              </w:rPr>
            </w:pPr>
            <w:r>
              <w:rPr>
                <w:lang w:val="fr-FR"/>
              </w:rPr>
              <w:t>On trouvera dans l</w:t>
            </w:r>
            <w:r w:rsidRPr="00D631A2">
              <w:rPr>
                <w:lang w:val="fr-FR"/>
              </w:rPr>
              <w:t xml:space="preserve">e présent document des propositions de modification </w:t>
            </w:r>
            <w:r>
              <w:rPr>
                <w:lang w:val="fr-FR"/>
              </w:rPr>
              <w:t>du texte définissant</w:t>
            </w:r>
            <w:r w:rsidRPr="00D631A2">
              <w:rPr>
                <w:lang w:val="fr-FR"/>
              </w:rPr>
              <w:t xml:space="preserve"> la structure</w:t>
            </w:r>
            <w:r>
              <w:rPr>
                <w:lang w:val="fr-FR"/>
              </w:rPr>
              <w:t xml:space="preserve"> et</w:t>
            </w:r>
            <w:r w:rsidRPr="00D631A2">
              <w:rPr>
                <w:lang w:val="fr-FR"/>
              </w:rPr>
              <w:t xml:space="preserve"> </w:t>
            </w:r>
            <w:r>
              <w:rPr>
                <w:lang w:val="fr-FR"/>
              </w:rPr>
              <w:t>les</w:t>
            </w:r>
            <w:r w:rsidRPr="00D631A2">
              <w:rPr>
                <w:lang w:val="fr-FR"/>
              </w:rPr>
              <w:t xml:space="preserve"> fonctions du Comité d</w:t>
            </w:r>
            <w:r>
              <w:rPr>
                <w:lang w:val="fr-FR"/>
              </w:rPr>
              <w:t>’</w:t>
            </w:r>
            <w:r w:rsidRPr="00D631A2">
              <w:rPr>
                <w:lang w:val="fr-FR"/>
              </w:rPr>
              <w:t>application de la Convention sur l</w:t>
            </w:r>
            <w:r>
              <w:rPr>
                <w:lang w:val="fr-FR"/>
              </w:rPr>
              <w:t>’</w:t>
            </w:r>
            <w:r w:rsidRPr="00D631A2">
              <w:rPr>
                <w:lang w:val="fr-FR"/>
              </w:rPr>
              <w:t>évaluation de l</w:t>
            </w:r>
            <w:r>
              <w:rPr>
                <w:lang w:val="fr-FR"/>
              </w:rPr>
              <w:t>’</w:t>
            </w:r>
            <w:r w:rsidRPr="00D631A2">
              <w:rPr>
                <w:lang w:val="fr-FR"/>
              </w:rPr>
              <w:t>impact sur l</w:t>
            </w:r>
            <w:r>
              <w:rPr>
                <w:lang w:val="fr-FR"/>
              </w:rPr>
              <w:t>’</w:t>
            </w:r>
            <w:r w:rsidRPr="00D631A2">
              <w:rPr>
                <w:lang w:val="fr-FR"/>
              </w:rPr>
              <w:t xml:space="preserve">environnement dans un contexte transfrontière et de son </w:t>
            </w:r>
            <w:r>
              <w:rPr>
                <w:lang w:val="fr-FR"/>
              </w:rPr>
              <w:t>p</w:t>
            </w:r>
            <w:r w:rsidRPr="00D631A2">
              <w:rPr>
                <w:lang w:val="fr-FR"/>
              </w:rPr>
              <w:t>rotocole relatif à l</w:t>
            </w:r>
            <w:r>
              <w:rPr>
                <w:lang w:val="fr-FR"/>
              </w:rPr>
              <w:t>’</w:t>
            </w:r>
            <w:r w:rsidRPr="00D631A2">
              <w:rPr>
                <w:lang w:val="fr-FR"/>
              </w:rPr>
              <w:t>évaluation stratégique environnementale</w:t>
            </w:r>
            <w:r>
              <w:rPr>
                <w:lang w:val="fr-FR"/>
              </w:rPr>
              <w:t xml:space="preserve">, </w:t>
            </w:r>
            <w:r w:rsidRPr="00983740">
              <w:rPr>
                <w:lang w:val="fr-FR"/>
              </w:rPr>
              <w:t xml:space="preserve">ainsi </w:t>
            </w:r>
            <w:r>
              <w:rPr>
                <w:lang w:val="fr-FR"/>
              </w:rPr>
              <w:t>que de son r</w:t>
            </w:r>
            <w:r w:rsidRPr="00983740">
              <w:rPr>
                <w:lang w:val="fr-FR"/>
              </w:rPr>
              <w:t>èglement intérieur</w:t>
            </w:r>
            <w:r>
              <w:rPr>
                <w:lang w:val="fr-FR"/>
              </w:rPr>
              <w:t>.</w:t>
            </w:r>
            <w:r w:rsidRPr="00983740">
              <w:rPr>
                <w:lang w:val="fr-FR"/>
              </w:rPr>
              <w:t xml:space="preserve"> </w:t>
            </w:r>
            <w:r w:rsidRPr="00D631A2">
              <w:rPr>
                <w:lang w:val="fr-FR"/>
              </w:rPr>
              <w:t>Il a été établi par le Comité d</w:t>
            </w:r>
            <w:r>
              <w:rPr>
                <w:lang w:val="fr-FR"/>
              </w:rPr>
              <w:t>’</w:t>
            </w:r>
            <w:r w:rsidRPr="00D631A2">
              <w:rPr>
                <w:lang w:val="fr-FR"/>
              </w:rPr>
              <w:t>application conformément aux décisions</w:t>
            </w:r>
            <w:r w:rsidR="004A1DF6">
              <w:rPr>
                <w:lang w:val="fr-FR"/>
              </w:rPr>
              <w:t> </w:t>
            </w:r>
            <w:r w:rsidRPr="00D631A2">
              <w:rPr>
                <w:lang w:val="fr-FR"/>
              </w:rPr>
              <w:t>VIII/4 (questions générales concernant le respect des dispositions de la Convention), et</w:t>
            </w:r>
            <w:r w:rsidR="004A1DF6">
              <w:rPr>
                <w:lang w:val="fr-FR"/>
              </w:rPr>
              <w:t> </w:t>
            </w:r>
            <w:r w:rsidRPr="00D631A2">
              <w:rPr>
                <w:lang w:val="fr-FR"/>
              </w:rPr>
              <w:t>IV/4 (questions générales concernant le respect des dispositions du Protocole)</w:t>
            </w:r>
            <w:r w:rsidRPr="004441FB">
              <w:rPr>
                <w:vertAlign w:val="superscript"/>
                <w:lang w:val="fr-FR"/>
              </w:rPr>
              <w:t>a</w:t>
            </w:r>
            <w:r w:rsidRPr="00D631A2">
              <w:rPr>
                <w:lang w:val="fr-FR"/>
              </w:rPr>
              <w:t>, ainsi qu</w:t>
            </w:r>
            <w:r>
              <w:rPr>
                <w:lang w:val="fr-FR"/>
              </w:rPr>
              <w:t>’</w:t>
            </w:r>
            <w:r w:rsidRPr="00D631A2">
              <w:rPr>
                <w:lang w:val="fr-FR"/>
              </w:rPr>
              <w:t>au plan de travail pour 2021-2023</w:t>
            </w:r>
            <w:r w:rsidRPr="004441FB">
              <w:rPr>
                <w:vertAlign w:val="superscript"/>
                <w:lang w:val="fr-FR"/>
              </w:rPr>
              <w:t>b</w:t>
            </w:r>
            <w:r w:rsidRPr="00D631A2">
              <w:rPr>
                <w:lang w:val="fr-FR"/>
              </w:rPr>
              <w:t>.</w:t>
            </w:r>
          </w:p>
          <w:p w14:paraId="235A6EDE" w14:textId="55DC8256" w:rsidR="004441FB" w:rsidRPr="004441FB" w:rsidRDefault="004441FB" w:rsidP="004441FB">
            <w:pPr>
              <w:pStyle w:val="SingleTxtG"/>
              <w:ind w:firstLine="567"/>
              <w:rPr>
                <w:lang w:val="fr-FR"/>
              </w:rPr>
            </w:pPr>
            <w:r w:rsidRPr="00D631A2">
              <w:rPr>
                <w:lang w:val="fr-FR"/>
              </w:rPr>
              <w:t>À leurs huitième et quatrième et sessions (</w:t>
            </w:r>
            <w:r>
              <w:rPr>
                <w:lang w:val="fr-FR"/>
              </w:rPr>
              <w:t>tenues</w:t>
            </w:r>
            <w:r w:rsidRPr="00D631A2">
              <w:rPr>
                <w:lang w:val="fr-FR"/>
              </w:rPr>
              <w:t xml:space="preserve"> à Vilnius, en ligne, du 8</w:t>
            </w:r>
            <w:r>
              <w:rPr>
                <w:lang w:val="fr-FR"/>
              </w:rPr>
              <w:t xml:space="preserve"> </w:t>
            </w:r>
            <w:r w:rsidRPr="00D631A2">
              <w:rPr>
                <w:lang w:val="fr-FR"/>
              </w:rPr>
              <w:t>au 11</w:t>
            </w:r>
            <w:r>
              <w:rPr>
                <w:lang w:val="fr-FR"/>
              </w:rPr>
              <w:t> </w:t>
            </w:r>
            <w:r w:rsidRPr="00D631A2">
              <w:rPr>
                <w:lang w:val="fr-FR"/>
              </w:rPr>
              <w:t>décembre 2020), les Réunions des Parties se sont déclarées conscientes « qu</w:t>
            </w:r>
            <w:r>
              <w:rPr>
                <w:lang w:val="fr-FR"/>
              </w:rPr>
              <w:t>’</w:t>
            </w:r>
            <w:r w:rsidRPr="00D631A2">
              <w:rPr>
                <w:lang w:val="fr-FR"/>
              </w:rPr>
              <w:t>il import</w:t>
            </w:r>
            <w:r>
              <w:rPr>
                <w:lang w:val="fr-FR"/>
              </w:rPr>
              <w:t>[ait]</w:t>
            </w:r>
            <w:r w:rsidRPr="00D631A2">
              <w:rPr>
                <w:lang w:val="fr-FR"/>
              </w:rPr>
              <w:t xml:space="preserve"> d</w:t>
            </w:r>
            <w:r>
              <w:rPr>
                <w:lang w:val="fr-FR"/>
              </w:rPr>
              <w:t>’</w:t>
            </w:r>
            <w:r w:rsidRPr="00D631A2">
              <w:rPr>
                <w:lang w:val="fr-FR"/>
              </w:rPr>
              <w:t>améliorer l</w:t>
            </w:r>
            <w:r>
              <w:rPr>
                <w:lang w:val="fr-FR"/>
              </w:rPr>
              <w:t>’</w:t>
            </w:r>
            <w:r w:rsidRPr="00D631A2">
              <w:rPr>
                <w:lang w:val="fr-FR"/>
              </w:rPr>
              <w:t xml:space="preserve">efficacité des méthodes de travail du Comité compte tenu du nombre grandissant et de la complexité croissante des questions de respect des dispositions dont cet organe </w:t>
            </w:r>
            <w:r>
              <w:rPr>
                <w:lang w:val="fr-FR"/>
              </w:rPr>
              <w:t>[était]</w:t>
            </w:r>
            <w:r w:rsidRPr="00D631A2">
              <w:rPr>
                <w:lang w:val="fr-FR"/>
              </w:rPr>
              <w:t xml:space="preserve"> saisi, ainsi que du rôle que </w:t>
            </w:r>
            <w:proofErr w:type="spellStart"/>
            <w:r w:rsidRPr="00D631A2">
              <w:rPr>
                <w:lang w:val="fr-FR"/>
              </w:rPr>
              <w:t>jou</w:t>
            </w:r>
            <w:proofErr w:type="spellEnd"/>
            <w:r>
              <w:rPr>
                <w:lang w:val="fr-FR"/>
              </w:rPr>
              <w:t>[ai]</w:t>
            </w:r>
            <w:proofErr w:type="spellStart"/>
            <w:r w:rsidRPr="00D631A2">
              <w:rPr>
                <w:lang w:val="fr-FR"/>
              </w:rPr>
              <w:t>ent</w:t>
            </w:r>
            <w:proofErr w:type="spellEnd"/>
            <w:r w:rsidRPr="00D631A2">
              <w:rPr>
                <w:lang w:val="fr-FR"/>
              </w:rPr>
              <w:t xml:space="preserve"> les Parties concernées à l</w:t>
            </w:r>
            <w:r>
              <w:rPr>
                <w:lang w:val="fr-FR"/>
              </w:rPr>
              <w:t>’</w:t>
            </w:r>
            <w:r w:rsidRPr="00D631A2">
              <w:rPr>
                <w:lang w:val="fr-FR"/>
              </w:rPr>
              <w:t>appui de ses travaux ». Elles ont décidé de maintenir à l</w:t>
            </w:r>
            <w:r>
              <w:rPr>
                <w:lang w:val="fr-FR"/>
              </w:rPr>
              <w:t>’</w:t>
            </w:r>
            <w:r w:rsidRPr="00D631A2">
              <w:rPr>
                <w:lang w:val="fr-FR"/>
              </w:rPr>
              <w:t>étude et d</w:t>
            </w:r>
            <w:r>
              <w:rPr>
                <w:lang w:val="fr-FR"/>
              </w:rPr>
              <w:t>’</w:t>
            </w:r>
            <w:r w:rsidRPr="00D631A2">
              <w:rPr>
                <w:lang w:val="fr-FR"/>
              </w:rPr>
              <w:t>étoffer, à leurs neuvième et</w:t>
            </w:r>
            <w:r>
              <w:rPr>
                <w:lang w:val="fr-FR"/>
              </w:rPr>
              <w:t> </w:t>
            </w:r>
            <w:r w:rsidRPr="00D631A2">
              <w:rPr>
                <w:lang w:val="fr-FR"/>
              </w:rPr>
              <w:t xml:space="preserve">cinquième sessions, respectivement, </w:t>
            </w:r>
            <w:r>
              <w:rPr>
                <w:lang w:val="fr-FR"/>
              </w:rPr>
              <w:t xml:space="preserve">le texte définissant </w:t>
            </w:r>
            <w:r w:rsidRPr="00D631A2">
              <w:rPr>
                <w:lang w:val="fr-FR"/>
              </w:rPr>
              <w:t xml:space="preserve">la structure et les fonctions </w:t>
            </w:r>
            <w:r w:rsidRPr="00D631A2">
              <w:rPr>
                <w:lang w:val="fr-FR"/>
              </w:rPr>
              <w:lastRenderedPageBreak/>
              <w:t>du</w:t>
            </w:r>
            <w:r w:rsidR="002E2986">
              <w:rPr>
                <w:lang w:val="fr-FR"/>
              </w:rPr>
              <w:t> </w:t>
            </w:r>
            <w:r w:rsidRPr="00D631A2">
              <w:rPr>
                <w:lang w:val="fr-FR"/>
              </w:rPr>
              <w:t xml:space="preserve">Comité </w:t>
            </w:r>
            <w:r>
              <w:rPr>
                <w:lang w:val="fr-FR"/>
              </w:rPr>
              <w:t>ainsi que</w:t>
            </w:r>
            <w:r w:rsidRPr="00D631A2">
              <w:rPr>
                <w:lang w:val="fr-FR"/>
              </w:rPr>
              <w:t xml:space="preserve"> son </w:t>
            </w:r>
            <w:r>
              <w:rPr>
                <w:lang w:val="fr-FR"/>
              </w:rPr>
              <w:t>r</w:t>
            </w:r>
            <w:r w:rsidRPr="00D631A2">
              <w:rPr>
                <w:lang w:val="fr-FR"/>
              </w:rPr>
              <w:t>èglement intérieur, à la lumière de l</w:t>
            </w:r>
            <w:r>
              <w:rPr>
                <w:lang w:val="fr-FR"/>
              </w:rPr>
              <w:t>’</w:t>
            </w:r>
            <w:r w:rsidRPr="00D631A2">
              <w:rPr>
                <w:lang w:val="fr-FR"/>
              </w:rPr>
              <w:t xml:space="preserve">expérience acquise par le Comité </w:t>
            </w:r>
            <w:proofErr w:type="spellStart"/>
            <w:r w:rsidRPr="00D631A2">
              <w:rPr>
                <w:lang w:val="fr-FR"/>
              </w:rPr>
              <w:t>entretemps</w:t>
            </w:r>
            <w:proofErr w:type="spellEnd"/>
            <w:r w:rsidRPr="00D631A2">
              <w:rPr>
                <w:lang w:val="fr-FR"/>
              </w:rPr>
              <w:t>, l</w:t>
            </w:r>
            <w:r>
              <w:rPr>
                <w:lang w:val="fr-FR"/>
              </w:rPr>
              <w:t>’</w:t>
            </w:r>
            <w:r w:rsidRPr="00D631A2">
              <w:rPr>
                <w:lang w:val="fr-FR"/>
              </w:rPr>
              <w:t xml:space="preserve">objectif étant de renforcer la cohérence entre les deux </w:t>
            </w:r>
            <w:r>
              <w:rPr>
                <w:lang w:val="fr-FR"/>
              </w:rPr>
              <w:t>r</w:t>
            </w:r>
            <w:r w:rsidRPr="00D631A2">
              <w:rPr>
                <w:lang w:val="fr-FR"/>
              </w:rPr>
              <w:t>èglements, d</w:t>
            </w:r>
            <w:r>
              <w:rPr>
                <w:lang w:val="fr-FR"/>
              </w:rPr>
              <w:t>’</w:t>
            </w:r>
            <w:r w:rsidRPr="00D631A2">
              <w:rPr>
                <w:lang w:val="fr-FR"/>
              </w:rPr>
              <w:t>éviter les chevauchements et d</w:t>
            </w:r>
            <w:r>
              <w:rPr>
                <w:lang w:val="fr-FR"/>
              </w:rPr>
              <w:t>’</w:t>
            </w:r>
            <w:r w:rsidRPr="00D631A2">
              <w:rPr>
                <w:lang w:val="fr-FR"/>
              </w:rPr>
              <w:t xml:space="preserve">accroître le recours à la </w:t>
            </w:r>
            <w:proofErr w:type="spellStart"/>
            <w:r w:rsidRPr="00D631A2">
              <w:rPr>
                <w:lang w:val="fr-FR"/>
              </w:rPr>
              <w:t>visioconférence</w:t>
            </w:r>
            <w:proofErr w:type="spellEnd"/>
            <w:r w:rsidRPr="00D631A2">
              <w:rPr>
                <w:lang w:val="fr-FR"/>
              </w:rPr>
              <w:t xml:space="preserve"> et aux autres outils de communication électronique et en ligne, qui favorisent une gestion efficace de la charge de travail du Comité</w:t>
            </w:r>
            <w:r>
              <w:rPr>
                <w:lang w:val="fr-FR"/>
              </w:rPr>
              <w:t>.</w:t>
            </w:r>
            <w:r w:rsidRPr="00D631A2">
              <w:rPr>
                <w:lang w:val="fr-FR"/>
              </w:rPr>
              <w:t xml:space="preserve"> </w:t>
            </w:r>
          </w:p>
          <w:p w14:paraId="5F5C1190" w14:textId="1F581F06" w:rsidR="004441FB" w:rsidRPr="004441FB" w:rsidRDefault="004441FB" w:rsidP="004441FB">
            <w:pPr>
              <w:pStyle w:val="SingleTxtG"/>
              <w:ind w:firstLine="567"/>
              <w:rPr>
                <w:lang w:val="fr-FR"/>
              </w:rPr>
            </w:pPr>
            <w:r w:rsidRPr="004441FB">
              <w:rPr>
                <w:lang w:val="fr-FR"/>
              </w:rPr>
              <w:t xml:space="preserve">En réponse à cette demande, le Comité a revu son mode de fonctionnement, au cours de la période intersessions 2021-2023, et a recensé plusieurs questions nécessitant des éclaircissements et/ou des ajustements afin qu’il puisse continuer à s’acquitter efficacement de son mandat et améliorer encore ses méthodes de travail, compte tenu de l’ampleur de sa charge de travail actuelle. </w:t>
            </w:r>
          </w:p>
          <w:p w14:paraId="6A1AB620" w14:textId="12AAECC5" w:rsidR="004441FB" w:rsidRPr="004441FB" w:rsidRDefault="004441FB" w:rsidP="004441FB">
            <w:pPr>
              <w:pStyle w:val="SingleTxtG"/>
              <w:ind w:firstLine="567"/>
              <w:rPr>
                <w:lang w:val="fr-FR"/>
              </w:rPr>
            </w:pPr>
            <w:r w:rsidRPr="004441FB">
              <w:rPr>
                <w:lang w:val="fr-FR"/>
              </w:rPr>
              <w:t xml:space="preserve">Les modifications proposées ont été soumises pour information et observations éventuelles à la douzième réunion du Groupe de travail de l’évaluation de l’impact sur l’environnement et de l’évaluation stratégique environnementale (Genève, 13-15 juin 2023) et leur version définitive a été établie à la cinquante-septième session du Comité d’application (Genève, 29 août-1er septembre 2023). </w:t>
            </w:r>
          </w:p>
          <w:p w14:paraId="1DC9CA49" w14:textId="4249EEE6" w:rsidR="004441FB" w:rsidRPr="004441FB" w:rsidRDefault="004441FB" w:rsidP="004441FB">
            <w:pPr>
              <w:pStyle w:val="SingleTxtG"/>
              <w:ind w:firstLine="567"/>
              <w:rPr>
                <w:lang w:val="fr-FR"/>
              </w:rPr>
            </w:pPr>
            <w:r w:rsidRPr="004441FB">
              <w:rPr>
                <w:lang w:val="fr-FR"/>
              </w:rPr>
              <w:t>À toutes fins utiles, la justification des modifications qu’il est proposé d’apporter au texte définissant la structure et les fonctions du Comité d’application ainsi qu’à son règlement intérieur, de même qu’une version du texte en suivi des modifications figurent dans les documents informels ECE/MP.EIA/2023/INF.6 et ECE/MP.EIA/2023/INF.7 respectivement.</w:t>
            </w:r>
          </w:p>
          <w:p w14:paraId="61621222" w14:textId="3376267A" w:rsidR="004441FB" w:rsidRPr="004441FB" w:rsidRDefault="004441FB" w:rsidP="004441FB">
            <w:pPr>
              <w:pStyle w:val="SingleTxtG"/>
              <w:ind w:firstLine="567"/>
              <w:rPr>
                <w:lang w:val="fr-FR"/>
              </w:rPr>
            </w:pPr>
            <w:r w:rsidRPr="004441FB">
              <w:rPr>
                <w:lang w:val="fr-FR"/>
              </w:rPr>
              <w:t>Il est prévu que les Réunions des Parties approuvent les modifications proposées pour le texte définissant la structure et les fonctions du Comité d’application ainsi que pour son règlement intérieur et les adoptent dans le cadre des décisions</w:t>
            </w:r>
            <w:r w:rsidR="004A1DF6">
              <w:rPr>
                <w:lang w:val="fr-FR"/>
              </w:rPr>
              <w:t> </w:t>
            </w:r>
            <w:r w:rsidRPr="004441FB">
              <w:rPr>
                <w:lang w:val="fr-FR"/>
              </w:rPr>
              <w:t>IX/4 (questions générales concernant le respect des dispositions de la Convention) et V/4 (questions générales concernant le respect des dispositions du Protocole).</w:t>
            </w:r>
          </w:p>
          <w:p w14:paraId="0A5E845D" w14:textId="77777777" w:rsidR="004441FB" w:rsidRPr="004441FB" w:rsidRDefault="004441FB" w:rsidP="00727FAD">
            <w:pPr>
              <w:spacing w:after="120"/>
              <w:ind w:left="1134" w:right="1134"/>
              <w:jc w:val="both"/>
              <w:rPr>
                <w:lang w:val="fr-FR"/>
              </w:rPr>
            </w:pPr>
            <w:r w:rsidRPr="004441FB">
              <w:rPr>
                <w:lang w:val="fr-FR"/>
              </w:rPr>
              <w:t>_______________</w:t>
            </w:r>
          </w:p>
          <w:p w14:paraId="67088760" w14:textId="0FA7CD6D" w:rsidR="004441FB" w:rsidRPr="004441FB" w:rsidRDefault="004441FB" w:rsidP="004441FB">
            <w:pPr>
              <w:pStyle w:val="SingleTxtG"/>
              <w:ind w:firstLine="567"/>
              <w:rPr>
                <w:lang w:val="fr-FR"/>
              </w:rPr>
            </w:pPr>
            <w:proofErr w:type="gramStart"/>
            <w:r w:rsidRPr="004441FB">
              <w:rPr>
                <w:i/>
                <w:iCs/>
                <w:vertAlign w:val="superscript"/>
                <w:lang w:val="fr-FR"/>
              </w:rPr>
              <w:t>a</w:t>
            </w:r>
            <w:r>
              <w:rPr>
                <w:lang w:val="fr-FR"/>
              </w:rPr>
              <w:t xml:space="preserve"> </w:t>
            </w:r>
            <w:r w:rsidRPr="004441FB">
              <w:rPr>
                <w:lang w:val="fr-FR"/>
              </w:rPr>
              <w:t xml:space="preserve"> Toutes</w:t>
            </w:r>
            <w:proofErr w:type="gramEnd"/>
            <w:r w:rsidRPr="004441FB">
              <w:rPr>
                <w:lang w:val="fr-FR"/>
              </w:rPr>
              <w:t xml:space="preserve"> les décisions des Réunions des Parties à la Convention et au Protocole auxquelles il est fait référence dans le présent document sont disponibles à l’adresse</w:t>
            </w:r>
            <w:r w:rsidR="004A1DF6">
              <w:rPr>
                <w:lang w:val="fr-FR"/>
              </w:rPr>
              <w:t> </w:t>
            </w:r>
            <w:r w:rsidRPr="004441FB">
              <w:rPr>
                <w:lang w:val="fr-FR"/>
              </w:rPr>
              <w:t xml:space="preserve">: </w:t>
            </w:r>
            <w:hyperlink r:id="rId8" w:history="1">
              <w:r w:rsidRPr="0055714F">
                <w:rPr>
                  <w:rStyle w:val="Lienhypertexte"/>
                  <w:lang w:val="fr-FR"/>
                </w:rPr>
                <w:t>https://unece.org/environment-policy/environmental-assessment/decisions-taken-meetings-parties</w:t>
              </w:r>
            </w:hyperlink>
            <w:r>
              <w:rPr>
                <w:lang w:val="fr-FR"/>
              </w:rPr>
              <w:t>.</w:t>
            </w:r>
          </w:p>
          <w:p w14:paraId="4D3E526E" w14:textId="623659A7" w:rsidR="004441FB" w:rsidRPr="004441FB" w:rsidRDefault="004441FB" w:rsidP="004441FB">
            <w:pPr>
              <w:pStyle w:val="SingleTxtG"/>
              <w:ind w:firstLine="567"/>
              <w:rPr>
                <w:lang w:val="fr-FR"/>
              </w:rPr>
            </w:pPr>
            <w:proofErr w:type="gramStart"/>
            <w:r w:rsidRPr="004441FB">
              <w:rPr>
                <w:i/>
                <w:iCs/>
                <w:vertAlign w:val="superscript"/>
                <w:lang w:val="fr-FR"/>
              </w:rPr>
              <w:t>b</w:t>
            </w:r>
            <w:r>
              <w:rPr>
                <w:lang w:val="fr-FR"/>
              </w:rPr>
              <w:t xml:space="preserve"> </w:t>
            </w:r>
            <w:r w:rsidRPr="004441FB">
              <w:rPr>
                <w:lang w:val="fr-FR"/>
              </w:rPr>
              <w:t xml:space="preserve"> </w:t>
            </w:r>
            <w:r>
              <w:rPr>
                <w:lang w:val="fr-FR"/>
              </w:rPr>
              <w:t>Décision</w:t>
            </w:r>
            <w:proofErr w:type="gramEnd"/>
            <w:r>
              <w:rPr>
                <w:lang w:val="fr-FR"/>
              </w:rPr>
              <w:t> </w:t>
            </w:r>
            <w:r w:rsidRPr="004441FB">
              <w:rPr>
                <w:lang w:val="fr-FR"/>
              </w:rPr>
              <w:t>VIII/2-IV/2, annexe</w:t>
            </w:r>
            <w:r w:rsidR="004A1DF6">
              <w:rPr>
                <w:lang w:val="fr-FR"/>
              </w:rPr>
              <w:t> </w:t>
            </w:r>
            <w:r w:rsidRPr="004441FB">
              <w:rPr>
                <w:lang w:val="fr-FR"/>
              </w:rPr>
              <w:t>I.</w:t>
            </w:r>
          </w:p>
        </w:tc>
      </w:tr>
      <w:tr w:rsidR="004441FB" w:rsidRPr="00400D0A" w14:paraId="07E1672C" w14:textId="77777777" w:rsidTr="00727FAD">
        <w:trPr>
          <w:jc w:val="center"/>
        </w:trPr>
        <w:tc>
          <w:tcPr>
            <w:tcW w:w="9637" w:type="dxa"/>
            <w:tcBorders>
              <w:top w:val="nil"/>
            </w:tcBorders>
            <w:shd w:val="clear" w:color="auto" w:fill="auto"/>
          </w:tcPr>
          <w:p w14:paraId="248B1CED" w14:textId="77777777" w:rsidR="004441FB" w:rsidRPr="00D631A2" w:rsidRDefault="004441FB" w:rsidP="00727FAD">
            <w:pPr>
              <w:rPr>
                <w:sz w:val="24"/>
                <w:szCs w:val="24"/>
              </w:rPr>
            </w:pPr>
          </w:p>
        </w:tc>
      </w:tr>
    </w:tbl>
    <w:p w14:paraId="43301D0B" w14:textId="77777777" w:rsidR="004441FB" w:rsidRPr="00D631A2" w:rsidRDefault="004441FB" w:rsidP="004441FB">
      <w:pPr>
        <w:spacing w:before="120"/>
        <w:rPr>
          <w:sz w:val="24"/>
          <w:szCs w:val="24"/>
        </w:rPr>
      </w:pPr>
      <w:r w:rsidRPr="00D631A2">
        <w:rPr>
          <w:sz w:val="24"/>
          <w:szCs w:val="24"/>
        </w:rPr>
        <w:br w:type="page"/>
      </w:r>
    </w:p>
    <w:p w14:paraId="27D70F48" w14:textId="77777777" w:rsidR="004441FB" w:rsidRPr="00D631A2" w:rsidRDefault="004441FB" w:rsidP="003633C5">
      <w:pPr>
        <w:pStyle w:val="HChG"/>
        <w:rPr>
          <w:rFonts w:eastAsia="Calibri"/>
        </w:rPr>
      </w:pPr>
      <w:r w:rsidRPr="00D631A2">
        <w:rPr>
          <w:lang w:val="fr-FR"/>
        </w:rPr>
        <w:lastRenderedPageBreak/>
        <w:tab/>
        <w:t>I.</w:t>
      </w:r>
      <w:r w:rsidRPr="00D631A2">
        <w:rPr>
          <w:lang w:val="fr-FR"/>
        </w:rPr>
        <w:tab/>
        <w:t xml:space="preserve">Modifications </w:t>
      </w:r>
      <w:r>
        <w:rPr>
          <w:lang w:val="fr-FR"/>
        </w:rPr>
        <w:t>du texte définissant</w:t>
      </w:r>
      <w:r w:rsidRPr="00D631A2">
        <w:rPr>
          <w:lang w:val="fr-FR"/>
        </w:rPr>
        <w:t xml:space="preserve"> la structure et </w:t>
      </w:r>
      <w:r>
        <w:rPr>
          <w:lang w:val="fr-FR"/>
        </w:rPr>
        <w:t>l</w:t>
      </w:r>
      <w:r w:rsidRPr="00D631A2">
        <w:rPr>
          <w:lang w:val="fr-FR"/>
        </w:rPr>
        <w:t>es fonctions du Comité d</w:t>
      </w:r>
      <w:r>
        <w:rPr>
          <w:lang w:val="fr-FR"/>
        </w:rPr>
        <w:t>’</w:t>
      </w:r>
      <w:r w:rsidRPr="00D631A2">
        <w:rPr>
          <w:lang w:val="fr-FR"/>
        </w:rPr>
        <w:t xml:space="preserve">application ainsi que </w:t>
      </w:r>
      <w:r>
        <w:rPr>
          <w:lang w:val="fr-FR"/>
        </w:rPr>
        <w:t>l</w:t>
      </w:r>
      <w:r w:rsidRPr="00D631A2">
        <w:rPr>
          <w:lang w:val="fr-FR"/>
        </w:rPr>
        <w:t>es procédures d</w:t>
      </w:r>
      <w:r>
        <w:rPr>
          <w:lang w:val="fr-FR"/>
        </w:rPr>
        <w:t>’</w:t>
      </w:r>
      <w:r w:rsidRPr="00D631A2">
        <w:rPr>
          <w:lang w:val="fr-FR"/>
        </w:rPr>
        <w:t>examen du respect des obligations</w:t>
      </w:r>
    </w:p>
    <w:p w14:paraId="4E75E747" w14:textId="77777777" w:rsidR="004441FB" w:rsidRDefault="004441FB" w:rsidP="004441FB">
      <w:pPr>
        <w:pStyle w:val="SingleTxtG"/>
        <w:rPr>
          <w:rFonts w:eastAsia="Calibri"/>
        </w:rPr>
      </w:pPr>
      <w:r w:rsidRPr="00D631A2">
        <w:rPr>
          <w:lang w:val="fr-FR"/>
        </w:rPr>
        <w:t>1.</w:t>
      </w:r>
      <w:r w:rsidRPr="00D631A2">
        <w:rPr>
          <w:lang w:val="fr-FR"/>
        </w:rPr>
        <w:tab/>
      </w:r>
      <w:r w:rsidRPr="004441FB">
        <w:rPr>
          <w:lang w:val="fr-FR"/>
        </w:rPr>
        <w:t>Modifier</w:t>
      </w:r>
      <w:r w:rsidRPr="00D631A2">
        <w:rPr>
          <w:lang w:val="fr-FR"/>
        </w:rPr>
        <w:t xml:space="preserve"> comme suit </w:t>
      </w:r>
      <w:r>
        <w:rPr>
          <w:lang w:val="fr-FR"/>
        </w:rPr>
        <w:t xml:space="preserve">le texte définissant </w:t>
      </w:r>
      <w:r w:rsidRPr="00D631A2">
        <w:rPr>
          <w:lang w:val="fr-FR"/>
        </w:rPr>
        <w:t>la structure et les fonctions du Comité d</w:t>
      </w:r>
      <w:r>
        <w:rPr>
          <w:lang w:val="fr-FR"/>
        </w:rPr>
        <w:t>’</w:t>
      </w:r>
      <w:r w:rsidRPr="00D631A2">
        <w:rPr>
          <w:lang w:val="fr-FR"/>
        </w:rPr>
        <w:t xml:space="preserve">application ainsi que </w:t>
      </w:r>
      <w:r>
        <w:rPr>
          <w:lang w:val="fr-FR"/>
        </w:rPr>
        <w:t>l</w:t>
      </w:r>
      <w:r w:rsidRPr="00D631A2">
        <w:rPr>
          <w:lang w:val="fr-FR"/>
        </w:rPr>
        <w:t>es procédures d</w:t>
      </w:r>
      <w:r>
        <w:rPr>
          <w:lang w:val="fr-FR"/>
        </w:rPr>
        <w:t>’</w:t>
      </w:r>
      <w:r w:rsidRPr="00D631A2">
        <w:rPr>
          <w:lang w:val="fr-FR"/>
        </w:rPr>
        <w:t xml:space="preserve">examen du respect des obligations (appendice de la </w:t>
      </w:r>
      <w:r>
        <w:rPr>
          <w:lang w:val="fr-FR"/>
        </w:rPr>
        <w:t>décision </w:t>
      </w:r>
      <w:r w:rsidRPr="00D631A2">
        <w:rPr>
          <w:lang w:val="fr-FR"/>
        </w:rPr>
        <w:t>III/2 des Réunions des Parties à la Convention, tel</w:t>
      </w:r>
      <w:r>
        <w:rPr>
          <w:lang w:val="fr-FR"/>
        </w:rPr>
        <w:t xml:space="preserve"> </w:t>
      </w:r>
      <w:r w:rsidRPr="00D631A2">
        <w:rPr>
          <w:lang w:val="fr-FR"/>
        </w:rPr>
        <w:t>que modifié par l</w:t>
      </w:r>
      <w:r>
        <w:rPr>
          <w:lang w:val="fr-FR"/>
        </w:rPr>
        <w:t>’</w:t>
      </w:r>
      <w:r w:rsidRPr="00D631A2">
        <w:rPr>
          <w:lang w:val="fr-FR"/>
        </w:rPr>
        <w:t xml:space="preserve">annexe I de la </w:t>
      </w:r>
      <w:r>
        <w:rPr>
          <w:lang w:val="fr-FR"/>
        </w:rPr>
        <w:t>décision </w:t>
      </w:r>
      <w:r w:rsidRPr="00D631A2">
        <w:rPr>
          <w:lang w:val="fr-FR"/>
        </w:rPr>
        <w:t>VI/2)</w:t>
      </w:r>
      <w:r>
        <w:rPr>
          <w:lang w:val="fr-FR"/>
        </w:rPr>
        <w:t> </w:t>
      </w:r>
      <w:r w:rsidRPr="00D631A2">
        <w:rPr>
          <w:lang w:val="fr-FR"/>
        </w:rPr>
        <w:t>:</w:t>
      </w:r>
    </w:p>
    <w:p w14:paraId="30820D7F" w14:textId="3D608CEC" w:rsidR="004441FB" w:rsidRPr="00D631A2" w:rsidRDefault="004441FB" w:rsidP="004441FB">
      <w:pPr>
        <w:pStyle w:val="SingleTxtG"/>
        <w:ind w:firstLine="567"/>
        <w:rPr>
          <w:rFonts w:eastAsia="Calibri"/>
        </w:rPr>
      </w:pPr>
      <w:r w:rsidRPr="00D631A2">
        <w:rPr>
          <w:lang w:val="fr-FR"/>
        </w:rPr>
        <w:t>a)</w:t>
      </w:r>
      <w:r w:rsidRPr="00D631A2">
        <w:rPr>
          <w:lang w:val="fr-FR"/>
        </w:rPr>
        <w:tab/>
        <w:t>Remplacer la deuxième phrase du paragraphe</w:t>
      </w:r>
      <w:r>
        <w:rPr>
          <w:lang w:val="fr-FR"/>
        </w:rPr>
        <w:t> </w:t>
      </w:r>
      <w:r w:rsidRPr="00D631A2">
        <w:rPr>
          <w:lang w:val="fr-FR"/>
        </w:rPr>
        <w:t xml:space="preserve">1 a) par le </w:t>
      </w:r>
      <w:r>
        <w:rPr>
          <w:lang w:val="fr-FR"/>
        </w:rPr>
        <w:t>libellé</w:t>
      </w:r>
      <w:r w:rsidRPr="00D631A2">
        <w:rPr>
          <w:lang w:val="fr-FR"/>
        </w:rPr>
        <w:t xml:space="preserve"> suivant</w:t>
      </w:r>
      <w:r w:rsidR="004A1DF6">
        <w:rPr>
          <w:lang w:val="fr-FR"/>
        </w:rPr>
        <w:t> </w:t>
      </w:r>
      <w:r w:rsidRPr="00D631A2">
        <w:rPr>
          <w:lang w:val="fr-FR"/>
        </w:rPr>
        <w:t xml:space="preserve">: </w:t>
      </w:r>
    </w:p>
    <w:p w14:paraId="084C8939" w14:textId="197A69A4" w:rsidR="004441FB" w:rsidRPr="00D631A2" w:rsidRDefault="004441FB" w:rsidP="004441FB">
      <w:pPr>
        <w:pStyle w:val="SingleTxtG"/>
        <w:ind w:left="2268"/>
      </w:pPr>
      <w:r w:rsidRPr="00D631A2">
        <w:rPr>
          <w:lang w:val="fr-FR"/>
        </w:rPr>
        <w:t xml:space="preserve">« Chacune des huit </w:t>
      </w:r>
      <w:r>
        <w:rPr>
          <w:lang w:val="fr-FR"/>
        </w:rPr>
        <w:t>P</w:t>
      </w:r>
      <w:r w:rsidRPr="00D631A2">
        <w:rPr>
          <w:lang w:val="fr-FR"/>
        </w:rPr>
        <w:t>arties désigne un membre permanent du Comité ainsi qu</w:t>
      </w:r>
      <w:r>
        <w:rPr>
          <w:lang w:val="fr-FR"/>
        </w:rPr>
        <w:t>’</w:t>
      </w:r>
      <w:r w:rsidRPr="00D631A2">
        <w:rPr>
          <w:lang w:val="fr-FR"/>
        </w:rPr>
        <w:t>un suppléant. »</w:t>
      </w:r>
      <w:r>
        <w:rPr>
          <w:lang w:val="fr-FR"/>
        </w:rPr>
        <w:t> ;</w:t>
      </w:r>
    </w:p>
    <w:p w14:paraId="7B3904A4" w14:textId="0DA7BAD9" w:rsidR="004441FB" w:rsidRPr="004441FB" w:rsidRDefault="004441FB" w:rsidP="004441FB">
      <w:pPr>
        <w:pStyle w:val="SingleTxtG"/>
        <w:ind w:left="2268" w:hanging="567"/>
        <w:rPr>
          <w:lang w:val="fr-FR"/>
        </w:rPr>
      </w:pPr>
      <w:r w:rsidRPr="004441FB">
        <w:rPr>
          <w:lang w:val="fr-FR"/>
        </w:rPr>
        <w:t>b)</w:t>
      </w:r>
      <w:r w:rsidRPr="004441FB">
        <w:rPr>
          <w:lang w:val="fr-FR"/>
        </w:rPr>
        <w:tab/>
        <w:t>Ajouter une note de bas de page dans la troisième phrase du paragraphe 1 a), après « les sessions du Comité ». La note de bas de page se lit comme suit</w:t>
      </w:r>
      <w:r w:rsidR="004A1DF6">
        <w:rPr>
          <w:lang w:val="fr-FR"/>
        </w:rPr>
        <w:t> </w:t>
      </w:r>
      <w:r w:rsidRPr="004441FB">
        <w:rPr>
          <w:lang w:val="fr-FR"/>
        </w:rPr>
        <w:t>:</w:t>
      </w:r>
    </w:p>
    <w:p w14:paraId="55740139" w14:textId="3921B2CE" w:rsidR="004441FB" w:rsidRPr="00D631A2" w:rsidRDefault="004441FB" w:rsidP="004441FB">
      <w:pPr>
        <w:pStyle w:val="SingleTxtG"/>
        <w:ind w:left="2268"/>
      </w:pPr>
      <w:r w:rsidRPr="00D631A2">
        <w:rPr>
          <w:lang w:val="fr-FR"/>
        </w:rPr>
        <w:t>Il est important que les Parties comprennent les obligations</w:t>
      </w:r>
      <w:r>
        <w:rPr>
          <w:lang w:val="fr-FR"/>
        </w:rPr>
        <w:t xml:space="preserve"> qui leur incombent</w:t>
      </w:r>
      <w:r w:rsidRPr="00D631A2">
        <w:rPr>
          <w:lang w:val="fr-FR"/>
        </w:rPr>
        <w:t xml:space="preserve"> lorsqu</w:t>
      </w:r>
      <w:r>
        <w:rPr>
          <w:lang w:val="fr-FR"/>
        </w:rPr>
        <w:t>’</w:t>
      </w:r>
      <w:r w:rsidRPr="00D631A2">
        <w:rPr>
          <w:lang w:val="fr-FR"/>
        </w:rPr>
        <w:t xml:space="preserve">elles désignent des représentants </w:t>
      </w:r>
      <w:r>
        <w:rPr>
          <w:lang w:val="fr-FR"/>
        </w:rPr>
        <w:t>chargés de</w:t>
      </w:r>
      <w:r w:rsidRPr="00D631A2">
        <w:rPr>
          <w:lang w:val="fr-FR"/>
        </w:rPr>
        <w:t xml:space="preserve"> siéger au </w:t>
      </w:r>
      <w:r>
        <w:rPr>
          <w:lang w:val="fr-FR"/>
        </w:rPr>
        <w:t>C</w:t>
      </w:r>
      <w:r w:rsidRPr="00D631A2">
        <w:rPr>
          <w:lang w:val="fr-FR"/>
        </w:rPr>
        <w:t>omité, et qu</w:t>
      </w:r>
      <w:r>
        <w:rPr>
          <w:lang w:val="fr-FR"/>
        </w:rPr>
        <w:t>’</w:t>
      </w:r>
      <w:r w:rsidRPr="00D631A2">
        <w:rPr>
          <w:lang w:val="fr-FR"/>
        </w:rPr>
        <w:t>elles veillent notamment à ce que les membres qu</w:t>
      </w:r>
      <w:r>
        <w:rPr>
          <w:lang w:val="fr-FR"/>
        </w:rPr>
        <w:t>’</w:t>
      </w:r>
      <w:r w:rsidRPr="00D631A2">
        <w:rPr>
          <w:lang w:val="fr-FR"/>
        </w:rPr>
        <w:t>elles ont désignés disposent du temps et des ressources nécessaires pour s</w:t>
      </w:r>
      <w:r>
        <w:rPr>
          <w:lang w:val="fr-FR"/>
        </w:rPr>
        <w:t>’</w:t>
      </w:r>
      <w:r w:rsidRPr="00D631A2">
        <w:rPr>
          <w:lang w:val="fr-FR"/>
        </w:rPr>
        <w:t xml:space="preserve">acquitter de leurs </w:t>
      </w:r>
      <w:r>
        <w:rPr>
          <w:lang w:val="fr-FR"/>
        </w:rPr>
        <w:t>fonctions</w:t>
      </w:r>
      <w:r w:rsidRPr="00D631A2">
        <w:rPr>
          <w:lang w:val="fr-FR"/>
        </w:rPr>
        <w:t xml:space="preserve"> en tant que membres du Comité. Outre la participation aux sessions du </w:t>
      </w:r>
      <w:r>
        <w:rPr>
          <w:lang w:val="fr-FR"/>
        </w:rPr>
        <w:t>C</w:t>
      </w:r>
      <w:r w:rsidRPr="00D631A2">
        <w:rPr>
          <w:lang w:val="fr-FR"/>
        </w:rPr>
        <w:t>omité, le travail des membres du comité consiste à préparer les sessions en examinant les informations disponibles sur tou</w:t>
      </w:r>
      <w:r>
        <w:rPr>
          <w:lang w:val="fr-FR"/>
        </w:rPr>
        <w:t>te</w:t>
      </w:r>
      <w:r w:rsidRPr="00D631A2">
        <w:rPr>
          <w:lang w:val="fr-FR"/>
        </w:rPr>
        <w:t xml:space="preserve">s les </w:t>
      </w:r>
      <w:r>
        <w:rPr>
          <w:lang w:val="fr-FR"/>
        </w:rPr>
        <w:t>affaires</w:t>
      </w:r>
      <w:r w:rsidRPr="00D631A2">
        <w:rPr>
          <w:lang w:val="fr-FR"/>
        </w:rPr>
        <w:t xml:space="preserve"> lié</w:t>
      </w:r>
      <w:r>
        <w:rPr>
          <w:lang w:val="fr-FR"/>
        </w:rPr>
        <w:t>e</w:t>
      </w:r>
      <w:r w:rsidRPr="00D631A2">
        <w:rPr>
          <w:lang w:val="fr-FR"/>
        </w:rPr>
        <w:t>s au respect des dispositions et sur les autres points de l</w:t>
      </w:r>
      <w:r>
        <w:rPr>
          <w:lang w:val="fr-FR"/>
        </w:rPr>
        <w:t>’</w:t>
      </w:r>
      <w:r w:rsidRPr="00D631A2">
        <w:rPr>
          <w:lang w:val="fr-FR"/>
        </w:rPr>
        <w:t>ordre du jour</w:t>
      </w:r>
      <w:r>
        <w:rPr>
          <w:lang w:val="fr-FR"/>
        </w:rPr>
        <w:t> ;</w:t>
      </w:r>
      <w:r w:rsidRPr="00D631A2">
        <w:rPr>
          <w:lang w:val="fr-FR"/>
        </w:rPr>
        <w:t xml:space="preserve"> et, lorsqu</w:t>
      </w:r>
      <w:r>
        <w:rPr>
          <w:lang w:val="fr-FR"/>
        </w:rPr>
        <w:t>’</w:t>
      </w:r>
      <w:r w:rsidRPr="00D631A2">
        <w:rPr>
          <w:lang w:val="fr-FR"/>
        </w:rPr>
        <w:t>ils sont nommés rapporteur pour un</w:t>
      </w:r>
      <w:r>
        <w:rPr>
          <w:lang w:val="fr-FR"/>
        </w:rPr>
        <w:t>e telle affaire</w:t>
      </w:r>
      <w:r w:rsidRPr="00D631A2">
        <w:rPr>
          <w:lang w:val="fr-FR"/>
        </w:rPr>
        <w:t xml:space="preserve">, à procéder à un examen approfondi du dossier et à rédiger un rapport détaillé dans les délais impartis. Une bonne préparation des sessions est </w:t>
      </w:r>
      <w:r>
        <w:rPr>
          <w:lang w:val="fr-FR"/>
        </w:rPr>
        <w:t>indispensable</w:t>
      </w:r>
      <w:r w:rsidRPr="00D631A2">
        <w:rPr>
          <w:lang w:val="fr-FR"/>
        </w:rPr>
        <w:t xml:space="preserve"> à l</w:t>
      </w:r>
      <w:r>
        <w:rPr>
          <w:lang w:val="fr-FR"/>
        </w:rPr>
        <w:t>’</w:t>
      </w:r>
      <w:r w:rsidRPr="00D631A2">
        <w:rPr>
          <w:lang w:val="fr-FR"/>
        </w:rPr>
        <w:t>efficacité des travaux du Comité. En outre, des consultations peuvent avoir lieu entre les sessions ordinaires.</w:t>
      </w:r>
    </w:p>
    <w:p w14:paraId="5E5FD0AE" w14:textId="05239B81" w:rsidR="004441FB" w:rsidRPr="004441FB" w:rsidRDefault="004441FB" w:rsidP="004441FB">
      <w:pPr>
        <w:pStyle w:val="SingleTxtG"/>
        <w:ind w:left="2268" w:hanging="567"/>
        <w:rPr>
          <w:lang w:val="fr-FR"/>
        </w:rPr>
      </w:pPr>
      <w:r w:rsidRPr="004441FB">
        <w:rPr>
          <w:lang w:val="fr-FR"/>
        </w:rPr>
        <w:t>c)</w:t>
      </w:r>
      <w:r w:rsidRPr="004441FB">
        <w:rPr>
          <w:lang w:val="fr-FR"/>
        </w:rPr>
        <w:tab/>
        <w:t>Remplacer la deuxième phrase du paragraphe 3 par le libellé suivant</w:t>
      </w:r>
      <w:r w:rsidR="004A1DF6">
        <w:rPr>
          <w:lang w:val="fr-FR"/>
        </w:rPr>
        <w:t> </w:t>
      </w:r>
      <w:r w:rsidRPr="004441FB">
        <w:rPr>
          <w:lang w:val="fr-FR"/>
        </w:rPr>
        <w:t>:</w:t>
      </w:r>
    </w:p>
    <w:p w14:paraId="1CD58F69" w14:textId="00CFDD2E" w:rsidR="004441FB" w:rsidRPr="00D631A2" w:rsidRDefault="004441FB" w:rsidP="004441FB">
      <w:pPr>
        <w:pStyle w:val="SingleTxtG"/>
        <w:ind w:left="2268"/>
      </w:pPr>
      <w:r w:rsidRPr="00D631A2">
        <w:rPr>
          <w:lang w:val="fr-FR"/>
        </w:rPr>
        <w:t>« L</w:t>
      </w:r>
      <w:r>
        <w:rPr>
          <w:lang w:val="fr-FR"/>
        </w:rPr>
        <w:t>es</w:t>
      </w:r>
      <w:r w:rsidRPr="00D631A2">
        <w:rPr>
          <w:lang w:val="fr-FR"/>
        </w:rPr>
        <w:t xml:space="preserve"> partie</w:t>
      </w:r>
      <w:r>
        <w:rPr>
          <w:lang w:val="fr-FR"/>
        </w:rPr>
        <w:t>s</w:t>
      </w:r>
      <w:r w:rsidRPr="00D631A2">
        <w:rPr>
          <w:lang w:val="fr-FR"/>
        </w:rPr>
        <w:t xml:space="preserve"> des réunions consacrée</w:t>
      </w:r>
      <w:r>
        <w:rPr>
          <w:lang w:val="fr-FR"/>
        </w:rPr>
        <w:t>s</w:t>
      </w:r>
      <w:r w:rsidRPr="00D631A2">
        <w:rPr>
          <w:lang w:val="fr-FR"/>
        </w:rPr>
        <w:t xml:space="preserve"> aux questions de respect des dispositions </w:t>
      </w:r>
      <w:r>
        <w:rPr>
          <w:lang w:val="fr-FR"/>
        </w:rPr>
        <w:t>ne sont</w:t>
      </w:r>
      <w:r w:rsidRPr="00D631A2">
        <w:rPr>
          <w:lang w:val="fr-FR"/>
        </w:rPr>
        <w:t xml:space="preserve"> pas ouverte</w:t>
      </w:r>
      <w:r>
        <w:rPr>
          <w:lang w:val="fr-FR"/>
        </w:rPr>
        <w:t>s</w:t>
      </w:r>
      <w:r w:rsidRPr="00D631A2">
        <w:rPr>
          <w:lang w:val="fr-FR"/>
        </w:rPr>
        <w:t xml:space="preserve"> aux autres Parties ni au public, à moins que le Comité et la Partie en cause n</w:t>
      </w:r>
      <w:r>
        <w:rPr>
          <w:lang w:val="fr-FR"/>
        </w:rPr>
        <w:t>’</w:t>
      </w:r>
      <w:r w:rsidRPr="00D631A2">
        <w:rPr>
          <w:lang w:val="fr-FR"/>
        </w:rPr>
        <w:t>en conviennent autrement. »</w:t>
      </w:r>
      <w:r>
        <w:rPr>
          <w:lang w:val="fr-FR"/>
        </w:rPr>
        <w:t> ;</w:t>
      </w:r>
    </w:p>
    <w:p w14:paraId="47EB6DB6" w14:textId="2C39CE55" w:rsidR="004441FB" w:rsidRPr="004441FB" w:rsidRDefault="004441FB" w:rsidP="004441FB">
      <w:pPr>
        <w:pStyle w:val="SingleTxtG"/>
        <w:ind w:left="2268" w:hanging="567"/>
        <w:rPr>
          <w:lang w:val="fr-FR"/>
        </w:rPr>
      </w:pPr>
      <w:r w:rsidRPr="004441FB">
        <w:rPr>
          <w:lang w:val="fr-FR"/>
        </w:rPr>
        <w:t>d)</w:t>
      </w:r>
      <w:r w:rsidRPr="004441FB">
        <w:rPr>
          <w:lang w:val="fr-FR"/>
        </w:rPr>
        <w:tab/>
        <w:t>Remplacer le paragraphe 9 par le libellé suivant</w:t>
      </w:r>
      <w:r w:rsidR="004A1DF6">
        <w:rPr>
          <w:lang w:val="fr-FR"/>
        </w:rPr>
        <w:t> </w:t>
      </w:r>
      <w:r w:rsidRPr="004441FB">
        <w:rPr>
          <w:lang w:val="fr-FR"/>
        </w:rPr>
        <w:t xml:space="preserve">: </w:t>
      </w:r>
    </w:p>
    <w:p w14:paraId="2DDCAC4B" w14:textId="77777777" w:rsidR="004441FB" w:rsidRPr="00D631A2" w:rsidRDefault="004441FB" w:rsidP="004441FB">
      <w:pPr>
        <w:pStyle w:val="SingleTxtG"/>
        <w:ind w:left="2268"/>
      </w:pPr>
      <w:r w:rsidRPr="00D631A2">
        <w:rPr>
          <w:lang w:val="fr-FR"/>
        </w:rPr>
        <w:t>À l</w:t>
      </w:r>
      <w:r>
        <w:rPr>
          <w:lang w:val="fr-FR"/>
        </w:rPr>
        <w:t>’</w:t>
      </w:r>
      <w:r w:rsidRPr="00D631A2">
        <w:rPr>
          <w:lang w:val="fr-FR"/>
        </w:rPr>
        <w:t>invitation du Comité, une Partie qui est visée par une communication ou qui fait l</w:t>
      </w:r>
      <w:r>
        <w:rPr>
          <w:lang w:val="fr-FR"/>
        </w:rPr>
        <w:t>’</w:t>
      </w:r>
      <w:r w:rsidRPr="00D631A2">
        <w:rPr>
          <w:lang w:val="fr-FR"/>
        </w:rPr>
        <w:t>objet d</w:t>
      </w:r>
      <w:r>
        <w:rPr>
          <w:lang w:val="fr-FR"/>
        </w:rPr>
        <w:t>’</w:t>
      </w:r>
      <w:r w:rsidRPr="00D631A2">
        <w:rPr>
          <w:lang w:val="fr-FR"/>
        </w:rPr>
        <w:t>une initiative du Comité, ou qui présente une communication, est en droit d</w:t>
      </w:r>
      <w:r>
        <w:rPr>
          <w:lang w:val="fr-FR"/>
        </w:rPr>
        <w:t>’</w:t>
      </w:r>
      <w:r w:rsidRPr="00D631A2">
        <w:rPr>
          <w:lang w:val="fr-FR"/>
        </w:rPr>
        <w:t xml:space="preserve">assister à la session du Comité </w:t>
      </w:r>
      <w:r>
        <w:rPr>
          <w:lang w:val="fr-FR"/>
        </w:rPr>
        <w:t xml:space="preserve">se </w:t>
      </w:r>
      <w:r w:rsidRPr="00D631A2">
        <w:rPr>
          <w:lang w:val="fr-FR"/>
        </w:rPr>
        <w:t xml:space="preserve">rapportant </w:t>
      </w:r>
      <w:r>
        <w:rPr>
          <w:lang w:val="fr-FR"/>
        </w:rPr>
        <w:t xml:space="preserve">à la question </w:t>
      </w:r>
      <w:r w:rsidRPr="00D631A2">
        <w:rPr>
          <w:lang w:val="fr-FR"/>
        </w:rPr>
        <w:t xml:space="preserve">et de présenter au Comité des informations et des </w:t>
      </w:r>
      <w:r>
        <w:rPr>
          <w:lang w:val="fr-FR"/>
        </w:rPr>
        <w:t>avis</w:t>
      </w:r>
      <w:r w:rsidRPr="00D631A2">
        <w:rPr>
          <w:lang w:val="fr-FR"/>
        </w:rPr>
        <w:t xml:space="preserve"> sur la question, mais ne participe pas à son examen, notamment à l</w:t>
      </w:r>
      <w:r>
        <w:rPr>
          <w:lang w:val="fr-FR"/>
        </w:rPr>
        <w:t>’</w:t>
      </w:r>
      <w:r w:rsidRPr="00D631A2">
        <w:rPr>
          <w:lang w:val="fr-FR"/>
        </w:rPr>
        <w:t>établissement et à l</w:t>
      </w:r>
      <w:r>
        <w:rPr>
          <w:lang w:val="fr-FR"/>
        </w:rPr>
        <w:t>’</w:t>
      </w:r>
      <w:r w:rsidRPr="00D631A2">
        <w:rPr>
          <w:lang w:val="fr-FR"/>
        </w:rPr>
        <w:t>adoption du rapport ou des conclusions et recommandations du Comité. Le Comité peut également inviter d</w:t>
      </w:r>
      <w:r>
        <w:rPr>
          <w:lang w:val="fr-FR"/>
        </w:rPr>
        <w:t>’</w:t>
      </w:r>
      <w:r w:rsidRPr="00D631A2">
        <w:rPr>
          <w:lang w:val="fr-FR"/>
        </w:rPr>
        <w:t xml:space="preserve">autres Parties concernées à assister à ses sessions afin </w:t>
      </w:r>
      <w:r>
        <w:rPr>
          <w:lang w:val="fr-FR"/>
        </w:rPr>
        <w:t>qu’elles puissent</w:t>
      </w:r>
      <w:r w:rsidRPr="00D631A2">
        <w:rPr>
          <w:lang w:val="fr-FR"/>
        </w:rPr>
        <w:t xml:space="preserve"> </w:t>
      </w:r>
      <w:r>
        <w:rPr>
          <w:lang w:val="fr-FR"/>
        </w:rPr>
        <w:t>présenter</w:t>
      </w:r>
      <w:r w:rsidRPr="00D631A2">
        <w:rPr>
          <w:lang w:val="fr-FR"/>
        </w:rPr>
        <w:t xml:space="preserve"> des informations et </w:t>
      </w:r>
      <w:r>
        <w:rPr>
          <w:lang w:val="fr-FR"/>
        </w:rPr>
        <w:t>avis</w:t>
      </w:r>
      <w:r w:rsidRPr="00D631A2">
        <w:rPr>
          <w:lang w:val="fr-FR"/>
        </w:rPr>
        <w:t>, le cas échéant. Le Comité envoie le projet de conclusions et de recommandations aux Parties concernées et tient compte, lors de l</w:t>
      </w:r>
      <w:r>
        <w:rPr>
          <w:lang w:val="fr-FR"/>
        </w:rPr>
        <w:t>’</w:t>
      </w:r>
      <w:r w:rsidRPr="00D631A2">
        <w:rPr>
          <w:lang w:val="fr-FR"/>
        </w:rPr>
        <w:t>établissement de la version définitive du rapport, de tout argument présenté par ces Parties (voir aussi article</w:t>
      </w:r>
      <w:r>
        <w:rPr>
          <w:lang w:val="fr-FR"/>
        </w:rPr>
        <w:t> </w:t>
      </w:r>
      <w:r w:rsidRPr="00D631A2">
        <w:rPr>
          <w:lang w:val="fr-FR"/>
        </w:rPr>
        <w:t>11, par. 2).</w:t>
      </w:r>
    </w:p>
    <w:p w14:paraId="05CA9689" w14:textId="27FB31BA" w:rsidR="004441FB" w:rsidRPr="004441FB" w:rsidRDefault="004441FB" w:rsidP="004441FB">
      <w:pPr>
        <w:pStyle w:val="SingleTxtG"/>
        <w:ind w:left="2268" w:hanging="567"/>
        <w:rPr>
          <w:lang w:val="fr-FR"/>
        </w:rPr>
      </w:pPr>
      <w:r w:rsidRPr="004441FB">
        <w:rPr>
          <w:lang w:val="fr-FR"/>
        </w:rPr>
        <w:t>e)</w:t>
      </w:r>
      <w:r w:rsidRPr="004441FB">
        <w:rPr>
          <w:lang w:val="fr-FR"/>
        </w:rPr>
        <w:tab/>
        <w:t>Remplacer le paragraphe 10 par le libellé suivant</w:t>
      </w:r>
      <w:r w:rsidR="00E809EF">
        <w:rPr>
          <w:lang w:val="fr-FR"/>
        </w:rPr>
        <w:t> </w:t>
      </w:r>
      <w:r w:rsidRPr="004441FB">
        <w:rPr>
          <w:lang w:val="fr-FR"/>
        </w:rPr>
        <w:t xml:space="preserve">: </w:t>
      </w:r>
    </w:p>
    <w:p w14:paraId="47FDBEB7" w14:textId="69122F58" w:rsidR="004441FB" w:rsidRPr="00D631A2" w:rsidRDefault="004441FB" w:rsidP="004441FB">
      <w:pPr>
        <w:pStyle w:val="SingleTxtG"/>
        <w:ind w:left="2268"/>
      </w:pPr>
      <w:r w:rsidRPr="00D631A2">
        <w:rPr>
          <w:lang w:val="fr-FR"/>
        </w:rPr>
        <w:t>10.</w:t>
      </w:r>
      <w:r w:rsidRPr="00D631A2">
        <w:rPr>
          <w:lang w:val="fr-FR"/>
        </w:rPr>
        <w:tab/>
        <w:t>Les règles suivantes s</w:t>
      </w:r>
      <w:r>
        <w:rPr>
          <w:lang w:val="fr-FR"/>
        </w:rPr>
        <w:t>’</w:t>
      </w:r>
      <w:r w:rsidRPr="00D631A2">
        <w:rPr>
          <w:lang w:val="fr-FR"/>
        </w:rPr>
        <w:t>appliquent à la participation des membres du Comité</w:t>
      </w:r>
      <w:r w:rsidR="00E809EF">
        <w:rPr>
          <w:lang w:val="fr-FR"/>
        </w:rPr>
        <w:t> </w:t>
      </w:r>
      <w:r w:rsidRPr="00D631A2">
        <w:rPr>
          <w:lang w:val="fr-FR"/>
        </w:rPr>
        <w:t>:</w:t>
      </w:r>
    </w:p>
    <w:p w14:paraId="6C8A4E1E" w14:textId="554B09AE" w:rsidR="004441FB" w:rsidRPr="00D631A2" w:rsidRDefault="004441FB" w:rsidP="004441FB">
      <w:pPr>
        <w:pStyle w:val="SingleTxtG"/>
        <w:ind w:left="2268"/>
      </w:pPr>
      <w:r w:rsidRPr="00D631A2">
        <w:rPr>
          <w:lang w:val="fr-FR"/>
        </w:rPr>
        <w:t>a)</w:t>
      </w:r>
      <w:r w:rsidRPr="00D631A2">
        <w:rPr>
          <w:lang w:val="fr-FR"/>
        </w:rPr>
        <w:tab/>
        <w:t>Chaque membre devrait, s</w:t>
      </w:r>
      <w:r>
        <w:rPr>
          <w:lang w:val="fr-FR"/>
        </w:rPr>
        <w:t>’</w:t>
      </w:r>
      <w:r w:rsidRPr="00D631A2">
        <w:rPr>
          <w:lang w:val="fr-FR"/>
        </w:rPr>
        <w:t>agissant de toute question examinée par le Comité, éviter tout conflit d</w:t>
      </w:r>
      <w:r>
        <w:rPr>
          <w:lang w:val="fr-FR"/>
        </w:rPr>
        <w:t>’</w:t>
      </w:r>
      <w:r w:rsidRPr="00D631A2">
        <w:rPr>
          <w:lang w:val="fr-FR"/>
        </w:rPr>
        <w:t>intérêts direct ou indirect. Si un membre se trouve dans une situation de conflit d</w:t>
      </w:r>
      <w:r>
        <w:rPr>
          <w:lang w:val="fr-FR"/>
        </w:rPr>
        <w:t>’</w:t>
      </w:r>
      <w:r w:rsidRPr="00D631A2">
        <w:rPr>
          <w:lang w:val="fr-FR"/>
        </w:rPr>
        <w:t>intérêts direct ou indirect, il devrait en informer le Comité avant l</w:t>
      </w:r>
      <w:r>
        <w:rPr>
          <w:lang w:val="fr-FR"/>
        </w:rPr>
        <w:t>’</w:t>
      </w:r>
      <w:r w:rsidRPr="00D631A2">
        <w:rPr>
          <w:lang w:val="fr-FR"/>
        </w:rPr>
        <w:t>examen de la question considérée. Le membre concerné ne devrait participer à l</w:t>
      </w:r>
      <w:r>
        <w:rPr>
          <w:lang w:val="fr-FR"/>
        </w:rPr>
        <w:t>’</w:t>
      </w:r>
      <w:r w:rsidRPr="00D631A2">
        <w:rPr>
          <w:lang w:val="fr-FR"/>
        </w:rPr>
        <w:t>élaboration et à l</w:t>
      </w:r>
      <w:r>
        <w:rPr>
          <w:lang w:val="fr-FR"/>
        </w:rPr>
        <w:t>’</w:t>
      </w:r>
      <w:r w:rsidRPr="00D631A2">
        <w:rPr>
          <w:lang w:val="fr-FR"/>
        </w:rPr>
        <w:t>adoption d</w:t>
      </w:r>
      <w:r>
        <w:rPr>
          <w:lang w:val="fr-FR"/>
        </w:rPr>
        <w:t>’auc</w:t>
      </w:r>
      <w:r w:rsidRPr="00D631A2">
        <w:rPr>
          <w:lang w:val="fr-FR"/>
        </w:rPr>
        <w:t>une partie d</w:t>
      </w:r>
      <w:r>
        <w:rPr>
          <w:lang w:val="fr-FR"/>
        </w:rPr>
        <w:t>’</w:t>
      </w:r>
      <w:r w:rsidRPr="00D631A2">
        <w:rPr>
          <w:lang w:val="fr-FR"/>
        </w:rPr>
        <w:t>un rapport ou des conclusions et recommandations du Comité relati</w:t>
      </w:r>
      <w:r>
        <w:rPr>
          <w:lang w:val="fr-FR"/>
        </w:rPr>
        <w:t>ve</w:t>
      </w:r>
      <w:r w:rsidRPr="00D631A2">
        <w:rPr>
          <w:lang w:val="fr-FR"/>
        </w:rPr>
        <w:t xml:space="preserve"> à cette question</w:t>
      </w:r>
      <w:r>
        <w:rPr>
          <w:lang w:val="fr-FR"/>
        </w:rPr>
        <w:t> ;</w:t>
      </w:r>
    </w:p>
    <w:p w14:paraId="10E3B45C" w14:textId="09C28B12" w:rsidR="004441FB" w:rsidRPr="004441FB" w:rsidRDefault="004441FB" w:rsidP="004441FB">
      <w:pPr>
        <w:pStyle w:val="SingleTxtG"/>
        <w:ind w:left="2268"/>
        <w:rPr>
          <w:lang w:val="fr-FR"/>
        </w:rPr>
      </w:pPr>
      <w:r w:rsidRPr="004441FB">
        <w:rPr>
          <w:lang w:val="fr-FR"/>
        </w:rPr>
        <w:lastRenderedPageBreak/>
        <w:t>b)</w:t>
      </w:r>
      <w:r w:rsidRPr="004441FB">
        <w:rPr>
          <w:lang w:val="fr-FR"/>
        </w:rPr>
        <w:tab/>
        <w:t>Un membre qui représente une Partie qui est visée par une communication ou qui présente une communication ne devrait pas participer à l’examen de cette communication par le Comité ou au suivi d’une décision</w:t>
      </w:r>
      <w:r w:rsidR="00E809EF">
        <w:rPr>
          <w:lang w:val="fr-FR"/>
        </w:rPr>
        <w:t xml:space="preserve"> </w:t>
      </w:r>
      <w:r w:rsidRPr="004441FB">
        <w:rPr>
          <w:lang w:val="fr-FR"/>
        </w:rPr>
        <w:t>y</w:t>
      </w:r>
      <w:r w:rsidR="00E809EF">
        <w:rPr>
          <w:lang w:val="fr-FR"/>
        </w:rPr>
        <w:t> </w:t>
      </w:r>
      <w:r w:rsidRPr="004441FB">
        <w:rPr>
          <w:lang w:val="fr-FR"/>
        </w:rPr>
        <w:t xml:space="preserve">relative de la Réunion des Parties, et ne devrait participer ou assister à l’élaboration et à l’adoption d’aucune partie du rapport ou des conclusions et recommandations du Comité relatives à cette communication. Le présent alinéa devrait s’appliquer, </w:t>
      </w:r>
      <w:r w:rsidRPr="00E809EF">
        <w:rPr>
          <w:i/>
          <w:iCs/>
          <w:lang w:val="fr-FR"/>
        </w:rPr>
        <w:t>mutatis mutandis</w:t>
      </w:r>
      <w:r w:rsidRPr="004441FB">
        <w:rPr>
          <w:lang w:val="fr-FR"/>
        </w:rPr>
        <w:t>, dans le cas d’une initiative du Comité (voir également l’article 5, par.</w:t>
      </w:r>
      <w:r w:rsidR="00E809EF">
        <w:rPr>
          <w:lang w:val="fr-FR"/>
        </w:rPr>
        <w:t> </w:t>
      </w:r>
      <w:r w:rsidRPr="004441FB">
        <w:rPr>
          <w:lang w:val="fr-FR"/>
        </w:rPr>
        <w:t>1, du Règlement intérieur).</w:t>
      </w:r>
    </w:p>
    <w:p w14:paraId="0A8AF0C9" w14:textId="7345A6C8" w:rsidR="004441FB" w:rsidRPr="004441FB" w:rsidRDefault="004441FB" w:rsidP="004441FB">
      <w:pPr>
        <w:pStyle w:val="SingleTxtG"/>
        <w:ind w:left="2268" w:hanging="567"/>
        <w:rPr>
          <w:lang w:val="fr-FR"/>
        </w:rPr>
      </w:pPr>
      <w:r w:rsidRPr="004441FB">
        <w:rPr>
          <w:lang w:val="fr-FR"/>
        </w:rPr>
        <w:t>f)</w:t>
      </w:r>
      <w:r w:rsidRPr="004441FB">
        <w:rPr>
          <w:lang w:val="fr-FR"/>
        </w:rPr>
        <w:tab/>
        <w:t>Au paragraphe 11, supprimer les troisième et quatrième phrases, de sorte que le paragraphe se lise comme suit</w:t>
      </w:r>
      <w:r w:rsidR="00E809EF">
        <w:rPr>
          <w:lang w:val="fr-FR"/>
        </w:rPr>
        <w:t> </w:t>
      </w:r>
      <w:r w:rsidRPr="004441FB">
        <w:rPr>
          <w:lang w:val="fr-FR"/>
        </w:rPr>
        <w:t xml:space="preserve">: </w:t>
      </w:r>
    </w:p>
    <w:p w14:paraId="0F440DD0" w14:textId="5633DBD6" w:rsidR="004441FB" w:rsidRPr="00D631A2" w:rsidRDefault="004441FB" w:rsidP="004441FB">
      <w:pPr>
        <w:pStyle w:val="SingleTxtG"/>
        <w:ind w:left="2268"/>
      </w:pPr>
      <w:r w:rsidRPr="00D631A2">
        <w:rPr>
          <w:lang w:val="fr-FR"/>
        </w:rPr>
        <w:t>11.</w:t>
      </w:r>
      <w:r w:rsidRPr="00D631A2">
        <w:rPr>
          <w:lang w:val="fr-FR"/>
        </w:rPr>
        <w:tab/>
        <w:t xml:space="preserve">Le Comité rend compte de ses activités à chaque </w:t>
      </w:r>
      <w:r>
        <w:rPr>
          <w:lang w:val="fr-FR"/>
        </w:rPr>
        <w:t>session de la R</w:t>
      </w:r>
      <w:r w:rsidRPr="00D631A2">
        <w:rPr>
          <w:lang w:val="fr-FR"/>
        </w:rPr>
        <w:t>éunion des Parties, par l</w:t>
      </w:r>
      <w:r>
        <w:rPr>
          <w:lang w:val="fr-FR"/>
        </w:rPr>
        <w:t>’</w:t>
      </w:r>
      <w:r w:rsidRPr="00D631A2">
        <w:rPr>
          <w:lang w:val="fr-FR"/>
        </w:rPr>
        <w:t>entremise du secrétariat, et fait les recommandations qu</w:t>
      </w:r>
      <w:r>
        <w:rPr>
          <w:lang w:val="fr-FR"/>
        </w:rPr>
        <w:t>’</w:t>
      </w:r>
      <w:r w:rsidRPr="00D631A2">
        <w:rPr>
          <w:lang w:val="fr-FR"/>
        </w:rPr>
        <w:t>il juge appropriées, compte tenu des circonstances de l</w:t>
      </w:r>
      <w:r>
        <w:rPr>
          <w:lang w:val="fr-FR"/>
        </w:rPr>
        <w:t>’</w:t>
      </w:r>
      <w:r w:rsidRPr="00D631A2">
        <w:rPr>
          <w:lang w:val="fr-FR"/>
        </w:rPr>
        <w:t xml:space="preserve">affaire, au sujet du respect des dispositions de la Convention. Il met au point chacun de ses rapports au plus tard </w:t>
      </w:r>
      <w:r w:rsidR="00E809EF">
        <w:rPr>
          <w:lang w:val="fr-FR"/>
        </w:rPr>
        <w:t xml:space="preserve">dix </w:t>
      </w:r>
      <w:r w:rsidRPr="00D631A2">
        <w:rPr>
          <w:lang w:val="fr-FR"/>
        </w:rPr>
        <w:t xml:space="preserve">semaines avant la </w:t>
      </w:r>
      <w:r>
        <w:rPr>
          <w:lang w:val="fr-FR"/>
        </w:rPr>
        <w:t>session de la R</w:t>
      </w:r>
      <w:r w:rsidRPr="00D631A2">
        <w:rPr>
          <w:lang w:val="fr-FR"/>
        </w:rPr>
        <w:t>éunion des Parties à laquelle celui-ci doit être examiné. Les rapports du Comité sont rendus publics.</w:t>
      </w:r>
    </w:p>
    <w:p w14:paraId="40D2A048" w14:textId="037723E3" w:rsidR="004441FB" w:rsidRPr="004441FB" w:rsidRDefault="004441FB" w:rsidP="004441FB">
      <w:pPr>
        <w:pStyle w:val="SingleTxtG"/>
        <w:ind w:left="2268" w:hanging="567"/>
        <w:rPr>
          <w:lang w:val="fr-FR"/>
        </w:rPr>
      </w:pPr>
      <w:r w:rsidRPr="004441FB">
        <w:rPr>
          <w:lang w:val="fr-FR"/>
        </w:rPr>
        <w:t>g)</w:t>
      </w:r>
      <w:r w:rsidRPr="004441FB">
        <w:rPr>
          <w:lang w:val="fr-FR"/>
        </w:rPr>
        <w:tab/>
        <w:t>Remplacer le paragraphe 12 par le libellé suivant</w:t>
      </w:r>
      <w:r w:rsidR="00E809EF">
        <w:rPr>
          <w:lang w:val="fr-FR"/>
        </w:rPr>
        <w:t> </w:t>
      </w:r>
      <w:r w:rsidRPr="004441FB">
        <w:rPr>
          <w:lang w:val="fr-FR"/>
        </w:rPr>
        <w:t xml:space="preserve">: </w:t>
      </w:r>
    </w:p>
    <w:p w14:paraId="6B5BBB14" w14:textId="77777777" w:rsidR="004441FB" w:rsidRPr="00D631A2" w:rsidRDefault="004441FB" w:rsidP="00E809EF">
      <w:pPr>
        <w:pStyle w:val="SingleTxtG"/>
        <w:rPr>
          <w:rFonts w:eastAsia="Calibri"/>
        </w:rPr>
      </w:pPr>
      <w:r w:rsidRPr="00D631A2">
        <w:rPr>
          <w:lang w:val="fr-FR"/>
        </w:rPr>
        <w:tab/>
      </w:r>
      <w:r w:rsidRPr="00D631A2">
        <w:rPr>
          <w:lang w:val="fr-FR"/>
        </w:rPr>
        <w:tab/>
        <w:t>« Compétence des membres du Comité</w:t>
      </w:r>
    </w:p>
    <w:p w14:paraId="3924CEB3" w14:textId="77777777" w:rsidR="004441FB" w:rsidRPr="004441FB" w:rsidRDefault="004441FB" w:rsidP="004441FB">
      <w:pPr>
        <w:pStyle w:val="SingleTxtG"/>
        <w:ind w:left="2268"/>
        <w:rPr>
          <w:lang w:val="fr-FR"/>
        </w:rPr>
      </w:pPr>
      <w:r w:rsidRPr="004441FB">
        <w:rPr>
          <w:lang w:val="fr-FR"/>
        </w:rPr>
        <w:t>12. Si, du fait de l’application du paragraphe 10, il compte moins de quatre membres, le Comité porte immédiatement la question à l’attention de la Réunion des Parties. ».</w:t>
      </w:r>
    </w:p>
    <w:p w14:paraId="541A7A2C" w14:textId="256E21EC" w:rsidR="004441FB" w:rsidRPr="00D631A2" w:rsidRDefault="004441FB" w:rsidP="004441FB">
      <w:pPr>
        <w:pStyle w:val="HChG"/>
      </w:pPr>
      <w:r w:rsidRPr="00D631A2">
        <w:rPr>
          <w:lang w:val="fr-FR"/>
        </w:rPr>
        <w:tab/>
        <w:t>II.</w:t>
      </w:r>
      <w:r w:rsidRPr="00D631A2">
        <w:rPr>
          <w:lang w:val="fr-FR"/>
        </w:rPr>
        <w:tab/>
        <w:t>Modification</w:t>
      </w:r>
      <w:r>
        <w:rPr>
          <w:lang w:val="fr-FR"/>
        </w:rPr>
        <w:t>s</w:t>
      </w:r>
      <w:r w:rsidRPr="00D631A2">
        <w:rPr>
          <w:lang w:val="fr-FR"/>
        </w:rPr>
        <w:t xml:space="preserve"> du Règlement intérieur du Comité d</w:t>
      </w:r>
      <w:r>
        <w:rPr>
          <w:lang w:val="fr-FR"/>
        </w:rPr>
        <w:t>’</w:t>
      </w:r>
      <w:r w:rsidRPr="00D631A2">
        <w:rPr>
          <w:lang w:val="fr-FR"/>
        </w:rPr>
        <w:t xml:space="preserve">application </w:t>
      </w:r>
    </w:p>
    <w:p w14:paraId="16CDDF53" w14:textId="4934206F" w:rsidR="004441FB" w:rsidRPr="00D631A2" w:rsidRDefault="004441FB" w:rsidP="004441FB">
      <w:pPr>
        <w:pStyle w:val="SingleTxtG"/>
        <w:rPr>
          <w:rFonts w:eastAsia="Calibri"/>
        </w:rPr>
      </w:pPr>
      <w:r w:rsidRPr="00D631A2">
        <w:rPr>
          <w:lang w:val="fr-FR"/>
        </w:rPr>
        <w:t>2.</w:t>
      </w:r>
      <w:r w:rsidRPr="00D631A2">
        <w:rPr>
          <w:lang w:val="fr-FR"/>
        </w:rPr>
        <w:tab/>
        <w:t xml:space="preserve">Dans le </w:t>
      </w:r>
      <w:r>
        <w:rPr>
          <w:lang w:val="fr-FR"/>
        </w:rPr>
        <w:t>R</w:t>
      </w:r>
      <w:r w:rsidRPr="00D631A2">
        <w:rPr>
          <w:lang w:val="fr-FR"/>
        </w:rPr>
        <w:t>èglement intérieur du Comité d</w:t>
      </w:r>
      <w:r>
        <w:rPr>
          <w:lang w:val="fr-FR"/>
        </w:rPr>
        <w:t>’</w:t>
      </w:r>
      <w:r w:rsidRPr="00D631A2">
        <w:rPr>
          <w:lang w:val="fr-FR"/>
        </w:rPr>
        <w:t>application (</w:t>
      </w:r>
      <w:r>
        <w:rPr>
          <w:lang w:val="fr-FR"/>
        </w:rPr>
        <w:t>décision </w:t>
      </w:r>
      <w:r w:rsidRPr="00D631A2">
        <w:rPr>
          <w:lang w:val="fr-FR"/>
        </w:rPr>
        <w:t>IV/2 (annexe</w:t>
      </w:r>
      <w:r>
        <w:rPr>
          <w:lang w:val="fr-FR"/>
        </w:rPr>
        <w:t> </w:t>
      </w:r>
      <w:r w:rsidRPr="00D631A2">
        <w:rPr>
          <w:lang w:val="fr-FR"/>
        </w:rPr>
        <w:t>IV), telle que modifiée par les décisions V/4 (annexe), VI/2 (annexe</w:t>
      </w:r>
      <w:r>
        <w:rPr>
          <w:lang w:val="fr-FR"/>
        </w:rPr>
        <w:t> </w:t>
      </w:r>
      <w:r w:rsidRPr="00D631A2">
        <w:rPr>
          <w:lang w:val="fr-FR"/>
        </w:rPr>
        <w:t xml:space="preserve">II) et VIII/4 (annexe)), </w:t>
      </w:r>
      <w:r>
        <w:rPr>
          <w:lang w:val="fr-FR"/>
        </w:rPr>
        <w:t>effectuer les modifications suivantes</w:t>
      </w:r>
      <w:r w:rsidR="00E809EF">
        <w:rPr>
          <w:lang w:val="fr-FR"/>
        </w:rPr>
        <w:t> </w:t>
      </w:r>
      <w:r w:rsidRPr="00D631A2">
        <w:rPr>
          <w:lang w:val="fr-FR"/>
        </w:rPr>
        <w:t>:</w:t>
      </w:r>
    </w:p>
    <w:p w14:paraId="72FD37DC" w14:textId="5009E5B1" w:rsidR="004441FB" w:rsidRPr="004441FB" w:rsidRDefault="004441FB" w:rsidP="004441FB">
      <w:pPr>
        <w:pStyle w:val="SingleTxtG"/>
        <w:ind w:left="2268" w:hanging="567"/>
        <w:rPr>
          <w:lang w:val="fr-FR"/>
        </w:rPr>
      </w:pPr>
      <w:r w:rsidRPr="004441FB">
        <w:rPr>
          <w:lang w:val="fr-FR"/>
        </w:rPr>
        <w:t>a)</w:t>
      </w:r>
      <w:r w:rsidRPr="004441FB">
        <w:rPr>
          <w:lang w:val="fr-FR"/>
        </w:rPr>
        <w:tab/>
        <w:t>Remplacer le paragraphe 1 de l’article 4 par le libellé suivant</w:t>
      </w:r>
      <w:r w:rsidR="00E809EF">
        <w:rPr>
          <w:lang w:val="fr-FR"/>
        </w:rPr>
        <w:t> </w:t>
      </w:r>
      <w:r w:rsidRPr="004441FB">
        <w:rPr>
          <w:lang w:val="fr-FR"/>
        </w:rPr>
        <w:t>:</w:t>
      </w:r>
    </w:p>
    <w:p w14:paraId="7754E26A" w14:textId="5C270AF1" w:rsidR="004441FB" w:rsidRPr="00D631A2" w:rsidRDefault="004441FB" w:rsidP="004441FB">
      <w:pPr>
        <w:pStyle w:val="SingleTxtG"/>
        <w:ind w:left="2268"/>
      </w:pPr>
      <w:r w:rsidRPr="00D631A2">
        <w:rPr>
          <w:lang w:val="fr-FR"/>
        </w:rPr>
        <w:t>1.</w:t>
      </w:r>
      <w:r w:rsidRPr="00D631A2">
        <w:rPr>
          <w:lang w:val="fr-FR"/>
        </w:rPr>
        <w:tab/>
      </w:r>
      <w:r w:rsidRPr="00AB7EED">
        <w:rPr>
          <w:spacing w:val="-2"/>
          <w:lang w:val="fr-FR"/>
        </w:rPr>
        <w:t>La Réunion des Parties élit des Parties pour siéger au Comité pendant deux mandats. Chaque Partie élue par la Réunion des Parties désigne un membre permanent du Comité et un suppléant pour deux mandats. Le mandat d’un membre commence à la date de sa désignation par une Partie. Les</w:t>
      </w:r>
      <w:r w:rsidR="00AB7EED" w:rsidRPr="00AB7EED">
        <w:rPr>
          <w:spacing w:val="-2"/>
          <w:lang w:val="fr-FR"/>
        </w:rPr>
        <w:t> </w:t>
      </w:r>
      <w:r w:rsidRPr="00AB7EED">
        <w:rPr>
          <w:spacing w:val="-2"/>
          <w:lang w:val="fr-FR"/>
        </w:rPr>
        <w:t>dispositions du présent paragraphe s’appliquent sans préjuger du droit qu’a une Partie élue par la Réunion des Parties de désigner dans des cas exceptionnels un remplaçant permanent pour le membre permanent ou son suppléant.</w:t>
      </w:r>
    </w:p>
    <w:p w14:paraId="0E7EE124" w14:textId="52B21586" w:rsidR="004441FB" w:rsidRPr="004441FB" w:rsidRDefault="004441FB" w:rsidP="004441FB">
      <w:pPr>
        <w:pStyle w:val="SingleTxtG"/>
        <w:ind w:left="2268" w:hanging="567"/>
        <w:rPr>
          <w:lang w:val="fr-FR"/>
        </w:rPr>
      </w:pPr>
      <w:r w:rsidRPr="004441FB">
        <w:rPr>
          <w:lang w:val="fr-FR"/>
        </w:rPr>
        <w:t>b)</w:t>
      </w:r>
      <w:r w:rsidRPr="004441FB">
        <w:rPr>
          <w:lang w:val="fr-FR"/>
        </w:rPr>
        <w:tab/>
        <w:t>Remplacer le paragraphe 4 de l’article 4 par le libellé suivant</w:t>
      </w:r>
      <w:r w:rsidR="00E809EF">
        <w:rPr>
          <w:lang w:val="fr-FR"/>
        </w:rPr>
        <w:t> </w:t>
      </w:r>
      <w:r w:rsidRPr="004441FB">
        <w:rPr>
          <w:lang w:val="fr-FR"/>
        </w:rPr>
        <w:t xml:space="preserve">: </w:t>
      </w:r>
    </w:p>
    <w:p w14:paraId="348FD375" w14:textId="77777777" w:rsidR="004441FB" w:rsidRPr="004441FB" w:rsidRDefault="004441FB" w:rsidP="004441FB">
      <w:pPr>
        <w:pStyle w:val="SingleTxtG"/>
        <w:ind w:left="2268"/>
        <w:rPr>
          <w:lang w:val="fr-FR"/>
        </w:rPr>
      </w:pPr>
      <w:r w:rsidRPr="004441FB">
        <w:rPr>
          <w:lang w:val="fr-FR"/>
        </w:rPr>
        <w:t>4.</w:t>
      </w:r>
      <w:r w:rsidRPr="004441FB">
        <w:rPr>
          <w:lang w:val="fr-FR"/>
        </w:rPr>
        <w:tab/>
        <w:t xml:space="preserve">Un membre du Comité élu pour s’occuper uniquement de questions relatives au Protocole, mais représentant une Partie au Protocole et à la Convention, peut participer à l’examen d’une question concernant le respect des dispositions de la Convention et à la prise de décisions sur cette question, pour autant qu’aucun membre du Comité élu pour s’occuper de questions relatives à la Convention ne formule d’objection. Toutefois, un membre du Comité élu pour s’occuper uniquement de questions relatives au Protocole ne doit pas servir de rapporteur pour une question concernant le respect des dispositions de la Convention. Cette règle devrait s’appliquer </w:t>
      </w:r>
      <w:r w:rsidRPr="00AB7EED">
        <w:rPr>
          <w:i/>
          <w:iCs/>
          <w:lang w:val="fr-FR"/>
        </w:rPr>
        <w:t>mutatis mutandis</w:t>
      </w:r>
      <w:r w:rsidRPr="004441FB">
        <w:rPr>
          <w:lang w:val="fr-FR"/>
        </w:rPr>
        <w:t xml:space="preserve"> dans le cas où un membre du Comité est élu pour s’occuper uniquement de questions relatives à la Convention, mais représente une Partie à la Convention et au Protocole. En outre, cette règle devrait être</w:t>
      </w:r>
      <w:r w:rsidRPr="00D631A2">
        <w:rPr>
          <w:sz w:val="24"/>
          <w:szCs w:val="24"/>
          <w:lang w:val="fr-FR"/>
        </w:rPr>
        <w:t xml:space="preserve"> </w:t>
      </w:r>
      <w:r w:rsidRPr="004441FB">
        <w:rPr>
          <w:lang w:val="fr-FR"/>
        </w:rPr>
        <w:t>appliquée sans préjudice des paragraphes 10 (droit de participation) et 12 (compétence des membres du Comité) du texte définissant la structure et les fonctions du Comité et les procédures d’examen du respect des</w:t>
      </w:r>
      <w:r w:rsidRPr="00D631A2">
        <w:rPr>
          <w:sz w:val="24"/>
          <w:szCs w:val="24"/>
          <w:lang w:val="fr-FR"/>
        </w:rPr>
        <w:t xml:space="preserve"> </w:t>
      </w:r>
      <w:r w:rsidRPr="004441FB">
        <w:rPr>
          <w:lang w:val="fr-FR"/>
        </w:rPr>
        <w:t>obligations, et sans préjudice des articles 5 (membres) et 18 et 19 (prise de décisions) du présent Règlement intérieur.</w:t>
      </w:r>
    </w:p>
    <w:p w14:paraId="0CAFFDE2" w14:textId="1F231664" w:rsidR="004441FB" w:rsidRPr="004441FB" w:rsidRDefault="004441FB" w:rsidP="004441FB">
      <w:pPr>
        <w:pStyle w:val="SingleTxtG"/>
        <w:ind w:left="2268" w:hanging="567"/>
        <w:rPr>
          <w:lang w:val="fr-FR"/>
        </w:rPr>
      </w:pPr>
      <w:r w:rsidRPr="004441FB">
        <w:rPr>
          <w:lang w:val="fr-FR"/>
        </w:rPr>
        <w:lastRenderedPageBreak/>
        <w:t>c)</w:t>
      </w:r>
      <w:r w:rsidRPr="004441FB">
        <w:rPr>
          <w:lang w:val="fr-FR"/>
        </w:rPr>
        <w:tab/>
        <w:t>Remplacer l’article 5 par le libellé suivant</w:t>
      </w:r>
      <w:r w:rsidR="00803B94">
        <w:rPr>
          <w:lang w:val="fr-FR"/>
        </w:rPr>
        <w:t> </w:t>
      </w:r>
      <w:r w:rsidRPr="004441FB">
        <w:rPr>
          <w:lang w:val="fr-FR"/>
        </w:rPr>
        <w:t xml:space="preserve">: </w:t>
      </w:r>
    </w:p>
    <w:p w14:paraId="56AB7A6D" w14:textId="77777777" w:rsidR="004441FB" w:rsidRPr="00D631A2" w:rsidRDefault="004441FB" w:rsidP="004441FB">
      <w:pPr>
        <w:pStyle w:val="SingleTxtG"/>
        <w:ind w:left="2268"/>
        <w:rPr>
          <w:rFonts w:eastAsia="Calibri"/>
        </w:rPr>
      </w:pPr>
      <w:r w:rsidRPr="00D631A2">
        <w:rPr>
          <w:lang w:val="fr-FR"/>
        </w:rPr>
        <w:t>Article</w:t>
      </w:r>
      <w:r>
        <w:rPr>
          <w:lang w:val="fr-FR"/>
        </w:rPr>
        <w:t> </w:t>
      </w:r>
      <w:r w:rsidRPr="00D631A2">
        <w:rPr>
          <w:lang w:val="fr-FR"/>
        </w:rPr>
        <w:t>5</w:t>
      </w:r>
    </w:p>
    <w:p w14:paraId="0B8491B3" w14:textId="537A4F75" w:rsidR="004441FB" w:rsidRPr="00D631A2" w:rsidRDefault="004441FB" w:rsidP="004441FB">
      <w:pPr>
        <w:pStyle w:val="SingleTxtG"/>
        <w:ind w:left="2268"/>
      </w:pPr>
      <w:r w:rsidRPr="00D631A2">
        <w:rPr>
          <w:lang w:val="fr-FR"/>
        </w:rPr>
        <w:t>1.</w:t>
      </w:r>
      <w:r w:rsidRPr="00D631A2">
        <w:rPr>
          <w:lang w:val="fr-FR"/>
        </w:rPr>
        <w:tab/>
        <w:t>Si une Partie estime qu</w:t>
      </w:r>
      <w:r>
        <w:rPr>
          <w:lang w:val="fr-FR"/>
        </w:rPr>
        <w:t>’</w:t>
      </w:r>
      <w:r w:rsidRPr="00D631A2">
        <w:rPr>
          <w:lang w:val="fr-FR"/>
        </w:rPr>
        <w:t>un membre du Comité d</w:t>
      </w:r>
      <w:r>
        <w:rPr>
          <w:lang w:val="fr-FR"/>
        </w:rPr>
        <w:t>’</w:t>
      </w:r>
      <w:r w:rsidRPr="00D631A2">
        <w:rPr>
          <w:lang w:val="fr-FR"/>
        </w:rPr>
        <w:t>application se trouve dans une situation de conflit d</w:t>
      </w:r>
      <w:r>
        <w:rPr>
          <w:lang w:val="fr-FR"/>
        </w:rPr>
        <w:t>’</w:t>
      </w:r>
      <w:r w:rsidRPr="00D631A2">
        <w:rPr>
          <w:lang w:val="fr-FR"/>
        </w:rPr>
        <w:t>intérêts direct ou indirect s</w:t>
      </w:r>
      <w:r>
        <w:rPr>
          <w:lang w:val="fr-FR"/>
        </w:rPr>
        <w:t>’</w:t>
      </w:r>
      <w:r w:rsidRPr="00D631A2">
        <w:rPr>
          <w:lang w:val="fr-FR"/>
        </w:rPr>
        <w:t>agissant d</w:t>
      </w:r>
      <w:r>
        <w:rPr>
          <w:lang w:val="fr-FR"/>
        </w:rPr>
        <w:t>’</w:t>
      </w:r>
      <w:r w:rsidRPr="00D631A2">
        <w:rPr>
          <w:lang w:val="fr-FR"/>
        </w:rPr>
        <w:t xml:space="preserve">une question </w:t>
      </w:r>
      <w:proofErr w:type="gramStart"/>
      <w:r w:rsidRPr="00D631A2">
        <w:rPr>
          <w:lang w:val="fr-FR"/>
        </w:rPr>
        <w:t>la</w:t>
      </w:r>
      <w:proofErr w:type="gramEnd"/>
      <w:r w:rsidRPr="00D631A2">
        <w:rPr>
          <w:lang w:val="fr-FR"/>
        </w:rPr>
        <w:t xml:space="preserve"> concernant qui est examinée par le Comité, cette Partie doit formuler une objection par l</w:t>
      </w:r>
      <w:r>
        <w:rPr>
          <w:lang w:val="fr-FR"/>
        </w:rPr>
        <w:t>’</w:t>
      </w:r>
      <w:r w:rsidRPr="00D631A2">
        <w:rPr>
          <w:lang w:val="fr-FR"/>
        </w:rPr>
        <w:t>entremise du secrétariat dans un délai de deux mois à compter de la réception de la communication du Comité et/ou de la publication du rapport de la réunion sur le site Web de la Commission économique pour l</w:t>
      </w:r>
      <w:r>
        <w:rPr>
          <w:lang w:val="fr-FR"/>
        </w:rPr>
        <w:t>’</w:t>
      </w:r>
      <w:r w:rsidRPr="00D631A2">
        <w:rPr>
          <w:lang w:val="fr-FR"/>
        </w:rPr>
        <w:t>Europe. La Partie expose les faits motivant l</w:t>
      </w:r>
      <w:r>
        <w:rPr>
          <w:lang w:val="fr-FR"/>
        </w:rPr>
        <w:t>’</w:t>
      </w:r>
      <w:r w:rsidRPr="00D631A2">
        <w:rPr>
          <w:lang w:val="fr-FR"/>
        </w:rPr>
        <w:t xml:space="preserve">objection. </w:t>
      </w:r>
      <w:r>
        <w:rPr>
          <w:lang w:val="fr-FR"/>
        </w:rPr>
        <w:t>Le</w:t>
      </w:r>
      <w:r w:rsidR="00803B94">
        <w:rPr>
          <w:lang w:val="fr-FR"/>
        </w:rPr>
        <w:t> </w:t>
      </w:r>
      <w:r w:rsidRPr="00D631A2">
        <w:rPr>
          <w:lang w:val="fr-FR"/>
        </w:rPr>
        <w:t>membre faisant l</w:t>
      </w:r>
      <w:r>
        <w:rPr>
          <w:lang w:val="fr-FR"/>
        </w:rPr>
        <w:t>’</w:t>
      </w:r>
      <w:r w:rsidRPr="00D631A2">
        <w:rPr>
          <w:lang w:val="fr-FR"/>
        </w:rPr>
        <w:t>objet d</w:t>
      </w:r>
      <w:r>
        <w:rPr>
          <w:lang w:val="fr-FR"/>
        </w:rPr>
        <w:t>’</w:t>
      </w:r>
      <w:r w:rsidRPr="00D631A2">
        <w:rPr>
          <w:lang w:val="fr-FR"/>
        </w:rPr>
        <w:t>une telle objection, si elle est jugé</w:t>
      </w:r>
      <w:r>
        <w:rPr>
          <w:lang w:val="fr-FR"/>
        </w:rPr>
        <w:t>e</w:t>
      </w:r>
      <w:r w:rsidRPr="00D631A2">
        <w:rPr>
          <w:lang w:val="fr-FR"/>
        </w:rPr>
        <w:t xml:space="preserve"> justifiée par le Comité conformément au paragraphe</w:t>
      </w:r>
      <w:r>
        <w:rPr>
          <w:lang w:val="fr-FR"/>
        </w:rPr>
        <w:t> </w:t>
      </w:r>
      <w:r w:rsidRPr="00D631A2">
        <w:rPr>
          <w:lang w:val="fr-FR"/>
        </w:rPr>
        <w:t xml:space="preserve">10 </w:t>
      </w:r>
      <w:r>
        <w:rPr>
          <w:lang w:val="fr-FR"/>
        </w:rPr>
        <w:t>du texte définissant</w:t>
      </w:r>
      <w:r w:rsidRPr="00D631A2">
        <w:rPr>
          <w:lang w:val="fr-FR"/>
        </w:rPr>
        <w:t xml:space="preserve"> sa structure et ses fonctions, ne prend pas part à l</w:t>
      </w:r>
      <w:r>
        <w:rPr>
          <w:lang w:val="fr-FR"/>
        </w:rPr>
        <w:t>’</w:t>
      </w:r>
      <w:r w:rsidRPr="00D631A2">
        <w:rPr>
          <w:lang w:val="fr-FR"/>
        </w:rPr>
        <w:t xml:space="preserve">examen de la question par le Comité. </w:t>
      </w:r>
      <w:bookmarkStart w:id="1" w:name="_Hlk143259647"/>
      <w:bookmarkEnd w:id="1"/>
    </w:p>
    <w:p w14:paraId="77D63B4B" w14:textId="77777777" w:rsidR="004441FB" w:rsidRPr="00D631A2" w:rsidRDefault="004441FB" w:rsidP="004441FB">
      <w:pPr>
        <w:pStyle w:val="SingleTxtG"/>
        <w:ind w:left="2268"/>
      </w:pPr>
      <w:r w:rsidRPr="00D631A2">
        <w:rPr>
          <w:lang w:val="fr-FR"/>
        </w:rPr>
        <w:t>2.</w:t>
      </w:r>
      <w:r w:rsidRPr="00D631A2">
        <w:rPr>
          <w:lang w:val="fr-FR"/>
        </w:rPr>
        <w:tab/>
        <w:t>Les membres et le secrétariat peuvent accepter des invitations à présenter le mécanisme de contrôle du respect des dispositions de la Convention lors de manifestations appropriées, telles que des conférences et des ateliers.</w:t>
      </w:r>
    </w:p>
    <w:p w14:paraId="70ADA015" w14:textId="3FA3274C" w:rsidR="004441FB" w:rsidRPr="004441FB" w:rsidRDefault="004441FB" w:rsidP="004441FB">
      <w:pPr>
        <w:pStyle w:val="SingleTxtG"/>
        <w:ind w:left="2268" w:hanging="567"/>
        <w:rPr>
          <w:lang w:val="fr-FR"/>
        </w:rPr>
      </w:pPr>
      <w:r w:rsidRPr="004441FB">
        <w:rPr>
          <w:lang w:val="fr-FR"/>
        </w:rPr>
        <w:t>d)</w:t>
      </w:r>
      <w:r w:rsidRPr="004441FB">
        <w:rPr>
          <w:lang w:val="fr-FR"/>
        </w:rPr>
        <w:tab/>
        <w:t>Ajouter un nouveau paragraphe 8 à la fin de l’article 11, qui se lit comme suit</w:t>
      </w:r>
      <w:r w:rsidR="00803B94">
        <w:rPr>
          <w:lang w:val="fr-FR"/>
        </w:rPr>
        <w:t> </w:t>
      </w:r>
      <w:r w:rsidRPr="004441FB">
        <w:rPr>
          <w:lang w:val="fr-FR"/>
        </w:rPr>
        <w:t xml:space="preserve">: </w:t>
      </w:r>
    </w:p>
    <w:p w14:paraId="4FE33EF0" w14:textId="77777777" w:rsidR="004441FB" w:rsidRPr="00D631A2" w:rsidRDefault="004441FB" w:rsidP="004441FB">
      <w:pPr>
        <w:pStyle w:val="SingleTxtG"/>
        <w:ind w:left="2268"/>
        <w:rPr>
          <w:rFonts w:eastAsia="Calibri"/>
        </w:rPr>
      </w:pPr>
      <w:r w:rsidRPr="00D631A2">
        <w:rPr>
          <w:lang w:val="fr-FR"/>
        </w:rPr>
        <w:t>« 8. Les Parties sont priées de répondre aux demandes d</w:t>
      </w:r>
      <w:r>
        <w:rPr>
          <w:lang w:val="fr-FR"/>
        </w:rPr>
        <w:t>’</w:t>
      </w:r>
      <w:r w:rsidRPr="00D631A2">
        <w:rPr>
          <w:lang w:val="fr-FR"/>
        </w:rPr>
        <w:t xml:space="preserve">information du Comité dans les délais fixés par celui-ci. Le Comité peut ne pas prendre en compte une information </w:t>
      </w:r>
      <w:r>
        <w:rPr>
          <w:lang w:val="fr-FR"/>
        </w:rPr>
        <w:t xml:space="preserve">soumise </w:t>
      </w:r>
      <w:r w:rsidRPr="00D631A2">
        <w:rPr>
          <w:lang w:val="fr-FR"/>
        </w:rPr>
        <w:t>tardive</w:t>
      </w:r>
      <w:r>
        <w:rPr>
          <w:lang w:val="fr-FR"/>
        </w:rPr>
        <w:t>ment</w:t>
      </w:r>
      <w:r w:rsidRPr="00D631A2">
        <w:rPr>
          <w:lang w:val="fr-FR"/>
        </w:rPr>
        <w:t>. ».</w:t>
      </w:r>
    </w:p>
    <w:p w14:paraId="5BF25A06" w14:textId="0F0A1F06" w:rsidR="004441FB" w:rsidRPr="004441FB" w:rsidRDefault="004441FB" w:rsidP="004441FB">
      <w:pPr>
        <w:pStyle w:val="SingleTxtG"/>
        <w:ind w:left="2268" w:hanging="567"/>
        <w:rPr>
          <w:lang w:val="fr-FR"/>
        </w:rPr>
      </w:pPr>
      <w:r w:rsidRPr="004441FB">
        <w:rPr>
          <w:lang w:val="fr-FR"/>
        </w:rPr>
        <w:t>e)</w:t>
      </w:r>
      <w:r w:rsidRPr="004441FB">
        <w:rPr>
          <w:lang w:val="fr-FR"/>
        </w:rPr>
        <w:tab/>
        <w:t>Remplacer le paragraphe 3 de l’article 13 par le libellé suivant</w:t>
      </w:r>
      <w:r w:rsidR="00803B94">
        <w:rPr>
          <w:lang w:val="fr-FR"/>
        </w:rPr>
        <w:t> </w:t>
      </w:r>
      <w:r w:rsidRPr="004441FB">
        <w:rPr>
          <w:lang w:val="fr-FR"/>
        </w:rPr>
        <w:t xml:space="preserve">: </w:t>
      </w:r>
    </w:p>
    <w:p w14:paraId="7B74740A" w14:textId="4B429219" w:rsidR="004441FB" w:rsidRPr="004441FB" w:rsidRDefault="004441FB" w:rsidP="004441FB">
      <w:pPr>
        <w:pStyle w:val="SingleTxtG"/>
        <w:ind w:left="2268"/>
        <w:rPr>
          <w:lang w:val="fr-FR"/>
        </w:rPr>
      </w:pPr>
      <w:r w:rsidRPr="004441FB">
        <w:rPr>
          <w:lang w:val="fr-FR"/>
        </w:rPr>
        <w:t>« 3.</w:t>
      </w:r>
      <w:r w:rsidRPr="004441FB">
        <w:rPr>
          <w:lang w:val="fr-FR"/>
        </w:rPr>
        <w:tab/>
        <w:t>À la réunion qu’il tiendra après le délai fixé pour l’envoi d’observations, le Comité devrait revoir le projet de conclusions et de recommandations et en établir la version définitive en tenant compte des observations reçues. Les conclusions et recommandations devraient être présentées dans un additif au rapport de la réunion ou publiées en tant que document distinct (comme document officiel) et communiquées aux Parties concernées et à la Réunion des Parties. ».</w:t>
      </w:r>
    </w:p>
    <w:p w14:paraId="3D9497FF" w14:textId="23797E15" w:rsidR="004441FB" w:rsidRPr="004441FB" w:rsidRDefault="004441FB" w:rsidP="004441FB">
      <w:pPr>
        <w:pStyle w:val="SingleTxtG"/>
        <w:ind w:left="2268" w:hanging="567"/>
        <w:rPr>
          <w:lang w:val="fr-FR"/>
        </w:rPr>
      </w:pPr>
      <w:r w:rsidRPr="004441FB">
        <w:rPr>
          <w:lang w:val="fr-FR"/>
        </w:rPr>
        <w:t>f)</w:t>
      </w:r>
      <w:r w:rsidRPr="004441FB">
        <w:rPr>
          <w:lang w:val="fr-FR"/>
        </w:rPr>
        <w:tab/>
        <w:t>Ajouter un nouveau paragraphe 4 à la fin de l’article 13, qui se lit comme suit</w:t>
      </w:r>
      <w:r w:rsidR="00803B94">
        <w:rPr>
          <w:lang w:val="fr-FR"/>
        </w:rPr>
        <w:t> </w:t>
      </w:r>
      <w:r w:rsidRPr="004441FB">
        <w:rPr>
          <w:lang w:val="fr-FR"/>
        </w:rPr>
        <w:t>:</w:t>
      </w:r>
    </w:p>
    <w:p w14:paraId="0897EEED" w14:textId="06E6BECE" w:rsidR="004441FB" w:rsidRPr="00D631A2" w:rsidRDefault="004441FB" w:rsidP="004441FB">
      <w:pPr>
        <w:pStyle w:val="SingleTxtG"/>
        <w:ind w:left="2268"/>
      </w:pPr>
      <w:r w:rsidRPr="00D631A2">
        <w:rPr>
          <w:lang w:val="fr-FR"/>
        </w:rPr>
        <w:t>« 4.</w:t>
      </w:r>
      <w:r w:rsidRPr="00D631A2">
        <w:rPr>
          <w:lang w:val="fr-FR"/>
        </w:rPr>
        <w:tab/>
        <w:t>Si, après la transmission des conclusions et recommandations à la Réunion des Parties conformément au paragraphe</w:t>
      </w:r>
      <w:r>
        <w:rPr>
          <w:lang w:val="fr-FR"/>
        </w:rPr>
        <w:t> </w:t>
      </w:r>
      <w:r w:rsidRPr="00D631A2">
        <w:rPr>
          <w:lang w:val="fr-FR"/>
        </w:rPr>
        <w:t>3 de l</w:t>
      </w:r>
      <w:r>
        <w:rPr>
          <w:lang w:val="fr-FR"/>
        </w:rPr>
        <w:t>’</w:t>
      </w:r>
      <w:r w:rsidRPr="00D631A2">
        <w:rPr>
          <w:lang w:val="fr-FR"/>
        </w:rPr>
        <w:t>article</w:t>
      </w:r>
      <w:r>
        <w:rPr>
          <w:lang w:val="fr-FR"/>
        </w:rPr>
        <w:t> </w:t>
      </w:r>
      <w:r w:rsidRPr="00D631A2">
        <w:rPr>
          <w:lang w:val="fr-FR"/>
        </w:rPr>
        <w:t xml:space="preserve">13, des informations nouvelles susceptibles </w:t>
      </w:r>
      <w:r>
        <w:rPr>
          <w:lang w:val="fr-FR"/>
        </w:rPr>
        <w:t>d’influer sur les conclusions et recommandations</w:t>
      </w:r>
      <w:r w:rsidRPr="00D631A2">
        <w:rPr>
          <w:lang w:val="fr-FR"/>
        </w:rPr>
        <w:t xml:space="preserve"> sont portées à la connaissance du Comité, il peut </w:t>
      </w:r>
      <w:r>
        <w:rPr>
          <w:lang w:val="fr-FR"/>
        </w:rPr>
        <w:t xml:space="preserve">les </w:t>
      </w:r>
      <w:r w:rsidRPr="00D631A2">
        <w:rPr>
          <w:lang w:val="fr-FR"/>
        </w:rPr>
        <w:t xml:space="preserve">communiquer à la Réunion des Parties, </w:t>
      </w:r>
      <w:r>
        <w:rPr>
          <w:lang w:val="fr-FR"/>
        </w:rPr>
        <w:t>et il en sera tenu</w:t>
      </w:r>
      <w:r w:rsidRPr="00D631A2">
        <w:rPr>
          <w:lang w:val="fr-FR"/>
        </w:rPr>
        <w:t xml:space="preserve"> </w:t>
      </w:r>
      <w:r>
        <w:rPr>
          <w:lang w:val="fr-FR"/>
        </w:rPr>
        <w:t xml:space="preserve">compte </w:t>
      </w:r>
      <w:r w:rsidRPr="00D631A2">
        <w:rPr>
          <w:lang w:val="fr-FR"/>
        </w:rPr>
        <w:t xml:space="preserve">dans la </w:t>
      </w:r>
      <w:r>
        <w:rPr>
          <w:lang w:val="fr-FR"/>
        </w:rPr>
        <w:t>décision</w:t>
      </w:r>
      <w:r w:rsidR="00803B94">
        <w:rPr>
          <w:lang w:val="fr-FR"/>
        </w:rPr>
        <w:t xml:space="preserve"> </w:t>
      </w:r>
      <w:r w:rsidRPr="00D631A2">
        <w:rPr>
          <w:lang w:val="fr-FR"/>
        </w:rPr>
        <w:t>relative au respect des dispositions correspondante</w:t>
      </w:r>
      <w:r w:rsidR="00803B94">
        <w:rPr>
          <w:lang w:val="fr-FR"/>
        </w:rPr>
        <w:t>s</w:t>
      </w:r>
      <w:r w:rsidRPr="00D631A2">
        <w:rPr>
          <w:lang w:val="fr-FR"/>
        </w:rPr>
        <w:t>. ».</w:t>
      </w:r>
    </w:p>
    <w:p w14:paraId="47B5B30B" w14:textId="5326C464" w:rsidR="004441FB" w:rsidRPr="004441FB" w:rsidRDefault="004441FB" w:rsidP="004441FB">
      <w:pPr>
        <w:pStyle w:val="SingleTxtG"/>
        <w:ind w:left="2268" w:hanging="567"/>
        <w:rPr>
          <w:lang w:val="fr-FR"/>
        </w:rPr>
      </w:pPr>
      <w:r w:rsidRPr="004441FB">
        <w:rPr>
          <w:lang w:val="fr-FR"/>
        </w:rPr>
        <w:t>g)</w:t>
      </w:r>
      <w:r w:rsidRPr="004441FB">
        <w:rPr>
          <w:lang w:val="fr-FR"/>
        </w:rPr>
        <w:tab/>
        <w:t>Ajouter une nouvelle phrase à la fin du paragraphe 2 de l’article 16</w:t>
      </w:r>
      <w:r w:rsidR="00803B94">
        <w:rPr>
          <w:lang w:val="fr-FR"/>
        </w:rPr>
        <w:t> </w:t>
      </w:r>
      <w:r w:rsidRPr="004441FB">
        <w:rPr>
          <w:lang w:val="fr-FR"/>
        </w:rPr>
        <w:t>:</w:t>
      </w:r>
    </w:p>
    <w:p w14:paraId="20A288A3" w14:textId="77777777" w:rsidR="004441FB" w:rsidRPr="00D631A2" w:rsidRDefault="004441FB" w:rsidP="004441FB">
      <w:pPr>
        <w:pStyle w:val="SingleTxtG"/>
        <w:ind w:left="2268"/>
      </w:pPr>
      <w:r w:rsidRPr="00D631A2">
        <w:rPr>
          <w:lang w:val="fr-FR"/>
        </w:rPr>
        <w:t xml:space="preserve">« Le Comité peut </w:t>
      </w:r>
      <w:r>
        <w:rPr>
          <w:lang w:val="fr-FR"/>
        </w:rPr>
        <w:t>rendre publics</w:t>
      </w:r>
      <w:r w:rsidRPr="00D631A2">
        <w:rPr>
          <w:lang w:val="fr-FR"/>
        </w:rPr>
        <w:t xml:space="preserve"> d</w:t>
      </w:r>
      <w:r>
        <w:rPr>
          <w:lang w:val="fr-FR"/>
        </w:rPr>
        <w:t>’</w:t>
      </w:r>
      <w:r w:rsidRPr="00D631A2">
        <w:rPr>
          <w:lang w:val="fr-FR"/>
        </w:rPr>
        <w:t>autres documents s</w:t>
      </w:r>
      <w:r>
        <w:rPr>
          <w:lang w:val="fr-FR"/>
        </w:rPr>
        <w:t>’</w:t>
      </w:r>
      <w:r w:rsidRPr="00D631A2">
        <w:rPr>
          <w:lang w:val="fr-FR"/>
        </w:rPr>
        <w:t>il le juge nécessaire. ».</w:t>
      </w:r>
    </w:p>
    <w:p w14:paraId="16608E50" w14:textId="76DC5FD2" w:rsidR="004441FB" w:rsidRPr="004441FB" w:rsidRDefault="004441FB" w:rsidP="004441FB">
      <w:pPr>
        <w:pStyle w:val="SingleTxtG"/>
        <w:ind w:left="2268" w:hanging="567"/>
        <w:rPr>
          <w:lang w:val="fr-FR"/>
        </w:rPr>
      </w:pPr>
      <w:r w:rsidRPr="004441FB">
        <w:rPr>
          <w:lang w:val="fr-FR"/>
        </w:rPr>
        <w:t>h)</w:t>
      </w:r>
      <w:r w:rsidRPr="004441FB">
        <w:rPr>
          <w:lang w:val="fr-FR"/>
        </w:rPr>
        <w:tab/>
        <w:t>Dans l’article 16, ajouter un nouveau paragraphe 9 après le paragraphe 8, et renuméroter les paragraphes suivants en conséquence. Le nouveau paragraphe se lit comme suit</w:t>
      </w:r>
      <w:r w:rsidR="00803B94">
        <w:rPr>
          <w:lang w:val="fr-FR"/>
        </w:rPr>
        <w:t> </w:t>
      </w:r>
      <w:r w:rsidRPr="004441FB">
        <w:rPr>
          <w:lang w:val="fr-FR"/>
        </w:rPr>
        <w:t xml:space="preserve">: </w:t>
      </w:r>
    </w:p>
    <w:p w14:paraId="11405647" w14:textId="77777777" w:rsidR="004441FB" w:rsidRPr="00D631A2" w:rsidRDefault="004441FB" w:rsidP="004441FB">
      <w:pPr>
        <w:pStyle w:val="SingleTxtG"/>
        <w:ind w:left="2268"/>
      </w:pPr>
      <w:r w:rsidRPr="00D631A2">
        <w:rPr>
          <w:lang w:val="fr-FR"/>
        </w:rPr>
        <w:t>« 9</w:t>
      </w:r>
      <w:r>
        <w:rPr>
          <w:lang w:val="fr-FR"/>
        </w:rPr>
        <w:t>.</w:t>
      </w:r>
      <w:r w:rsidRPr="00D631A2">
        <w:rPr>
          <w:lang w:val="fr-FR"/>
        </w:rPr>
        <w:tab/>
        <w:t>En l</w:t>
      </w:r>
      <w:r>
        <w:rPr>
          <w:lang w:val="fr-FR"/>
        </w:rPr>
        <w:t>’</w:t>
      </w:r>
      <w:r w:rsidRPr="00D631A2">
        <w:rPr>
          <w:lang w:val="fr-FR"/>
        </w:rPr>
        <w:t>absence d</w:t>
      </w:r>
      <w:r>
        <w:rPr>
          <w:lang w:val="fr-FR"/>
        </w:rPr>
        <w:t>’</w:t>
      </w:r>
      <w:r w:rsidRPr="00D631A2">
        <w:rPr>
          <w:lang w:val="fr-FR"/>
        </w:rPr>
        <w:t>objections motivées de la Partie ou de toute autre source concernée, des exemplaires de toute la correspondance entre la Partie ou d</w:t>
      </w:r>
      <w:r>
        <w:rPr>
          <w:lang w:val="fr-FR"/>
        </w:rPr>
        <w:t>’</w:t>
      </w:r>
      <w:r w:rsidRPr="00D631A2">
        <w:rPr>
          <w:lang w:val="fr-FR"/>
        </w:rPr>
        <w:t xml:space="preserve">autres sources et le Comité devraient être mises à la disposition des autres Parties ou sources concernées par une question </w:t>
      </w:r>
      <w:r>
        <w:rPr>
          <w:lang w:val="fr-FR"/>
        </w:rPr>
        <w:t xml:space="preserve">particulière </w:t>
      </w:r>
      <w:r w:rsidRPr="00D631A2">
        <w:rPr>
          <w:lang w:val="fr-FR"/>
        </w:rPr>
        <w:t>de respect des dispositions et participant aux procédures du Comité s</w:t>
      </w:r>
      <w:r>
        <w:rPr>
          <w:lang w:val="fr-FR"/>
        </w:rPr>
        <w:t>’</w:t>
      </w:r>
      <w:r w:rsidRPr="00D631A2">
        <w:rPr>
          <w:lang w:val="fr-FR"/>
        </w:rPr>
        <w:t>y rapportant, si elles en font la demande ».</w:t>
      </w:r>
    </w:p>
    <w:p w14:paraId="6C3A92A5" w14:textId="7943EDE6" w:rsidR="004441FB" w:rsidRPr="004441FB" w:rsidRDefault="004441FB" w:rsidP="004441FB">
      <w:pPr>
        <w:pStyle w:val="SingleTxtG"/>
        <w:ind w:left="2268" w:hanging="567"/>
        <w:rPr>
          <w:lang w:val="fr-FR"/>
        </w:rPr>
      </w:pPr>
      <w:r>
        <w:rPr>
          <w:sz w:val="24"/>
          <w:szCs w:val="24"/>
          <w:lang w:val="fr-FR"/>
        </w:rPr>
        <w:tab/>
      </w:r>
      <w:r w:rsidRPr="004441FB">
        <w:rPr>
          <w:lang w:val="fr-FR"/>
        </w:rPr>
        <w:t>i)</w:t>
      </w:r>
      <w:r w:rsidRPr="004441FB">
        <w:rPr>
          <w:lang w:val="fr-FR"/>
        </w:rPr>
        <w:tab/>
        <w:t>Remplacer les paragraphes 1 et 2 de l’article 17 par le libellé suivant</w:t>
      </w:r>
      <w:r w:rsidR="00803B94">
        <w:rPr>
          <w:lang w:val="fr-FR"/>
        </w:rPr>
        <w:t> </w:t>
      </w:r>
      <w:r w:rsidRPr="004441FB">
        <w:rPr>
          <w:lang w:val="fr-FR"/>
        </w:rPr>
        <w:t xml:space="preserve">: </w:t>
      </w:r>
    </w:p>
    <w:p w14:paraId="1E18AE44" w14:textId="77777777" w:rsidR="004441FB" w:rsidRPr="00D631A2" w:rsidRDefault="004441FB" w:rsidP="004441FB">
      <w:pPr>
        <w:pStyle w:val="SingleTxtG"/>
        <w:ind w:left="2268"/>
      </w:pPr>
      <w:r w:rsidRPr="00D631A2">
        <w:rPr>
          <w:lang w:val="fr-FR"/>
        </w:rPr>
        <w:t>1.</w:t>
      </w:r>
      <w:r w:rsidRPr="00D631A2">
        <w:rPr>
          <w:lang w:val="fr-FR"/>
        </w:rPr>
        <w:tab/>
        <w:t>Les réunions du Comité devraient être ouvertes aux observateurs (autres Parties, États, organes, institutions et public), à moins que le Comité n</w:t>
      </w:r>
      <w:r>
        <w:rPr>
          <w:lang w:val="fr-FR"/>
        </w:rPr>
        <w:t>’</w:t>
      </w:r>
      <w:r w:rsidRPr="00D631A2">
        <w:rPr>
          <w:lang w:val="fr-FR"/>
        </w:rPr>
        <w:t>en décide autrement. Les parties des réunions qui sont consacrées à des questions de respect des dispositions ne devraient pas être ouvertes aux observateurs, à moins que le Comité et la Partie en cause n</w:t>
      </w:r>
      <w:r>
        <w:rPr>
          <w:lang w:val="fr-FR"/>
        </w:rPr>
        <w:t>’</w:t>
      </w:r>
      <w:r w:rsidRPr="00D631A2">
        <w:rPr>
          <w:lang w:val="fr-FR"/>
        </w:rPr>
        <w:t>acceptent qu</w:t>
      </w:r>
      <w:r>
        <w:rPr>
          <w:lang w:val="fr-FR"/>
        </w:rPr>
        <w:t>’</w:t>
      </w:r>
      <w:r w:rsidRPr="00D631A2">
        <w:rPr>
          <w:lang w:val="fr-FR"/>
        </w:rPr>
        <w:t xml:space="preserve">il en soit autrement </w:t>
      </w:r>
      <w:r w:rsidRPr="00D631A2">
        <w:rPr>
          <w:lang w:val="fr-FR"/>
        </w:rPr>
        <w:lastRenderedPageBreak/>
        <w:t>(voir également le paragraphe</w:t>
      </w:r>
      <w:r>
        <w:rPr>
          <w:lang w:val="fr-FR"/>
        </w:rPr>
        <w:t> </w:t>
      </w:r>
      <w:r w:rsidRPr="00D631A2">
        <w:rPr>
          <w:lang w:val="fr-FR"/>
        </w:rPr>
        <w:t xml:space="preserve">3 </w:t>
      </w:r>
      <w:r>
        <w:rPr>
          <w:lang w:val="fr-FR"/>
        </w:rPr>
        <w:t>du texte définissant</w:t>
      </w:r>
      <w:r w:rsidRPr="00D631A2">
        <w:rPr>
          <w:lang w:val="fr-FR"/>
        </w:rPr>
        <w:t xml:space="preserve"> la structure et </w:t>
      </w:r>
      <w:r>
        <w:rPr>
          <w:lang w:val="fr-FR"/>
        </w:rPr>
        <w:t>les</w:t>
      </w:r>
      <w:r w:rsidRPr="00D631A2">
        <w:rPr>
          <w:lang w:val="fr-FR"/>
        </w:rPr>
        <w:t xml:space="preserve"> fonctions du </w:t>
      </w:r>
      <w:r>
        <w:rPr>
          <w:lang w:val="fr-FR"/>
        </w:rPr>
        <w:t>C</w:t>
      </w:r>
      <w:r w:rsidRPr="00D631A2">
        <w:rPr>
          <w:lang w:val="fr-FR"/>
        </w:rPr>
        <w:t>omité). Les observateurs devraient s</w:t>
      </w:r>
      <w:r>
        <w:rPr>
          <w:lang w:val="fr-FR"/>
        </w:rPr>
        <w:t>’</w:t>
      </w:r>
      <w:r w:rsidRPr="00D631A2">
        <w:rPr>
          <w:lang w:val="fr-FR"/>
        </w:rPr>
        <w:t>inscrire auprès du secrétariat avant chaque réunion.</w:t>
      </w:r>
    </w:p>
    <w:p w14:paraId="33E236F4" w14:textId="77777777" w:rsidR="004441FB" w:rsidRPr="00D631A2" w:rsidRDefault="004441FB" w:rsidP="004441FB">
      <w:pPr>
        <w:pStyle w:val="SingleTxtG"/>
        <w:ind w:left="2268"/>
      </w:pPr>
      <w:r w:rsidRPr="00D631A2">
        <w:rPr>
          <w:lang w:val="fr-FR"/>
        </w:rPr>
        <w:t>2.</w:t>
      </w:r>
      <w:r w:rsidRPr="00D631A2">
        <w:rPr>
          <w:lang w:val="fr-FR"/>
        </w:rPr>
        <w:tab/>
        <w:t>Une Partie concernée par une question particulière de respect des dispositions n</w:t>
      </w:r>
      <w:r>
        <w:rPr>
          <w:lang w:val="fr-FR"/>
        </w:rPr>
        <w:t>’</w:t>
      </w:r>
      <w:r w:rsidRPr="00D631A2">
        <w:rPr>
          <w:lang w:val="fr-FR"/>
        </w:rPr>
        <w:t>assiste pas et ne participe pas à l</w:t>
      </w:r>
      <w:r>
        <w:rPr>
          <w:lang w:val="fr-FR"/>
        </w:rPr>
        <w:t>’</w:t>
      </w:r>
      <w:r w:rsidRPr="00D631A2">
        <w:rPr>
          <w:lang w:val="fr-FR"/>
        </w:rPr>
        <w:t>examen de cette question par le Comité, non plus qu</w:t>
      </w:r>
      <w:r>
        <w:rPr>
          <w:lang w:val="fr-FR"/>
        </w:rPr>
        <w:t>’</w:t>
      </w:r>
      <w:r w:rsidRPr="00D631A2">
        <w:rPr>
          <w:lang w:val="fr-FR"/>
        </w:rPr>
        <w:t>à l</w:t>
      </w:r>
      <w:r>
        <w:rPr>
          <w:lang w:val="fr-FR"/>
        </w:rPr>
        <w:t>’</w:t>
      </w:r>
      <w:r w:rsidRPr="00D631A2">
        <w:rPr>
          <w:lang w:val="fr-FR"/>
        </w:rPr>
        <w:t>élaboration et à l</w:t>
      </w:r>
      <w:r>
        <w:rPr>
          <w:lang w:val="fr-FR"/>
        </w:rPr>
        <w:t>’</w:t>
      </w:r>
      <w:r w:rsidRPr="00D631A2">
        <w:rPr>
          <w:lang w:val="fr-FR"/>
        </w:rPr>
        <w:t>adoption de toute partie des conclusions ou recommandations du Comité relatives à cette question (voir également le paragraphe</w:t>
      </w:r>
      <w:r>
        <w:rPr>
          <w:lang w:val="fr-FR"/>
        </w:rPr>
        <w:t> </w:t>
      </w:r>
      <w:r w:rsidRPr="00D631A2">
        <w:rPr>
          <w:lang w:val="fr-FR"/>
        </w:rPr>
        <w:t xml:space="preserve">9 </w:t>
      </w:r>
      <w:r>
        <w:rPr>
          <w:lang w:val="fr-FR"/>
        </w:rPr>
        <w:t>du texte définissant</w:t>
      </w:r>
      <w:r w:rsidRPr="00D631A2">
        <w:rPr>
          <w:lang w:val="fr-FR"/>
        </w:rPr>
        <w:t xml:space="preserve"> la structure et </w:t>
      </w:r>
      <w:r>
        <w:rPr>
          <w:lang w:val="fr-FR"/>
        </w:rPr>
        <w:t>les</w:t>
      </w:r>
      <w:r w:rsidRPr="00D631A2">
        <w:rPr>
          <w:lang w:val="fr-FR"/>
        </w:rPr>
        <w:t xml:space="preserve"> fonctions du Comité).</w:t>
      </w:r>
    </w:p>
    <w:p w14:paraId="0862F6BA" w14:textId="77777777" w:rsidR="004441FB" w:rsidRPr="004441FB" w:rsidRDefault="004441FB" w:rsidP="0064411E">
      <w:pPr>
        <w:pStyle w:val="SingleTxtG"/>
        <w:ind w:left="2268" w:hanging="567"/>
        <w:rPr>
          <w:lang w:val="fr-FR"/>
        </w:rPr>
      </w:pPr>
      <w:r w:rsidRPr="004441FB">
        <w:rPr>
          <w:lang w:val="fr-FR"/>
        </w:rPr>
        <w:t>j)</w:t>
      </w:r>
      <w:r w:rsidRPr="004441FB">
        <w:rPr>
          <w:lang w:val="fr-FR"/>
        </w:rPr>
        <w:tab/>
        <w:t xml:space="preserve">Supprimer le paragraphe 3 de l’article 17. </w:t>
      </w:r>
    </w:p>
    <w:p w14:paraId="579FE701" w14:textId="77777777" w:rsidR="004441FB" w:rsidRPr="004441FB" w:rsidRDefault="004441FB" w:rsidP="004441FB">
      <w:pPr>
        <w:pStyle w:val="SingleTxtG"/>
        <w:ind w:left="2268" w:hanging="567"/>
        <w:rPr>
          <w:lang w:val="fr-FR"/>
        </w:rPr>
      </w:pPr>
      <w:r w:rsidRPr="004441FB">
        <w:rPr>
          <w:lang w:val="fr-FR"/>
        </w:rPr>
        <w:t>k)</w:t>
      </w:r>
      <w:r w:rsidRPr="004441FB">
        <w:rPr>
          <w:lang w:val="fr-FR"/>
        </w:rPr>
        <w:tab/>
        <w:t xml:space="preserve">Remplacer « cinq » par « quatre » dans la deuxième phrase du premier paragraphe de l’article 18. Dans la dernière phrase du même paragraphe, insérer « de la réunion » après « rapport ». </w:t>
      </w:r>
    </w:p>
    <w:p w14:paraId="2C6DFC5D" w14:textId="77777777" w:rsidR="004441FB" w:rsidRPr="004441FB" w:rsidRDefault="004441FB" w:rsidP="004441FB">
      <w:pPr>
        <w:pStyle w:val="SingleTxtG"/>
        <w:ind w:left="2268" w:hanging="567"/>
        <w:rPr>
          <w:lang w:val="fr-FR"/>
        </w:rPr>
      </w:pPr>
      <w:r w:rsidRPr="004441FB">
        <w:rPr>
          <w:lang w:val="fr-FR"/>
        </w:rPr>
        <w:t>l)</w:t>
      </w:r>
      <w:r w:rsidRPr="004441FB">
        <w:rPr>
          <w:lang w:val="fr-FR"/>
        </w:rPr>
        <w:tab/>
        <w:t xml:space="preserve">Remplacer l’article 19 par le libellé suivant : </w:t>
      </w:r>
    </w:p>
    <w:p w14:paraId="12773DF3" w14:textId="77777777" w:rsidR="004441FB" w:rsidRPr="00D631A2" w:rsidRDefault="004441FB" w:rsidP="0064411E">
      <w:pPr>
        <w:pStyle w:val="SingleTxtG"/>
        <w:ind w:left="2268"/>
        <w:rPr>
          <w:rFonts w:eastAsia="Calibri"/>
        </w:rPr>
      </w:pPr>
      <w:r w:rsidRPr="00D631A2">
        <w:rPr>
          <w:lang w:val="fr-FR"/>
        </w:rPr>
        <w:t>Article</w:t>
      </w:r>
      <w:r>
        <w:rPr>
          <w:lang w:val="fr-FR"/>
        </w:rPr>
        <w:t> </w:t>
      </w:r>
      <w:r w:rsidRPr="00D631A2">
        <w:rPr>
          <w:lang w:val="fr-FR"/>
        </w:rPr>
        <w:t>19</w:t>
      </w:r>
    </w:p>
    <w:p w14:paraId="039055AB" w14:textId="7F997166" w:rsidR="004441FB" w:rsidRPr="0064411E" w:rsidRDefault="004441FB" w:rsidP="0064411E">
      <w:pPr>
        <w:pStyle w:val="SingleTxtG"/>
        <w:ind w:left="2268"/>
        <w:rPr>
          <w:lang w:val="fr-FR"/>
        </w:rPr>
      </w:pPr>
      <w:r w:rsidRPr="0064411E">
        <w:rPr>
          <w:lang w:val="fr-FR"/>
        </w:rPr>
        <w:t>1.</w:t>
      </w:r>
      <w:r w:rsidRPr="0064411E">
        <w:rPr>
          <w:lang w:val="fr-FR"/>
        </w:rPr>
        <w:tab/>
        <w:t>Les réunions du Comité peuvent se tenir en ligne</w:t>
      </w:r>
      <w:r w:rsidRPr="00803B94">
        <w:rPr>
          <w:sz w:val="18"/>
          <w:szCs w:val="18"/>
          <w:vertAlign w:val="superscript"/>
          <w:lang w:val="fr-FR"/>
        </w:rPr>
        <w:footnoteReference w:id="2"/>
      </w:r>
      <w:r w:rsidRPr="0064411E">
        <w:rPr>
          <w:lang w:val="fr-FR"/>
        </w:rPr>
        <w:t xml:space="preserve">. </w:t>
      </w:r>
    </w:p>
    <w:p w14:paraId="5333320C" w14:textId="77777777" w:rsidR="004441FB" w:rsidRPr="0064411E" w:rsidRDefault="004441FB" w:rsidP="004441FB">
      <w:pPr>
        <w:pStyle w:val="SingleTxtG"/>
        <w:ind w:left="2268"/>
        <w:rPr>
          <w:lang w:val="fr-FR"/>
        </w:rPr>
      </w:pPr>
      <w:r w:rsidRPr="0064411E">
        <w:rPr>
          <w:lang w:val="fr-FR"/>
        </w:rPr>
        <w:t>2.</w:t>
      </w:r>
      <w:r w:rsidRPr="0064411E">
        <w:rPr>
          <w:lang w:val="fr-FR"/>
        </w:rPr>
        <w:tab/>
        <w:t>Entre les réunions, les membres peuvent recourir à des moyens électroniques de communication pour tout aspect des travaux du Comité devant être examinés à la session ordinaire et pour mener des consultations informelles sur des questions en cours d’examen, afin d’assurer une gestion efficace de sa charge de travail.</w:t>
      </w:r>
    </w:p>
    <w:p w14:paraId="6E13E7A6" w14:textId="4BB81D19" w:rsidR="004441FB" w:rsidRPr="0064411E" w:rsidRDefault="004441FB" w:rsidP="004441FB">
      <w:pPr>
        <w:pStyle w:val="SingleTxtG"/>
        <w:ind w:left="2268"/>
        <w:rPr>
          <w:lang w:val="fr-FR"/>
        </w:rPr>
      </w:pPr>
      <w:r w:rsidRPr="0064411E">
        <w:rPr>
          <w:lang w:val="fr-FR"/>
        </w:rPr>
        <w:t>3.</w:t>
      </w:r>
      <w:r w:rsidRPr="0064411E">
        <w:rPr>
          <w:lang w:val="fr-FR"/>
        </w:rPr>
        <w:tab/>
        <w:t>La procédure de prise de décisions par voie électronique comprend</w:t>
      </w:r>
      <w:r w:rsidR="00803B94">
        <w:rPr>
          <w:lang w:val="fr-FR"/>
        </w:rPr>
        <w:t> </w:t>
      </w:r>
      <w:r w:rsidRPr="0064411E">
        <w:rPr>
          <w:lang w:val="fr-FR"/>
        </w:rPr>
        <w:t xml:space="preserve">: </w:t>
      </w:r>
    </w:p>
    <w:p w14:paraId="0CAABDB9" w14:textId="69B7453B" w:rsidR="004441FB" w:rsidRPr="00D631A2" w:rsidRDefault="004441FB" w:rsidP="0064411E">
      <w:pPr>
        <w:pStyle w:val="SingleTxtG"/>
        <w:ind w:left="2268"/>
      </w:pPr>
      <w:r w:rsidRPr="00D631A2">
        <w:rPr>
          <w:lang w:val="fr-FR"/>
        </w:rPr>
        <w:t>a)</w:t>
      </w:r>
      <w:r w:rsidRPr="00D631A2">
        <w:rPr>
          <w:lang w:val="fr-FR"/>
        </w:rPr>
        <w:tab/>
        <w:t>La diffusion par le secrétariat, à la demande du Président, d</w:t>
      </w:r>
      <w:r>
        <w:rPr>
          <w:lang w:val="fr-FR"/>
        </w:rPr>
        <w:t>’</w:t>
      </w:r>
      <w:r w:rsidRPr="00D631A2">
        <w:rPr>
          <w:lang w:val="fr-FR"/>
        </w:rPr>
        <w:t xml:space="preserve">un projet de document soumis à </w:t>
      </w:r>
      <w:r>
        <w:rPr>
          <w:lang w:val="fr-FR"/>
        </w:rPr>
        <w:t>une procédure de prise de</w:t>
      </w:r>
      <w:r w:rsidRPr="00D631A2">
        <w:rPr>
          <w:lang w:val="fr-FR"/>
        </w:rPr>
        <w:t xml:space="preserve"> </w:t>
      </w:r>
      <w:r>
        <w:rPr>
          <w:lang w:val="fr-FR"/>
        </w:rPr>
        <w:t>décision</w:t>
      </w:r>
      <w:r w:rsidR="00803B94">
        <w:rPr>
          <w:lang w:val="fr-FR"/>
        </w:rPr>
        <w:t xml:space="preserve">s </w:t>
      </w:r>
      <w:r w:rsidRPr="00D631A2">
        <w:rPr>
          <w:lang w:val="fr-FR"/>
        </w:rPr>
        <w:t xml:space="preserve">par voie électronique, </w:t>
      </w:r>
      <w:r>
        <w:rPr>
          <w:lang w:val="fr-FR"/>
        </w:rPr>
        <w:t>dans le cadre de laquelle</w:t>
      </w:r>
      <w:r w:rsidRPr="00D631A2">
        <w:rPr>
          <w:lang w:val="fr-FR"/>
        </w:rPr>
        <w:t xml:space="preserve"> tous les membres du Comité sont priés de communiquer leurs observations ou d</w:t>
      </w:r>
      <w:r>
        <w:rPr>
          <w:lang w:val="fr-FR"/>
        </w:rPr>
        <w:t>’</w:t>
      </w:r>
      <w:r w:rsidRPr="00D631A2">
        <w:rPr>
          <w:lang w:val="fr-FR"/>
        </w:rPr>
        <w:t>accepter la proposition du Président (l</w:t>
      </w:r>
      <w:r>
        <w:rPr>
          <w:lang w:val="fr-FR"/>
        </w:rPr>
        <w:t>’</w:t>
      </w:r>
      <w:r w:rsidRPr="00D631A2">
        <w:rPr>
          <w:lang w:val="fr-FR"/>
        </w:rPr>
        <w:t>absence de réponse va</w:t>
      </w:r>
      <w:r>
        <w:rPr>
          <w:lang w:val="fr-FR"/>
        </w:rPr>
        <w:t>lan</w:t>
      </w:r>
      <w:r w:rsidRPr="00D631A2">
        <w:rPr>
          <w:lang w:val="fr-FR"/>
        </w:rPr>
        <w:t>t approbation tacite) dans les délais fixés par celui</w:t>
      </w:r>
      <w:r w:rsidR="00803B94">
        <w:rPr>
          <w:lang w:val="fr-FR"/>
        </w:rPr>
        <w:noBreakHyphen/>
      </w:r>
      <w:r w:rsidRPr="00D631A2">
        <w:rPr>
          <w:lang w:val="fr-FR"/>
        </w:rPr>
        <w:t>ci.</w:t>
      </w:r>
      <w:r>
        <w:rPr>
          <w:lang w:val="fr-FR"/>
        </w:rPr>
        <w:t xml:space="preserve"> </w:t>
      </w:r>
      <w:r w:rsidRPr="00D631A2">
        <w:rPr>
          <w:lang w:val="fr-FR"/>
        </w:rPr>
        <w:t>Si cela est précisé à l</w:t>
      </w:r>
      <w:r>
        <w:rPr>
          <w:lang w:val="fr-FR"/>
        </w:rPr>
        <w:t>’</w:t>
      </w:r>
      <w:r w:rsidRPr="00D631A2">
        <w:rPr>
          <w:lang w:val="fr-FR"/>
        </w:rPr>
        <w:t>avance par le Président, la proposition est réputée avoir été adoptée par le Comité si aucun membre ne formule d</w:t>
      </w:r>
      <w:r>
        <w:rPr>
          <w:lang w:val="fr-FR"/>
        </w:rPr>
        <w:t>’</w:t>
      </w:r>
      <w:r w:rsidRPr="00D631A2">
        <w:rPr>
          <w:lang w:val="fr-FR"/>
        </w:rPr>
        <w:t>objection dans le délai fixé</w:t>
      </w:r>
      <w:r>
        <w:rPr>
          <w:lang w:val="fr-FR"/>
        </w:rPr>
        <w:t> ;</w:t>
      </w:r>
    </w:p>
    <w:p w14:paraId="0D3D23C6" w14:textId="140314A5" w:rsidR="004441FB" w:rsidRPr="00D631A2" w:rsidRDefault="004441FB" w:rsidP="0064411E">
      <w:pPr>
        <w:pStyle w:val="SingleTxtG"/>
        <w:ind w:left="2268"/>
      </w:pPr>
      <w:r w:rsidRPr="00D631A2">
        <w:rPr>
          <w:lang w:val="fr-FR"/>
        </w:rPr>
        <w:t>b)</w:t>
      </w:r>
      <w:r w:rsidRPr="00D631A2">
        <w:rPr>
          <w:lang w:val="fr-FR"/>
        </w:rPr>
        <w:tab/>
        <w:t>Si, sur la base des observations reçues, il apparaît clairement que la question ne peut être traitée dans le cadre d</w:t>
      </w:r>
      <w:r>
        <w:rPr>
          <w:lang w:val="fr-FR"/>
        </w:rPr>
        <w:t>’</w:t>
      </w:r>
      <w:r w:rsidRPr="00D631A2">
        <w:rPr>
          <w:lang w:val="fr-FR"/>
        </w:rPr>
        <w:t>un</w:t>
      </w:r>
      <w:r>
        <w:rPr>
          <w:lang w:val="fr-FR"/>
        </w:rPr>
        <w:t>e</w:t>
      </w:r>
      <w:r w:rsidRPr="00D631A2">
        <w:rPr>
          <w:lang w:val="fr-FR"/>
        </w:rPr>
        <w:t xml:space="preserve"> proc</w:t>
      </w:r>
      <w:r>
        <w:rPr>
          <w:lang w:val="fr-FR"/>
        </w:rPr>
        <w:t>édure électronique de prise de</w:t>
      </w:r>
      <w:r w:rsidRPr="00D631A2">
        <w:rPr>
          <w:lang w:val="fr-FR"/>
        </w:rPr>
        <w:t xml:space="preserve"> </w:t>
      </w:r>
      <w:r>
        <w:rPr>
          <w:lang w:val="fr-FR"/>
        </w:rPr>
        <w:t>décision</w:t>
      </w:r>
      <w:r w:rsidR="00803B94">
        <w:rPr>
          <w:lang w:val="fr-FR"/>
        </w:rPr>
        <w:t xml:space="preserve">s </w:t>
      </w:r>
      <w:r w:rsidRPr="00D631A2">
        <w:rPr>
          <w:lang w:val="fr-FR"/>
        </w:rPr>
        <w:t xml:space="preserve">entre les réunions, le Président peut décider de reporter </w:t>
      </w:r>
      <w:r>
        <w:rPr>
          <w:lang w:val="fr-FR"/>
        </w:rPr>
        <w:t>la prise de décision</w:t>
      </w:r>
      <w:r w:rsidR="00803B94">
        <w:rPr>
          <w:lang w:val="fr-FR"/>
        </w:rPr>
        <w:t xml:space="preserve">s </w:t>
      </w:r>
      <w:r w:rsidRPr="00D631A2">
        <w:rPr>
          <w:lang w:val="fr-FR"/>
        </w:rPr>
        <w:t>à la session ordinaire suivante.</w:t>
      </w:r>
    </w:p>
    <w:p w14:paraId="1E111001" w14:textId="6D267225" w:rsidR="005F26E5" w:rsidRDefault="004441FB" w:rsidP="0064411E">
      <w:pPr>
        <w:pStyle w:val="SingleTxtG"/>
        <w:ind w:left="2268"/>
        <w:rPr>
          <w:lang w:val="fr-FR"/>
        </w:rPr>
      </w:pPr>
      <w:r w:rsidRPr="0064411E">
        <w:rPr>
          <w:lang w:val="fr-FR"/>
        </w:rPr>
        <w:t>4.</w:t>
      </w:r>
      <w:r w:rsidRPr="0064411E">
        <w:rPr>
          <w:lang w:val="fr-FR"/>
        </w:rPr>
        <w:tab/>
        <w:t>Les décisions prises par des moyens électroniques de communication se conforment à l’article 18 du présent Règlement intérieur du Comité. Toute décision</w:t>
      </w:r>
      <w:r w:rsidR="00803B94">
        <w:rPr>
          <w:lang w:val="fr-FR"/>
        </w:rPr>
        <w:t xml:space="preserve"> </w:t>
      </w:r>
      <w:r w:rsidRPr="0064411E">
        <w:rPr>
          <w:lang w:val="fr-FR"/>
        </w:rPr>
        <w:t>prise par des moyens électroniques de communication entre deux réunions ordinaires est consignée dans le rapport de la réunion du Comité suivant la prise de décision</w:t>
      </w:r>
      <w:r w:rsidR="0064411E">
        <w:rPr>
          <w:lang w:val="fr-FR"/>
        </w:rPr>
        <w:t>s</w:t>
      </w:r>
      <w:r w:rsidRPr="0064411E">
        <w:rPr>
          <w:lang w:val="fr-FR"/>
        </w:rPr>
        <w:t>.</w:t>
      </w:r>
    </w:p>
    <w:p w14:paraId="29E3F706" w14:textId="29885AA7" w:rsidR="0064411E" w:rsidRPr="0064411E" w:rsidRDefault="0064411E" w:rsidP="0064411E">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4411E" w:rsidRPr="0064411E" w:rsidSect="004441F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9B74" w14:textId="77777777" w:rsidR="004166F3" w:rsidRDefault="004166F3" w:rsidP="00F95C08">
      <w:pPr>
        <w:spacing w:line="240" w:lineRule="auto"/>
      </w:pPr>
    </w:p>
  </w:endnote>
  <w:endnote w:type="continuationSeparator" w:id="0">
    <w:p w14:paraId="565FE1C8" w14:textId="77777777" w:rsidR="004166F3" w:rsidRPr="00AC3823" w:rsidRDefault="004166F3" w:rsidP="00AC3823">
      <w:pPr>
        <w:pStyle w:val="Pieddepage"/>
      </w:pPr>
    </w:p>
  </w:endnote>
  <w:endnote w:type="continuationNotice" w:id="1">
    <w:p w14:paraId="4D98144F" w14:textId="77777777" w:rsidR="004166F3" w:rsidRDefault="004166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5314" w14:textId="1A021307" w:rsidR="004441FB" w:rsidRPr="004441FB" w:rsidRDefault="004441FB" w:rsidP="004441FB">
    <w:pPr>
      <w:pStyle w:val="Pieddepage"/>
      <w:tabs>
        <w:tab w:val="right" w:pos="9638"/>
      </w:tabs>
    </w:pPr>
    <w:r w:rsidRPr="004441FB">
      <w:rPr>
        <w:b/>
        <w:sz w:val="18"/>
      </w:rPr>
      <w:fldChar w:fldCharType="begin"/>
    </w:r>
    <w:r w:rsidRPr="004441FB">
      <w:rPr>
        <w:b/>
        <w:sz w:val="18"/>
      </w:rPr>
      <w:instrText xml:space="preserve"> PAGE  \* MERGEFORMAT </w:instrText>
    </w:r>
    <w:r w:rsidRPr="004441FB">
      <w:rPr>
        <w:b/>
        <w:sz w:val="18"/>
      </w:rPr>
      <w:fldChar w:fldCharType="separate"/>
    </w:r>
    <w:r w:rsidRPr="004441FB">
      <w:rPr>
        <w:b/>
        <w:noProof/>
        <w:sz w:val="18"/>
      </w:rPr>
      <w:t>2</w:t>
    </w:r>
    <w:r w:rsidRPr="004441FB">
      <w:rPr>
        <w:b/>
        <w:sz w:val="18"/>
      </w:rPr>
      <w:fldChar w:fldCharType="end"/>
    </w:r>
    <w:r>
      <w:rPr>
        <w:b/>
        <w:sz w:val="18"/>
      </w:rPr>
      <w:tab/>
    </w:r>
    <w:r>
      <w:t>GE.23-18948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A477" w14:textId="45D0103C" w:rsidR="004441FB" w:rsidRPr="004441FB" w:rsidRDefault="004441FB" w:rsidP="004441FB">
    <w:pPr>
      <w:pStyle w:val="Pieddepage"/>
      <w:tabs>
        <w:tab w:val="right" w:pos="9638"/>
      </w:tabs>
      <w:rPr>
        <w:b/>
        <w:sz w:val="18"/>
      </w:rPr>
    </w:pPr>
    <w:r>
      <w:t>GE.23-18948</w:t>
    </w:r>
    <w:r>
      <w:tab/>
    </w:r>
    <w:r w:rsidRPr="004441FB">
      <w:rPr>
        <w:b/>
        <w:sz w:val="18"/>
      </w:rPr>
      <w:fldChar w:fldCharType="begin"/>
    </w:r>
    <w:r w:rsidRPr="004441FB">
      <w:rPr>
        <w:b/>
        <w:sz w:val="18"/>
      </w:rPr>
      <w:instrText xml:space="preserve"> PAGE  \* MERGEFORMAT </w:instrText>
    </w:r>
    <w:r w:rsidRPr="004441FB">
      <w:rPr>
        <w:b/>
        <w:sz w:val="18"/>
      </w:rPr>
      <w:fldChar w:fldCharType="separate"/>
    </w:r>
    <w:r w:rsidRPr="004441FB">
      <w:rPr>
        <w:b/>
        <w:noProof/>
        <w:sz w:val="18"/>
      </w:rPr>
      <w:t>3</w:t>
    </w:r>
    <w:r w:rsidRPr="004441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1552" w14:textId="140D4E1C" w:rsidR="00A14420" w:rsidRPr="004441FB" w:rsidRDefault="004441FB" w:rsidP="004441FB">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779CB2B0" wp14:editId="4796B95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23-18948  (F)</w:t>
    </w:r>
    <w:r>
      <w:rPr>
        <w:noProof/>
        <w:sz w:val="20"/>
      </w:rPr>
      <w:drawing>
        <wp:anchor distT="0" distB="0" distL="114300" distR="114300" simplePos="0" relativeHeight="251660288" behindDoc="0" locked="0" layoutInCell="1" allowOverlap="1" wp14:anchorId="6560D7F4" wp14:editId="41CBE02D">
          <wp:simplePos x="0" y="0"/>
          <wp:positionH relativeFrom="margin">
            <wp:posOffset>5489575</wp:posOffset>
          </wp:positionH>
          <wp:positionV relativeFrom="margin">
            <wp:posOffset>8891905</wp:posOffset>
          </wp:positionV>
          <wp:extent cx="561975" cy="561975"/>
          <wp:effectExtent l="0" t="0" r="9525" b="9525"/>
          <wp:wrapNone/>
          <wp:docPr id="4495930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DF6">
      <w:rPr>
        <w:sz w:val="20"/>
      </w:rPr>
      <w:t xml:space="preserve">    191023    201023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CA4B" w14:textId="77777777" w:rsidR="004166F3" w:rsidRPr="00AC3823" w:rsidRDefault="004166F3" w:rsidP="00AC3823">
      <w:pPr>
        <w:pStyle w:val="Pieddepage"/>
        <w:tabs>
          <w:tab w:val="right" w:pos="2155"/>
        </w:tabs>
        <w:spacing w:after="80" w:line="240" w:lineRule="atLeast"/>
        <w:ind w:left="680"/>
        <w:rPr>
          <w:u w:val="single"/>
        </w:rPr>
      </w:pPr>
      <w:r>
        <w:rPr>
          <w:u w:val="single"/>
        </w:rPr>
        <w:tab/>
      </w:r>
    </w:p>
  </w:footnote>
  <w:footnote w:type="continuationSeparator" w:id="0">
    <w:p w14:paraId="24B54ED8" w14:textId="77777777" w:rsidR="004166F3" w:rsidRPr="00AC3823" w:rsidRDefault="004166F3" w:rsidP="00AC3823">
      <w:pPr>
        <w:pStyle w:val="Pieddepage"/>
        <w:tabs>
          <w:tab w:val="right" w:pos="2155"/>
        </w:tabs>
        <w:spacing w:after="80" w:line="240" w:lineRule="atLeast"/>
        <w:ind w:left="680"/>
        <w:rPr>
          <w:u w:val="single"/>
        </w:rPr>
      </w:pPr>
      <w:r>
        <w:rPr>
          <w:u w:val="single"/>
        </w:rPr>
        <w:tab/>
      </w:r>
    </w:p>
  </w:footnote>
  <w:footnote w:type="continuationNotice" w:id="1">
    <w:p w14:paraId="0B5C9133" w14:textId="77777777" w:rsidR="004166F3" w:rsidRPr="00AC3823" w:rsidRDefault="004166F3">
      <w:pPr>
        <w:spacing w:line="240" w:lineRule="auto"/>
        <w:rPr>
          <w:sz w:val="2"/>
          <w:szCs w:val="2"/>
        </w:rPr>
      </w:pPr>
    </w:p>
  </w:footnote>
  <w:footnote w:id="2">
    <w:p w14:paraId="681389B8" w14:textId="1B2BA480" w:rsidR="004441FB" w:rsidRPr="007204BF" w:rsidRDefault="004441FB" w:rsidP="004441FB">
      <w:pPr>
        <w:pStyle w:val="Notedebasdepage"/>
      </w:pPr>
      <w:r>
        <w:rPr>
          <w:lang w:val="fr-FR"/>
        </w:rPr>
        <w:tab/>
      </w:r>
      <w:r w:rsidRPr="00400D0A">
        <w:rPr>
          <w:rStyle w:val="Appelnotedebasdep"/>
        </w:rPr>
        <w:footnoteRef/>
      </w:r>
      <w:r>
        <w:rPr>
          <w:lang w:val="fr-FR"/>
        </w:rPr>
        <w:tab/>
        <w:t>Avec des services d'interprétation simultanée à distance si le secrétariat dispose des fonds et</w:t>
      </w:r>
      <w:r w:rsidR="00803B94">
        <w:rPr>
          <w:lang w:val="fr-FR"/>
        </w:rPr>
        <w:t> </w:t>
      </w:r>
      <w:r>
        <w:rPr>
          <w:lang w:val="fr-FR"/>
        </w:rPr>
        <w:t>du</w:t>
      </w:r>
      <w:r w:rsidR="00803B94">
        <w:rPr>
          <w:lang w:val="fr-FR"/>
        </w:rPr>
        <w:t> </w:t>
      </w:r>
      <w:r>
        <w:rPr>
          <w:lang w:val="fr-FR"/>
        </w:rPr>
        <w:t>personnel requis ou en anglais uniquement, s'il n'est pas nécessaire d'assurer un service d'interprétation entre l'anglais et le russe, ou si ce service n'est pas disponible.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C31" w14:textId="2F531295" w:rsidR="004441FB" w:rsidRPr="004441FB" w:rsidRDefault="004441FB">
    <w:pPr>
      <w:pStyle w:val="En-tte"/>
      <w:rPr>
        <w:lang w:val="es-ES"/>
      </w:rPr>
    </w:pPr>
    <w:r>
      <w:fldChar w:fldCharType="begin"/>
    </w:r>
    <w:r w:rsidRPr="004441FB">
      <w:rPr>
        <w:lang w:val="es-ES"/>
      </w:rPr>
      <w:instrText xml:space="preserve"> TITLE  \* MERGEFORMAT </w:instrText>
    </w:r>
    <w:r>
      <w:fldChar w:fldCharType="separate"/>
    </w:r>
    <w:r w:rsidR="007A7223">
      <w:rPr>
        <w:lang w:val="es-ES"/>
      </w:rPr>
      <w:t>ECE/MP.EIA/2023/5</w:t>
    </w:r>
    <w:r>
      <w:fldChar w:fldCharType="end"/>
    </w:r>
    <w:r w:rsidRPr="004441FB">
      <w:rPr>
        <w:lang w:val="es-ES"/>
      </w:rPr>
      <w:br/>
    </w:r>
    <w:r>
      <w:fldChar w:fldCharType="begin"/>
    </w:r>
    <w:r w:rsidRPr="004441FB">
      <w:rPr>
        <w:lang w:val="es-ES"/>
      </w:rPr>
      <w:instrText xml:space="preserve"> KEYWORDS  \* MERGEFORMAT </w:instrText>
    </w:r>
    <w:r>
      <w:fldChar w:fldCharType="separate"/>
    </w:r>
    <w:r w:rsidR="007A7223">
      <w:rPr>
        <w:lang w:val="es-ES"/>
      </w:rPr>
      <w:t>ECE/MP.EIA/SEA/2023/5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2C72" w14:textId="4F4595DC" w:rsidR="004441FB" w:rsidRPr="004441FB" w:rsidRDefault="004441FB" w:rsidP="004441FB">
    <w:pPr>
      <w:pStyle w:val="En-tte"/>
      <w:jc w:val="right"/>
      <w:rPr>
        <w:lang w:val="es-ES"/>
      </w:rPr>
    </w:pPr>
    <w:r>
      <w:fldChar w:fldCharType="begin"/>
    </w:r>
    <w:r w:rsidRPr="004441FB">
      <w:rPr>
        <w:lang w:val="es-ES"/>
      </w:rPr>
      <w:instrText xml:space="preserve"> TITLE  \* MERGEFORMAT </w:instrText>
    </w:r>
    <w:r>
      <w:fldChar w:fldCharType="separate"/>
    </w:r>
    <w:r w:rsidR="007A7223">
      <w:rPr>
        <w:lang w:val="es-ES"/>
      </w:rPr>
      <w:t>ECE/MP.EIA/2023/5</w:t>
    </w:r>
    <w:r>
      <w:fldChar w:fldCharType="end"/>
    </w:r>
    <w:r w:rsidRPr="004441FB">
      <w:rPr>
        <w:lang w:val="es-ES"/>
      </w:rPr>
      <w:br/>
    </w:r>
    <w:r>
      <w:fldChar w:fldCharType="begin"/>
    </w:r>
    <w:r w:rsidRPr="004441FB">
      <w:rPr>
        <w:lang w:val="es-ES"/>
      </w:rPr>
      <w:instrText xml:space="preserve"> KEYWORDS  \* MERGEFORMAT </w:instrText>
    </w:r>
    <w:r>
      <w:fldChar w:fldCharType="separate"/>
    </w:r>
    <w:r w:rsidR="007A7223">
      <w:rPr>
        <w:lang w:val="es-ES"/>
      </w:rPr>
      <w:t>ECE/MP.EIA/SEA/2023/5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84597583">
    <w:abstractNumId w:val="12"/>
  </w:num>
  <w:num w:numId="2" w16cid:durableId="734594302">
    <w:abstractNumId w:val="11"/>
  </w:num>
  <w:num w:numId="3" w16cid:durableId="98985797">
    <w:abstractNumId w:val="10"/>
  </w:num>
  <w:num w:numId="4" w16cid:durableId="847519437">
    <w:abstractNumId w:val="8"/>
  </w:num>
  <w:num w:numId="5" w16cid:durableId="1281497249">
    <w:abstractNumId w:val="3"/>
  </w:num>
  <w:num w:numId="6" w16cid:durableId="1264612329">
    <w:abstractNumId w:val="2"/>
  </w:num>
  <w:num w:numId="7" w16cid:durableId="1111439574">
    <w:abstractNumId w:val="1"/>
  </w:num>
  <w:num w:numId="8" w16cid:durableId="1312371849">
    <w:abstractNumId w:val="0"/>
  </w:num>
  <w:num w:numId="9" w16cid:durableId="1736123856">
    <w:abstractNumId w:val="9"/>
  </w:num>
  <w:num w:numId="10" w16cid:durableId="383875502">
    <w:abstractNumId w:val="7"/>
  </w:num>
  <w:num w:numId="11" w16cid:durableId="900018082">
    <w:abstractNumId w:val="6"/>
  </w:num>
  <w:num w:numId="12" w16cid:durableId="2138185228">
    <w:abstractNumId w:val="5"/>
  </w:num>
  <w:num w:numId="13" w16cid:durableId="22946637">
    <w:abstractNumId w:val="4"/>
  </w:num>
  <w:num w:numId="14" w16cid:durableId="909996599">
    <w:abstractNumId w:val="12"/>
  </w:num>
  <w:num w:numId="15" w16cid:durableId="1607999453">
    <w:abstractNumId w:val="11"/>
  </w:num>
  <w:num w:numId="16" w16cid:durableId="1046144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F3"/>
    <w:rsid w:val="00017F94"/>
    <w:rsid w:val="00023842"/>
    <w:rsid w:val="00031189"/>
    <w:rsid w:val="000334F9"/>
    <w:rsid w:val="000720D4"/>
    <w:rsid w:val="0007796D"/>
    <w:rsid w:val="000B7790"/>
    <w:rsid w:val="00111F2F"/>
    <w:rsid w:val="0014365E"/>
    <w:rsid w:val="00176178"/>
    <w:rsid w:val="001F525A"/>
    <w:rsid w:val="00223272"/>
    <w:rsid w:val="0024779E"/>
    <w:rsid w:val="002832AC"/>
    <w:rsid w:val="002B40F9"/>
    <w:rsid w:val="002D7C93"/>
    <w:rsid w:val="002E2986"/>
    <w:rsid w:val="003633C5"/>
    <w:rsid w:val="004166F3"/>
    <w:rsid w:val="00441C3B"/>
    <w:rsid w:val="004441FB"/>
    <w:rsid w:val="00446FE5"/>
    <w:rsid w:val="00452396"/>
    <w:rsid w:val="004A1DF6"/>
    <w:rsid w:val="004E468C"/>
    <w:rsid w:val="005505B7"/>
    <w:rsid w:val="00573BE5"/>
    <w:rsid w:val="00586ED3"/>
    <w:rsid w:val="00596AA9"/>
    <w:rsid w:val="005D01E6"/>
    <w:rsid w:val="005D6D16"/>
    <w:rsid w:val="005F26E5"/>
    <w:rsid w:val="0064411E"/>
    <w:rsid w:val="006C0E3B"/>
    <w:rsid w:val="0071601D"/>
    <w:rsid w:val="007A5FC4"/>
    <w:rsid w:val="007A62E6"/>
    <w:rsid w:val="007A7223"/>
    <w:rsid w:val="00803B94"/>
    <w:rsid w:val="0080684C"/>
    <w:rsid w:val="00864975"/>
    <w:rsid w:val="00871C75"/>
    <w:rsid w:val="008776DC"/>
    <w:rsid w:val="008D6B3F"/>
    <w:rsid w:val="0090540F"/>
    <w:rsid w:val="009705C8"/>
    <w:rsid w:val="009C1CF4"/>
    <w:rsid w:val="00A14420"/>
    <w:rsid w:val="00A30353"/>
    <w:rsid w:val="00AB7EED"/>
    <w:rsid w:val="00AC3823"/>
    <w:rsid w:val="00AE323C"/>
    <w:rsid w:val="00B00181"/>
    <w:rsid w:val="00B00B0D"/>
    <w:rsid w:val="00B61815"/>
    <w:rsid w:val="00B765F7"/>
    <w:rsid w:val="00B970FE"/>
    <w:rsid w:val="00BA0CA9"/>
    <w:rsid w:val="00C02897"/>
    <w:rsid w:val="00C554CE"/>
    <w:rsid w:val="00CE26D2"/>
    <w:rsid w:val="00D3439C"/>
    <w:rsid w:val="00D503D3"/>
    <w:rsid w:val="00DB1831"/>
    <w:rsid w:val="00DD3BFD"/>
    <w:rsid w:val="00DF5712"/>
    <w:rsid w:val="00DF6678"/>
    <w:rsid w:val="00E809EF"/>
    <w:rsid w:val="00E96BD6"/>
    <w:rsid w:val="00ED5F56"/>
    <w:rsid w:val="00EE22F9"/>
    <w:rsid w:val="00EF2E22"/>
    <w:rsid w:val="00F274A2"/>
    <w:rsid w:val="00F660DF"/>
    <w:rsid w:val="00F95C08"/>
    <w:rsid w:val="00FB7A4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739DA"/>
  <w15:docId w15:val="{0E879FFF-4040-4D89-9B42-E353521B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styleId="Mentionnonrsolue">
    <w:name w:val="Unresolved Mention"/>
    <w:basedOn w:val="Policepardfaut"/>
    <w:uiPriority w:val="99"/>
    <w:semiHidden/>
    <w:unhideWhenUsed/>
    <w:rsid w:val="00444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environment-policy/environmental-assessment/decisions-taken-meetings-parti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B9A0E-8F65-4E46-83C5-6B52D8E94DB8}"/>
</file>

<file path=customXml/itemProps2.xml><?xml version="1.0" encoding="utf-8"?>
<ds:datastoreItem xmlns:ds="http://schemas.openxmlformats.org/officeDocument/2006/customXml" ds:itemID="{35306346-BC05-4F02-8483-E32C320CD28B}"/>
</file>

<file path=docProps/app.xml><?xml version="1.0" encoding="utf-8"?>
<Properties xmlns="http://schemas.openxmlformats.org/officeDocument/2006/extended-properties" xmlns:vt="http://schemas.openxmlformats.org/officeDocument/2006/docPropsVTypes">
  <Template>ECE_MP.dotm</Template>
  <TotalTime>1</TotalTime>
  <Pages>6</Pages>
  <Words>2305</Words>
  <Characters>15335</Characters>
  <Application>Microsoft Office Word</Application>
  <DocSecurity>0</DocSecurity>
  <Lines>902</Lines>
  <Paragraphs>452</Paragraphs>
  <ScaleCrop>false</ScaleCrop>
  <HeadingPairs>
    <vt:vector size="2" baseType="variant">
      <vt:variant>
        <vt:lpstr>Titre</vt:lpstr>
      </vt:variant>
      <vt:variant>
        <vt:i4>1</vt:i4>
      </vt:variant>
    </vt:vector>
  </HeadingPairs>
  <TitlesOfParts>
    <vt:vector size="1" baseType="lpstr">
      <vt:lpstr>ECE/MP.EIA/2023/5</vt:lpstr>
    </vt:vector>
  </TitlesOfParts>
  <Company>DCM</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ECE/MP.EIA/2023/5</dc:title>
  <dc:creator>Estelle-Delphine DITTA</dc:creator>
  <cp:keywords>ECE/MP.EIA/SEA/2023/5</cp:keywords>
  <cp:lastModifiedBy>Estelle-Delphine DITTA</cp:lastModifiedBy>
  <cp:revision>3</cp:revision>
  <cp:lastPrinted>2023-10-20T12:12:00Z</cp:lastPrinted>
  <dcterms:created xsi:type="dcterms:W3CDTF">2023-10-20T12:12:00Z</dcterms:created>
  <dcterms:modified xsi:type="dcterms:W3CDTF">2023-10-20T12:13:00Z</dcterms:modified>
</cp:coreProperties>
</file>