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30E71" w14:paraId="19479E27" w14:textId="77777777" w:rsidTr="00DF5712">
        <w:trPr>
          <w:trHeight w:hRule="exact" w:val="851"/>
        </w:trPr>
        <w:tc>
          <w:tcPr>
            <w:tcW w:w="1276" w:type="dxa"/>
            <w:tcBorders>
              <w:bottom w:val="single" w:sz="4" w:space="0" w:color="auto"/>
            </w:tcBorders>
          </w:tcPr>
          <w:p w14:paraId="7588A045" w14:textId="77777777" w:rsidR="00A14420" w:rsidRPr="00DB58B5" w:rsidRDefault="00A14420" w:rsidP="002344A6"/>
        </w:tc>
        <w:tc>
          <w:tcPr>
            <w:tcW w:w="2268" w:type="dxa"/>
            <w:tcBorders>
              <w:bottom w:val="single" w:sz="4" w:space="0" w:color="auto"/>
            </w:tcBorders>
            <w:vAlign w:val="bottom"/>
          </w:tcPr>
          <w:p w14:paraId="1579739A"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F548A39" w14:textId="4AB91E8A" w:rsidR="002344A6" w:rsidRPr="002344A6" w:rsidRDefault="002344A6" w:rsidP="002344A6">
            <w:pPr>
              <w:jc w:val="right"/>
              <w:rPr>
                <w:lang w:val="es-ES"/>
              </w:rPr>
            </w:pPr>
            <w:r w:rsidRPr="002344A6">
              <w:rPr>
                <w:sz w:val="40"/>
                <w:lang w:val="es-ES"/>
              </w:rPr>
              <w:t>ECE</w:t>
            </w:r>
            <w:r w:rsidRPr="002344A6">
              <w:rPr>
                <w:lang w:val="es-ES"/>
              </w:rPr>
              <w:t>/MP.EIA/2023/4−</w:t>
            </w:r>
            <w:r w:rsidRPr="002344A6">
              <w:rPr>
                <w:sz w:val="40"/>
                <w:lang w:val="es-ES"/>
              </w:rPr>
              <w:t>ECE</w:t>
            </w:r>
            <w:r w:rsidRPr="002344A6">
              <w:rPr>
                <w:lang w:val="es-ES"/>
              </w:rPr>
              <w:t>/MP.EIA/SEA/2023/4</w:t>
            </w:r>
          </w:p>
        </w:tc>
      </w:tr>
      <w:tr w:rsidR="00A14420" w:rsidRPr="00DB58B5" w14:paraId="70E2DC5F" w14:textId="77777777" w:rsidTr="00DF5712">
        <w:trPr>
          <w:trHeight w:hRule="exact" w:val="2835"/>
        </w:trPr>
        <w:tc>
          <w:tcPr>
            <w:tcW w:w="1276" w:type="dxa"/>
            <w:tcBorders>
              <w:top w:val="single" w:sz="4" w:space="0" w:color="auto"/>
              <w:bottom w:val="single" w:sz="12" w:space="0" w:color="auto"/>
            </w:tcBorders>
          </w:tcPr>
          <w:p w14:paraId="6B8AF1F1" w14:textId="77777777" w:rsidR="00A14420" w:rsidRPr="00DB58B5" w:rsidRDefault="00A14420" w:rsidP="00DF5712">
            <w:pPr>
              <w:spacing w:before="120"/>
              <w:jc w:val="center"/>
            </w:pPr>
            <w:r>
              <w:rPr>
                <w:noProof/>
                <w:lang w:eastAsia="fr-CH"/>
              </w:rPr>
              <w:drawing>
                <wp:inline distT="0" distB="0" distL="0" distR="0" wp14:anchorId="110B4097" wp14:editId="77B98E5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C709818"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73EA3D3" w14:textId="77777777" w:rsidR="00A14420" w:rsidRDefault="002344A6" w:rsidP="00DF5712">
            <w:pPr>
              <w:spacing w:before="240"/>
            </w:pPr>
            <w:proofErr w:type="spellStart"/>
            <w:r>
              <w:t>Distr</w:t>
            </w:r>
            <w:proofErr w:type="spellEnd"/>
            <w:r>
              <w:t>. générale</w:t>
            </w:r>
          </w:p>
          <w:p w14:paraId="665E2203" w14:textId="77777777" w:rsidR="002344A6" w:rsidRDefault="002344A6" w:rsidP="002344A6">
            <w:pPr>
              <w:spacing w:line="240" w:lineRule="exact"/>
            </w:pPr>
            <w:r>
              <w:t>3 octobre 2023</w:t>
            </w:r>
          </w:p>
          <w:p w14:paraId="72E04B8B" w14:textId="77777777" w:rsidR="002344A6" w:rsidRDefault="002344A6" w:rsidP="002344A6">
            <w:pPr>
              <w:spacing w:line="240" w:lineRule="exact"/>
            </w:pPr>
            <w:r>
              <w:t>Français</w:t>
            </w:r>
          </w:p>
          <w:p w14:paraId="1687C024" w14:textId="0E7451A1" w:rsidR="002344A6" w:rsidRPr="00DB58B5" w:rsidRDefault="002344A6" w:rsidP="002344A6">
            <w:pPr>
              <w:spacing w:line="240" w:lineRule="exact"/>
            </w:pPr>
            <w:r>
              <w:t>Original</w:t>
            </w:r>
            <w:r w:rsidR="006574E7">
              <w:t> :</w:t>
            </w:r>
            <w:r>
              <w:t xml:space="preserve"> anglais</w:t>
            </w:r>
          </w:p>
        </w:tc>
      </w:tr>
    </w:tbl>
    <w:p w14:paraId="4A2D2AA9" w14:textId="77777777" w:rsidR="00C554CE" w:rsidRDefault="00C554CE" w:rsidP="00C554CE">
      <w:pPr>
        <w:spacing w:before="120"/>
        <w:rPr>
          <w:b/>
          <w:sz w:val="28"/>
          <w:szCs w:val="28"/>
        </w:rPr>
      </w:pPr>
      <w:r w:rsidRPr="000312C0">
        <w:rPr>
          <w:b/>
          <w:sz w:val="28"/>
          <w:szCs w:val="28"/>
        </w:rPr>
        <w:t>Commission économique pour l’Europe</w:t>
      </w:r>
    </w:p>
    <w:p w14:paraId="61D019A4" w14:textId="23442A70" w:rsidR="002344A6" w:rsidRPr="006574E7" w:rsidRDefault="002344A6" w:rsidP="002344A6">
      <w:pPr>
        <w:spacing w:before="120"/>
        <w:rPr>
          <w:bCs/>
          <w:color w:val="000000"/>
          <w:sz w:val="28"/>
          <w:szCs w:val="28"/>
        </w:rPr>
      </w:pPr>
      <w:r w:rsidRPr="006574E7">
        <w:rPr>
          <w:sz w:val="28"/>
          <w:szCs w:val="28"/>
          <w:lang w:val="fr-FR"/>
        </w:rPr>
        <w:t xml:space="preserve">Réunion des Parties à la Convention sur </w:t>
      </w:r>
      <w:r w:rsidR="006574E7">
        <w:rPr>
          <w:sz w:val="28"/>
          <w:szCs w:val="28"/>
          <w:lang w:val="fr-FR"/>
        </w:rPr>
        <w:br/>
      </w:r>
      <w:r w:rsidRPr="006574E7">
        <w:rPr>
          <w:sz w:val="28"/>
          <w:szCs w:val="28"/>
          <w:lang w:val="fr-FR"/>
        </w:rPr>
        <w:t xml:space="preserve">l’évaluation de l’impact sur l’environnement </w:t>
      </w:r>
      <w:r w:rsidR="006574E7">
        <w:rPr>
          <w:sz w:val="28"/>
          <w:szCs w:val="28"/>
          <w:lang w:val="fr-FR"/>
        </w:rPr>
        <w:br/>
      </w:r>
      <w:r w:rsidRPr="006574E7">
        <w:rPr>
          <w:sz w:val="28"/>
          <w:szCs w:val="28"/>
          <w:lang w:val="fr-FR"/>
        </w:rPr>
        <w:t>dans un contexte transfrontière</w:t>
      </w:r>
    </w:p>
    <w:p w14:paraId="07748D36" w14:textId="77777777" w:rsidR="002344A6" w:rsidRPr="006574E7" w:rsidRDefault="002344A6" w:rsidP="002344A6">
      <w:pPr>
        <w:spacing w:before="120"/>
        <w:rPr>
          <w:b/>
          <w:color w:val="000000"/>
        </w:rPr>
      </w:pPr>
      <w:r w:rsidRPr="006574E7">
        <w:rPr>
          <w:b/>
          <w:bCs/>
          <w:lang w:val="fr-FR"/>
        </w:rPr>
        <w:t>Neuvième session</w:t>
      </w:r>
    </w:p>
    <w:p w14:paraId="1D5A01EC" w14:textId="1C045C90" w:rsidR="002344A6" w:rsidRPr="006574E7" w:rsidRDefault="002344A6" w:rsidP="002344A6">
      <w:pPr>
        <w:spacing w:before="120"/>
        <w:rPr>
          <w:sz w:val="28"/>
          <w:szCs w:val="28"/>
          <w:lang w:val="fr-FR"/>
        </w:rPr>
      </w:pPr>
      <w:r w:rsidRPr="006574E7">
        <w:rPr>
          <w:sz w:val="28"/>
          <w:szCs w:val="28"/>
          <w:lang w:val="fr-FR"/>
        </w:rPr>
        <w:t xml:space="preserve">Réunion des Parties à la Convention sur </w:t>
      </w:r>
      <w:r w:rsidR="006574E7">
        <w:rPr>
          <w:sz w:val="28"/>
          <w:szCs w:val="28"/>
          <w:lang w:val="fr-FR"/>
        </w:rPr>
        <w:br/>
      </w:r>
      <w:r w:rsidRPr="006574E7">
        <w:rPr>
          <w:sz w:val="28"/>
          <w:szCs w:val="28"/>
          <w:lang w:val="fr-FR"/>
        </w:rPr>
        <w:t xml:space="preserve">l’évaluation de l’impact sur l’environnement </w:t>
      </w:r>
      <w:r w:rsidR="006574E7">
        <w:rPr>
          <w:sz w:val="28"/>
          <w:szCs w:val="28"/>
          <w:lang w:val="fr-FR"/>
        </w:rPr>
        <w:br/>
      </w:r>
      <w:r w:rsidRPr="006574E7">
        <w:rPr>
          <w:sz w:val="28"/>
          <w:szCs w:val="28"/>
          <w:lang w:val="fr-FR"/>
        </w:rPr>
        <w:t xml:space="preserve">dans un contexte transfrontière agissant comme </w:t>
      </w:r>
      <w:r w:rsidR="006574E7">
        <w:rPr>
          <w:sz w:val="28"/>
          <w:szCs w:val="28"/>
          <w:lang w:val="fr-FR"/>
        </w:rPr>
        <w:br/>
      </w:r>
      <w:r w:rsidRPr="006574E7">
        <w:rPr>
          <w:sz w:val="28"/>
          <w:szCs w:val="28"/>
          <w:lang w:val="fr-FR"/>
        </w:rPr>
        <w:t xml:space="preserve">réunion des Parties au Protocole relatif </w:t>
      </w:r>
      <w:r w:rsidR="006574E7">
        <w:rPr>
          <w:sz w:val="28"/>
          <w:szCs w:val="28"/>
          <w:lang w:val="fr-FR"/>
        </w:rPr>
        <w:br/>
      </w:r>
      <w:r w:rsidRPr="006574E7">
        <w:rPr>
          <w:sz w:val="28"/>
          <w:szCs w:val="28"/>
          <w:lang w:val="fr-FR"/>
        </w:rPr>
        <w:t>à l’évaluation stratégique environnementale</w:t>
      </w:r>
    </w:p>
    <w:p w14:paraId="21088225" w14:textId="77777777" w:rsidR="002344A6" w:rsidRPr="006574E7" w:rsidRDefault="002344A6" w:rsidP="002344A6">
      <w:pPr>
        <w:spacing w:before="120"/>
        <w:rPr>
          <w:b/>
          <w:color w:val="000000"/>
        </w:rPr>
      </w:pPr>
      <w:r w:rsidRPr="006574E7">
        <w:rPr>
          <w:b/>
          <w:bCs/>
          <w:lang w:val="fr-FR"/>
        </w:rPr>
        <w:t>Cinquième session</w:t>
      </w:r>
    </w:p>
    <w:p w14:paraId="5E757CE3" w14:textId="77777777" w:rsidR="002344A6" w:rsidRPr="00903D68" w:rsidRDefault="002344A6" w:rsidP="002344A6">
      <w:pPr>
        <w:spacing w:before="100" w:line="240" w:lineRule="auto"/>
      </w:pPr>
      <w:r>
        <w:rPr>
          <w:lang w:val="fr-FR"/>
        </w:rPr>
        <w:t>Genève, 12-15 décembre 2023</w:t>
      </w:r>
    </w:p>
    <w:p w14:paraId="5C44FA30" w14:textId="77777777" w:rsidR="002344A6" w:rsidRPr="00903D68" w:rsidRDefault="002344A6" w:rsidP="002344A6">
      <w:r>
        <w:rPr>
          <w:lang w:val="fr-FR"/>
        </w:rPr>
        <w:t>Points 3 a) et 8 a) de l’ordre du jour provisoire</w:t>
      </w:r>
    </w:p>
    <w:p w14:paraId="423EA1D9" w14:textId="77777777" w:rsidR="006574E7" w:rsidRDefault="002344A6" w:rsidP="002344A6">
      <w:pPr>
        <w:spacing w:before="120"/>
        <w:rPr>
          <w:b/>
          <w:bCs/>
          <w:lang w:val="fr-FR"/>
        </w:rPr>
      </w:pPr>
      <w:r>
        <w:rPr>
          <w:b/>
          <w:bCs/>
          <w:lang w:val="fr-FR"/>
        </w:rPr>
        <w:t>Questions en suspens</w:t>
      </w:r>
      <w:r w:rsidR="006574E7">
        <w:rPr>
          <w:b/>
          <w:bCs/>
          <w:lang w:val="fr-FR"/>
        </w:rPr>
        <w:t> :</w:t>
      </w:r>
      <w:r>
        <w:rPr>
          <w:b/>
          <w:bCs/>
          <w:lang w:val="fr-FR"/>
        </w:rPr>
        <w:t xml:space="preserve"> projets de décision conjointe</w:t>
      </w:r>
    </w:p>
    <w:p w14:paraId="516DCAF0" w14:textId="68FCB87E" w:rsidR="002344A6" w:rsidRPr="00903D68" w:rsidRDefault="002344A6" w:rsidP="006574E7">
      <w:pPr>
        <w:rPr>
          <w:b/>
          <w:bCs/>
        </w:rPr>
      </w:pPr>
      <w:r>
        <w:rPr>
          <w:b/>
          <w:bCs/>
          <w:lang w:val="fr-FR"/>
        </w:rPr>
        <w:t>Adoption des décisions</w:t>
      </w:r>
      <w:r w:rsidR="006574E7">
        <w:rPr>
          <w:b/>
          <w:bCs/>
          <w:lang w:val="fr-FR"/>
        </w:rPr>
        <w:t> :</w:t>
      </w:r>
      <w:r>
        <w:rPr>
          <w:b/>
          <w:bCs/>
          <w:lang w:val="fr-FR"/>
        </w:rPr>
        <w:t xml:space="preserve"> décisions à adopter conjointement</w:t>
      </w:r>
    </w:p>
    <w:p w14:paraId="7C0F2A1B" w14:textId="5A1E9AC7" w:rsidR="002344A6" w:rsidRPr="00903D68" w:rsidRDefault="002344A6" w:rsidP="00B5016B">
      <w:pPr>
        <w:pStyle w:val="HChG"/>
      </w:pPr>
      <w:r>
        <w:rPr>
          <w:lang w:val="fr-FR"/>
        </w:rPr>
        <w:tab/>
      </w:r>
      <w:r>
        <w:rPr>
          <w:lang w:val="fr-FR"/>
        </w:rPr>
        <w:tab/>
        <w:t xml:space="preserve">Projets de décisions </w:t>
      </w:r>
      <w:r w:rsidRPr="00B5016B">
        <w:t>concernant</w:t>
      </w:r>
      <w:r>
        <w:rPr>
          <w:lang w:val="fr-FR"/>
        </w:rPr>
        <w:t xml:space="preserve"> le respect des dispositions </w:t>
      </w:r>
      <w:r w:rsidR="006574E7">
        <w:rPr>
          <w:lang w:val="fr-FR"/>
        </w:rPr>
        <w:br/>
      </w:r>
      <w:r>
        <w:rPr>
          <w:lang w:val="fr-FR"/>
        </w:rPr>
        <w:t>de la Convention et du Protocole</w:t>
      </w:r>
    </w:p>
    <w:p w14:paraId="6CCF549A" w14:textId="77777777" w:rsidR="002344A6" w:rsidRDefault="002344A6" w:rsidP="00B5016B">
      <w:pPr>
        <w:pStyle w:val="H1G"/>
      </w:pPr>
      <w:r>
        <w:rPr>
          <w:lang w:val="fr-FR"/>
        </w:rPr>
        <w:tab/>
      </w:r>
      <w:r>
        <w:rPr>
          <w:lang w:val="fr-FR"/>
        </w:rPr>
        <w:tab/>
        <w:t>Propositions du Comité d’application</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5E0" w:firstRow="1" w:lastRow="1" w:firstColumn="1" w:lastColumn="1" w:noHBand="0" w:noVBand="1"/>
      </w:tblPr>
      <w:tblGrid>
        <w:gridCol w:w="9637"/>
      </w:tblGrid>
      <w:tr w:rsidR="002344A6" w14:paraId="7CA54A8D" w14:textId="77777777" w:rsidTr="001246AD">
        <w:trPr>
          <w:jc w:val="center"/>
        </w:trPr>
        <w:tc>
          <w:tcPr>
            <w:tcW w:w="9637" w:type="dxa"/>
            <w:shd w:val="clear" w:color="auto" w:fill="auto"/>
          </w:tcPr>
          <w:p w14:paraId="68ED8F74" w14:textId="77777777" w:rsidR="002344A6" w:rsidRPr="006574E7" w:rsidRDefault="002344A6" w:rsidP="001246AD">
            <w:pPr>
              <w:spacing w:before="240" w:after="120"/>
              <w:ind w:left="255"/>
              <w:rPr>
                <w:i/>
                <w:sz w:val="24"/>
                <w:szCs w:val="24"/>
              </w:rPr>
            </w:pPr>
            <w:r w:rsidRPr="006574E7">
              <w:rPr>
                <w:i/>
                <w:iCs/>
                <w:sz w:val="24"/>
                <w:szCs w:val="24"/>
                <w:lang w:val="fr-FR"/>
              </w:rPr>
              <w:t>Résumé</w:t>
            </w:r>
          </w:p>
        </w:tc>
      </w:tr>
      <w:tr w:rsidR="002344A6" w:rsidRPr="00903D68" w14:paraId="0CB548F1" w14:textId="77777777" w:rsidTr="001246AD">
        <w:trPr>
          <w:jc w:val="center"/>
        </w:trPr>
        <w:tc>
          <w:tcPr>
            <w:tcW w:w="9637" w:type="dxa"/>
            <w:shd w:val="clear" w:color="auto" w:fill="auto"/>
          </w:tcPr>
          <w:p w14:paraId="6C29F543" w14:textId="2F6D9D5E" w:rsidR="002344A6" w:rsidRPr="00903D68" w:rsidRDefault="002344A6" w:rsidP="006574E7">
            <w:pPr>
              <w:pStyle w:val="SingleTxtG"/>
              <w:ind w:firstLine="567"/>
            </w:pPr>
            <w:r>
              <w:rPr>
                <w:lang w:val="fr-FR"/>
              </w:rPr>
              <w:t xml:space="preserve">On trouvera dans le présent document </w:t>
            </w:r>
            <w:r w:rsidRPr="00CD15A6">
              <w:rPr>
                <w:lang w:val="fr-FR"/>
              </w:rPr>
              <w:t>une compilation</w:t>
            </w:r>
            <w:r>
              <w:rPr>
                <w:b/>
                <w:bCs/>
                <w:lang w:val="fr-FR"/>
              </w:rPr>
              <w:t xml:space="preserve"> </w:t>
            </w:r>
            <w:r>
              <w:rPr>
                <w:lang w:val="fr-FR"/>
              </w:rPr>
              <w:t xml:space="preserve">des projets de décision concernant le respect des dispositions de la </w:t>
            </w:r>
            <w:r w:rsidRPr="00F237F6">
              <w:rPr>
                <w:lang w:val="fr-FR"/>
              </w:rPr>
              <w:t>Convention sur l</w:t>
            </w:r>
            <w:r>
              <w:rPr>
                <w:lang w:val="fr-FR"/>
              </w:rPr>
              <w:t>’</w:t>
            </w:r>
            <w:r w:rsidRPr="00F237F6">
              <w:rPr>
                <w:lang w:val="fr-FR"/>
              </w:rPr>
              <w:t>évaluation de l</w:t>
            </w:r>
            <w:r>
              <w:rPr>
                <w:lang w:val="fr-FR"/>
              </w:rPr>
              <w:t>’</w:t>
            </w:r>
            <w:r w:rsidRPr="00F237F6">
              <w:rPr>
                <w:lang w:val="fr-FR"/>
              </w:rPr>
              <w:t>impact sur l</w:t>
            </w:r>
            <w:r>
              <w:rPr>
                <w:lang w:val="fr-FR"/>
              </w:rPr>
              <w:t>’</w:t>
            </w:r>
            <w:r w:rsidRPr="00F237F6">
              <w:rPr>
                <w:lang w:val="fr-FR"/>
              </w:rPr>
              <w:t>environnement dans un contexte transfrontière et de son Protocole relatif à l</w:t>
            </w:r>
            <w:r>
              <w:rPr>
                <w:lang w:val="fr-FR"/>
              </w:rPr>
              <w:t>’</w:t>
            </w:r>
            <w:r w:rsidRPr="00F237F6">
              <w:rPr>
                <w:lang w:val="fr-FR"/>
              </w:rPr>
              <w:t>évaluation stratégique environnementale</w:t>
            </w:r>
            <w:r>
              <w:rPr>
                <w:lang w:val="fr-FR"/>
              </w:rPr>
              <w:t>, dont les versions finales ont été établies par le Comité d’application de la Convention et du Protocole à sa cinquante-septième session (Genève, 29</w:t>
            </w:r>
            <w:r w:rsidR="00076AD3">
              <w:rPr>
                <w:lang w:val="fr-FR"/>
              </w:rPr>
              <w:t> </w:t>
            </w:r>
            <w:r>
              <w:rPr>
                <w:lang w:val="fr-FR"/>
              </w:rPr>
              <w:t>août</w:t>
            </w:r>
            <w:r w:rsidR="00076AD3">
              <w:rPr>
                <w:lang w:val="fr-FR"/>
              </w:rPr>
              <w:noBreakHyphen/>
            </w:r>
            <w:r>
              <w:rPr>
                <w:lang w:val="fr-FR"/>
              </w:rPr>
              <w:t>1</w:t>
            </w:r>
            <w:r w:rsidRPr="00F237F6">
              <w:rPr>
                <w:vertAlign w:val="superscript"/>
                <w:lang w:val="fr-FR"/>
              </w:rPr>
              <w:t>er</w:t>
            </w:r>
            <w:r w:rsidR="00076AD3">
              <w:rPr>
                <w:lang w:val="fr-FR"/>
              </w:rPr>
              <w:t> </w:t>
            </w:r>
            <w:r>
              <w:rPr>
                <w:lang w:val="fr-FR"/>
              </w:rPr>
              <w:t xml:space="preserve">septembre 2023), après avoir été soumises pour observation </w:t>
            </w:r>
            <w:r w:rsidRPr="00F237F6">
              <w:rPr>
                <w:lang w:val="fr-FR"/>
              </w:rPr>
              <w:t>au Groupe de travail de l</w:t>
            </w:r>
            <w:r>
              <w:rPr>
                <w:lang w:val="fr-FR"/>
              </w:rPr>
              <w:t>’</w:t>
            </w:r>
            <w:r w:rsidRPr="00F237F6">
              <w:rPr>
                <w:lang w:val="fr-FR"/>
              </w:rPr>
              <w:t>évaluation de l</w:t>
            </w:r>
            <w:r>
              <w:rPr>
                <w:lang w:val="fr-FR"/>
              </w:rPr>
              <w:t>’</w:t>
            </w:r>
            <w:r w:rsidRPr="00F237F6">
              <w:rPr>
                <w:lang w:val="fr-FR"/>
              </w:rPr>
              <w:t>impact sur l</w:t>
            </w:r>
            <w:r>
              <w:rPr>
                <w:lang w:val="fr-FR"/>
              </w:rPr>
              <w:t>’</w:t>
            </w:r>
            <w:r w:rsidRPr="00F237F6">
              <w:rPr>
                <w:lang w:val="fr-FR"/>
              </w:rPr>
              <w:t>environnement et de l</w:t>
            </w:r>
            <w:r>
              <w:rPr>
                <w:lang w:val="fr-FR"/>
              </w:rPr>
              <w:t>’</w:t>
            </w:r>
            <w:r w:rsidRPr="00F237F6">
              <w:rPr>
                <w:lang w:val="fr-FR"/>
              </w:rPr>
              <w:t>évaluation stratégique environnementale à sa douzième réunion</w:t>
            </w:r>
            <w:r>
              <w:rPr>
                <w:lang w:val="fr-FR"/>
              </w:rPr>
              <w:t xml:space="preserve"> (Genève, 13-15 juin 2023). </w:t>
            </w:r>
          </w:p>
          <w:p w14:paraId="20B2F6DD" w14:textId="5F02E9A7" w:rsidR="002344A6" w:rsidRPr="00903D68" w:rsidRDefault="002344A6" w:rsidP="00076AD3">
            <w:pPr>
              <w:pStyle w:val="SingleTxtG"/>
              <w:ind w:firstLine="567"/>
            </w:pPr>
            <w:r>
              <w:rPr>
                <w:lang w:val="fr-FR"/>
              </w:rPr>
              <w:t xml:space="preserve">Il est prévu que la Réunion des Parties à la Convention et la Réunion des Parties au Protocole </w:t>
            </w:r>
            <w:r w:rsidRPr="00DA1E2D">
              <w:rPr>
                <w:lang w:val="fr-FR"/>
              </w:rPr>
              <w:t>examine</w:t>
            </w:r>
            <w:r>
              <w:rPr>
                <w:lang w:val="fr-FR"/>
              </w:rPr>
              <w:t>nt</w:t>
            </w:r>
            <w:r w:rsidRPr="00DA1E2D">
              <w:rPr>
                <w:lang w:val="fr-FR"/>
              </w:rPr>
              <w:t xml:space="preserve"> ces projets de décision</w:t>
            </w:r>
            <w:r>
              <w:rPr>
                <w:i/>
                <w:iCs/>
                <w:lang w:val="fr-FR"/>
              </w:rPr>
              <w:t xml:space="preserve"> </w:t>
            </w:r>
            <w:r>
              <w:rPr>
                <w:lang w:val="fr-FR"/>
              </w:rPr>
              <w:t>et décident de leur adoption.</w:t>
            </w:r>
          </w:p>
        </w:tc>
      </w:tr>
      <w:tr w:rsidR="002344A6" w:rsidRPr="00903D68" w14:paraId="4241FF3E" w14:textId="77777777" w:rsidTr="001246AD">
        <w:trPr>
          <w:jc w:val="center"/>
        </w:trPr>
        <w:tc>
          <w:tcPr>
            <w:tcW w:w="9637" w:type="dxa"/>
            <w:shd w:val="clear" w:color="auto" w:fill="auto"/>
          </w:tcPr>
          <w:p w14:paraId="21BBF20F" w14:textId="77777777" w:rsidR="002344A6" w:rsidRPr="00903D68" w:rsidRDefault="002344A6" w:rsidP="001246AD"/>
        </w:tc>
      </w:tr>
    </w:tbl>
    <w:p w14:paraId="3B726DE1" w14:textId="77777777" w:rsidR="002344A6" w:rsidRPr="00903D68" w:rsidRDefault="002344A6" w:rsidP="002344A6">
      <w:pPr>
        <w:spacing w:before="120"/>
      </w:pPr>
      <w:r w:rsidRPr="00903D68">
        <w:br w:type="page"/>
      </w:r>
    </w:p>
    <w:p w14:paraId="2FEE312C" w14:textId="6A5E0702" w:rsidR="002344A6" w:rsidRPr="00903D68" w:rsidRDefault="002344A6" w:rsidP="00076AD3">
      <w:pPr>
        <w:pStyle w:val="HChG"/>
        <w:spacing w:before="340" w:after="220" w:line="290" w:lineRule="exact"/>
        <w:rPr>
          <w:rFonts w:eastAsia="SimSun"/>
        </w:rPr>
      </w:pPr>
      <w:r>
        <w:rPr>
          <w:bCs/>
          <w:lang w:val="fr-FR"/>
        </w:rPr>
        <w:lastRenderedPageBreak/>
        <w:tab/>
        <w:t>1.</w:t>
      </w:r>
      <w:r>
        <w:rPr>
          <w:lang w:val="fr-FR"/>
        </w:rPr>
        <w:tab/>
      </w:r>
      <w:r>
        <w:rPr>
          <w:bCs/>
          <w:lang w:val="fr-FR"/>
        </w:rPr>
        <w:t xml:space="preserve">Décision IX/4a-V/4a concernant le respect par l’Albanie </w:t>
      </w:r>
      <w:r w:rsidR="00076AD3">
        <w:rPr>
          <w:bCs/>
          <w:lang w:val="fr-FR"/>
        </w:rPr>
        <w:br/>
      </w:r>
      <w:r>
        <w:rPr>
          <w:bCs/>
          <w:lang w:val="fr-FR"/>
        </w:rPr>
        <w:t xml:space="preserve">des obligations qui lui incombent au titre de la Convention </w:t>
      </w:r>
      <w:r w:rsidR="00076AD3">
        <w:rPr>
          <w:bCs/>
          <w:lang w:val="fr-FR"/>
        </w:rPr>
        <w:br/>
      </w:r>
      <w:r>
        <w:rPr>
          <w:bCs/>
          <w:lang w:val="fr-FR"/>
        </w:rPr>
        <w:t xml:space="preserve">et du Protocole pour ce qui est du projet de construction </w:t>
      </w:r>
      <w:r w:rsidR="00076AD3">
        <w:rPr>
          <w:bCs/>
          <w:lang w:val="fr-FR"/>
        </w:rPr>
        <w:br/>
      </w:r>
      <w:r>
        <w:rPr>
          <w:bCs/>
          <w:lang w:val="fr-FR"/>
        </w:rPr>
        <w:t xml:space="preserve">de plusieurs petites centrales </w:t>
      </w:r>
      <w:proofErr w:type="spellStart"/>
      <w:r>
        <w:rPr>
          <w:bCs/>
          <w:lang w:val="fr-FR"/>
        </w:rPr>
        <w:t>hydroélectriques</w:t>
      </w:r>
      <w:proofErr w:type="spellEnd"/>
      <w:r>
        <w:rPr>
          <w:bCs/>
          <w:lang w:val="fr-FR"/>
        </w:rPr>
        <w:t xml:space="preserve"> </w:t>
      </w:r>
      <w:r w:rsidR="00076AD3">
        <w:rPr>
          <w:bCs/>
          <w:lang w:val="fr-FR"/>
        </w:rPr>
        <w:br/>
      </w:r>
      <w:r>
        <w:rPr>
          <w:bCs/>
          <w:lang w:val="fr-FR"/>
        </w:rPr>
        <w:t xml:space="preserve">sur la rivière </w:t>
      </w:r>
      <w:proofErr w:type="spellStart"/>
      <w:r>
        <w:rPr>
          <w:bCs/>
          <w:lang w:val="fr-FR"/>
        </w:rPr>
        <w:t>Cijevna</w:t>
      </w:r>
      <w:proofErr w:type="spellEnd"/>
    </w:p>
    <w:p w14:paraId="5FE1360E" w14:textId="77777777" w:rsidR="002344A6" w:rsidRPr="00903D68" w:rsidRDefault="002344A6" w:rsidP="00076AD3">
      <w:pPr>
        <w:pStyle w:val="SingleTxtG"/>
        <w:spacing w:after="100" w:line="236" w:lineRule="atLeast"/>
        <w:ind w:firstLine="567"/>
        <w:rPr>
          <w:i/>
          <w:iCs/>
        </w:rPr>
      </w:pPr>
      <w:r>
        <w:rPr>
          <w:i/>
          <w:iCs/>
          <w:lang w:val="fr-FR"/>
        </w:rPr>
        <w:t>La Réunion des Parties à la Convention et la Réunion des Parties au Protocole,</w:t>
      </w:r>
      <w:r>
        <w:rPr>
          <w:lang w:val="fr-FR"/>
        </w:rPr>
        <w:t xml:space="preserve"> </w:t>
      </w:r>
    </w:p>
    <w:p w14:paraId="5DE3A574" w14:textId="5205075A" w:rsidR="002344A6" w:rsidRPr="00903D68" w:rsidRDefault="002344A6" w:rsidP="00076AD3">
      <w:pPr>
        <w:pStyle w:val="SingleTxtG"/>
        <w:spacing w:after="100" w:line="232" w:lineRule="atLeast"/>
        <w:ind w:firstLine="567"/>
        <w:rPr>
          <w:rFonts w:eastAsia="SimSun"/>
          <w:i/>
        </w:rPr>
      </w:pPr>
      <w:r>
        <w:rPr>
          <w:i/>
          <w:iCs/>
          <w:lang w:val="fr-FR"/>
        </w:rPr>
        <w:t xml:space="preserve">Rappelant </w:t>
      </w:r>
      <w:r w:rsidRPr="00624D8C">
        <w:rPr>
          <w:lang w:val="fr-FR"/>
        </w:rPr>
        <w:t>les articles</w:t>
      </w:r>
      <w:r w:rsidR="002C08A1">
        <w:rPr>
          <w:lang w:val="fr-FR"/>
        </w:rPr>
        <w:t> </w:t>
      </w:r>
      <w:r w:rsidRPr="00624D8C">
        <w:rPr>
          <w:lang w:val="fr-FR"/>
        </w:rPr>
        <w:t>11 (</w:t>
      </w:r>
      <w:r w:rsidR="00076AD3">
        <w:rPr>
          <w:lang w:val="fr-FR"/>
        </w:rPr>
        <w:t>par. </w:t>
      </w:r>
      <w:r w:rsidRPr="00624D8C">
        <w:rPr>
          <w:lang w:val="fr-FR"/>
        </w:rPr>
        <w:t>2) et 14</w:t>
      </w:r>
      <w:r w:rsidR="00076AD3">
        <w:rPr>
          <w:lang w:val="fr-FR"/>
        </w:rPr>
        <w:t> </w:t>
      </w:r>
      <w:r w:rsidRPr="00076AD3">
        <w:rPr>
          <w:i/>
          <w:iCs/>
          <w:lang w:val="fr-FR"/>
        </w:rPr>
        <w:t>bis</w:t>
      </w:r>
      <w:r w:rsidRPr="00624D8C">
        <w:rPr>
          <w:lang w:val="fr-FR"/>
        </w:rPr>
        <w:t xml:space="preserve"> de la Convention sur l</w:t>
      </w:r>
      <w:r>
        <w:rPr>
          <w:lang w:val="fr-FR"/>
        </w:rPr>
        <w:t>’</w:t>
      </w:r>
      <w:r w:rsidRPr="00624D8C">
        <w:rPr>
          <w:lang w:val="fr-FR"/>
        </w:rPr>
        <w:t>évaluation de l</w:t>
      </w:r>
      <w:r>
        <w:rPr>
          <w:lang w:val="fr-FR"/>
        </w:rPr>
        <w:t>’</w:t>
      </w:r>
      <w:r w:rsidRPr="00624D8C">
        <w:rPr>
          <w:lang w:val="fr-FR"/>
        </w:rPr>
        <w:t>impact sur l</w:t>
      </w:r>
      <w:r>
        <w:rPr>
          <w:lang w:val="fr-FR"/>
        </w:rPr>
        <w:t>’</w:t>
      </w:r>
      <w:r w:rsidRPr="00624D8C">
        <w:rPr>
          <w:lang w:val="fr-FR"/>
        </w:rPr>
        <w:t>environnement dans un contexte transfrontière et l</w:t>
      </w:r>
      <w:r>
        <w:rPr>
          <w:lang w:val="fr-FR"/>
        </w:rPr>
        <w:t>’</w:t>
      </w:r>
      <w:r w:rsidR="00076AD3">
        <w:rPr>
          <w:lang w:val="fr-FR"/>
        </w:rPr>
        <w:t>article </w:t>
      </w:r>
      <w:r w:rsidRPr="00624D8C">
        <w:rPr>
          <w:lang w:val="fr-FR"/>
        </w:rPr>
        <w:t>14 (</w:t>
      </w:r>
      <w:r w:rsidR="00076AD3">
        <w:rPr>
          <w:lang w:val="fr-FR"/>
        </w:rPr>
        <w:t>par. </w:t>
      </w:r>
      <w:r w:rsidRPr="00624D8C">
        <w:rPr>
          <w:lang w:val="fr-FR"/>
        </w:rPr>
        <w:t>4) du Protocole relatif à l</w:t>
      </w:r>
      <w:r>
        <w:rPr>
          <w:lang w:val="fr-FR"/>
        </w:rPr>
        <w:t>’</w:t>
      </w:r>
      <w:r w:rsidRPr="00624D8C">
        <w:rPr>
          <w:lang w:val="fr-FR"/>
        </w:rPr>
        <w:t>évaluation stratégique environnementale,</w:t>
      </w:r>
    </w:p>
    <w:p w14:paraId="014F4257" w14:textId="792FDE9D" w:rsidR="002344A6" w:rsidRPr="00903D68" w:rsidRDefault="002344A6" w:rsidP="00076AD3">
      <w:pPr>
        <w:pStyle w:val="SingleTxtG"/>
        <w:spacing w:after="100" w:line="232" w:lineRule="atLeast"/>
        <w:ind w:firstLine="567"/>
        <w:rPr>
          <w:rFonts w:eastAsia="SimSun"/>
        </w:rPr>
      </w:pPr>
      <w:r>
        <w:rPr>
          <w:i/>
          <w:iCs/>
          <w:lang w:val="fr-FR"/>
        </w:rPr>
        <w:t xml:space="preserve">Rappelant également </w:t>
      </w:r>
      <w:r>
        <w:rPr>
          <w:lang w:val="fr-FR"/>
        </w:rPr>
        <w:t>les décisions IX/4</w:t>
      </w:r>
      <w:r w:rsidR="00AF568D">
        <w:rPr>
          <w:rStyle w:val="Appelnotedebasdep"/>
        </w:rPr>
        <w:footnoteReference w:id="2"/>
      </w:r>
      <w:r>
        <w:rPr>
          <w:lang w:val="fr-FR"/>
        </w:rPr>
        <w:t xml:space="preserve"> concernant les questions générales relatives au respect des dispositions de la Convention, adoptée à la neuvième session de la Réunion des Parties à la Convention, et V/4</w:t>
      </w:r>
      <w:r w:rsidRPr="00903D68">
        <w:rPr>
          <w:rStyle w:val="Appelnotedebasdep"/>
        </w:rPr>
        <w:footnoteReference w:id="3"/>
      </w:r>
      <w:r>
        <w:rPr>
          <w:lang w:val="fr-FR"/>
        </w:rPr>
        <w:t xml:space="preserve"> concernant les questions générales relatives au respect des dispositions du Protocole, adoptée à la cinquième session de la Réunion des Parties au Protocole (Genève, 12-15 décembre 2023), </w:t>
      </w:r>
    </w:p>
    <w:p w14:paraId="58B0A5FF" w14:textId="77777777" w:rsidR="002344A6" w:rsidRPr="00076AD3" w:rsidRDefault="002344A6" w:rsidP="00076AD3">
      <w:pPr>
        <w:pStyle w:val="SingleTxtG"/>
        <w:spacing w:after="100" w:line="232" w:lineRule="atLeast"/>
        <w:ind w:firstLine="567"/>
        <w:rPr>
          <w:rFonts w:eastAsia="SimSun"/>
        </w:rPr>
      </w:pPr>
      <w:r w:rsidRPr="00076AD3">
        <w:rPr>
          <w:i/>
          <w:iCs/>
          <w:lang w:val="fr-FR"/>
        </w:rPr>
        <w:t>Ayant examiné</w:t>
      </w:r>
      <w:r w:rsidRPr="00076AD3">
        <w:rPr>
          <w:lang w:val="fr-FR"/>
        </w:rPr>
        <w:t xml:space="preserve"> les conclusions et les recommandations du Comité d’application sur le respect par l’Albanie des obligations que lui imposent la Convention et le Protocole en ce qui concerne le projet de construction de plusieurs petites centrales </w:t>
      </w:r>
      <w:proofErr w:type="spellStart"/>
      <w:r w:rsidRPr="00076AD3">
        <w:rPr>
          <w:lang w:val="fr-FR"/>
        </w:rPr>
        <w:t>hydroélectriques</w:t>
      </w:r>
      <w:proofErr w:type="spellEnd"/>
      <w:r w:rsidRPr="00076AD3">
        <w:rPr>
          <w:lang w:val="fr-FR"/>
        </w:rPr>
        <w:t xml:space="preserve"> sur la rivière </w:t>
      </w:r>
      <w:proofErr w:type="spellStart"/>
      <w:r w:rsidRPr="00076AD3">
        <w:rPr>
          <w:lang w:val="fr-FR"/>
        </w:rPr>
        <w:t>Cijevna</w:t>
      </w:r>
      <w:proofErr w:type="spellEnd"/>
      <w:r w:rsidRPr="00076AD3">
        <w:rPr>
          <w:rStyle w:val="Appelnotedebasdep"/>
        </w:rPr>
        <w:footnoteReference w:id="4"/>
      </w:r>
      <w:r w:rsidRPr="00076AD3">
        <w:rPr>
          <w:lang w:val="fr-FR"/>
        </w:rPr>
        <w:t xml:space="preserve">, </w:t>
      </w:r>
    </w:p>
    <w:p w14:paraId="0BDD0FCB" w14:textId="77777777" w:rsidR="002344A6" w:rsidRPr="00903D68" w:rsidRDefault="002344A6" w:rsidP="00076AD3">
      <w:pPr>
        <w:pStyle w:val="SingleTxtG"/>
        <w:spacing w:after="100" w:line="232" w:lineRule="atLeast"/>
        <w:ind w:firstLine="567"/>
        <w:rPr>
          <w:rFonts w:eastAsia="SimSun"/>
        </w:rPr>
      </w:pPr>
      <w:r>
        <w:rPr>
          <w:i/>
          <w:iCs/>
          <w:lang w:val="fr-FR"/>
        </w:rPr>
        <w:t xml:space="preserve">Ayant examiné également </w:t>
      </w:r>
      <w:r>
        <w:rPr>
          <w:lang w:val="fr-FR"/>
        </w:rPr>
        <w:t>le rapport sur les activités du Comité d’application soumis à la Réunion des Parties à la Convention à sa neuvième session, en particulier la section concernant l’Albanie</w:t>
      </w:r>
      <w:r w:rsidRPr="00903D68">
        <w:rPr>
          <w:rStyle w:val="Appelnotedebasdep"/>
        </w:rPr>
        <w:footnoteReference w:id="5"/>
      </w:r>
      <w:r>
        <w:rPr>
          <w:lang w:val="fr-FR"/>
        </w:rPr>
        <w:t>,</w:t>
      </w:r>
    </w:p>
    <w:p w14:paraId="3AB389C1" w14:textId="38370900" w:rsidR="002344A6" w:rsidRPr="00903D68" w:rsidRDefault="002344A6" w:rsidP="00076AD3">
      <w:pPr>
        <w:pStyle w:val="SingleTxtG"/>
        <w:spacing w:after="100" w:line="236" w:lineRule="atLeast"/>
        <w:ind w:firstLine="567"/>
        <w:rPr>
          <w:rFonts w:eastAsia="SimSun"/>
        </w:rPr>
      </w:pPr>
      <w:r>
        <w:rPr>
          <w:lang w:val="fr-FR"/>
        </w:rPr>
        <w:t>1.</w:t>
      </w:r>
      <w:r>
        <w:rPr>
          <w:lang w:val="fr-FR"/>
        </w:rPr>
        <w:tab/>
      </w:r>
      <w:r>
        <w:rPr>
          <w:i/>
          <w:iCs/>
          <w:lang w:val="fr-FR"/>
        </w:rPr>
        <w:t xml:space="preserve">Saluent </w:t>
      </w:r>
      <w:r>
        <w:rPr>
          <w:lang w:val="fr-FR"/>
        </w:rPr>
        <w:t xml:space="preserve">les mesures prises par l’ Albanie et le Monténégro pour engager, conformément au </w:t>
      </w:r>
      <w:r w:rsidR="00076AD3">
        <w:rPr>
          <w:lang w:val="fr-FR"/>
        </w:rPr>
        <w:t>paragraphe </w:t>
      </w:r>
      <w:r>
        <w:rPr>
          <w:lang w:val="fr-FR"/>
        </w:rPr>
        <w:t>5 de l’</w:t>
      </w:r>
      <w:r w:rsidR="00076AD3">
        <w:rPr>
          <w:lang w:val="fr-FR"/>
        </w:rPr>
        <w:t>article </w:t>
      </w:r>
      <w:r>
        <w:rPr>
          <w:lang w:val="fr-FR"/>
        </w:rPr>
        <w:t xml:space="preserve">2 de la Convention, des discussions sur le point de savoir si </w:t>
      </w:r>
      <w:r w:rsidRPr="00076AD3">
        <w:rPr>
          <w:spacing w:val="-2"/>
          <w:lang w:val="fr-FR"/>
        </w:rPr>
        <w:t>les</w:t>
      </w:r>
      <w:r>
        <w:rPr>
          <w:lang w:val="fr-FR"/>
        </w:rPr>
        <w:t xml:space="preserve"> activités proposées par l’Albanie et visées par la communication du Monténégro du 25 septembre 2019 sont susceptibles d’avoir un impact transfrontière préjudiciable important</w:t>
      </w:r>
      <w:r w:rsidR="006574E7">
        <w:rPr>
          <w:lang w:val="fr-FR"/>
        </w:rPr>
        <w:t> ;</w:t>
      </w:r>
    </w:p>
    <w:p w14:paraId="14B894FF" w14:textId="545BBF18" w:rsidR="002344A6" w:rsidRPr="00903D68" w:rsidRDefault="002344A6" w:rsidP="00076AD3">
      <w:pPr>
        <w:pStyle w:val="SingleTxtG"/>
        <w:spacing w:after="100"/>
        <w:ind w:firstLine="567"/>
        <w:rPr>
          <w:rFonts w:eastAsia="SimSun"/>
        </w:rPr>
      </w:pPr>
      <w:r>
        <w:rPr>
          <w:lang w:val="fr-FR"/>
        </w:rPr>
        <w:t>2.</w:t>
      </w:r>
      <w:r>
        <w:rPr>
          <w:lang w:val="fr-FR"/>
        </w:rPr>
        <w:tab/>
      </w:r>
      <w:r w:rsidRPr="00076AD3">
        <w:rPr>
          <w:i/>
          <w:iCs/>
          <w:spacing w:val="-2"/>
          <w:lang w:val="fr-FR"/>
        </w:rPr>
        <w:t xml:space="preserve">Établissent </w:t>
      </w:r>
      <w:r w:rsidRPr="00076AD3">
        <w:rPr>
          <w:spacing w:val="-2"/>
          <w:lang w:val="fr-FR"/>
        </w:rPr>
        <w:t xml:space="preserve">qu’au cours des discussions engagées au titre du </w:t>
      </w:r>
      <w:r w:rsidR="00076AD3" w:rsidRPr="00076AD3">
        <w:rPr>
          <w:spacing w:val="-2"/>
          <w:lang w:val="fr-FR"/>
        </w:rPr>
        <w:t>paragraphe </w:t>
      </w:r>
      <w:r w:rsidRPr="00076AD3">
        <w:rPr>
          <w:spacing w:val="-2"/>
          <w:lang w:val="fr-FR"/>
        </w:rPr>
        <w:t>5 de l’</w:t>
      </w:r>
      <w:r w:rsidR="00076AD3" w:rsidRPr="00076AD3">
        <w:rPr>
          <w:spacing w:val="-2"/>
          <w:lang w:val="fr-FR"/>
        </w:rPr>
        <w:t>article </w:t>
      </w:r>
      <w:r w:rsidRPr="00076AD3">
        <w:rPr>
          <w:spacing w:val="-2"/>
          <w:lang w:val="fr-FR"/>
        </w:rPr>
        <w:t>2 de la Convention, les Parties devraient échanger des informations de sorte qu’il soit possible de déterminer si les activités sont susceptibles d’avoir un impact transfrontière préjudiciable important sur l’environnement et que la Partie d’origine comme la Partie touchée soient toutes deux responsables du respect des délais et de la qualité de leur échange d’informations</w:t>
      </w:r>
      <w:r w:rsidR="006574E7" w:rsidRPr="00076AD3">
        <w:rPr>
          <w:spacing w:val="-2"/>
          <w:lang w:val="fr-FR"/>
        </w:rPr>
        <w:t> ;</w:t>
      </w:r>
    </w:p>
    <w:p w14:paraId="0838B2FD" w14:textId="35452480" w:rsidR="002344A6" w:rsidRPr="00903D68" w:rsidRDefault="002344A6" w:rsidP="00076AD3">
      <w:pPr>
        <w:pStyle w:val="SingleTxtG"/>
        <w:spacing w:after="100" w:line="236" w:lineRule="atLeast"/>
        <w:ind w:firstLine="567"/>
        <w:rPr>
          <w:rFonts w:eastAsia="SimSun"/>
        </w:rPr>
      </w:pPr>
      <w:r>
        <w:rPr>
          <w:lang w:val="fr-FR"/>
        </w:rPr>
        <w:t>3.</w:t>
      </w:r>
      <w:r>
        <w:rPr>
          <w:lang w:val="fr-FR"/>
        </w:rPr>
        <w:tab/>
      </w:r>
      <w:r>
        <w:rPr>
          <w:i/>
          <w:iCs/>
          <w:lang w:val="fr-FR"/>
        </w:rPr>
        <w:t xml:space="preserve">Approuvent </w:t>
      </w:r>
      <w:r>
        <w:rPr>
          <w:lang w:val="fr-FR"/>
        </w:rPr>
        <w:t>les conclusions du Comité d’application selon lesquelles, eu égard aux informations qui lui ont été communiquées</w:t>
      </w:r>
      <w:r w:rsidR="006574E7">
        <w:rPr>
          <w:lang w:val="fr-FR"/>
        </w:rPr>
        <w:t> :</w:t>
      </w:r>
    </w:p>
    <w:p w14:paraId="023737CE" w14:textId="5AD437F4" w:rsidR="002344A6" w:rsidRPr="00903D68" w:rsidRDefault="002344A6" w:rsidP="00076AD3">
      <w:pPr>
        <w:pStyle w:val="SingleTxtG"/>
        <w:spacing w:after="100" w:line="236" w:lineRule="atLeast"/>
        <w:ind w:firstLine="567"/>
        <w:rPr>
          <w:rFonts w:eastAsia="SimSun"/>
        </w:rPr>
      </w:pPr>
      <w:r>
        <w:rPr>
          <w:lang w:val="fr-FR"/>
        </w:rPr>
        <w:t>a)</w:t>
      </w:r>
      <w:r>
        <w:rPr>
          <w:lang w:val="fr-FR"/>
        </w:rPr>
        <w:tab/>
        <w:t xml:space="preserve">L’Albanie et le Monténégro ont correctement rempli les obligations que leur impose le </w:t>
      </w:r>
      <w:r w:rsidR="00076AD3">
        <w:rPr>
          <w:lang w:val="fr-FR"/>
        </w:rPr>
        <w:t>paragraphe </w:t>
      </w:r>
      <w:r>
        <w:rPr>
          <w:lang w:val="fr-FR"/>
        </w:rPr>
        <w:t>5 de l’</w:t>
      </w:r>
      <w:r w:rsidR="00076AD3">
        <w:rPr>
          <w:lang w:val="fr-FR"/>
        </w:rPr>
        <w:t>article </w:t>
      </w:r>
      <w:r>
        <w:rPr>
          <w:lang w:val="fr-FR"/>
        </w:rPr>
        <w:t>2 de la Convention en engageant des discussions l’une avec l’autre sur la question</w:t>
      </w:r>
      <w:r w:rsidR="006574E7">
        <w:rPr>
          <w:lang w:val="fr-FR"/>
        </w:rPr>
        <w:t> ;</w:t>
      </w:r>
    </w:p>
    <w:p w14:paraId="1B648D8A" w14:textId="32FE4626" w:rsidR="002344A6" w:rsidRPr="00903D68" w:rsidRDefault="002344A6" w:rsidP="00076AD3">
      <w:pPr>
        <w:pStyle w:val="SingleTxtG"/>
        <w:spacing w:after="100" w:line="236" w:lineRule="atLeast"/>
        <w:ind w:firstLine="567"/>
        <w:rPr>
          <w:rFonts w:eastAsia="SimSun"/>
        </w:rPr>
      </w:pPr>
      <w:r>
        <w:rPr>
          <w:lang w:val="fr-FR"/>
        </w:rPr>
        <w:t>b)</w:t>
      </w:r>
      <w:r>
        <w:rPr>
          <w:lang w:val="fr-FR"/>
        </w:rPr>
        <w:tab/>
        <w:t>En l’absence d’accord entre les Parties concernées au titre de l’</w:t>
      </w:r>
      <w:r w:rsidR="00076AD3">
        <w:rPr>
          <w:lang w:val="fr-FR"/>
        </w:rPr>
        <w:t>article </w:t>
      </w:r>
      <w:r>
        <w:rPr>
          <w:lang w:val="fr-FR"/>
        </w:rPr>
        <w:t>2 (</w:t>
      </w:r>
      <w:r w:rsidR="00076AD3">
        <w:rPr>
          <w:lang w:val="fr-FR"/>
        </w:rPr>
        <w:t>par. </w:t>
      </w:r>
      <w:r>
        <w:rPr>
          <w:lang w:val="fr-FR"/>
        </w:rPr>
        <w:t>5) de la Convention, l’Albanie n’a pas enfreint les dispositions des paragraphes</w:t>
      </w:r>
      <w:r w:rsidR="00076AD3">
        <w:rPr>
          <w:lang w:val="fr-FR"/>
        </w:rPr>
        <w:t> </w:t>
      </w:r>
      <w:r>
        <w:rPr>
          <w:lang w:val="fr-FR"/>
        </w:rPr>
        <w:t>2 et 6 de l’</w:t>
      </w:r>
      <w:r w:rsidR="00076AD3">
        <w:rPr>
          <w:lang w:val="fr-FR"/>
        </w:rPr>
        <w:t>article </w:t>
      </w:r>
      <w:r>
        <w:rPr>
          <w:lang w:val="fr-FR"/>
        </w:rPr>
        <w:t>2 de la Convention, car ces dispositions n’étaient pas applicables</w:t>
      </w:r>
      <w:r w:rsidR="006574E7">
        <w:rPr>
          <w:lang w:val="fr-FR"/>
        </w:rPr>
        <w:t> ;</w:t>
      </w:r>
      <w:r>
        <w:rPr>
          <w:lang w:val="fr-FR"/>
        </w:rPr>
        <w:t xml:space="preserve"> </w:t>
      </w:r>
    </w:p>
    <w:p w14:paraId="7B96A758" w14:textId="5C951CFA" w:rsidR="002344A6" w:rsidRPr="00903D68" w:rsidRDefault="002344A6" w:rsidP="00076AD3">
      <w:pPr>
        <w:pStyle w:val="SingleTxtG"/>
        <w:spacing w:after="100" w:line="236" w:lineRule="atLeast"/>
        <w:ind w:firstLine="567"/>
        <w:rPr>
          <w:rFonts w:eastAsia="SimSun"/>
        </w:rPr>
      </w:pPr>
      <w:r>
        <w:rPr>
          <w:lang w:val="fr-FR"/>
        </w:rPr>
        <w:t>c)</w:t>
      </w:r>
      <w:r>
        <w:rPr>
          <w:lang w:val="fr-FR"/>
        </w:rPr>
        <w:tab/>
        <w:t>L’Albanie n’a pas enfreint les dispositions de l’</w:t>
      </w:r>
      <w:r w:rsidR="00076AD3">
        <w:rPr>
          <w:lang w:val="fr-FR"/>
        </w:rPr>
        <w:t>article </w:t>
      </w:r>
      <w:r>
        <w:rPr>
          <w:lang w:val="fr-FR"/>
        </w:rPr>
        <w:t xml:space="preserve">10 du Protocole car, en l’absence de plan ou de programme national au sens du </w:t>
      </w:r>
      <w:r w:rsidR="00076AD3">
        <w:rPr>
          <w:lang w:val="fr-FR"/>
        </w:rPr>
        <w:t>paragraphe </w:t>
      </w:r>
      <w:r>
        <w:rPr>
          <w:lang w:val="fr-FR"/>
        </w:rPr>
        <w:t>1 de l’</w:t>
      </w:r>
      <w:r w:rsidR="00076AD3">
        <w:rPr>
          <w:lang w:val="fr-FR"/>
        </w:rPr>
        <w:t>article </w:t>
      </w:r>
      <w:r>
        <w:rPr>
          <w:lang w:val="fr-FR"/>
        </w:rPr>
        <w:t>4 du Protocole, ce dernier n’était pas applicable</w:t>
      </w:r>
      <w:r w:rsidR="006574E7">
        <w:rPr>
          <w:lang w:val="fr-FR"/>
        </w:rPr>
        <w:t> ;</w:t>
      </w:r>
    </w:p>
    <w:p w14:paraId="5D9EE55C" w14:textId="58C181AD" w:rsidR="002344A6" w:rsidRPr="00903D68" w:rsidRDefault="002344A6" w:rsidP="00076AD3">
      <w:pPr>
        <w:pStyle w:val="SingleTxtG"/>
        <w:widowControl w:val="0"/>
        <w:spacing w:after="100" w:line="236" w:lineRule="atLeast"/>
        <w:ind w:firstLine="567"/>
        <w:rPr>
          <w:rFonts w:eastAsia="SimSun"/>
        </w:rPr>
      </w:pPr>
      <w:r>
        <w:rPr>
          <w:lang w:val="fr-FR"/>
        </w:rPr>
        <w:t>4.</w:t>
      </w:r>
      <w:r>
        <w:rPr>
          <w:lang w:val="fr-FR"/>
        </w:rPr>
        <w:tab/>
      </w:r>
      <w:r>
        <w:rPr>
          <w:i/>
          <w:iCs/>
          <w:lang w:val="fr-FR"/>
        </w:rPr>
        <w:t>Encouragent</w:t>
      </w:r>
      <w:r>
        <w:rPr>
          <w:lang w:val="fr-FR"/>
        </w:rPr>
        <w:t xml:space="preserve"> les Parties à poursuivre le dialogue engagé au titre de l’</w:t>
      </w:r>
      <w:r w:rsidR="00076AD3">
        <w:rPr>
          <w:lang w:val="fr-FR"/>
        </w:rPr>
        <w:t>article </w:t>
      </w:r>
      <w:r>
        <w:rPr>
          <w:lang w:val="fr-FR"/>
        </w:rPr>
        <w:t>2 (</w:t>
      </w:r>
      <w:r w:rsidR="00076AD3">
        <w:rPr>
          <w:lang w:val="fr-FR"/>
        </w:rPr>
        <w:t>par. </w:t>
      </w:r>
      <w:r>
        <w:rPr>
          <w:lang w:val="fr-FR"/>
        </w:rPr>
        <w:t xml:space="preserve">5) de la Convention en veillant à ce que les effets cumulatifs des activités proposées soient correctement évalués et que les critères visés à l’appendice III de la Convention soient correctement appliqués au cours de l’évaluation, notamment en ce qui concerne la sensibilité environnementale du bassin hydrographique de la </w:t>
      </w:r>
      <w:proofErr w:type="spellStart"/>
      <w:r>
        <w:rPr>
          <w:lang w:val="fr-FR"/>
        </w:rPr>
        <w:t>Cijevna</w:t>
      </w:r>
      <w:proofErr w:type="spellEnd"/>
      <w:r w:rsidR="006574E7">
        <w:rPr>
          <w:lang w:val="fr-FR"/>
        </w:rPr>
        <w:t> ;</w:t>
      </w:r>
    </w:p>
    <w:p w14:paraId="33D1E725" w14:textId="768ED286" w:rsidR="002344A6" w:rsidRPr="00903D68" w:rsidRDefault="002344A6" w:rsidP="002344A6">
      <w:pPr>
        <w:pStyle w:val="SingleTxtG"/>
        <w:ind w:firstLine="567"/>
        <w:rPr>
          <w:rFonts w:eastAsia="SimSun"/>
        </w:rPr>
      </w:pPr>
      <w:r>
        <w:rPr>
          <w:lang w:val="fr-FR"/>
        </w:rPr>
        <w:lastRenderedPageBreak/>
        <w:t>5.</w:t>
      </w:r>
      <w:r>
        <w:rPr>
          <w:lang w:val="fr-FR"/>
        </w:rPr>
        <w:tab/>
      </w:r>
      <w:r>
        <w:rPr>
          <w:i/>
          <w:iCs/>
          <w:lang w:val="fr-FR"/>
        </w:rPr>
        <w:t xml:space="preserve">Invitent </w:t>
      </w:r>
      <w:r>
        <w:rPr>
          <w:lang w:val="fr-FR"/>
        </w:rPr>
        <w:t xml:space="preserve">l’Albanie à continuer de communiquer au Monténégro des renseignements sur toutes les activités proposées sur la </w:t>
      </w:r>
      <w:proofErr w:type="spellStart"/>
      <w:r>
        <w:rPr>
          <w:lang w:val="fr-FR"/>
        </w:rPr>
        <w:t>Cijevna</w:t>
      </w:r>
      <w:proofErr w:type="spellEnd"/>
      <w:r>
        <w:rPr>
          <w:lang w:val="fr-FR"/>
        </w:rPr>
        <w:t xml:space="preserve"> et visées par la communication susmentionnée aux fins de l’évaluation de leur impact transfrontière</w:t>
      </w:r>
      <w:r w:rsidR="006574E7">
        <w:rPr>
          <w:lang w:val="fr-FR"/>
        </w:rPr>
        <w:t> ;</w:t>
      </w:r>
    </w:p>
    <w:p w14:paraId="169D3F6D" w14:textId="15D064FC" w:rsidR="002344A6" w:rsidRPr="00903D68" w:rsidRDefault="002344A6" w:rsidP="002344A6">
      <w:pPr>
        <w:pStyle w:val="SingleTxtG"/>
        <w:ind w:firstLine="567"/>
        <w:rPr>
          <w:rFonts w:eastAsia="SimSun"/>
        </w:rPr>
      </w:pPr>
      <w:r>
        <w:rPr>
          <w:lang w:val="fr-FR"/>
        </w:rPr>
        <w:t>6.</w:t>
      </w:r>
      <w:r>
        <w:rPr>
          <w:lang w:val="fr-FR"/>
        </w:rPr>
        <w:tab/>
      </w:r>
      <w:r>
        <w:rPr>
          <w:i/>
          <w:iCs/>
          <w:lang w:val="fr-FR"/>
        </w:rPr>
        <w:t>Invitent</w:t>
      </w:r>
      <w:r>
        <w:rPr>
          <w:lang w:val="fr-FR"/>
        </w:rPr>
        <w:t xml:space="preserve"> le Monténégro à communiquer à l’Albanie, à la demande de celle-ci, toute information pouvant être raisonnablement obtenue au sujet de l’environnement susceptible d’être touché par les activités proposées</w:t>
      </w:r>
      <w:r w:rsidR="006574E7">
        <w:rPr>
          <w:lang w:val="fr-FR"/>
        </w:rPr>
        <w:t> ;</w:t>
      </w:r>
      <w:bookmarkStart w:id="0" w:name="_Hlk133931225"/>
      <w:bookmarkEnd w:id="0"/>
    </w:p>
    <w:p w14:paraId="2996E8EE" w14:textId="07532B84" w:rsidR="002344A6" w:rsidRPr="00903D68" w:rsidRDefault="002344A6" w:rsidP="002344A6">
      <w:pPr>
        <w:pStyle w:val="SingleTxtG"/>
        <w:ind w:firstLine="567"/>
        <w:rPr>
          <w:rFonts w:eastAsia="SimSun"/>
          <w:i/>
          <w:iCs/>
        </w:rPr>
      </w:pPr>
      <w:r>
        <w:rPr>
          <w:lang w:val="fr-FR"/>
        </w:rPr>
        <w:t>7.</w:t>
      </w:r>
      <w:r>
        <w:rPr>
          <w:lang w:val="fr-FR"/>
        </w:rPr>
        <w:tab/>
      </w:r>
      <w:r>
        <w:rPr>
          <w:i/>
          <w:iCs/>
          <w:lang w:val="fr-FR"/>
        </w:rPr>
        <w:t xml:space="preserve">Prennent acte </w:t>
      </w:r>
      <w:r>
        <w:rPr>
          <w:lang w:val="fr-FR"/>
        </w:rPr>
        <w:t>du fait que l’Albanie a fait part de sa volonté d’appliquer la Convention si, à l’issue des discussions engagées au titre de l’</w:t>
      </w:r>
      <w:r w:rsidR="00076AD3">
        <w:rPr>
          <w:lang w:val="fr-FR"/>
        </w:rPr>
        <w:t>article </w:t>
      </w:r>
      <w:r>
        <w:rPr>
          <w:lang w:val="fr-FR"/>
        </w:rPr>
        <w:t>2 (</w:t>
      </w:r>
      <w:r w:rsidR="00076AD3">
        <w:rPr>
          <w:lang w:val="fr-FR"/>
        </w:rPr>
        <w:t>par. </w:t>
      </w:r>
      <w:r>
        <w:rPr>
          <w:lang w:val="fr-FR"/>
        </w:rPr>
        <w:t>5) de celle-ci, elle était d’avis que les activités en question avaient un impact transfrontière préjudiciable important</w:t>
      </w:r>
      <w:r w:rsidR="006574E7">
        <w:rPr>
          <w:lang w:val="fr-FR"/>
        </w:rPr>
        <w:t> ;</w:t>
      </w:r>
    </w:p>
    <w:p w14:paraId="1D72AC02" w14:textId="2C198F96" w:rsidR="002344A6" w:rsidRPr="00903D68" w:rsidRDefault="002344A6" w:rsidP="002344A6">
      <w:pPr>
        <w:pStyle w:val="SingleTxtG"/>
        <w:ind w:firstLine="567"/>
        <w:rPr>
          <w:rFonts w:eastAsia="SimSun"/>
        </w:rPr>
      </w:pPr>
      <w:r>
        <w:rPr>
          <w:lang w:val="fr-FR"/>
        </w:rPr>
        <w:t>8.</w:t>
      </w:r>
      <w:r>
        <w:rPr>
          <w:lang w:val="fr-FR"/>
        </w:rPr>
        <w:tab/>
      </w:r>
      <w:r>
        <w:rPr>
          <w:i/>
          <w:iCs/>
          <w:lang w:val="fr-FR"/>
        </w:rPr>
        <w:t>Engagent</w:t>
      </w:r>
      <w:r>
        <w:rPr>
          <w:lang w:val="fr-FR"/>
        </w:rPr>
        <w:t xml:space="preserve"> l’Albanie à tenir compte, dans le cadre de toute évaluation future des impacts transfrontières sur l’environnement de nouvelles petites centrales </w:t>
      </w:r>
      <w:proofErr w:type="spellStart"/>
      <w:r>
        <w:rPr>
          <w:lang w:val="fr-FR"/>
        </w:rPr>
        <w:t>hydroélectriques</w:t>
      </w:r>
      <w:proofErr w:type="spellEnd"/>
      <w:r>
        <w:rPr>
          <w:lang w:val="fr-FR"/>
        </w:rPr>
        <w:t xml:space="preserve"> sur la rivière </w:t>
      </w:r>
      <w:proofErr w:type="spellStart"/>
      <w:r>
        <w:rPr>
          <w:lang w:val="fr-FR"/>
        </w:rPr>
        <w:t>Cijevna</w:t>
      </w:r>
      <w:proofErr w:type="spellEnd"/>
      <w:r>
        <w:rPr>
          <w:lang w:val="fr-FR"/>
        </w:rPr>
        <w:t xml:space="preserve">, des effets cumulatifs de toutes les centrales </w:t>
      </w:r>
      <w:proofErr w:type="spellStart"/>
      <w:r>
        <w:rPr>
          <w:lang w:val="fr-FR"/>
        </w:rPr>
        <w:t>hydroélectriques</w:t>
      </w:r>
      <w:proofErr w:type="spellEnd"/>
      <w:r>
        <w:rPr>
          <w:lang w:val="fr-FR"/>
        </w:rPr>
        <w:t xml:space="preserve"> existantes et prévues, et à communiquer les renseignements correspondants au Monténégro</w:t>
      </w:r>
      <w:r w:rsidR="006574E7">
        <w:rPr>
          <w:lang w:val="fr-FR"/>
        </w:rPr>
        <w:t> ;</w:t>
      </w:r>
    </w:p>
    <w:p w14:paraId="533D8F62" w14:textId="61960162" w:rsidR="002344A6" w:rsidRPr="00903D68" w:rsidRDefault="002344A6" w:rsidP="002344A6">
      <w:pPr>
        <w:pStyle w:val="SingleTxtG"/>
        <w:ind w:firstLine="567"/>
        <w:rPr>
          <w:rFonts w:eastAsia="SimSun"/>
        </w:rPr>
      </w:pPr>
      <w:r>
        <w:rPr>
          <w:lang w:val="fr-FR"/>
        </w:rPr>
        <w:t>9.</w:t>
      </w:r>
      <w:r>
        <w:rPr>
          <w:lang w:val="fr-FR"/>
        </w:rPr>
        <w:tab/>
      </w:r>
      <w:r>
        <w:rPr>
          <w:i/>
          <w:iCs/>
          <w:lang w:val="fr-FR"/>
        </w:rPr>
        <w:t xml:space="preserve">Engagent </w:t>
      </w:r>
      <w:r>
        <w:rPr>
          <w:lang w:val="fr-FR"/>
        </w:rPr>
        <w:t xml:space="preserve">le Monténégro à communiquer à l’Albanie, à la demande de celle-ci, toute information pouvant être raisonnablement obtenue au sujet de l’environnement susceptible d’être touché par de futures activités proposées sur la rivière </w:t>
      </w:r>
      <w:proofErr w:type="spellStart"/>
      <w:r>
        <w:rPr>
          <w:lang w:val="fr-FR"/>
        </w:rPr>
        <w:t>Cijevna</w:t>
      </w:r>
      <w:proofErr w:type="spellEnd"/>
      <w:r w:rsidR="006574E7">
        <w:rPr>
          <w:lang w:val="fr-FR"/>
        </w:rPr>
        <w:t> ;</w:t>
      </w:r>
      <w:r>
        <w:rPr>
          <w:lang w:val="fr-FR"/>
        </w:rPr>
        <w:t xml:space="preserve"> </w:t>
      </w:r>
    </w:p>
    <w:p w14:paraId="634CCC18" w14:textId="77777777" w:rsidR="00F37BB2" w:rsidRDefault="002344A6" w:rsidP="00F37BB2">
      <w:pPr>
        <w:pStyle w:val="SingleTxtG"/>
        <w:ind w:firstLine="567"/>
        <w:rPr>
          <w:lang w:val="fr-FR"/>
        </w:rPr>
        <w:sectPr w:rsidR="00F37BB2" w:rsidSect="002344A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680" w:footer="567" w:gutter="0"/>
          <w:cols w:space="708"/>
          <w:titlePg/>
          <w:docGrid w:linePitch="360"/>
        </w:sectPr>
      </w:pPr>
      <w:r>
        <w:rPr>
          <w:lang w:val="fr-FR"/>
        </w:rPr>
        <w:t>10.</w:t>
      </w:r>
      <w:r>
        <w:rPr>
          <w:lang w:val="fr-FR"/>
        </w:rPr>
        <w:tab/>
      </w:r>
      <w:r>
        <w:rPr>
          <w:i/>
          <w:iCs/>
          <w:lang w:val="fr-FR"/>
        </w:rPr>
        <w:t xml:space="preserve">Prient </w:t>
      </w:r>
      <w:r>
        <w:rPr>
          <w:lang w:val="fr-FR"/>
        </w:rPr>
        <w:t xml:space="preserve">l’Albanie et le Monténégro d’appliquer le Protocole en tant qu’instrument de protection de l’environnement à un stade précoce de l’élaboration de plans et de programmes tels que les stratégies ou plans énergétiques et les plans de gestion conjointe de district hydrographique portant sur toute évolution future dans le bassin de la </w:t>
      </w:r>
      <w:proofErr w:type="spellStart"/>
      <w:r>
        <w:rPr>
          <w:lang w:val="fr-FR"/>
        </w:rPr>
        <w:t>Cijevna</w:t>
      </w:r>
      <w:proofErr w:type="spellEnd"/>
      <w:r>
        <w:rPr>
          <w:lang w:val="fr-FR"/>
        </w:rPr>
        <w:t xml:space="preserve"> ou d’autres zones naturelles et environnementales d’une valeur exceptionnelle, et de veiller à ce que les effets cumulatifs des activités proposées, y compris dans un contexte transfrontière, soient correctement pris en compte.</w:t>
      </w:r>
    </w:p>
    <w:p w14:paraId="2E54988B" w14:textId="68ECB3AB" w:rsidR="002344A6" w:rsidRPr="00903D68" w:rsidRDefault="00C375EB" w:rsidP="002344A6">
      <w:pPr>
        <w:pStyle w:val="HChG"/>
      </w:pPr>
      <w:r>
        <w:rPr>
          <w:bCs/>
          <w:lang w:val="fr-FR"/>
        </w:rPr>
        <w:lastRenderedPageBreak/>
        <w:tab/>
      </w:r>
      <w:r w:rsidR="002344A6">
        <w:rPr>
          <w:bCs/>
          <w:lang w:val="fr-FR"/>
        </w:rPr>
        <w:t>2.</w:t>
      </w:r>
      <w:r w:rsidR="002344A6">
        <w:rPr>
          <w:lang w:val="fr-FR"/>
        </w:rPr>
        <w:tab/>
      </w:r>
      <w:r w:rsidR="002344A6">
        <w:rPr>
          <w:bCs/>
          <w:lang w:val="fr-FR"/>
        </w:rPr>
        <w:t xml:space="preserve">Décision IX/4b-V/4b concernant le respect par l’Arménie </w:t>
      </w:r>
      <w:r>
        <w:rPr>
          <w:bCs/>
          <w:lang w:val="fr-FR"/>
        </w:rPr>
        <w:br/>
      </w:r>
      <w:r w:rsidR="002344A6">
        <w:rPr>
          <w:bCs/>
          <w:lang w:val="fr-FR"/>
        </w:rPr>
        <w:t xml:space="preserve">des obligations qui lui incombent au titre de la Convention </w:t>
      </w:r>
      <w:r>
        <w:rPr>
          <w:bCs/>
          <w:lang w:val="fr-FR"/>
        </w:rPr>
        <w:br/>
      </w:r>
      <w:r w:rsidR="002344A6">
        <w:rPr>
          <w:bCs/>
          <w:lang w:val="fr-FR"/>
        </w:rPr>
        <w:t>et du Protocole pour ce qui est de sa législation nationale</w:t>
      </w:r>
    </w:p>
    <w:p w14:paraId="7E6CE090" w14:textId="77777777" w:rsidR="002344A6" w:rsidRPr="00903D68" w:rsidRDefault="002344A6" w:rsidP="002344A6">
      <w:pPr>
        <w:pStyle w:val="SingleTxtG"/>
        <w:ind w:firstLine="567"/>
        <w:rPr>
          <w:i/>
          <w:iCs/>
        </w:rPr>
      </w:pPr>
      <w:r>
        <w:rPr>
          <w:i/>
          <w:iCs/>
          <w:lang w:val="fr-FR"/>
        </w:rPr>
        <w:t>La Réunion des Parties à la Convention et la Réunion des Parties au Protocole,</w:t>
      </w:r>
      <w:r>
        <w:rPr>
          <w:lang w:val="fr-FR"/>
        </w:rPr>
        <w:t xml:space="preserve"> </w:t>
      </w:r>
    </w:p>
    <w:p w14:paraId="31EFECE0" w14:textId="5EA25DB5" w:rsidR="002344A6" w:rsidRPr="00903D68" w:rsidRDefault="002344A6" w:rsidP="002344A6">
      <w:pPr>
        <w:pStyle w:val="SingleTxtG"/>
        <w:ind w:firstLine="567"/>
      </w:pPr>
      <w:r>
        <w:rPr>
          <w:i/>
          <w:iCs/>
          <w:lang w:val="fr-FR"/>
        </w:rPr>
        <w:t xml:space="preserve">Rappelant </w:t>
      </w:r>
      <w:r>
        <w:rPr>
          <w:lang w:val="fr-FR"/>
        </w:rPr>
        <w:t>les articles</w:t>
      </w:r>
      <w:r w:rsidR="00C375EB">
        <w:rPr>
          <w:lang w:val="fr-FR"/>
        </w:rPr>
        <w:t> </w:t>
      </w:r>
      <w:r>
        <w:rPr>
          <w:lang w:val="fr-FR"/>
        </w:rPr>
        <w:t>11 (</w:t>
      </w:r>
      <w:r w:rsidR="00076AD3">
        <w:rPr>
          <w:lang w:val="fr-FR"/>
        </w:rPr>
        <w:t>par. </w:t>
      </w:r>
      <w:r>
        <w:rPr>
          <w:lang w:val="fr-FR"/>
        </w:rPr>
        <w:t xml:space="preserve">2) et 14 </w:t>
      </w:r>
      <w:r w:rsidRPr="00F37BB2">
        <w:rPr>
          <w:i/>
          <w:iCs/>
          <w:lang w:val="fr-FR"/>
        </w:rPr>
        <w:t>bis</w:t>
      </w:r>
      <w:r>
        <w:rPr>
          <w:lang w:val="fr-FR"/>
        </w:rPr>
        <w:t xml:space="preserve"> de la Convention sur l’évaluation de l’impact sur l’environnement dans un contexte transfrontière et l’</w:t>
      </w:r>
      <w:r w:rsidR="00076AD3">
        <w:rPr>
          <w:lang w:val="fr-FR"/>
        </w:rPr>
        <w:t>article </w:t>
      </w:r>
      <w:r>
        <w:rPr>
          <w:lang w:val="fr-FR"/>
        </w:rPr>
        <w:t>14 (</w:t>
      </w:r>
      <w:r w:rsidR="00076AD3">
        <w:rPr>
          <w:lang w:val="fr-FR"/>
        </w:rPr>
        <w:t>par. </w:t>
      </w:r>
      <w:r>
        <w:rPr>
          <w:lang w:val="fr-FR"/>
        </w:rPr>
        <w:t xml:space="preserve">6) du Protocole relatif à l’évaluation stratégique environnementale, </w:t>
      </w:r>
    </w:p>
    <w:p w14:paraId="5C5F0AE4" w14:textId="5D8681A2" w:rsidR="002344A6" w:rsidRPr="00903D68" w:rsidRDefault="002344A6" w:rsidP="002344A6">
      <w:pPr>
        <w:pStyle w:val="SingleTxtG"/>
        <w:ind w:firstLine="567"/>
      </w:pPr>
      <w:r>
        <w:rPr>
          <w:i/>
          <w:iCs/>
          <w:lang w:val="fr-FR"/>
        </w:rPr>
        <w:t xml:space="preserve">Rappelant également </w:t>
      </w:r>
      <w:r>
        <w:rPr>
          <w:lang w:val="fr-FR"/>
        </w:rPr>
        <w:t>les paragraphes</w:t>
      </w:r>
      <w:r w:rsidR="00AF568D">
        <w:rPr>
          <w:lang w:val="fr-FR"/>
        </w:rPr>
        <w:t> </w:t>
      </w:r>
      <w:r>
        <w:rPr>
          <w:lang w:val="fr-FR"/>
        </w:rPr>
        <w:t>15 à 19 de la décision IV/2</w:t>
      </w:r>
      <w:r w:rsidRPr="00903D68">
        <w:rPr>
          <w:rStyle w:val="Appelnotedebasdep"/>
        </w:rPr>
        <w:footnoteReference w:id="6"/>
      </w:r>
      <w:r>
        <w:rPr>
          <w:lang w:val="fr-FR"/>
        </w:rPr>
        <w:t>, les paragraphes</w:t>
      </w:r>
      <w:r w:rsidR="00AF568D">
        <w:rPr>
          <w:lang w:val="fr-FR"/>
        </w:rPr>
        <w:t> </w:t>
      </w:r>
      <w:r>
        <w:rPr>
          <w:lang w:val="fr-FR"/>
        </w:rPr>
        <w:t>27 et 28 de la décision V/4</w:t>
      </w:r>
      <w:r w:rsidRPr="00903D68">
        <w:rPr>
          <w:rStyle w:val="Appelnotedebasdep"/>
        </w:rPr>
        <w:footnoteReference w:id="7"/>
      </w:r>
      <w:r>
        <w:rPr>
          <w:lang w:val="fr-FR"/>
        </w:rPr>
        <w:t>, les paragraphes</w:t>
      </w:r>
      <w:r w:rsidR="00AF568D">
        <w:rPr>
          <w:lang w:val="fr-FR"/>
        </w:rPr>
        <w:t> </w:t>
      </w:r>
      <w:r>
        <w:rPr>
          <w:lang w:val="fr-FR"/>
        </w:rPr>
        <w:t>29 à 35 de la décision VI/2</w:t>
      </w:r>
      <w:r w:rsidRPr="00903D68">
        <w:rPr>
          <w:rStyle w:val="Appelnotedebasdep"/>
        </w:rPr>
        <w:footnoteReference w:id="8"/>
      </w:r>
      <w:r>
        <w:rPr>
          <w:lang w:val="fr-FR"/>
        </w:rPr>
        <w:t>, la décision IS/1a</w:t>
      </w:r>
      <w:r w:rsidRPr="00903D68">
        <w:rPr>
          <w:rStyle w:val="Appelnotedebasdep"/>
        </w:rPr>
        <w:footnoteReference w:id="9"/>
      </w:r>
      <w:r>
        <w:rPr>
          <w:lang w:val="fr-FR"/>
        </w:rPr>
        <w:t xml:space="preserve"> et la décision VIII/4a</w:t>
      </w:r>
      <w:r w:rsidRPr="00903D68">
        <w:rPr>
          <w:rStyle w:val="Appelnotedebasdep"/>
        </w:rPr>
        <w:footnoteReference w:id="10"/>
      </w:r>
      <w:r>
        <w:rPr>
          <w:lang w:val="fr-FR"/>
        </w:rPr>
        <w:t xml:space="preserve"> concernant le respect des dispositions par l’Arménie pour ce qui est de sa législation nationale aux fins de l’application de la Convention,</w:t>
      </w:r>
    </w:p>
    <w:p w14:paraId="4531AB8A" w14:textId="77777777" w:rsidR="002344A6" w:rsidRPr="00903D68" w:rsidRDefault="002344A6" w:rsidP="002344A6">
      <w:pPr>
        <w:pStyle w:val="SingleTxtG"/>
        <w:ind w:firstLine="567"/>
        <w:rPr>
          <w:rFonts w:eastAsia="SimSun"/>
        </w:rPr>
      </w:pPr>
      <w:r>
        <w:rPr>
          <w:i/>
          <w:iCs/>
          <w:lang w:val="fr-FR"/>
        </w:rPr>
        <w:t>Rappelant en outre</w:t>
      </w:r>
      <w:r>
        <w:rPr>
          <w:lang w:val="fr-FR"/>
        </w:rPr>
        <w:t xml:space="preserve"> la décision IX/4</w:t>
      </w:r>
      <w:r w:rsidRPr="00903D68">
        <w:rPr>
          <w:rStyle w:val="Appelnotedebasdep"/>
        </w:rPr>
        <w:footnoteReference w:id="11"/>
      </w:r>
      <w:r>
        <w:rPr>
          <w:lang w:val="fr-FR"/>
        </w:rPr>
        <w:t xml:space="preserve"> concernant les questions générales relatives au respect des dispositions de la Convention, adoptée à la neuvième session de la Réunion des Parties à la Convention, et la décision V/4</w:t>
      </w:r>
      <w:r w:rsidRPr="00903D68">
        <w:rPr>
          <w:rStyle w:val="Appelnotedebasdep"/>
        </w:rPr>
        <w:footnoteReference w:id="12"/>
      </w:r>
      <w:r>
        <w:rPr>
          <w:lang w:val="fr-FR"/>
        </w:rPr>
        <w:t xml:space="preserve"> concernant les questions générales relatives au respect des dispositions du Protocole, adoptée à la cinquième session de la Réunion des Parties au Protocole (Genève, 12-15 décembre 2023), </w:t>
      </w:r>
    </w:p>
    <w:p w14:paraId="1D8E9764" w14:textId="77777777" w:rsidR="002344A6" w:rsidRPr="00AF568D" w:rsidRDefault="002344A6" w:rsidP="002344A6">
      <w:pPr>
        <w:pStyle w:val="SingleTxtG"/>
        <w:ind w:firstLine="567"/>
        <w:rPr>
          <w:spacing w:val="3"/>
        </w:rPr>
      </w:pPr>
      <w:r w:rsidRPr="00AF568D">
        <w:rPr>
          <w:i/>
          <w:iCs/>
          <w:spacing w:val="3"/>
          <w:lang w:val="fr-FR"/>
        </w:rPr>
        <w:t xml:space="preserve">Ayant examiné </w:t>
      </w:r>
      <w:r w:rsidRPr="00AF568D">
        <w:rPr>
          <w:spacing w:val="3"/>
          <w:lang w:val="fr-FR"/>
        </w:rPr>
        <w:t>le rapport sur les activités du Comité d’application soumis à la Réunion des Parties à la Convention à sa neuvième session, en particulier la section concernant les mesures prises par l’Arménie pour donner suite aux décisions IS/1a et VIII/4a</w:t>
      </w:r>
      <w:r w:rsidRPr="00AF568D">
        <w:rPr>
          <w:rStyle w:val="Appelnotedebasdep"/>
          <w:spacing w:val="3"/>
        </w:rPr>
        <w:footnoteReference w:id="13"/>
      </w:r>
      <w:r w:rsidRPr="00AF568D">
        <w:rPr>
          <w:spacing w:val="3"/>
          <w:lang w:val="fr-FR"/>
        </w:rPr>
        <w:t>,</w:t>
      </w:r>
    </w:p>
    <w:p w14:paraId="02528B08" w14:textId="21D23120" w:rsidR="002344A6" w:rsidRPr="00903D68" w:rsidRDefault="002344A6" w:rsidP="002344A6">
      <w:pPr>
        <w:pStyle w:val="SingleTxtG"/>
        <w:ind w:firstLine="567"/>
      </w:pPr>
      <w:r>
        <w:rPr>
          <w:i/>
          <w:iCs/>
          <w:lang w:val="fr-FR"/>
        </w:rPr>
        <w:t xml:space="preserve">Prenant acte du fait </w:t>
      </w:r>
      <w:r>
        <w:rPr>
          <w:lang w:val="fr-FR"/>
        </w:rPr>
        <w:t>que</w:t>
      </w:r>
      <w:r>
        <w:rPr>
          <w:i/>
          <w:iCs/>
          <w:lang w:val="fr-FR"/>
        </w:rPr>
        <w:t xml:space="preserve"> </w:t>
      </w:r>
      <w:r>
        <w:rPr>
          <w:lang w:val="fr-FR"/>
        </w:rPr>
        <w:t xml:space="preserve">le secrétariat a fourni une assistance technique au Gouvernement arménien pour l’aider à rendre sa législation conforme aux dispositions de la Convention et du Protocole, comme </w:t>
      </w:r>
      <w:proofErr w:type="gramStart"/>
      <w:r>
        <w:rPr>
          <w:lang w:val="fr-FR"/>
        </w:rPr>
        <w:t>suite au</w:t>
      </w:r>
      <w:proofErr w:type="gramEnd"/>
      <w:r>
        <w:rPr>
          <w:lang w:val="fr-FR"/>
        </w:rPr>
        <w:t xml:space="preserve"> </w:t>
      </w:r>
      <w:r w:rsidR="00076AD3">
        <w:rPr>
          <w:lang w:val="fr-FR"/>
        </w:rPr>
        <w:t>paragraphe </w:t>
      </w:r>
      <w:r>
        <w:rPr>
          <w:lang w:val="fr-FR"/>
        </w:rPr>
        <w:t>35 de la décision VI/2,</w:t>
      </w:r>
    </w:p>
    <w:p w14:paraId="33AC721F" w14:textId="276B498D" w:rsidR="002344A6" w:rsidRPr="00903D68" w:rsidRDefault="002344A6" w:rsidP="002344A6">
      <w:pPr>
        <w:pStyle w:val="SingleTxtG"/>
        <w:ind w:firstLine="567"/>
      </w:pPr>
      <w:r>
        <w:rPr>
          <w:lang w:val="fr-FR"/>
        </w:rPr>
        <w:t>1.</w:t>
      </w:r>
      <w:r>
        <w:rPr>
          <w:lang w:val="fr-FR"/>
        </w:rPr>
        <w:tab/>
      </w:r>
      <w:r>
        <w:rPr>
          <w:i/>
          <w:iCs/>
          <w:lang w:val="fr-FR"/>
        </w:rPr>
        <w:t xml:space="preserve">Accueillent avec intérêt </w:t>
      </w:r>
      <w:r>
        <w:rPr>
          <w:lang w:val="fr-FR"/>
        </w:rPr>
        <w:t>les rapports régulièrement reçus, bien que soumis parfois tardivement, du Gouvernement arménien et les mesures que celui-ci a prises pour donner suite à la décision VIII/4a depuis la huitième session de la Réunion des Parties à la Convention et la quatrième session de la Réunion des Parties au Protocole (Vilnius (en ligne), 8-11 décembre 2020)</w:t>
      </w:r>
      <w:r w:rsidR="006574E7">
        <w:rPr>
          <w:lang w:val="fr-FR"/>
        </w:rPr>
        <w:t> ;</w:t>
      </w:r>
    </w:p>
    <w:p w14:paraId="79A2DC4A" w14:textId="78895AF3" w:rsidR="002344A6" w:rsidRPr="00903D68" w:rsidRDefault="002344A6" w:rsidP="002344A6">
      <w:pPr>
        <w:pStyle w:val="SingleTxtG"/>
        <w:ind w:firstLine="567"/>
      </w:pPr>
      <w:r>
        <w:rPr>
          <w:lang w:val="fr-FR"/>
        </w:rPr>
        <w:t>2.</w:t>
      </w:r>
      <w:r>
        <w:rPr>
          <w:lang w:val="fr-FR"/>
        </w:rPr>
        <w:tab/>
      </w:r>
      <w:r>
        <w:rPr>
          <w:i/>
          <w:iCs/>
          <w:lang w:val="fr-FR"/>
        </w:rPr>
        <w:t>Se félicitent</w:t>
      </w:r>
      <w:r>
        <w:rPr>
          <w:lang w:val="fr-FR"/>
        </w:rPr>
        <w:t xml:space="preserve"> de l’adoption, le 3</w:t>
      </w:r>
      <w:r w:rsidR="00AF568D">
        <w:rPr>
          <w:lang w:val="fr-FR"/>
        </w:rPr>
        <w:t> </w:t>
      </w:r>
      <w:r>
        <w:rPr>
          <w:lang w:val="fr-FR"/>
        </w:rPr>
        <w:t>mai 2023, d’une nouvelle loi sur l’évaluation et l’expertise de l’impact sur l’environnement</w:t>
      </w:r>
      <w:r w:rsidRPr="00903D68">
        <w:rPr>
          <w:rStyle w:val="Appelnotedebasdep"/>
        </w:rPr>
        <w:footnoteReference w:id="14"/>
      </w:r>
      <w:r>
        <w:rPr>
          <w:lang w:val="fr-FR"/>
        </w:rPr>
        <w:t>, mais prennent note du retard pris dans le processus d’adoption des textes législatifs secondaires correspondants</w:t>
      </w:r>
      <w:r w:rsidR="006574E7">
        <w:rPr>
          <w:lang w:val="fr-FR"/>
        </w:rPr>
        <w:t> ;</w:t>
      </w:r>
    </w:p>
    <w:p w14:paraId="77E9E93B" w14:textId="0807BBE1" w:rsidR="002344A6" w:rsidRPr="00903D68" w:rsidRDefault="002344A6" w:rsidP="002344A6">
      <w:pPr>
        <w:pStyle w:val="SingleTxtG"/>
        <w:ind w:firstLine="567"/>
      </w:pPr>
      <w:r>
        <w:rPr>
          <w:lang w:val="fr-FR"/>
        </w:rPr>
        <w:t>3.</w:t>
      </w:r>
      <w:r>
        <w:rPr>
          <w:lang w:val="fr-FR"/>
        </w:rPr>
        <w:tab/>
      </w:r>
      <w:r>
        <w:rPr>
          <w:i/>
          <w:iCs/>
          <w:lang w:val="fr-FR"/>
        </w:rPr>
        <w:t xml:space="preserve">Notent avec préoccupation </w:t>
      </w:r>
      <w:r>
        <w:rPr>
          <w:lang w:val="fr-FR"/>
        </w:rPr>
        <w:t>que, bien qu’elle apporte des améliorations, la nouvelle loi ne remédie pas à la plupart des lacunes fondamentales de la loi précédente et ne garantit donc pas le plein respect par l’Arménie des obligations qui lui incombent au titre de la Convention et du Protocole</w:t>
      </w:r>
      <w:r w:rsidR="006574E7">
        <w:rPr>
          <w:lang w:val="fr-FR"/>
        </w:rPr>
        <w:t> ;</w:t>
      </w:r>
      <w:r>
        <w:rPr>
          <w:lang w:val="fr-FR"/>
        </w:rPr>
        <w:t xml:space="preserve"> </w:t>
      </w:r>
    </w:p>
    <w:p w14:paraId="63A5816E" w14:textId="6FD8BDA6" w:rsidR="002344A6" w:rsidRPr="00903D68" w:rsidRDefault="002344A6" w:rsidP="002344A6">
      <w:pPr>
        <w:pStyle w:val="SingleTxtG"/>
        <w:ind w:firstLine="567"/>
      </w:pPr>
      <w:r>
        <w:rPr>
          <w:lang w:val="fr-FR"/>
        </w:rPr>
        <w:t>4.</w:t>
      </w:r>
      <w:r>
        <w:rPr>
          <w:lang w:val="fr-FR"/>
        </w:rPr>
        <w:tab/>
      </w:r>
      <w:r>
        <w:rPr>
          <w:i/>
          <w:iCs/>
          <w:lang w:val="fr-FR"/>
        </w:rPr>
        <w:t xml:space="preserve">Font observer </w:t>
      </w:r>
      <w:r>
        <w:rPr>
          <w:lang w:val="fr-FR"/>
        </w:rPr>
        <w:t>que la nouvelle loi comporte notamment les lacunes suivantes</w:t>
      </w:r>
      <w:r w:rsidR="006574E7">
        <w:rPr>
          <w:lang w:val="fr-FR"/>
        </w:rPr>
        <w:t> :</w:t>
      </w:r>
    </w:p>
    <w:p w14:paraId="5F6342AF" w14:textId="6F8B5A57" w:rsidR="002344A6" w:rsidRPr="00AF568D" w:rsidRDefault="002344A6" w:rsidP="002344A6">
      <w:pPr>
        <w:pStyle w:val="SingleTxtG"/>
        <w:ind w:firstLine="567"/>
        <w:rPr>
          <w:spacing w:val="3"/>
        </w:rPr>
      </w:pPr>
      <w:r>
        <w:rPr>
          <w:lang w:val="fr-FR"/>
        </w:rPr>
        <w:t>a)</w:t>
      </w:r>
      <w:r>
        <w:rPr>
          <w:lang w:val="fr-FR"/>
        </w:rPr>
        <w:tab/>
      </w:r>
      <w:r w:rsidRPr="00AF568D">
        <w:rPr>
          <w:spacing w:val="3"/>
          <w:lang w:val="fr-FR"/>
        </w:rPr>
        <w:t xml:space="preserve">La définition du terme « rapport », qui englobe les rapports sur l’évaluation de l’impact sur l’environnement et les rapports sur l’évaluation stratégique environnementale, témoigne d’une divergence conceptuelle en ce qui concerne la méthode d’évaluation et le rôle des rapports établis respectivement au titre de la </w:t>
      </w:r>
      <w:r w:rsidRPr="00AF568D">
        <w:rPr>
          <w:spacing w:val="3"/>
          <w:lang w:val="fr-FR"/>
        </w:rPr>
        <w:lastRenderedPageBreak/>
        <w:t>Convention et au titre du Protocole (le dossier d’évaluation de l’impact sur l’environnement établi en vertu de l’</w:t>
      </w:r>
      <w:r w:rsidR="00076AD3" w:rsidRPr="00AF568D">
        <w:rPr>
          <w:spacing w:val="3"/>
          <w:lang w:val="fr-FR"/>
        </w:rPr>
        <w:t>article </w:t>
      </w:r>
      <w:r w:rsidRPr="00AF568D">
        <w:rPr>
          <w:spacing w:val="3"/>
          <w:lang w:val="fr-FR"/>
        </w:rPr>
        <w:t>4 de la Convention et le rapport sur l’évaluation stratégique environnementale établi en vertu de l’</w:t>
      </w:r>
      <w:r w:rsidR="00076AD3" w:rsidRPr="00AF568D">
        <w:rPr>
          <w:spacing w:val="3"/>
          <w:lang w:val="fr-FR"/>
        </w:rPr>
        <w:t>article </w:t>
      </w:r>
      <w:r w:rsidRPr="00AF568D">
        <w:rPr>
          <w:spacing w:val="3"/>
          <w:lang w:val="fr-FR"/>
        </w:rPr>
        <w:t>7 du Protocole)</w:t>
      </w:r>
      <w:r w:rsidR="006574E7" w:rsidRPr="00AF568D">
        <w:rPr>
          <w:spacing w:val="3"/>
          <w:lang w:val="fr-FR"/>
        </w:rPr>
        <w:t> ;</w:t>
      </w:r>
    </w:p>
    <w:p w14:paraId="7E0218B9" w14:textId="571914FC" w:rsidR="002344A6" w:rsidRPr="00903D68" w:rsidRDefault="002344A6" w:rsidP="002344A6">
      <w:pPr>
        <w:pStyle w:val="SingleTxtG"/>
        <w:ind w:firstLine="567"/>
      </w:pPr>
      <w:r>
        <w:rPr>
          <w:lang w:val="fr-FR"/>
        </w:rPr>
        <w:t>b)</w:t>
      </w:r>
      <w:r>
        <w:rPr>
          <w:lang w:val="fr-FR"/>
        </w:rPr>
        <w:tab/>
        <w:t>La définition du terme « public » et des associations, organisations ou groupes publics conformément à l’alinéa x) de l’</w:t>
      </w:r>
      <w:r w:rsidR="00076AD3">
        <w:rPr>
          <w:lang w:val="fr-FR"/>
        </w:rPr>
        <w:t>article </w:t>
      </w:r>
      <w:r>
        <w:rPr>
          <w:lang w:val="fr-FR"/>
        </w:rPr>
        <w:t>1</w:t>
      </w:r>
      <w:r w:rsidRPr="00037C90">
        <w:rPr>
          <w:vertAlign w:val="superscript"/>
          <w:lang w:val="fr-FR"/>
        </w:rPr>
        <w:t>er</w:t>
      </w:r>
      <w:r>
        <w:rPr>
          <w:lang w:val="fr-FR"/>
        </w:rPr>
        <w:t xml:space="preserve"> de la Convention et au </w:t>
      </w:r>
      <w:r w:rsidR="00076AD3">
        <w:rPr>
          <w:lang w:val="fr-FR"/>
        </w:rPr>
        <w:t>paragraphe </w:t>
      </w:r>
      <w:r>
        <w:rPr>
          <w:lang w:val="fr-FR"/>
        </w:rPr>
        <w:t>8 de l’</w:t>
      </w:r>
      <w:r w:rsidR="00076AD3">
        <w:rPr>
          <w:lang w:val="fr-FR"/>
        </w:rPr>
        <w:t>article </w:t>
      </w:r>
      <w:r>
        <w:rPr>
          <w:lang w:val="fr-FR"/>
        </w:rPr>
        <w:t>2 du Protocole ne figure pas dans la loi</w:t>
      </w:r>
      <w:r w:rsidR="006574E7">
        <w:rPr>
          <w:lang w:val="fr-FR"/>
        </w:rPr>
        <w:t> ;</w:t>
      </w:r>
    </w:p>
    <w:p w14:paraId="317B79A7" w14:textId="7820E91D" w:rsidR="002344A6" w:rsidRPr="00903D68" w:rsidRDefault="002344A6" w:rsidP="002344A6">
      <w:pPr>
        <w:pStyle w:val="SingleTxtG"/>
        <w:ind w:firstLine="567"/>
      </w:pPr>
      <w:r>
        <w:rPr>
          <w:lang w:val="fr-FR"/>
        </w:rPr>
        <w:t>c)</w:t>
      </w:r>
      <w:r>
        <w:rPr>
          <w:lang w:val="fr-FR"/>
        </w:rPr>
        <w:tab/>
        <w:t>Il n’est pas clairement établi que les « changements majeurs » apportés aux activités sont pris en considération conformément à la Convention</w:t>
      </w:r>
      <w:r w:rsidR="006574E7">
        <w:rPr>
          <w:lang w:val="fr-FR"/>
        </w:rPr>
        <w:t> ;</w:t>
      </w:r>
    </w:p>
    <w:p w14:paraId="68F6CCAA" w14:textId="6FF80131" w:rsidR="002344A6" w:rsidRPr="00903D68" w:rsidRDefault="002344A6" w:rsidP="002344A6">
      <w:pPr>
        <w:pStyle w:val="SingleTxtG"/>
        <w:ind w:firstLine="567"/>
      </w:pPr>
      <w:r>
        <w:rPr>
          <w:lang w:val="fr-FR"/>
        </w:rPr>
        <w:t>d)</w:t>
      </w:r>
      <w:r>
        <w:rPr>
          <w:lang w:val="fr-FR"/>
        </w:rPr>
        <w:tab/>
        <w:t>Il n’est pas indiqué clairement quels plans ou programmes sont soumis, en vertu des paragraphes</w:t>
      </w:r>
      <w:r w:rsidR="00AF568D">
        <w:rPr>
          <w:lang w:val="fr-FR"/>
        </w:rPr>
        <w:t> </w:t>
      </w:r>
      <w:r>
        <w:rPr>
          <w:lang w:val="fr-FR"/>
        </w:rPr>
        <w:t>3 et 4 de l’</w:t>
      </w:r>
      <w:r w:rsidR="00076AD3">
        <w:rPr>
          <w:lang w:val="fr-FR"/>
        </w:rPr>
        <w:t>article </w:t>
      </w:r>
      <w:r>
        <w:rPr>
          <w:lang w:val="fr-FR"/>
        </w:rPr>
        <w:t>4 du Protocole, à l’examen prévu à l’</w:t>
      </w:r>
      <w:r w:rsidR="00076AD3">
        <w:rPr>
          <w:lang w:val="fr-FR"/>
        </w:rPr>
        <w:t>article </w:t>
      </w:r>
      <w:r>
        <w:rPr>
          <w:lang w:val="fr-FR"/>
        </w:rPr>
        <w:t>5 de celui-ci, en particulier si une procédure appropriée a été mise en place à cet effet, et si les critères d’examen prévus à l’annexe III du Protocole sont respectés</w:t>
      </w:r>
      <w:r w:rsidR="006574E7">
        <w:rPr>
          <w:lang w:val="fr-FR"/>
        </w:rPr>
        <w:t> ;</w:t>
      </w:r>
    </w:p>
    <w:p w14:paraId="5F167D28" w14:textId="14EE5700" w:rsidR="002344A6" w:rsidRPr="00903D68" w:rsidRDefault="002344A6" w:rsidP="002344A6">
      <w:pPr>
        <w:pStyle w:val="SingleTxtG"/>
        <w:ind w:firstLine="567"/>
      </w:pPr>
      <w:r>
        <w:rPr>
          <w:lang w:val="fr-FR"/>
        </w:rPr>
        <w:t>e)</w:t>
      </w:r>
      <w:r>
        <w:rPr>
          <w:lang w:val="fr-FR"/>
        </w:rPr>
        <w:tab/>
        <w:t>Le suivi à effectuer conformément à l’</w:t>
      </w:r>
      <w:r w:rsidR="00076AD3">
        <w:rPr>
          <w:lang w:val="fr-FR"/>
        </w:rPr>
        <w:t>article </w:t>
      </w:r>
      <w:r>
        <w:rPr>
          <w:lang w:val="fr-FR"/>
        </w:rPr>
        <w:t>12 du Protocole n’est pas prévu par la loi</w:t>
      </w:r>
      <w:r w:rsidR="006574E7">
        <w:rPr>
          <w:lang w:val="fr-FR"/>
        </w:rPr>
        <w:t> ;</w:t>
      </w:r>
      <w:r>
        <w:rPr>
          <w:lang w:val="fr-FR"/>
        </w:rPr>
        <w:t xml:space="preserve"> </w:t>
      </w:r>
    </w:p>
    <w:p w14:paraId="7CCC5AD8" w14:textId="35C56FBA" w:rsidR="002344A6" w:rsidRPr="00903D68" w:rsidRDefault="002344A6" w:rsidP="002344A6">
      <w:pPr>
        <w:pStyle w:val="SingleTxtG"/>
        <w:ind w:firstLine="567"/>
      </w:pPr>
      <w:r>
        <w:rPr>
          <w:lang w:val="fr-FR"/>
        </w:rPr>
        <w:t>5.</w:t>
      </w:r>
      <w:r>
        <w:rPr>
          <w:lang w:val="fr-FR"/>
        </w:rPr>
        <w:tab/>
      </w:r>
      <w:r>
        <w:rPr>
          <w:i/>
          <w:iCs/>
          <w:lang w:val="fr-FR"/>
        </w:rPr>
        <w:t>Regrette</w:t>
      </w:r>
      <w:r>
        <w:rPr>
          <w:lang w:val="fr-FR"/>
        </w:rPr>
        <w:t xml:space="preserve"> que, bien que le secrétariat et le Comité d’application lui aient fourni une assistance technique pendant plus d’une dizaine d’années</w:t>
      </w:r>
      <w:r w:rsidRPr="00903D68">
        <w:rPr>
          <w:rStyle w:val="Appelnotedebasdep"/>
        </w:rPr>
        <w:footnoteReference w:id="15"/>
      </w:r>
      <w:r>
        <w:rPr>
          <w:lang w:val="fr-FR"/>
        </w:rPr>
        <w:t xml:space="preserve"> afin de l’aider à mettre sa législation en conformité avec la Convention et le Protocole, et malgré les multiples décisions dans lesquelles la Réunion des Parties lui a demandé de le faire, l’Arménie n’ait toujours pas adopté de législation, y compris secondaire, qui soit pleinement conforme, en particulier en ce qui concerne les procédures prévues par le Protocole</w:t>
      </w:r>
      <w:r w:rsidR="006574E7">
        <w:rPr>
          <w:lang w:val="fr-FR"/>
        </w:rPr>
        <w:t> ;</w:t>
      </w:r>
    </w:p>
    <w:p w14:paraId="46C5FF36" w14:textId="4C63F736" w:rsidR="002344A6" w:rsidRPr="00903D68" w:rsidRDefault="002344A6" w:rsidP="002344A6">
      <w:pPr>
        <w:pStyle w:val="SingleTxtG"/>
        <w:ind w:firstLine="567"/>
      </w:pPr>
      <w:r>
        <w:rPr>
          <w:lang w:val="fr-FR"/>
        </w:rPr>
        <w:t>6.</w:t>
      </w:r>
      <w:r>
        <w:rPr>
          <w:lang w:val="fr-FR"/>
        </w:rPr>
        <w:tab/>
      </w:r>
      <w:r>
        <w:rPr>
          <w:i/>
          <w:iCs/>
          <w:lang w:val="fr-FR"/>
        </w:rPr>
        <w:t>Font leur</w:t>
      </w:r>
      <w:r>
        <w:rPr>
          <w:lang w:val="fr-FR"/>
        </w:rPr>
        <w:t xml:space="preserve"> la conclusion du Comité d’application selon laquelle, bien que des mesures aient été prises, </w:t>
      </w:r>
      <w:r w:rsidRPr="00A33A0D">
        <w:rPr>
          <w:lang w:val="fr-FR"/>
        </w:rPr>
        <w:t>dans l</w:t>
      </w:r>
      <w:r>
        <w:rPr>
          <w:lang w:val="fr-FR"/>
        </w:rPr>
        <w:t>’</w:t>
      </w:r>
      <w:r w:rsidRPr="00A33A0D">
        <w:rPr>
          <w:lang w:val="fr-FR"/>
        </w:rPr>
        <w:t>attente de</w:t>
      </w:r>
      <w:r>
        <w:rPr>
          <w:lang w:val="fr-FR"/>
        </w:rPr>
        <w:t xml:space="preserve"> la mise en conformité de sa législation avec la Convention et le Protocole et de l’adoption de la législation secondaire correspondante, </w:t>
      </w:r>
      <w:r w:rsidRPr="00A33A0D">
        <w:rPr>
          <w:lang w:val="fr-FR"/>
        </w:rPr>
        <w:t>le Gouvernement arménien n</w:t>
      </w:r>
      <w:r>
        <w:rPr>
          <w:lang w:val="fr-FR"/>
        </w:rPr>
        <w:t>’</w:t>
      </w:r>
      <w:r w:rsidRPr="00A33A0D">
        <w:rPr>
          <w:lang w:val="fr-FR"/>
        </w:rPr>
        <w:t>a pas encore donné suite aux demandes qui lui ont été adressées dans les décisions</w:t>
      </w:r>
      <w:r>
        <w:rPr>
          <w:i/>
          <w:iCs/>
          <w:lang w:val="fr-FR"/>
        </w:rPr>
        <w:t xml:space="preserve"> </w:t>
      </w:r>
      <w:r>
        <w:rPr>
          <w:lang w:val="fr-FR"/>
        </w:rPr>
        <w:t>IS/1a et VIII/4a</w:t>
      </w:r>
      <w:r w:rsidRPr="00903D68">
        <w:rPr>
          <w:rStyle w:val="Appelnotedebasdep"/>
        </w:rPr>
        <w:footnoteReference w:id="16"/>
      </w:r>
      <w:r w:rsidR="006574E7">
        <w:rPr>
          <w:lang w:val="fr-FR"/>
        </w:rPr>
        <w:t> ;</w:t>
      </w:r>
    </w:p>
    <w:p w14:paraId="34DCA671" w14:textId="1C976A5A" w:rsidR="002344A6" w:rsidRPr="00903D68" w:rsidRDefault="002344A6" w:rsidP="002344A6">
      <w:pPr>
        <w:pStyle w:val="SingleTxtG"/>
        <w:ind w:firstLine="567"/>
      </w:pPr>
      <w:r>
        <w:rPr>
          <w:lang w:val="fr-FR"/>
        </w:rPr>
        <w:t>7.</w:t>
      </w:r>
      <w:r>
        <w:rPr>
          <w:lang w:val="fr-FR"/>
        </w:rPr>
        <w:tab/>
      </w:r>
      <w:r>
        <w:rPr>
          <w:i/>
          <w:iCs/>
          <w:lang w:val="fr-FR"/>
        </w:rPr>
        <w:t>Réaffirment</w:t>
      </w:r>
      <w:r>
        <w:rPr>
          <w:lang w:val="fr-FR"/>
        </w:rPr>
        <w:t xml:space="preserve"> les décisions IS/1a et VIII/4a, et prient le Gouvernement arménien de remédier dans les meilleurs délais aux lacunes de sa nouvelle loi et d’adopter la législation secondaire correspondante conformément aux recommandations formulées par les </w:t>
      </w:r>
      <w:r w:rsidRPr="00A33A0D">
        <w:rPr>
          <w:lang w:val="fr-FR"/>
        </w:rPr>
        <w:t>consultants internationaux auprès du secrétariat, en vue de rendre son cadre législatif pleinement conforme à la Convention et au Protocole</w:t>
      </w:r>
      <w:r w:rsidRPr="00903D68">
        <w:rPr>
          <w:rStyle w:val="Appelnotedebasdep"/>
        </w:rPr>
        <w:footnoteReference w:id="17"/>
      </w:r>
      <w:r w:rsidR="006574E7">
        <w:rPr>
          <w:lang w:val="fr-FR"/>
        </w:rPr>
        <w:t> ;</w:t>
      </w:r>
      <w:bookmarkStart w:id="2" w:name="_Hlk34319760"/>
      <w:bookmarkStart w:id="3" w:name="_Hlk34319793"/>
      <w:bookmarkEnd w:id="2"/>
      <w:bookmarkEnd w:id="3"/>
    </w:p>
    <w:p w14:paraId="0FE9FF24" w14:textId="2D252241" w:rsidR="002344A6" w:rsidRPr="00903D68" w:rsidRDefault="002344A6" w:rsidP="002344A6">
      <w:pPr>
        <w:pStyle w:val="SingleTxtG"/>
        <w:ind w:firstLine="567"/>
      </w:pPr>
      <w:r>
        <w:rPr>
          <w:lang w:val="fr-FR"/>
        </w:rPr>
        <w:t>8.</w:t>
      </w:r>
      <w:r>
        <w:rPr>
          <w:lang w:val="fr-FR"/>
        </w:rPr>
        <w:tab/>
      </w:r>
      <w:r>
        <w:rPr>
          <w:i/>
          <w:iCs/>
          <w:lang w:val="fr-FR"/>
        </w:rPr>
        <w:t>Prient</w:t>
      </w:r>
      <w:r>
        <w:rPr>
          <w:lang w:val="fr-FR"/>
        </w:rPr>
        <w:t xml:space="preserve"> le Gouvernement arménien de fournir au Comité d’application le texte des amendements à la loi du 3 mai 2023 et celui de la législation secondaire correspondante, une fois adoptés, ainsi que leur traduction en anglais</w:t>
      </w:r>
      <w:r w:rsidR="006574E7">
        <w:rPr>
          <w:lang w:val="fr-FR"/>
        </w:rPr>
        <w:t> ;</w:t>
      </w:r>
    </w:p>
    <w:p w14:paraId="03FA663B" w14:textId="77777777" w:rsidR="00654248" w:rsidRDefault="002344A6" w:rsidP="00654248">
      <w:pPr>
        <w:pStyle w:val="SingleTxtG"/>
        <w:ind w:firstLine="567"/>
        <w:rPr>
          <w:lang w:val="fr-FR"/>
        </w:rPr>
        <w:sectPr w:rsidR="00654248" w:rsidSect="002344A6">
          <w:headerReference w:type="default" r:id="rId14"/>
          <w:footerReference w:type="default" r:id="rId15"/>
          <w:headerReference w:type="first" r:id="rId16"/>
          <w:footerReference w:type="first" r:id="rId17"/>
          <w:footnotePr>
            <w:numRestart w:val="eachSect"/>
          </w:footnotePr>
          <w:endnotePr>
            <w:numFmt w:val="decimal"/>
          </w:endnotePr>
          <w:pgSz w:w="11906" w:h="16838" w:code="9"/>
          <w:pgMar w:top="1417" w:right="1134" w:bottom="1134" w:left="1134" w:header="680" w:footer="567" w:gutter="0"/>
          <w:cols w:space="708"/>
          <w:titlePg/>
          <w:docGrid w:linePitch="360"/>
        </w:sectPr>
      </w:pPr>
      <w:r>
        <w:rPr>
          <w:lang w:val="fr-FR"/>
        </w:rPr>
        <w:t>9.</w:t>
      </w:r>
      <w:r>
        <w:rPr>
          <w:lang w:val="fr-FR"/>
        </w:rPr>
        <w:tab/>
      </w:r>
      <w:r>
        <w:rPr>
          <w:i/>
          <w:iCs/>
          <w:lang w:val="fr-FR"/>
        </w:rPr>
        <w:t xml:space="preserve">Prient </w:t>
      </w:r>
      <w:r>
        <w:rPr>
          <w:lang w:val="fr-FR"/>
        </w:rPr>
        <w:t>le Comité d’application d’évaluer les amendements à la loi du 3 mai 2023 et la législation secondaire correspondante, une fois adoptés, et de faire rapport à ce sujet à la Réunion des Parties à la Convention à sa dixième session et à la Réunion des Parties au Protocole à sa sixième session.</w:t>
      </w:r>
    </w:p>
    <w:p w14:paraId="628A67DB" w14:textId="4CEF5A9E" w:rsidR="002344A6" w:rsidRPr="00903D68" w:rsidRDefault="00AF568D" w:rsidP="002344A6">
      <w:pPr>
        <w:pStyle w:val="HChG"/>
      </w:pPr>
      <w:r>
        <w:rPr>
          <w:bCs/>
          <w:lang w:val="fr-FR"/>
        </w:rPr>
        <w:lastRenderedPageBreak/>
        <w:tab/>
      </w:r>
      <w:r w:rsidR="002344A6">
        <w:rPr>
          <w:bCs/>
          <w:lang w:val="fr-FR"/>
        </w:rPr>
        <w:t>[3.</w:t>
      </w:r>
      <w:r w:rsidR="002344A6">
        <w:rPr>
          <w:lang w:val="fr-FR"/>
        </w:rPr>
        <w:tab/>
      </w:r>
      <w:r w:rsidR="002344A6">
        <w:rPr>
          <w:bCs/>
          <w:lang w:val="fr-FR"/>
        </w:rPr>
        <w:t>Décision IX/4c-V/4c concernant le respect par la Bosnie</w:t>
      </w:r>
      <w:r>
        <w:rPr>
          <w:bCs/>
          <w:lang w:val="fr-FR"/>
        </w:rPr>
        <w:noBreakHyphen/>
      </w:r>
      <w:r w:rsidR="002344A6">
        <w:rPr>
          <w:bCs/>
          <w:lang w:val="fr-FR"/>
        </w:rPr>
        <w:t xml:space="preserve">Herzégovine des obligations qui lui incombent </w:t>
      </w:r>
      <w:r>
        <w:rPr>
          <w:bCs/>
          <w:lang w:val="fr-FR"/>
        </w:rPr>
        <w:br/>
      </w:r>
      <w:r w:rsidR="002344A6">
        <w:rPr>
          <w:bCs/>
          <w:lang w:val="fr-FR"/>
        </w:rPr>
        <w:t xml:space="preserve">au titre de la Convention et du Protocole pour ce qui </w:t>
      </w:r>
      <w:r>
        <w:rPr>
          <w:bCs/>
          <w:lang w:val="fr-FR"/>
        </w:rPr>
        <w:br/>
      </w:r>
      <w:r w:rsidR="002344A6">
        <w:rPr>
          <w:bCs/>
          <w:lang w:val="fr-FR"/>
        </w:rPr>
        <w:t xml:space="preserve">est de la construction de la centrale </w:t>
      </w:r>
      <w:proofErr w:type="spellStart"/>
      <w:r w:rsidR="002344A6">
        <w:rPr>
          <w:bCs/>
          <w:lang w:val="fr-FR"/>
        </w:rPr>
        <w:t>hydroélectrique</w:t>
      </w:r>
      <w:proofErr w:type="spellEnd"/>
      <w:r w:rsidR="002344A6">
        <w:rPr>
          <w:bCs/>
          <w:lang w:val="fr-FR"/>
        </w:rPr>
        <w:t xml:space="preserve"> </w:t>
      </w:r>
      <w:r>
        <w:rPr>
          <w:bCs/>
          <w:lang w:val="fr-FR"/>
        </w:rPr>
        <w:br/>
      </w:r>
      <w:r w:rsidR="002344A6">
        <w:rPr>
          <w:bCs/>
          <w:lang w:val="fr-FR"/>
        </w:rPr>
        <w:t xml:space="preserve">de </w:t>
      </w:r>
      <w:proofErr w:type="spellStart"/>
      <w:r w:rsidR="002344A6">
        <w:rPr>
          <w:bCs/>
          <w:lang w:val="fr-FR"/>
        </w:rPr>
        <w:t>Buk</w:t>
      </w:r>
      <w:proofErr w:type="spellEnd"/>
      <w:r w:rsidR="002344A6">
        <w:rPr>
          <w:bCs/>
          <w:lang w:val="fr-FR"/>
        </w:rPr>
        <w:t xml:space="preserve"> </w:t>
      </w:r>
      <w:proofErr w:type="spellStart"/>
      <w:r w:rsidR="002344A6">
        <w:rPr>
          <w:bCs/>
          <w:lang w:val="fr-FR"/>
        </w:rPr>
        <w:t>Bijela</w:t>
      </w:r>
      <w:proofErr w:type="spellEnd"/>
      <w:r w:rsidR="002344A6">
        <w:rPr>
          <w:bCs/>
          <w:lang w:val="fr-FR"/>
        </w:rPr>
        <w:t xml:space="preserve"> sur la Drina</w:t>
      </w:r>
      <w:r w:rsidR="002344A6" w:rsidRPr="00903D68">
        <w:rPr>
          <w:rStyle w:val="Appelnotedebasdep"/>
        </w:rPr>
        <w:footnoteReference w:id="18"/>
      </w:r>
    </w:p>
    <w:p w14:paraId="72BF3929" w14:textId="77777777" w:rsidR="002344A6" w:rsidRPr="00903D68" w:rsidRDefault="002344A6" w:rsidP="002344A6">
      <w:pPr>
        <w:pStyle w:val="SingleTxtG"/>
        <w:ind w:firstLine="567"/>
        <w:rPr>
          <w:i/>
          <w:iCs/>
        </w:rPr>
      </w:pPr>
      <w:r>
        <w:rPr>
          <w:i/>
          <w:iCs/>
          <w:lang w:val="fr-FR"/>
        </w:rPr>
        <w:t>La Réunion des Parties à la Convention et la Réunion des Parties au Protocole,</w:t>
      </w:r>
      <w:r>
        <w:rPr>
          <w:lang w:val="fr-FR"/>
        </w:rPr>
        <w:t xml:space="preserve"> </w:t>
      </w:r>
    </w:p>
    <w:p w14:paraId="2D00DCB9" w14:textId="74473001" w:rsidR="002344A6" w:rsidRPr="00903D68" w:rsidRDefault="002344A6" w:rsidP="002344A6">
      <w:pPr>
        <w:pStyle w:val="SingleTxtG"/>
        <w:ind w:firstLine="567"/>
        <w:rPr>
          <w:i/>
        </w:rPr>
      </w:pPr>
      <w:r>
        <w:rPr>
          <w:i/>
          <w:iCs/>
          <w:lang w:val="fr-FR"/>
        </w:rPr>
        <w:t xml:space="preserve">Rappelant </w:t>
      </w:r>
      <w:r>
        <w:rPr>
          <w:lang w:val="fr-FR"/>
        </w:rPr>
        <w:t>les articles</w:t>
      </w:r>
      <w:r w:rsidR="00654248">
        <w:rPr>
          <w:lang w:val="fr-FR"/>
        </w:rPr>
        <w:t> </w:t>
      </w:r>
      <w:r>
        <w:rPr>
          <w:lang w:val="fr-FR"/>
        </w:rPr>
        <w:t>11 (</w:t>
      </w:r>
      <w:r w:rsidR="00076AD3">
        <w:rPr>
          <w:lang w:val="fr-FR"/>
        </w:rPr>
        <w:t>par. </w:t>
      </w:r>
      <w:r>
        <w:rPr>
          <w:lang w:val="fr-FR"/>
        </w:rPr>
        <w:t xml:space="preserve">2) et 14 </w:t>
      </w:r>
      <w:r w:rsidRPr="00654248">
        <w:rPr>
          <w:i/>
          <w:iCs/>
          <w:lang w:val="fr-FR"/>
        </w:rPr>
        <w:t>bis</w:t>
      </w:r>
      <w:r>
        <w:rPr>
          <w:lang w:val="fr-FR"/>
        </w:rPr>
        <w:t xml:space="preserve"> de la Convention sur l’évaluation de l’impact sur l’environnement dans un contexte transfrontière et l’</w:t>
      </w:r>
      <w:r w:rsidR="00076AD3">
        <w:rPr>
          <w:lang w:val="fr-FR"/>
        </w:rPr>
        <w:t>article </w:t>
      </w:r>
      <w:r>
        <w:rPr>
          <w:lang w:val="fr-FR"/>
        </w:rPr>
        <w:t>14 (</w:t>
      </w:r>
      <w:r w:rsidR="00076AD3">
        <w:rPr>
          <w:lang w:val="fr-FR"/>
        </w:rPr>
        <w:t>par. </w:t>
      </w:r>
      <w:r>
        <w:rPr>
          <w:lang w:val="fr-FR"/>
        </w:rPr>
        <w:t>4) du Protocole relatif à l’évaluation stratégique environnementale,</w:t>
      </w:r>
    </w:p>
    <w:p w14:paraId="15205E61" w14:textId="77777777" w:rsidR="002344A6" w:rsidRPr="00903D68" w:rsidRDefault="002344A6" w:rsidP="002344A6">
      <w:pPr>
        <w:pStyle w:val="SingleTxtG"/>
        <w:ind w:firstLine="567"/>
        <w:rPr>
          <w:rFonts w:eastAsia="SimSun"/>
        </w:rPr>
      </w:pPr>
      <w:r>
        <w:rPr>
          <w:i/>
          <w:iCs/>
          <w:lang w:val="fr-FR"/>
        </w:rPr>
        <w:t xml:space="preserve">Rappelant également </w:t>
      </w:r>
      <w:r>
        <w:rPr>
          <w:lang w:val="fr-FR"/>
        </w:rPr>
        <w:t>les décisions IX/4</w:t>
      </w:r>
      <w:r w:rsidRPr="00903D68">
        <w:rPr>
          <w:rStyle w:val="Appelnotedebasdep"/>
        </w:rPr>
        <w:footnoteReference w:id="19"/>
      </w:r>
      <w:r>
        <w:rPr>
          <w:lang w:val="fr-FR"/>
        </w:rPr>
        <w:t xml:space="preserve"> concernant les questions générales relatives au respect des dispositions de la Convention, adoptée à la neuvième session de la Réunion des Parties à la Convention, et V/4</w:t>
      </w:r>
      <w:r w:rsidRPr="00903D68">
        <w:rPr>
          <w:rStyle w:val="Appelnotedebasdep"/>
        </w:rPr>
        <w:footnoteReference w:id="20"/>
      </w:r>
      <w:r>
        <w:rPr>
          <w:lang w:val="fr-FR"/>
        </w:rPr>
        <w:t xml:space="preserve"> concernant les questions générales relatives au respect des dispositions du Protocole, adoptée à la cinquième session de la Réunion des Parties au Protocole (Genève, 12-15 décembre 2023), </w:t>
      </w:r>
    </w:p>
    <w:p w14:paraId="15D1796C" w14:textId="77777777" w:rsidR="002344A6" w:rsidRPr="00903D68" w:rsidRDefault="002344A6" w:rsidP="002344A6">
      <w:pPr>
        <w:pStyle w:val="SingleTxtG"/>
        <w:ind w:firstLine="567"/>
      </w:pPr>
      <w:r>
        <w:rPr>
          <w:i/>
          <w:iCs/>
          <w:lang w:val="fr-FR"/>
        </w:rPr>
        <w:t xml:space="preserve">Ayant examiné </w:t>
      </w:r>
      <w:r>
        <w:rPr>
          <w:lang w:val="fr-FR"/>
        </w:rPr>
        <w:t xml:space="preserve">les conclusions et les recommandations du Comité d’application sur le respect par la Bosnie-Herzégovine de ses obligations au titre de la Convention et du Protocole en ce qui concerne la construction de la centrale </w:t>
      </w:r>
      <w:proofErr w:type="spellStart"/>
      <w:r>
        <w:rPr>
          <w:lang w:val="fr-FR"/>
        </w:rPr>
        <w:t>hydroélectrique</w:t>
      </w:r>
      <w:proofErr w:type="spellEnd"/>
      <w:r>
        <w:rPr>
          <w:lang w:val="fr-FR"/>
        </w:rPr>
        <w:t xml:space="preserve"> de </w:t>
      </w:r>
      <w:proofErr w:type="spellStart"/>
      <w:r>
        <w:rPr>
          <w:lang w:val="fr-FR"/>
        </w:rPr>
        <w:t>Buk</w:t>
      </w:r>
      <w:proofErr w:type="spellEnd"/>
      <w:r>
        <w:rPr>
          <w:lang w:val="fr-FR"/>
        </w:rPr>
        <w:t xml:space="preserve"> </w:t>
      </w:r>
      <w:proofErr w:type="spellStart"/>
      <w:r>
        <w:rPr>
          <w:lang w:val="fr-FR"/>
        </w:rPr>
        <w:t>Bijela</w:t>
      </w:r>
      <w:proofErr w:type="spellEnd"/>
      <w:r>
        <w:rPr>
          <w:lang w:val="fr-FR"/>
        </w:rPr>
        <w:t xml:space="preserve"> sur la Drina</w:t>
      </w:r>
      <w:r w:rsidRPr="00903D68">
        <w:rPr>
          <w:rStyle w:val="Appelnotedebasdep"/>
        </w:rPr>
        <w:footnoteReference w:id="21"/>
      </w:r>
      <w:r>
        <w:rPr>
          <w:lang w:val="fr-FR"/>
        </w:rPr>
        <w:t xml:space="preserve">, </w:t>
      </w:r>
    </w:p>
    <w:p w14:paraId="202BD0F8" w14:textId="77777777" w:rsidR="002344A6" w:rsidRPr="00903D68" w:rsidRDefault="002344A6" w:rsidP="002344A6">
      <w:pPr>
        <w:pStyle w:val="SingleTxtG"/>
        <w:ind w:firstLine="567"/>
      </w:pPr>
      <w:r>
        <w:rPr>
          <w:i/>
          <w:iCs/>
          <w:lang w:val="fr-FR"/>
        </w:rPr>
        <w:t xml:space="preserve">Ayant examiné également </w:t>
      </w:r>
      <w:r>
        <w:rPr>
          <w:lang w:val="fr-FR"/>
        </w:rPr>
        <w:t>le rapport sur les activités du Comité d’application soumis à la Réunion des Parties à la Convention à sa neuvième session, en particulier la section concernant la Bosnie-Herzégovine</w:t>
      </w:r>
      <w:r w:rsidRPr="00903D68">
        <w:rPr>
          <w:rStyle w:val="Appelnotedebasdep"/>
        </w:rPr>
        <w:footnoteReference w:id="22"/>
      </w:r>
      <w:r>
        <w:rPr>
          <w:lang w:val="fr-FR"/>
        </w:rPr>
        <w:t>,</w:t>
      </w:r>
    </w:p>
    <w:p w14:paraId="4BFC7E6E" w14:textId="6C628E38" w:rsidR="002344A6" w:rsidRPr="00903D68" w:rsidRDefault="002344A6" w:rsidP="002344A6">
      <w:pPr>
        <w:pStyle w:val="SingleTxtG"/>
        <w:ind w:firstLine="567"/>
        <w:rPr>
          <w:rFonts w:eastAsia="SimSun"/>
        </w:rPr>
      </w:pPr>
      <w:r>
        <w:rPr>
          <w:lang w:val="fr-FR"/>
        </w:rPr>
        <w:t>1.</w:t>
      </w:r>
      <w:r>
        <w:rPr>
          <w:lang w:val="fr-FR"/>
        </w:rPr>
        <w:tab/>
      </w:r>
      <w:r>
        <w:rPr>
          <w:i/>
          <w:iCs/>
          <w:lang w:val="fr-FR"/>
        </w:rPr>
        <w:t xml:space="preserve">Font leurs </w:t>
      </w:r>
      <w:r>
        <w:rPr>
          <w:lang w:val="fr-FR"/>
        </w:rPr>
        <w:t>les conclusions du Comité d’application selon lesquelles</w:t>
      </w:r>
      <w:r w:rsidR="006574E7">
        <w:rPr>
          <w:lang w:val="fr-FR"/>
        </w:rPr>
        <w:t> :</w:t>
      </w:r>
      <w:r>
        <w:rPr>
          <w:lang w:val="fr-FR"/>
        </w:rPr>
        <w:t xml:space="preserve"> </w:t>
      </w:r>
    </w:p>
    <w:p w14:paraId="308B0E9D" w14:textId="06B9C3EC" w:rsidR="002344A6" w:rsidRPr="00903D68" w:rsidRDefault="002344A6" w:rsidP="002344A6">
      <w:pPr>
        <w:pStyle w:val="SingleTxtG"/>
        <w:ind w:firstLine="567"/>
        <w:rPr>
          <w:rFonts w:eastAsia="SimSun"/>
        </w:rPr>
      </w:pPr>
      <w:r>
        <w:rPr>
          <w:lang w:val="fr-FR"/>
        </w:rPr>
        <w:t>a)</w:t>
      </w:r>
      <w:r>
        <w:rPr>
          <w:lang w:val="fr-FR"/>
        </w:rPr>
        <w:tab/>
        <w:t xml:space="preserve">Les </w:t>
      </w:r>
      <w:r w:rsidRPr="00A33A0D">
        <w:rPr>
          <w:lang w:val="fr-FR"/>
        </w:rPr>
        <w:t>Parties concernées</w:t>
      </w:r>
      <w:r>
        <w:rPr>
          <w:lang w:val="fr-FR"/>
        </w:rPr>
        <w:t xml:space="preserve"> doivent dès que possible rendre compte au Comité de toutes les allégations et informations concernant les faits auxquelles elles souhaitent se référer et qui sont pertinentes pour les conclusions concernant l’affaire. L’allégation du Monténégro selon laquelle la Bosnie-Herzégovine n’aurait fixé aucun délai au cours de la procédure de 2012-2013 n’a été communiquée qu’après réception du projet révisé de conclusions et de recommandations du Comité. La communication tardive de nouvelles allégations par le Monténégro a considérablement entravé les travaux du Comité</w:t>
      </w:r>
      <w:r w:rsidR="006574E7">
        <w:rPr>
          <w:lang w:val="fr-FR"/>
        </w:rPr>
        <w:t> ;</w:t>
      </w:r>
    </w:p>
    <w:p w14:paraId="61BC6FE7" w14:textId="0D66447A" w:rsidR="002344A6" w:rsidRPr="00903D68" w:rsidRDefault="002344A6" w:rsidP="002344A6">
      <w:pPr>
        <w:pStyle w:val="SingleTxtG"/>
        <w:ind w:firstLine="567"/>
        <w:rPr>
          <w:rFonts w:eastAsia="SimSun"/>
        </w:rPr>
      </w:pPr>
      <w:r>
        <w:rPr>
          <w:lang w:val="fr-FR"/>
        </w:rPr>
        <w:t>b)</w:t>
      </w:r>
      <w:r>
        <w:rPr>
          <w:lang w:val="fr-FR"/>
        </w:rPr>
        <w:tab/>
        <w:t>En ne notifiant pas l’activité au Monténégro au début de la procédure de 2012</w:t>
      </w:r>
      <w:r w:rsidR="00AF568D">
        <w:rPr>
          <w:lang w:val="fr-FR"/>
        </w:rPr>
        <w:noBreakHyphen/>
      </w:r>
      <w:r>
        <w:rPr>
          <w:lang w:val="fr-FR"/>
        </w:rPr>
        <w:t>2013, la Bosnie-Herzégovine a manqué aux obligations lui incombant au titre des articles</w:t>
      </w:r>
      <w:r w:rsidR="00654248">
        <w:rPr>
          <w:lang w:val="fr-FR"/>
        </w:rPr>
        <w:t> </w:t>
      </w:r>
      <w:r>
        <w:rPr>
          <w:lang w:val="fr-FR"/>
        </w:rPr>
        <w:t>2 (</w:t>
      </w:r>
      <w:r w:rsidR="00076AD3">
        <w:rPr>
          <w:lang w:val="fr-FR"/>
        </w:rPr>
        <w:t>par. </w:t>
      </w:r>
      <w:r>
        <w:rPr>
          <w:lang w:val="fr-FR"/>
        </w:rPr>
        <w:t>4) et 3 (</w:t>
      </w:r>
      <w:r w:rsidR="00076AD3">
        <w:rPr>
          <w:lang w:val="fr-FR"/>
        </w:rPr>
        <w:t>par. </w:t>
      </w:r>
      <w:r>
        <w:rPr>
          <w:lang w:val="fr-FR"/>
        </w:rPr>
        <w:t>1) de la Convention</w:t>
      </w:r>
      <w:r w:rsidR="006574E7">
        <w:rPr>
          <w:lang w:val="fr-FR"/>
        </w:rPr>
        <w:t> ;</w:t>
      </w:r>
    </w:p>
    <w:p w14:paraId="151DED14" w14:textId="292CBA0D" w:rsidR="002344A6" w:rsidRPr="00903D68" w:rsidRDefault="002344A6" w:rsidP="002344A6">
      <w:pPr>
        <w:pStyle w:val="SingleTxtG"/>
        <w:ind w:firstLine="567"/>
        <w:rPr>
          <w:rFonts w:eastAsia="SimSun"/>
        </w:rPr>
      </w:pPr>
      <w:r>
        <w:rPr>
          <w:lang w:val="fr-FR"/>
        </w:rPr>
        <w:t>c)</w:t>
      </w:r>
      <w:r>
        <w:rPr>
          <w:lang w:val="fr-FR"/>
        </w:rPr>
        <w:tab/>
        <w:t>Il n’a pas été remédié à ce manquement par la fixation ultérieure d’un délai conformément à l’</w:t>
      </w:r>
      <w:r w:rsidR="00076AD3">
        <w:rPr>
          <w:lang w:val="fr-FR"/>
        </w:rPr>
        <w:t>article </w:t>
      </w:r>
      <w:r>
        <w:rPr>
          <w:lang w:val="fr-FR"/>
        </w:rPr>
        <w:t>3 de la Convention</w:t>
      </w:r>
      <w:r w:rsidR="006574E7">
        <w:rPr>
          <w:lang w:val="fr-FR"/>
        </w:rPr>
        <w:t> ;</w:t>
      </w:r>
      <w:r>
        <w:rPr>
          <w:lang w:val="fr-FR"/>
        </w:rPr>
        <w:t xml:space="preserve"> la Bosnie-Herzégovine n’a pas apporté la preuve de ce qu’elle considérait comme un accord conclu avec le Monténégro à cet effet et n’y a pas donné suite</w:t>
      </w:r>
      <w:r w:rsidR="006574E7">
        <w:rPr>
          <w:lang w:val="fr-FR"/>
        </w:rPr>
        <w:t> ;</w:t>
      </w:r>
    </w:p>
    <w:p w14:paraId="381CCAEB" w14:textId="517E47A6" w:rsidR="002344A6" w:rsidRPr="00903D68" w:rsidRDefault="002344A6" w:rsidP="002344A6">
      <w:pPr>
        <w:pStyle w:val="SingleTxtG"/>
        <w:ind w:firstLine="567"/>
        <w:rPr>
          <w:rFonts w:eastAsia="SimSun"/>
        </w:rPr>
      </w:pPr>
      <w:r>
        <w:rPr>
          <w:lang w:val="fr-FR"/>
        </w:rPr>
        <w:t>d)</w:t>
      </w:r>
      <w:r>
        <w:rPr>
          <w:lang w:val="fr-FR"/>
        </w:rPr>
        <w:tab/>
        <w:t>En ne communiquant pas la décision finale au Monténégro, la Bosnie</w:t>
      </w:r>
      <w:r w:rsidR="00654248">
        <w:rPr>
          <w:lang w:val="fr-FR"/>
        </w:rPr>
        <w:noBreakHyphen/>
      </w:r>
      <w:r>
        <w:rPr>
          <w:lang w:val="fr-FR"/>
        </w:rPr>
        <w:t>Herzégovine a manqué aux obligations lui incombant au titre de l’</w:t>
      </w:r>
      <w:r w:rsidR="00076AD3">
        <w:rPr>
          <w:lang w:val="fr-FR"/>
        </w:rPr>
        <w:t>article </w:t>
      </w:r>
      <w:r>
        <w:rPr>
          <w:lang w:val="fr-FR"/>
        </w:rPr>
        <w:t>6 (</w:t>
      </w:r>
      <w:r w:rsidR="00076AD3">
        <w:rPr>
          <w:lang w:val="fr-FR"/>
        </w:rPr>
        <w:t>par. </w:t>
      </w:r>
      <w:r>
        <w:rPr>
          <w:lang w:val="fr-FR"/>
        </w:rPr>
        <w:t>2) de la Convention</w:t>
      </w:r>
      <w:r w:rsidR="006574E7">
        <w:rPr>
          <w:lang w:val="fr-FR"/>
        </w:rPr>
        <w:t> ;</w:t>
      </w:r>
    </w:p>
    <w:p w14:paraId="43A16B1E" w14:textId="7055353E" w:rsidR="002344A6" w:rsidRPr="00903D68" w:rsidRDefault="002344A6" w:rsidP="002344A6">
      <w:pPr>
        <w:pStyle w:val="SingleTxtG"/>
        <w:ind w:firstLine="567"/>
        <w:rPr>
          <w:rFonts w:eastAsia="SimSun"/>
        </w:rPr>
      </w:pPr>
      <w:r>
        <w:rPr>
          <w:lang w:val="fr-FR"/>
        </w:rPr>
        <w:t>e)</w:t>
      </w:r>
      <w:r>
        <w:rPr>
          <w:lang w:val="fr-FR"/>
        </w:rPr>
        <w:tab/>
      </w:r>
      <w:r w:rsidRPr="00F6163A">
        <w:rPr>
          <w:lang w:val="fr-FR"/>
        </w:rPr>
        <w:t>La procédure d</w:t>
      </w:r>
      <w:r>
        <w:rPr>
          <w:lang w:val="fr-FR"/>
        </w:rPr>
        <w:t>’</w:t>
      </w:r>
      <w:r w:rsidRPr="00F6163A">
        <w:rPr>
          <w:lang w:val="fr-FR"/>
        </w:rPr>
        <w:t>évaluation de l</w:t>
      </w:r>
      <w:r>
        <w:rPr>
          <w:lang w:val="fr-FR"/>
        </w:rPr>
        <w:t>’</w:t>
      </w:r>
      <w:r w:rsidRPr="00F6163A">
        <w:rPr>
          <w:lang w:val="fr-FR"/>
        </w:rPr>
        <w:t>impact sur l</w:t>
      </w:r>
      <w:r>
        <w:rPr>
          <w:lang w:val="fr-FR"/>
        </w:rPr>
        <w:t>’</w:t>
      </w:r>
      <w:r w:rsidRPr="00F6163A">
        <w:rPr>
          <w:lang w:val="fr-FR"/>
        </w:rPr>
        <w:t>environnement menée par la Bosnie-et-Herzégovine en 2012-2013</w:t>
      </w:r>
      <w:r>
        <w:rPr>
          <w:i/>
          <w:iCs/>
          <w:lang w:val="fr-FR"/>
        </w:rPr>
        <w:t xml:space="preserve"> </w:t>
      </w:r>
      <w:r>
        <w:rPr>
          <w:lang w:val="fr-FR"/>
        </w:rPr>
        <w:t>n’était pas conforme à la Convention et, par conséquent, ne pouvait pas être prise en considération pour les décisions d’autorisation d’exploiter ultérieures</w:t>
      </w:r>
      <w:r w:rsidR="006574E7">
        <w:rPr>
          <w:lang w:val="fr-FR"/>
        </w:rPr>
        <w:t> ;</w:t>
      </w:r>
    </w:p>
    <w:p w14:paraId="22973E42" w14:textId="7EF8E93C" w:rsidR="002344A6" w:rsidRPr="00903D68" w:rsidRDefault="002344A6" w:rsidP="00AF568D">
      <w:pPr>
        <w:pStyle w:val="SingleTxtG"/>
        <w:keepNext/>
        <w:keepLines/>
        <w:ind w:firstLine="567"/>
        <w:rPr>
          <w:rFonts w:eastAsia="SimSun"/>
        </w:rPr>
      </w:pPr>
      <w:r>
        <w:rPr>
          <w:lang w:val="fr-FR"/>
        </w:rPr>
        <w:lastRenderedPageBreak/>
        <w:t>f)</w:t>
      </w:r>
      <w:r>
        <w:rPr>
          <w:lang w:val="fr-FR"/>
        </w:rPr>
        <w:tab/>
        <w:t xml:space="preserve">En ne procédant pas à une nouvelle évaluation de l’impact sur l’environnement avant de délivrer une nouvelle autorisation d’exploiter en 2019 pour les activités prévues à la centrale </w:t>
      </w:r>
      <w:proofErr w:type="spellStart"/>
      <w:r>
        <w:rPr>
          <w:lang w:val="fr-FR"/>
        </w:rPr>
        <w:t>hydroélectrique</w:t>
      </w:r>
      <w:proofErr w:type="spellEnd"/>
      <w:r>
        <w:rPr>
          <w:lang w:val="fr-FR"/>
        </w:rPr>
        <w:t xml:space="preserve"> de </w:t>
      </w:r>
      <w:proofErr w:type="spellStart"/>
      <w:r>
        <w:rPr>
          <w:lang w:val="fr-FR"/>
        </w:rPr>
        <w:t>Buk</w:t>
      </w:r>
      <w:proofErr w:type="spellEnd"/>
      <w:r>
        <w:rPr>
          <w:lang w:val="fr-FR"/>
        </w:rPr>
        <w:t xml:space="preserve"> </w:t>
      </w:r>
      <w:proofErr w:type="spellStart"/>
      <w:r>
        <w:rPr>
          <w:lang w:val="fr-FR"/>
        </w:rPr>
        <w:t>Bijela</w:t>
      </w:r>
      <w:proofErr w:type="spellEnd"/>
      <w:r>
        <w:rPr>
          <w:lang w:val="fr-FR"/>
        </w:rPr>
        <w:t>, la Bosnie-Herzégovine a manqué aux obligations lui incombant au titre des articles</w:t>
      </w:r>
      <w:r w:rsidR="00AF568D">
        <w:rPr>
          <w:lang w:val="fr-FR"/>
        </w:rPr>
        <w:t> </w:t>
      </w:r>
      <w:r>
        <w:rPr>
          <w:lang w:val="fr-FR"/>
        </w:rPr>
        <w:t>2 (</w:t>
      </w:r>
      <w:r w:rsidR="00076AD3">
        <w:rPr>
          <w:lang w:val="fr-FR"/>
        </w:rPr>
        <w:t>par. </w:t>
      </w:r>
      <w:r>
        <w:rPr>
          <w:lang w:val="fr-FR"/>
        </w:rPr>
        <w:t>2 et 3) et 4 (</w:t>
      </w:r>
      <w:r w:rsidR="00076AD3">
        <w:rPr>
          <w:lang w:val="fr-FR"/>
        </w:rPr>
        <w:t>par. </w:t>
      </w:r>
      <w:r>
        <w:rPr>
          <w:lang w:val="fr-FR"/>
        </w:rPr>
        <w:t>1) de la Convention</w:t>
      </w:r>
      <w:r w:rsidR="006574E7">
        <w:rPr>
          <w:lang w:val="fr-FR"/>
        </w:rPr>
        <w:t> ;</w:t>
      </w:r>
    </w:p>
    <w:p w14:paraId="1F3C3415" w14:textId="44C7437A" w:rsidR="002344A6" w:rsidRPr="00903D68" w:rsidRDefault="002344A6" w:rsidP="002344A6">
      <w:pPr>
        <w:pStyle w:val="SingleTxtG"/>
        <w:ind w:firstLine="567"/>
        <w:rPr>
          <w:rFonts w:eastAsia="SimSun"/>
        </w:rPr>
      </w:pPr>
      <w:r>
        <w:rPr>
          <w:lang w:val="fr-FR"/>
        </w:rPr>
        <w:t>g)</w:t>
      </w:r>
      <w:r>
        <w:rPr>
          <w:lang w:val="fr-FR"/>
        </w:rPr>
        <w:tab/>
        <w:t xml:space="preserve">La Bosnie-Herzégovine n’avait pas manqué aux obligations lui incombant au titre du Protocole, car celui-ci n’était entré en vigueur à son égard qu’après le lancement de la procédure d’adoption de plans ou de programmes pour le secteur de l’énergie incluant la centrale </w:t>
      </w:r>
      <w:proofErr w:type="spellStart"/>
      <w:r>
        <w:rPr>
          <w:lang w:val="fr-FR"/>
        </w:rPr>
        <w:t>hydroélectrique</w:t>
      </w:r>
      <w:proofErr w:type="spellEnd"/>
      <w:r>
        <w:rPr>
          <w:lang w:val="fr-FR"/>
        </w:rPr>
        <w:t xml:space="preserve"> de </w:t>
      </w:r>
      <w:proofErr w:type="spellStart"/>
      <w:r>
        <w:rPr>
          <w:lang w:val="fr-FR"/>
        </w:rPr>
        <w:t>Buk</w:t>
      </w:r>
      <w:proofErr w:type="spellEnd"/>
      <w:r>
        <w:rPr>
          <w:lang w:val="fr-FR"/>
        </w:rPr>
        <w:t xml:space="preserve"> </w:t>
      </w:r>
      <w:proofErr w:type="spellStart"/>
      <w:r>
        <w:rPr>
          <w:lang w:val="fr-FR"/>
        </w:rPr>
        <w:t>Bijela</w:t>
      </w:r>
      <w:proofErr w:type="spellEnd"/>
      <w:r w:rsidR="006574E7">
        <w:rPr>
          <w:lang w:val="fr-FR"/>
        </w:rPr>
        <w:t> ;</w:t>
      </w:r>
    </w:p>
    <w:p w14:paraId="63A6D5C1" w14:textId="304FF4F0" w:rsidR="002344A6" w:rsidRPr="00903D68" w:rsidRDefault="002344A6" w:rsidP="002344A6">
      <w:pPr>
        <w:pStyle w:val="SingleTxtG"/>
        <w:ind w:firstLine="567"/>
        <w:rPr>
          <w:rFonts w:eastAsia="SimSun"/>
        </w:rPr>
      </w:pPr>
      <w:r>
        <w:rPr>
          <w:lang w:val="fr-FR"/>
        </w:rPr>
        <w:t>2.</w:t>
      </w:r>
      <w:r>
        <w:rPr>
          <w:lang w:val="fr-FR"/>
        </w:rPr>
        <w:tab/>
      </w:r>
      <w:r>
        <w:rPr>
          <w:i/>
          <w:iCs/>
          <w:lang w:val="fr-FR"/>
        </w:rPr>
        <w:t>Saluent</w:t>
      </w:r>
      <w:r>
        <w:rPr>
          <w:lang w:val="fr-FR"/>
        </w:rPr>
        <w:t xml:space="preserve"> le fait que les Parties aient entamé une coopération bilatérale pour traiter certaines des questions litigieuses et recommandent qu’à l’avenir, les Parties élargissent la portée de cette coopération pour aborder des questions d’ordre plus général</w:t>
      </w:r>
      <w:r w:rsidR="006574E7">
        <w:rPr>
          <w:lang w:val="fr-FR"/>
        </w:rPr>
        <w:t> ;</w:t>
      </w:r>
      <w:r>
        <w:rPr>
          <w:lang w:val="fr-FR"/>
        </w:rPr>
        <w:t xml:space="preserve"> </w:t>
      </w:r>
    </w:p>
    <w:p w14:paraId="12633BEF" w14:textId="381174E3" w:rsidR="002344A6" w:rsidRPr="00903D68" w:rsidRDefault="002344A6" w:rsidP="002344A6">
      <w:pPr>
        <w:pStyle w:val="SingleTxtG"/>
        <w:ind w:firstLine="567"/>
        <w:rPr>
          <w:rFonts w:eastAsia="SimSun"/>
        </w:rPr>
      </w:pPr>
      <w:r>
        <w:rPr>
          <w:lang w:val="fr-FR"/>
        </w:rPr>
        <w:t>3.</w:t>
      </w:r>
      <w:r>
        <w:rPr>
          <w:lang w:val="fr-FR"/>
        </w:rPr>
        <w:tab/>
      </w:r>
      <w:r>
        <w:rPr>
          <w:i/>
          <w:iCs/>
          <w:lang w:val="fr-FR"/>
        </w:rPr>
        <w:t xml:space="preserve">Se félicitent </w:t>
      </w:r>
      <w:r>
        <w:rPr>
          <w:lang w:val="fr-FR"/>
        </w:rPr>
        <w:t>du fait que la coopération bilatérale ait débouché sur la création d’un groupe de travail conjoint chargé d’examiner non seulement le présent projet, mais aussi les futures activités proposées, afin de renforcer la confiance et la compréhension entre les Parties</w:t>
      </w:r>
      <w:r w:rsidR="006574E7">
        <w:rPr>
          <w:lang w:val="fr-FR"/>
        </w:rPr>
        <w:t> ;</w:t>
      </w:r>
      <w:r>
        <w:rPr>
          <w:lang w:val="fr-FR"/>
        </w:rPr>
        <w:t xml:space="preserve"> </w:t>
      </w:r>
    </w:p>
    <w:p w14:paraId="03FF0C1B" w14:textId="6A2ADEE2" w:rsidR="002344A6" w:rsidRPr="00903D68" w:rsidRDefault="002344A6" w:rsidP="002344A6">
      <w:pPr>
        <w:pStyle w:val="SingleTxtG"/>
        <w:ind w:firstLine="567"/>
        <w:rPr>
          <w:rFonts w:eastAsia="SimSun"/>
        </w:rPr>
      </w:pPr>
      <w:r>
        <w:rPr>
          <w:lang w:val="fr-FR"/>
        </w:rPr>
        <w:t>4.</w:t>
      </w:r>
      <w:r>
        <w:rPr>
          <w:lang w:val="fr-FR"/>
        </w:rPr>
        <w:tab/>
      </w:r>
      <w:r>
        <w:rPr>
          <w:i/>
          <w:iCs/>
          <w:lang w:val="fr-FR"/>
        </w:rPr>
        <w:t>Prient</w:t>
      </w:r>
      <w:r>
        <w:rPr>
          <w:lang w:val="fr-FR"/>
        </w:rPr>
        <w:t xml:space="preserve"> la Bosnie-Herzégovine de mener une procédure d’évaluation de l’impact transfrontière sur l’environnement associant le Monténégro et, si nécessaire, d’autres Parties touchées, et notamment de</w:t>
      </w:r>
      <w:r w:rsidR="006574E7">
        <w:rPr>
          <w:lang w:val="fr-FR"/>
        </w:rPr>
        <w:t> :</w:t>
      </w:r>
      <w:r>
        <w:rPr>
          <w:lang w:val="fr-FR"/>
        </w:rPr>
        <w:t xml:space="preserve"> </w:t>
      </w:r>
    </w:p>
    <w:p w14:paraId="6A8017D6" w14:textId="00381F83" w:rsidR="002344A6" w:rsidRPr="00903D68" w:rsidRDefault="002344A6" w:rsidP="002344A6">
      <w:pPr>
        <w:pStyle w:val="SingleTxtG"/>
        <w:ind w:firstLine="567"/>
        <w:rPr>
          <w:rFonts w:eastAsia="SimSun"/>
        </w:rPr>
      </w:pPr>
      <w:r>
        <w:rPr>
          <w:lang w:val="fr-FR"/>
        </w:rPr>
        <w:t>a)</w:t>
      </w:r>
      <w:r>
        <w:rPr>
          <w:lang w:val="fr-FR"/>
        </w:rPr>
        <w:tab/>
        <w:t xml:space="preserve">Mener à bien les consultations avec le public et les autorités des Parties touchées sur la base du </w:t>
      </w:r>
      <w:r w:rsidRPr="00063527">
        <w:rPr>
          <w:lang w:val="fr-FR"/>
        </w:rPr>
        <w:t>dossier d</w:t>
      </w:r>
      <w:r>
        <w:rPr>
          <w:lang w:val="fr-FR"/>
        </w:rPr>
        <w:t>’</w:t>
      </w:r>
      <w:r w:rsidRPr="00063527">
        <w:rPr>
          <w:lang w:val="fr-FR"/>
        </w:rPr>
        <w:t>évaluation</w:t>
      </w:r>
      <w:r>
        <w:rPr>
          <w:lang w:val="fr-FR"/>
        </w:rPr>
        <w:t xml:space="preserve"> de l’impact sur l’environnement, conformément aux articles</w:t>
      </w:r>
      <w:r w:rsidR="00AF568D">
        <w:rPr>
          <w:lang w:val="fr-FR"/>
        </w:rPr>
        <w:t> </w:t>
      </w:r>
      <w:r>
        <w:rPr>
          <w:lang w:val="fr-FR"/>
        </w:rPr>
        <w:t>3 (</w:t>
      </w:r>
      <w:r w:rsidR="00076AD3">
        <w:rPr>
          <w:lang w:val="fr-FR"/>
        </w:rPr>
        <w:t>par. </w:t>
      </w:r>
      <w:r>
        <w:rPr>
          <w:lang w:val="fr-FR"/>
        </w:rPr>
        <w:t>8), 4 (</w:t>
      </w:r>
      <w:r w:rsidR="00076AD3">
        <w:rPr>
          <w:lang w:val="fr-FR"/>
        </w:rPr>
        <w:t>par. </w:t>
      </w:r>
      <w:r>
        <w:rPr>
          <w:lang w:val="fr-FR"/>
        </w:rPr>
        <w:t>2) et 5 de la Convention</w:t>
      </w:r>
      <w:r w:rsidR="006574E7">
        <w:rPr>
          <w:lang w:val="fr-FR"/>
        </w:rPr>
        <w:t> ;</w:t>
      </w:r>
      <w:r>
        <w:rPr>
          <w:lang w:val="fr-FR"/>
        </w:rPr>
        <w:t xml:space="preserve"> </w:t>
      </w:r>
    </w:p>
    <w:p w14:paraId="4F1F5724" w14:textId="6BF67A62" w:rsidR="002344A6" w:rsidRPr="00903D68" w:rsidRDefault="002344A6" w:rsidP="002344A6">
      <w:pPr>
        <w:pStyle w:val="SingleTxtG"/>
        <w:ind w:firstLine="567"/>
        <w:rPr>
          <w:rFonts w:eastAsia="SimSun"/>
        </w:rPr>
      </w:pPr>
      <w:r>
        <w:rPr>
          <w:lang w:val="fr-FR"/>
        </w:rPr>
        <w:t>b)</w:t>
      </w:r>
      <w:r>
        <w:rPr>
          <w:lang w:val="fr-FR"/>
        </w:rPr>
        <w:tab/>
        <w:t xml:space="preserve">Réviser la décision définitive concernant la prolongation de la durée de vie de la centrale </w:t>
      </w:r>
      <w:proofErr w:type="spellStart"/>
      <w:r>
        <w:rPr>
          <w:lang w:val="fr-FR"/>
        </w:rPr>
        <w:t>hydroélectrique</w:t>
      </w:r>
      <w:proofErr w:type="spellEnd"/>
      <w:r>
        <w:rPr>
          <w:lang w:val="fr-FR"/>
        </w:rPr>
        <w:t xml:space="preserve"> de </w:t>
      </w:r>
      <w:proofErr w:type="spellStart"/>
      <w:r>
        <w:rPr>
          <w:lang w:val="fr-FR"/>
        </w:rPr>
        <w:t>Buk</w:t>
      </w:r>
      <w:proofErr w:type="spellEnd"/>
      <w:r>
        <w:rPr>
          <w:lang w:val="fr-FR"/>
        </w:rPr>
        <w:t xml:space="preserve"> </w:t>
      </w:r>
      <w:proofErr w:type="spellStart"/>
      <w:r>
        <w:rPr>
          <w:lang w:val="fr-FR"/>
        </w:rPr>
        <w:t>Bijela</w:t>
      </w:r>
      <w:proofErr w:type="spellEnd"/>
      <w:r>
        <w:rPr>
          <w:lang w:val="fr-FR"/>
        </w:rPr>
        <w:t xml:space="preserve"> en tenant dûment compte des résultats de la procédure d’évaluation de l’impact sur l’environnement, notamment du dossier d’évaluation de l’impact sur l’environnement et des observations reçues des Parties touchées, conformément à l’</w:t>
      </w:r>
      <w:r w:rsidR="00076AD3">
        <w:rPr>
          <w:lang w:val="fr-FR"/>
        </w:rPr>
        <w:t>article </w:t>
      </w:r>
      <w:r>
        <w:rPr>
          <w:lang w:val="fr-FR"/>
        </w:rPr>
        <w:t>6 de la Convention</w:t>
      </w:r>
      <w:r w:rsidR="006574E7">
        <w:rPr>
          <w:lang w:val="fr-FR"/>
        </w:rPr>
        <w:t> ;</w:t>
      </w:r>
      <w:r>
        <w:rPr>
          <w:lang w:val="fr-FR"/>
        </w:rPr>
        <w:t xml:space="preserve"> </w:t>
      </w:r>
    </w:p>
    <w:p w14:paraId="005ED739" w14:textId="45B19CE4" w:rsidR="002344A6" w:rsidRPr="00903D68" w:rsidRDefault="002344A6" w:rsidP="002344A6">
      <w:pPr>
        <w:pStyle w:val="SingleTxtG"/>
        <w:ind w:firstLine="567"/>
        <w:rPr>
          <w:rFonts w:eastAsia="SimSun"/>
        </w:rPr>
      </w:pPr>
      <w:r>
        <w:rPr>
          <w:lang w:val="fr-FR"/>
        </w:rPr>
        <w:t>c)</w:t>
      </w:r>
      <w:r>
        <w:rPr>
          <w:lang w:val="fr-FR"/>
        </w:rPr>
        <w:tab/>
        <w:t>Communiquer aux Parties touchées la décision définitive révisée</w:t>
      </w:r>
      <w:r w:rsidR="006574E7">
        <w:rPr>
          <w:lang w:val="fr-FR"/>
        </w:rPr>
        <w:t> ;</w:t>
      </w:r>
      <w:r>
        <w:rPr>
          <w:lang w:val="fr-FR"/>
        </w:rPr>
        <w:t xml:space="preserve"> </w:t>
      </w:r>
    </w:p>
    <w:p w14:paraId="517362B3" w14:textId="7ECFB0CD" w:rsidR="002344A6" w:rsidRPr="00903D68" w:rsidRDefault="002344A6" w:rsidP="002344A6">
      <w:pPr>
        <w:pStyle w:val="SingleTxtG"/>
        <w:ind w:firstLine="567"/>
        <w:rPr>
          <w:rFonts w:eastAsia="SimSun"/>
        </w:rPr>
      </w:pPr>
      <w:r>
        <w:rPr>
          <w:lang w:val="fr-FR"/>
        </w:rPr>
        <w:t>5.</w:t>
      </w:r>
      <w:r>
        <w:rPr>
          <w:lang w:val="fr-FR"/>
        </w:rPr>
        <w:tab/>
      </w:r>
      <w:r>
        <w:rPr>
          <w:i/>
          <w:iCs/>
          <w:lang w:val="fr-FR"/>
        </w:rPr>
        <w:t xml:space="preserve">Prient également </w:t>
      </w:r>
      <w:r>
        <w:rPr>
          <w:lang w:val="fr-FR"/>
        </w:rPr>
        <w:t>la Bosnie-Herzégovine de fournir au Comité d’application, dès que possible et au plus tard le 15</w:t>
      </w:r>
      <w:r w:rsidR="00AF568D">
        <w:rPr>
          <w:lang w:val="fr-FR"/>
        </w:rPr>
        <w:t> </w:t>
      </w:r>
      <w:r>
        <w:rPr>
          <w:lang w:val="fr-FR"/>
        </w:rPr>
        <w:t>janvier 2024, un plan détaillé, assorti d’un calendrier, d’exécution des mesures prévues dans les recommandations ci-dessus</w:t>
      </w:r>
      <w:r w:rsidR="006574E7">
        <w:rPr>
          <w:lang w:val="fr-FR"/>
        </w:rPr>
        <w:t> ;</w:t>
      </w:r>
      <w:r>
        <w:rPr>
          <w:lang w:val="fr-FR"/>
        </w:rPr>
        <w:t xml:space="preserve"> </w:t>
      </w:r>
    </w:p>
    <w:p w14:paraId="529E4153" w14:textId="695E3FB2" w:rsidR="002344A6" w:rsidRPr="00903D68" w:rsidRDefault="002344A6" w:rsidP="002344A6">
      <w:pPr>
        <w:pStyle w:val="SingleTxtG"/>
        <w:ind w:firstLine="567"/>
        <w:rPr>
          <w:rFonts w:eastAsia="SimSun"/>
        </w:rPr>
      </w:pPr>
      <w:r>
        <w:rPr>
          <w:lang w:val="fr-FR"/>
        </w:rPr>
        <w:t>6.</w:t>
      </w:r>
      <w:r>
        <w:rPr>
          <w:lang w:val="fr-FR"/>
        </w:rPr>
        <w:tab/>
      </w:r>
      <w:r>
        <w:rPr>
          <w:i/>
          <w:iCs/>
          <w:lang w:val="fr-FR"/>
        </w:rPr>
        <w:t xml:space="preserve">Prient en outre </w:t>
      </w:r>
      <w:r>
        <w:rPr>
          <w:lang w:val="fr-FR"/>
        </w:rPr>
        <w:t>la Bosnie-Herzégovine de rendre compte au Comité d’application, avant la fin de chaque année, des mesures prises pour mener à bien la procédure d’évaluation de l’impact transfrontière sur l’environnement</w:t>
      </w:r>
      <w:r w:rsidR="006574E7">
        <w:rPr>
          <w:lang w:val="fr-FR"/>
        </w:rPr>
        <w:t> ;</w:t>
      </w:r>
    </w:p>
    <w:p w14:paraId="1C3CDC47" w14:textId="77777777" w:rsidR="002344A6" w:rsidRPr="00903D68" w:rsidRDefault="002344A6" w:rsidP="002344A6">
      <w:pPr>
        <w:pStyle w:val="SingleTxtG"/>
        <w:rPr>
          <w:rFonts w:eastAsia="SimSun"/>
        </w:rPr>
      </w:pPr>
      <w:r>
        <w:rPr>
          <w:lang w:val="fr-FR"/>
        </w:rPr>
        <w:t>7.</w:t>
      </w:r>
      <w:r>
        <w:rPr>
          <w:lang w:val="fr-FR"/>
        </w:rPr>
        <w:tab/>
      </w:r>
      <w:r>
        <w:rPr>
          <w:i/>
          <w:iCs/>
          <w:lang w:val="fr-FR"/>
        </w:rPr>
        <w:t>Prient</w:t>
      </w:r>
      <w:r>
        <w:rPr>
          <w:lang w:val="fr-FR"/>
        </w:rPr>
        <w:t xml:space="preserve"> le Comité d’application de faire rapport à la Réunion des Parties à la Convention et à la Réunion des Parties au Protocole, respectivement à </w:t>
      </w:r>
      <w:proofErr w:type="gramStart"/>
      <w:r>
        <w:rPr>
          <w:lang w:val="fr-FR"/>
        </w:rPr>
        <w:t>leurs dixième et sixième sessions</w:t>
      </w:r>
      <w:proofErr w:type="gramEnd"/>
      <w:r>
        <w:rPr>
          <w:lang w:val="fr-FR"/>
        </w:rPr>
        <w:t xml:space="preserve">, sur le respect des dispositions par la Bosnie-Herzégovine en ce qui concerne l’autorisation d’exploiter délivrée pour la centrale </w:t>
      </w:r>
      <w:proofErr w:type="spellStart"/>
      <w:r>
        <w:rPr>
          <w:lang w:val="fr-FR"/>
        </w:rPr>
        <w:t>hydroélectrique</w:t>
      </w:r>
      <w:proofErr w:type="spellEnd"/>
      <w:r>
        <w:rPr>
          <w:lang w:val="fr-FR"/>
        </w:rPr>
        <w:t xml:space="preserve"> de </w:t>
      </w:r>
      <w:proofErr w:type="spellStart"/>
      <w:r>
        <w:rPr>
          <w:lang w:val="fr-FR"/>
        </w:rPr>
        <w:t>Buk</w:t>
      </w:r>
      <w:proofErr w:type="spellEnd"/>
      <w:r>
        <w:rPr>
          <w:lang w:val="fr-FR"/>
        </w:rPr>
        <w:t xml:space="preserve"> </w:t>
      </w:r>
      <w:proofErr w:type="spellStart"/>
      <w:r>
        <w:rPr>
          <w:lang w:val="fr-FR"/>
        </w:rPr>
        <w:t>Bijela</w:t>
      </w:r>
      <w:proofErr w:type="spellEnd"/>
      <w:r>
        <w:rPr>
          <w:lang w:val="fr-FR"/>
        </w:rPr>
        <w:t>.]</w:t>
      </w:r>
    </w:p>
    <w:p w14:paraId="2A009C97" w14:textId="3DEF5712" w:rsidR="005F26E5" w:rsidRPr="002344A6" w:rsidRDefault="002344A6" w:rsidP="002344A6">
      <w:pPr>
        <w:pStyle w:val="SingleTxtG"/>
        <w:spacing w:before="240" w:after="0"/>
        <w:jc w:val="center"/>
        <w:rPr>
          <w:u w:val="single"/>
        </w:rPr>
      </w:pPr>
      <w:r>
        <w:rPr>
          <w:u w:val="single"/>
        </w:rPr>
        <w:tab/>
      </w:r>
      <w:r>
        <w:rPr>
          <w:u w:val="single"/>
        </w:rPr>
        <w:tab/>
      </w:r>
      <w:r>
        <w:rPr>
          <w:u w:val="single"/>
        </w:rPr>
        <w:tab/>
      </w:r>
    </w:p>
    <w:sectPr w:rsidR="005F26E5" w:rsidRPr="002344A6" w:rsidSect="002344A6">
      <w:footnotePr>
        <w:numRestart w:val="eachSect"/>
      </w:footnotePr>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61ACE" w14:textId="77777777" w:rsidR="006C739E" w:rsidRDefault="006C739E" w:rsidP="00F95C08">
      <w:pPr>
        <w:spacing w:line="240" w:lineRule="auto"/>
      </w:pPr>
    </w:p>
  </w:endnote>
  <w:endnote w:type="continuationSeparator" w:id="0">
    <w:p w14:paraId="29B9F744" w14:textId="77777777" w:rsidR="006C739E" w:rsidRPr="00AC3823" w:rsidRDefault="006C739E" w:rsidP="00AC3823">
      <w:pPr>
        <w:pStyle w:val="Pieddepage"/>
      </w:pPr>
    </w:p>
  </w:endnote>
  <w:endnote w:type="continuationNotice" w:id="1">
    <w:p w14:paraId="33BF29AA" w14:textId="77777777" w:rsidR="006C739E" w:rsidRDefault="006C73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0284" w14:textId="7360F30E" w:rsidR="002344A6" w:rsidRPr="002344A6" w:rsidRDefault="002344A6" w:rsidP="002344A6">
    <w:pPr>
      <w:pStyle w:val="Pieddepage"/>
      <w:tabs>
        <w:tab w:val="right" w:pos="9638"/>
      </w:tabs>
    </w:pPr>
    <w:r w:rsidRPr="002344A6">
      <w:rPr>
        <w:b/>
        <w:sz w:val="18"/>
      </w:rPr>
      <w:fldChar w:fldCharType="begin"/>
    </w:r>
    <w:r w:rsidRPr="002344A6">
      <w:rPr>
        <w:b/>
        <w:sz w:val="18"/>
      </w:rPr>
      <w:instrText xml:space="preserve"> PAGE  \* MERGEFORMAT </w:instrText>
    </w:r>
    <w:r w:rsidRPr="002344A6">
      <w:rPr>
        <w:b/>
        <w:sz w:val="18"/>
      </w:rPr>
      <w:fldChar w:fldCharType="separate"/>
    </w:r>
    <w:r w:rsidRPr="002344A6">
      <w:rPr>
        <w:b/>
        <w:noProof/>
        <w:sz w:val="18"/>
      </w:rPr>
      <w:t>2</w:t>
    </w:r>
    <w:r w:rsidRPr="002344A6">
      <w:rPr>
        <w:b/>
        <w:sz w:val="18"/>
      </w:rPr>
      <w:fldChar w:fldCharType="end"/>
    </w:r>
    <w:r>
      <w:rPr>
        <w:b/>
        <w:sz w:val="18"/>
      </w:rPr>
      <w:tab/>
    </w:r>
    <w:r>
      <w:t>GE.23-19005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9336" w14:textId="5FC82C17" w:rsidR="002344A6" w:rsidRPr="002344A6" w:rsidRDefault="002344A6" w:rsidP="002344A6">
    <w:pPr>
      <w:pStyle w:val="Pieddepage"/>
      <w:tabs>
        <w:tab w:val="right" w:pos="9638"/>
      </w:tabs>
      <w:rPr>
        <w:b/>
        <w:sz w:val="18"/>
      </w:rPr>
    </w:pPr>
    <w:r>
      <w:t>GE.23-19005</w:t>
    </w:r>
    <w:r>
      <w:tab/>
    </w:r>
    <w:r w:rsidRPr="002344A6">
      <w:rPr>
        <w:b/>
        <w:sz w:val="18"/>
      </w:rPr>
      <w:fldChar w:fldCharType="begin"/>
    </w:r>
    <w:r w:rsidRPr="002344A6">
      <w:rPr>
        <w:b/>
        <w:sz w:val="18"/>
      </w:rPr>
      <w:instrText xml:space="preserve"> PAGE  \* MERGEFORMAT </w:instrText>
    </w:r>
    <w:r w:rsidRPr="002344A6">
      <w:rPr>
        <w:b/>
        <w:sz w:val="18"/>
      </w:rPr>
      <w:fldChar w:fldCharType="separate"/>
    </w:r>
    <w:r w:rsidRPr="002344A6">
      <w:rPr>
        <w:b/>
        <w:noProof/>
        <w:sz w:val="18"/>
      </w:rPr>
      <w:t>3</w:t>
    </w:r>
    <w:r w:rsidRPr="002344A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0E251" w14:textId="34C36564" w:rsidR="00A14420" w:rsidRPr="002344A6" w:rsidRDefault="002344A6" w:rsidP="00654248">
    <w:pPr>
      <w:pStyle w:val="Pieddepage"/>
      <w:tabs>
        <w:tab w:val="left" w:pos="6261"/>
      </w:tabs>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56BDECBC" wp14:editId="6F4D4A4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23-19005  (F)</w:t>
    </w:r>
    <w:r>
      <w:rPr>
        <w:noProof/>
        <w:sz w:val="20"/>
      </w:rPr>
      <w:drawing>
        <wp:anchor distT="0" distB="0" distL="114300" distR="114300" simplePos="0" relativeHeight="251660288" behindDoc="0" locked="0" layoutInCell="1" allowOverlap="1" wp14:anchorId="3BAB4305" wp14:editId="01CA3CF0">
          <wp:simplePos x="0" y="0"/>
          <wp:positionH relativeFrom="margin">
            <wp:posOffset>5489575</wp:posOffset>
          </wp:positionH>
          <wp:positionV relativeFrom="margin">
            <wp:posOffset>8891905</wp:posOffset>
          </wp:positionV>
          <wp:extent cx="561975" cy="561975"/>
          <wp:effectExtent l="0" t="0" r="9525" b="9525"/>
          <wp:wrapNone/>
          <wp:docPr id="38603655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191023    201023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5C05B" w14:textId="77777777" w:rsidR="00654248" w:rsidRPr="002344A6" w:rsidRDefault="00654248" w:rsidP="002344A6">
    <w:pPr>
      <w:pStyle w:val="Pieddepage"/>
      <w:tabs>
        <w:tab w:val="right" w:pos="9638"/>
      </w:tabs>
      <w:rPr>
        <w:b/>
        <w:sz w:val="18"/>
      </w:rPr>
    </w:pPr>
    <w:r>
      <w:t>GE.23-19005</w:t>
    </w:r>
    <w:r>
      <w:tab/>
    </w:r>
    <w:r w:rsidRPr="002344A6">
      <w:rPr>
        <w:b/>
        <w:sz w:val="18"/>
      </w:rPr>
      <w:fldChar w:fldCharType="begin"/>
    </w:r>
    <w:r w:rsidRPr="002344A6">
      <w:rPr>
        <w:b/>
        <w:sz w:val="18"/>
      </w:rPr>
      <w:instrText xml:space="preserve"> PAGE  \* MERGEFORMAT </w:instrText>
    </w:r>
    <w:r w:rsidRPr="002344A6">
      <w:rPr>
        <w:b/>
        <w:sz w:val="18"/>
      </w:rPr>
      <w:fldChar w:fldCharType="separate"/>
    </w:r>
    <w:r w:rsidRPr="002344A6">
      <w:rPr>
        <w:b/>
        <w:noProof/>
        <w:sz w:val="18"/>
      </w:rPr>
      <w:t>3</w:t>
    </w:r>
    <w:r w:rsidRPr="002344A6">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23B0B" w14:textId="4FDDADB7" w:rsidR="00654248" w:rsidRPr="00654248" w:rsidRDefault="00654248" w:rsidP="00654248">
    <w:pPr>
      <w:pStyle w:val="Pieddepage"/>
      <w:tabs>
        <w:tab w:val="right" w:pos="9638"/>
      </w:tabs>
    </w:pPr>
    <w:r w:rsidRPr="002344A6">
      <w:rPr>
        <w:b/>
        <w:sz w:val="18"/>
      </w:rPr>
      <w:fldChar w:fldCharType="begin"/>
    </w:r>
    <w:r w:rsidRPr="002344A6">
      <w:rPr>
        <w:b/>
        <w:sz w:val="18"/>
      </w:rPr>
      <w:instrText xml:space="preserve"> PAGE  \* MERGEFORMAT </w:instrText>
    </w:r>
    <w:r w:rsidRPr="002344A6">
      <w:rPr>
        <w:b/>
        <w:sz w:val="18"/>
      </w:rPr>
      <w:fldChar w:fldCharType="separate"/>
    </w:r>
    <w:r>
      <w:rPr>
        <w:b/>
        <w:sz w:val="18"/>
      </w:rPr>
      <w:t>4</w:t>
    </w:r>
    <w:r w:rsidRPr="002344A6">
      <w:rPr>
        <w:b/>
        <w:sz w:val="18"/>
      </w:rPr>
      <w:fldChar w:fldCharType="end"/>
    </w:r>
    <w:r>
      <w:tab/>
      <w:t>GE.23-19005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65CE6" w14:textId="77777777" w:rsidR="006C739E" w:rsidRPr="00AC3823" w:rsidRDefault="006C739E" w:rsidP="00AC3823">
      <w:pPr>
        <w:pStyle w:val="Pieddepage"/>
        <w:tabs>
          <w:tab w:val="right" w:pos="2155"/>
        </w:tabs>
        <w:spacing w:after="80" w:line="240" w:lineRule="atLeast"/>
        <w:ind w:left="680"/>
        <w:rPr>
          <w:u w:val="single"/>
        </w:rPr>
      </w:pPr>
      <w:r>
        <w:rPr>
          <w:u w:val="single"/>
        </w:rPr>
        <w:tab/>
      </w:r>
    </w:p>
  </w:footnote>
  <w:footnote w:type="continuationSeparator" w:id="0">
    <w:p w14:paraId="5EEB38C7" w14:textId="77777777" w:rsidR="006C739E" w:rsidRPr="00AC3823" w:rsidRDefault="006C739E" w:rsidP="00AC3823">
      <w:pPr>
        <w:pStyle w:val="Pieddepage"/>
        <w:tabs>
          <w:tab w:val="right" w:pos="2155"/>
        </w:tabs>
        <w:spacing w:after="80" w:line="240" w:lineRule="atLeast"/>
        <w:ind w:left="680"/>
        <w:rPr>
          <w:u w:val="single"/>
        </w:rPr>
      </w:pPr>
      <w:r>
        <w:rPr>
          <w:u w:val="single"/>
        </w:rPr>
        <w:tab/>
      </w:r>
    </w:p>
  </w:footnote>
  <w:footnote w:type="continuationNotice" w:id="1">
    <w:p w14:paraId="4A826B96" w14:textId="77777777" w:rsidR="006C739E" w:rsidRPr="00AC3823" w:rsidRDefault="006C739E">
      <w:pPr>
        <w:spacing w:line="240" w:lineRule="auto"/>
        <w:rPr>
          <w:sz w:val="2"/>
          <w:szCs w:val="2"/>
        </w:rPr>
      </w:pPr>
    </w:p>
  </w:footnote>
  <w:footnote w:id="2">
    <w:p w14:paraId="3C7C345B" w14:textId="52E5D7C3" w:rsidR="00AF568D" w:rsidRPr="00B5016B" w:rsidRDefault="00AF568D">
      <w:pPr>
        <w:pStyle w:val="Notedebasdepage"/>
        <w:rPr>
          <w:lang w:val="es-ES"/>
        </w:rPr>
      </w:pPr>
      <w:r>
        <w:tab/>
      </w:r>
      <w:r>
        <w:rPr>
          <w:rStyle w:val="Appelnotedebasdep"/>
        </w:rPr>
        <w:footnoteRef/>
      </w:r>
      <w:r w:rsidRPr="00B5016B">
        <w:rPr>
          <w:lang w:val="es-ES"/>
        </w:rPr>
        <w:tab/>
      </w:r>
      <w:r w:rsidRPr="00903D68">
        <w:rPr>
          <w:lang w:val="es-ES"/>
        </w:rPr>
        <w:t>ECE/MP.EIA/2023/6.</w:t>
      </w:r>
    </w:p>
  </w:footnote>
  <w:footnote w:id="3">
    <w:p w14:paraId="1A957C9A" w14:textId="77777777" w:rsidR="002344A6" w:rsidRPr="00903D68" w:rsidRDefault="002344A6" w:rsidP="00AF568D">
      <w:pPr>
        <w:pStyle w:val="Notedebasdepage"/>
        <w:rPr>
          <w:lang w:val="es-ES"/>
        </w:rPr>
      </w:pPr>
      <w:r w:rsidRPr="00903D68">
        <w:rPr>
          <w:lang w:val="es-ES"/>
        </w:rPr>
        <w:tab/>
      </w:r>
      <w:r w:rsidRPr="00903D68">
        <w:rPr>
          <w:rStyle w:val="Appelnotedebasdep"/>
        </w:rPr>
        <w:footnoteRef/>
      </w:r>
      <w:r w:rsidRPr="00903D68">
        <w:rPr>
          <w:lang w:val="es-ES"/>
        </w:rPr>
        <w:tab/>
        <w:t>ECE/MP.EIA/SEA/2023/8.</w:t>
      </w:r>
    </w:p>
  </w:footnote>
  <w:footnote w:id="4">
    <w:p w14:paraId="73D9DF7B" w14:textId="77777777" w:rsidR="002344A6" w:rsidRPr="00903D68" w:rsidRDefault="002344A6" w:rsidP="00AF568D">
      <w:pPr>
        <w:pStyle w:val="Notedebasdepage"/>
        <w:rPr>
          <w:lang w:val="es-ES"/>
        </w:rPr>
      </w:pPr>
      <w:r w:rsidRPr="00903D68">
        <w:rPr>
          <w:lang w:val="es-ES"/>
        </w:rPr>
        <w:tab/>
      </w:r>
      <w:r w:rsidRPr="00903D68">
        <w:rPr>
          <w:rStyle w:val="Appelnotedebasdep"/>
        </w:rPr>
        <w:footnoteRef/>
      </w:r>
      <w:r w:rsidRPr="00903D68">
        <w:rPr>
          <w:lang w:val="es-ES"/>
        </w:rPr>
        <w:tab/>
        <w:t>ECE/MP.EIA/IC/2023/9.</w:t>
      </w:r>
    </w:p>
  </w:footnote>
  <w:footnote w:id="5">
    <w:p w14:paraId="085F7317" w14:textId="77777777" w:rsidR="002344A6" w:rsidRPr="00903D68" w:rsidRDefault="002344A6" w:rsidP="00AF568D">
      <w:pPr>
        <w:pStyle w:val="Notedebasdepage"/>
        <w:rPr>
          <w:lang w:val="es-ES"/>
        </w:rPr>
      </w:pPr>
      <w:r w:rsidRPr="00903D68">
        <w:rPr>
          <w:lang w:val="es-ES"/>
        </w:rPr>
        <w:tab/>
      </w:r>
      <w:r w:rsidRPr="00903D68">
        <w:rPr>
          <w:rStyle w:val="Appelnotedebasdep"/>
        </w:rPr>
        <w:footnoteRef/>
      </w:r>
      <w:r w:rsidRPr="00903D68">
        <w:rPr>
          <w:lang w:val="es-ES"/>
        </w:rPr>
        <w:tab/>
        <w:t>ECE/MP.EIA/2023/13–ECE/MP.EIA/SEA/2023/13.</w:t>
      </w:r>
    </w:p>
  </w:footnote>
  <w:footnote w:id="6">
    <w:p w14:paraId="2271BA8D" w14:textId="72086BD0" w:rsidR="002344A6" w:rsidRPr="00903D68" w:rsidRDefault="002344A6" w:rsidP="00AF568D">
      <w:pPr>
        <w:pStyle w:val="Notedebasdepage"/>
        <w:rPr>
          <w:lang w:val="es-ES"/>
        </w:rPr>
      </w:pPr>
      <w:r w:rsidRPr="00903D68">
        <w:rPr>
          <w:lang w:val="es-ES"/>
        </w:rPr>
        <w:tab/>
      </w:r>
      <w:r w:rsidRPr="00903D68">
        <w:rPr>
          <w:rStyle w:val="Appelnotedebasdep"/>
        </w:rPr>
        <w:footnoteRef/>
      </w:r>
      <w:r w:rsidRPr="00903D68">
        <w:rPr>
          <w:lang w:val="es-ES"/>
        </w:rPr>
        <w:tab/>
        <w:t>ECE/MP.EIA/10.</w:t>
      </w:r>
      <w:bookmarkStart w:id="1" w:name="_Hlk51416634"/>
      <w:bookmarkEnd w:id="1"/>
    </w:p>
  </w:footnote>
  <w:footnote w:id="7">
    <w:p w14:paraId="000E7DC8" w14:textId="77777777" w:rsidR="002344A6" w:rsidRPr="00903D68" w:rsidRDefault="002344A6" w:rsidP="00AF568D">
      <w:pPr>
        <w:pStyle w:val="Notedebasdepage"/>
        <w:rPr>
          <w:lang w:val="es-ES"/>
        </w:rPr>
      </w:pPr>
      <w:r w:rsidRPr="00903D68">
        <w:rPr>
          <w:vertAlign w:val="superscript"/>
          <w:lang w:val="es-ES"/>
        </w:rPr>
        <w:tab/>
      </w:r>
      <w:r w:rsidRPr="00903D68">
        <w:rPr>
          <w:rStyle w:val="Appelnotedebasdep"/>
        </w:rPr>
        <w:footnoteRef/>
      </w:r>
      <w:r w:rsidRPr="00903D68">
        <w:rPr>
          <w:lang w:val="es-ES"/>
        </w:rPr>
        <w:tab/>
        <w:t>ECE/MP.EIA/15.</w:t>
      </w:r>
    </w:p>
  </w:footnote>
  <w:footnote w:id="8">
    <w:p w14:paraId="46FC0ADE" w14:textId="77777777" w:rsidR="002344A6" w:rsidRPr="00903D68" w:rsidRDefault="002344A6" w:rsidP="00AF568D">
      <w:pPr>
        <w:pStyle w:val="Notedebasdepage"/>
        <w:rPr>
          <w:lang w:val="es-ES"/>
        </w:rPr>
      </w:pPr>
      <w:r w:rsidRPr="00903D68">
        <w:rPr>
          <w:vertAlign w:val="superscript"/>
          <w:lang w:val="es-ES"/>
        </w:rPr>
        <w:tab/>
      </w:r>
      <w:r w:rsidRPr="00903D68">
        <w:rPr>
          <w:rStyle w:val="Appelnotedebasdep"/>
        </w:rPr>
        <w:footnoteRef/>
      </w:r>
      <w:r w:rsidRPr="00903D68">
        <w:rPr>
          <w:lang w:val="es-ES"/>
        </w:rPr>
        <w:tab/>
        <w:t>ECE/MP.EIA/20/Add.1–ECE/MP.EIA/SEA/4/Add.1.</w:t>
      </w:r>
    </w:p>
  </w:footnote>
  <w:footnote w:id="9">
    <w:p w14:paraId="4E39BCBE" w14:textId="77777777" w:rsidR="002344A6" w:rsidRPr="00903D68" w:rsidRDefault="002344A6" w:rsidP="00AF568D">
      <w:pPr>
        <w:pStyle w:val="Notedebasdepage"/>
        <w:rPr>
          <w:lang w:val="es-ES"/>
        </w:rPr>
      </w:pPr>
      <w:r w:rsidRPr="00903D68">
        <w:rPr>
          <w:lang w:val="es-ES"/>
        </w:rPr>
        <w:tab/>
      </w:r>
      <w:r w:rsidRPr="00903D68">
        <w:rPr>
          <w:rStyle w:val="Appelnotedebasdep"/>
        </w:rPr>
        <w:footnoteRef/>
      </w:r>
      <w:r w:rsidRPr="00903D68">
        <w:rPr>
          <w:lang w:val="es-ES"/>
        </w:rPr>
        <w:tab/>
        <w:t>ECE/MP.EIA/27/Add.1–ECE/MP.EIA/SEA/11/Add.1.</w:t>
      </w:r>
    </w:p>
  </w:footnote>
  <w:footnote w:id="10">
    <w:p w14:paraId="180AA130" w14:textId="77777777" w:rsidR="002344A6" w:rsidRPr="00903D68" w:rsidRDefault="002344A6" w:rsidP="00AF568D">
      <w:pPr>
        <w:pStyle w:val="Notedebasdepage"/>
        <w:rPr>
          <w:lang w:val="es-ES"/>
        </w:rPr>
      </w:pPr>
      <w:r w:rsidRPr="00903D68">
        <w:rPr>
          <w:lang w:val="es-ES"/>
        </w:rPr>
        <w:tab/>
      </w:r>
      <w:r w:rsidRPr="00903D68">
        <w:rPr>
          <w:rStyle w:val="Appelnotedebasdep"/>
        </w:rPr>
        <w:footnoteRef/>
      </w:r>
      <w:r w:rsidRPr="00903D68">
        <w:rPr>
          <w:lang w:val="es-ES"/>
        </w:rPr>
        <w:tab/>
        <w:t>ECE/MP.EIA/30/Add.2–ECE/MP.EIA/SEA/13/Add.2.</w:t>
      </w:r>
    </w:p>
  </w:footnote>
  <w:footnote w:id="11">
    <w:p w14:paraId="6AD671F2" w14:textId="77777777" w:rsidR="002344A6" w:rsidRPr="00903D68" w:rsidRDefault="002344A6" w:rsidP="00AF568D">
      <w:pPr>
        <w:pStyle w:val="Notedebasdepage"/>
        <w:rPr>
          <w:lang w:val="es-ES"/>
        </w:rPr>
      </w:pPr>
      <w:r w:rsidRPr="00903D68">
        <w:rPr>
          <w:lang w:val="es-ES"/>
        </w:rPr>
        <w:tab/>
      </w:r>
      <w:r w:rsidRPr="00903D68">
        <w:rPr>
          <w:rStyle w:val="Appelnotedebasdep"/>
        </w:rPr>
        <w:footnoteRef/>
      </w:r>
      <w:r w:rsidRPr="00903D68">
        <w:rPr>
          <w:lang w:val="es-ES"/>
        </w:rPr>
        <w:tab/>
        <w:t>ECE/MP.EIA/2023/6.</w:t>
      </w:r>
    </w:p>
  </w:footnote>
  <w:footnote w:id="12">
    <w:p w14:paraId="3FDE4401" w14:textId="77777777" w:rsidR="002344A6" w:rsidRPr="00903D68" w:rsidRDefault="002344A6" w:rsidP="00AF568D">
      <w:pPr>
        <w:pStyle w:val="Notedebasdepage"/>
        <w:rPr>
          <w:lang w:val="es-ES"/>
        </w:rPr>
      </w:pPr>
      <w:r w:rsidRPr="00903D68">
        <w:rPr>
          <w:lang w:val="es-ES"/>
        </w:rPr>
        <w:tab/>
      </w:r>
      <w:r w:rsidRPr="00903D68">
        <w:rPr>
          <w:rStyle w:val="Appelnotedebasdep"/>
        </w:rPr>
        <w:footnoteRef/>
      </w:r>
      <w:r w:rsidRPr="00903D68">
        <w:rPr>
          <w:lang w:val="es-ES"/>
        </w:rPr>
        <w:tab/>
        <w:t>ECE/MP.EIA/SEA/2023/8.</w:t>
      </w:r>
    </w:p>
  </w:footnote>
  <w:footnote w:id="13">
    <w:p w14:paraId="4CE3B434" w14:textId="77777777" w:rsidR="002344A6" w:rsidRPr="00903D68" w:rsidRDefault="002344A6" w:rsidP="00AF568D">
      <w:pPr>
        <w:pStyle w:val="Notedebasdepage"/>
        <w:rPr>
          <w:lang w:val="es-ES"/>
        </w:rPr>
      </w:pPr>
      <w:r w:rsidRPr="00903D68">
        <w:rPr>
          <w:lang w:val="es-ES"/>
        </w:rPr>
        <w:tab/>
      </w:r>
      <w:r w:rsidRPr="00903D68">
        <w:rPr>
          <w:rStyle w:val="Appelnotedebasdep"/>
        </w:rPr>
        <w:footnoteRef/>
      </w:r>
      <w:r w:rsidRPr="00903D68">
        <w:rPr>
          <w:lang w:val="es-ES"/>
        </w:rPr>
        <w:tab/>
        <w:t>ECE/MP.EIA/2023/13–ECE/MP.EIA/SEA/2023/13.</w:t>
      </w:r>
    </w:p>
  </w:footnote>
  <w:footnote w:id="14">
    <w:p w14:paraId="56850090" w14:textId="77777777" w:rsidR="002344A6" w:rsidRPr="00903D68" w:rsidRDefault="002344A6" w:rsidP="00AF568D">
      <w:pPr>
        <w:pStyle w:val="Notedebasdepage"/>
      </w:pPr>
      <w:r w:rsidRPr="00903D68">
        <w:rPr>
          <w:lang w:val="es-ES"/>
        </w:rPr>
        <w:tab/>
      </w:r>
      <w:r w:rsidRPr="00903D68">
        <w:rPr>
          <w:rStyle w:val="Appelnotedebasdep"/>
        </w:rPr>
        <w:footnoteRef/>
      </w:r>
      <w:r>
        <w:rPr>
          <w:lang w:val="fr-FR"/>
        </w:rPr>
        <w:tab/>
        <w:t xml:space="preserve">Loi de la République d’Arménie portant modification de la loi de la République d’Arménie sur l’évaluation et l’expertise de l’impact sur l’environnement, adoptée le 3 mai 2023 et entrée en vigueur le 9 juin 2023. </w:t>
      </w:r>
    </w:p>
  </w:footnote>
  <w:footnote w:id="15">
    <w:p w14:paraId="47736DB4" w14:textId="77777777" w:rsidR="002344A6" w:rsidRPr="00903D68" w:rsidRDefault="002344A6" w:rsidP="00AF568D">
      <w:pPr>
        <w:pStyle w:val="Notedebasdepage"/>
      </w:pPr>
      <w:r>
        <w:rPr>
          <w:lang w:val="fr-FR"/>
        </w:rPr>
        <w:tab/>
      </w:r>
      <w:r w:rsidRPr="00903D68">
        <w:rPr>
          <w:rStyle w:val="Appelnotedebasdep"/>
        </w:rPr>
        <w:footnoteRef/>
      </w:r>
      <w:r>
        <w:rPr>
          <w:lang w:val="fr-FR"/>
        </w:rPr>
        <w:tab/>
        <w:t>Au cours de la période 2013-2018, grâce à un financement de l’Union européenne au titre de son programme pour une économie plus verte dans les pays du Partenariat oriental, et, au cours de la période 2019-2023, dans le cadre du programme de l’Union européenne pour l’environnement.</w:t>
      </w:r>
    </w:p>
  </w:footnote>
  <w:footnote w:id="16">
    <w:p w14:paraId="3244609E" w14:textId="54AB1A4B" w:rsidR="002344A6" w:rsidRPr="00903D68" w:rsidRDefault="002344A6" w:rsidP="00AF568D">
      <w:pPr>
        <w:pStyle w:val="Notedebasdepage"/>
      </w:pPr>
      <w:r>
        <w:rPr>
          <w:lang w:val="fr-FR"/>
        </w:rPr>
        <w:tab/>
      </w:r>
      <w:r w:rsidRPr="00903D68">
        <w:rPr>
          <w:rStyle w:val="Appelnotedebasdep"/>
        </w:rPr>
        <w:footnoteRef/>
      </w:r>
      <w:r>
        <w:rPr>
          <w:lang w:val="fr-FR"/>
        </w:rPr>
        <w:tab/>
        <w:t xml:space="preserve">ECE/MP.EIA/IC/2023/8, </w:t>
      </w:r>
      <w:r w:rsidR="00076AD3">
        <w:rPr>
          <w:lang w:val="fr-FR"/>
        </w:rPr>
        <w:t>par. </w:t>
      </w:r>
      <w:r>
        <w:rPr>
          <w:lang w:val="fr-FR"/>
        </w:rPr>
        <w:t xml:space="preserve">8 (version préliminaire). </w:t>
      </w:r>
    </w:p>
  </w:footnote>
  <w:footnote w:id="17">
    <w:p w14:paraId="043B5928" w14:textId="77777777" w:rsidR="002344A6" w:rsidRPr="00903D68" w:rsidRDefault="002344A6" w:rsidP="00AF568D">
      <w:pPr>
        <w:pStyle w:val="Notedebasdepage"/>
      </w:pPr>
      <w:r>
        <w:rPr>
          <w:lang w:val="fr-FR"/>
        </w:rPr>
        <w:tab/>
      </w:r>
      <w:r w:rsidRPr="00903D68">
        <w:rPr>
          <w:rStyle w:val="Appelnotedebasdep"/>
        </w:rPr>
        <w:footnoteRef/>
      </w:r>
      <w:r>
        <w:rPr>
          <w:lang w:val="fr-FR"/>
        </w:rPr>
        <w:tab/>
        <w:t>Voir l'évaluation du projet de loi de la République d'Arménie sur l’évaluation et l’expertise de l’impact sur l’environnement (2014).</w:t>
      </w:r>
    </w:p>
  </w:footnote>
  <w:footnote w:id="18">
    <w:p w14:paraId="65DB6270" w14:textId="77777777" w:rsidR="002344A6" w:rsidRPr="00903D68" w:rsidRDefault="002344A6" w:rsidP="00AF568D">
      <w:pPr>
        <w:pStyle w:val="Notedebasdepage"/>
      </w:pPr>
      <w:r>
        <w:rPr>
          <w:lang w:val="fr-FR"/>
        </w:rPr>
        <w:tab/>
      </w:r>
      <w:r w:rsidRPr="00903D68">
        <w:rPr>
          <w:rStyle w:val="Appelnotedebasdep"/>
        </w:rPr>
        <w:footnoteRef/>
      </w:r>
      <w:r>
        <w:rPr>
          <w:lang w:val="fr-FR"/>
        </w:rPr>
        <w:tab/>
        <w:t xml:space="preserve">Le texte de la décision est entre crochets en attendant que le Comité d'application ait établi la version finale du projet de conclusions et de recommandations correspondant (ECE/MP.EIA/IC/2023/8, annexe II), en novembre 2023. </w:t>
      </w:r>
    </w:p>
  </w:footnote>
  <w:footnote w:id="19">
    <w:p w14:paraId="2C5C49F1" w14:textId="77777777" w:rsidR="002344A6" w:rsidRPr="00903D68" w:rsidRDefault="002344A6" w:rsidP="00AF568D">
      <w:pPr>
        <w:pStyle w:val="Notedebasdepage"/>
        <w:rPr>
          <w:lang w:val="es-ES"/>
        </w:rPr>
      </w:pPr>
      <w:r w:rsidRPr="00557B28">
        <w:rPr>
          <w:lang w:val="fr-FR"/>
        </w:rPr>
        <w:tab/>
      </w:r>
      <w:r w:rsidRPr="00903D68">
        <w:rPr>
          <w:rStyle w:val="Appelnotedebasdep"/>
        </w:rPr>
        <w:footnoteRef/>
      </w:r>
      <w:r w:rsidRPr="00903D68">
        <w:rPr>
          <w:lang w:val="es-ES"/>
        </w:rPr>
        <w:tab/>
        <w:t>ECE/MP.EIA/2023/6.</w:t>
      </w:r>
    </w:p>
  </w:footnote>
  <w:footnote w:id="20">
    <w:p w14:paraId="6B8D6190" w14:textId="77777777" w:rsidR="002344A6" w:rsidRPr="00903D68" w:rsidRDefault="002344A6" w:rsidP="00AF568D">
      <w:pPr>
        <w:pStyle w:val="Notedebasdepage"/>
        <w:rPr>
          <w:lang w:val="es-ES"/>
        </w:rPr>
      </w:pPr>
      <w:r w:rsidRPr="00903D68">
        <w:rPr>
          <w:lang w:val="es-ES"/>
        </w:rPr>
        <w:tab/>
      </w:r>
      <w:r w:rsidRPr="00903D68">
        <w:rPr>
          <w:rStyle w:val="Appelnotedebasdep"/>
        </w:rPr>
        <w:footnoteRef/>
      </w:r>
      <w:r w:rsidRPr="00903D68">
        <w:rPr>
          <w:lang w:val="es-ES"/>
        </w:rPr>
        <w:tab/>
        <w:t>ECE/MP.EIA/SEA/2023/8.</w:t>
      </w:r>
    </w:p>
  </w:footnote>
  <w:footnote w:id="21">
    <w:p w14:paraId="29E4C84D" w14:textId="77777777" w:rsidR="002344A6" w:rsidRPr="00903D68" w:rsidRDefault="002344A6" w:rsidP="00AF568D">
      <w:pPr>
        <w:pStyle w:val="Notedebasdepage"/>
      </w:pPr>
      <w:r w:rsidRPr="00903D68">
        <w:rPr>
          <w:lang w:val="es-ES"/>
        </w:rPr>
        <w:tab/>
      </w:r>
      <w:r w:rsidRPr="00903D68">
        <w:rPr>
          <w:rStyle w:val="Appelnotedebasdep"/>
        </w:rPr>
        <w:footnoteRef/>
      </w:r>
      <w:r>
        <w:rPr>
          <w:lang w:val="fr-FR"/>
        </w:rPr>
        <w:tab/>
        <w:t>ECE/MP.EIA/IC/2023/8, annexe II (version préliminaire).</w:t>
      </w:r>
    </w:p>
  </w:footnote>
  <w:footnote w:id="22">
    <w:p w14:paraId="48E4F688" w14:textId="77777777" w:rsidR="002344A6" w:rsidRPr="00903D68" w:rsidRDefault="002344A6" w:rsidP="00AF568D">
      <w:pPr>
        <w:pStyle w:val="Notedebasdepage"/>
        <w:rPr>
          <w:lang w:val="es-ES"/>
        </w:rPr>
      </w:pPr>
      <w:r w:rsidRPr="005B57AE">
        <w:rPr>
          <w:lang w:val="fr-FR"/>
        </w:rPr>
        <w:tab/>
      </w:r>
      <w:r w:rsidRPr="00903D68">
        <w:rPr>
          <w:rStyle w:val="Appelnotedebasdep"/>
        </w:rPr>
        <w:footnoteRef/>
      </w:r>
      <w:r w:rsidRPr="00903D68">
        <w:rPr>
          <w:lang w:val="es-ES"/>
        </w:rPr>
        <w:tab/>
        <w:t>ECE/MP.EIA/2023/13–ECE/MP.EIA/SEA/2023/13.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D545A" w14:textId="35B6AFB5" w:rsidR="002344A6" w:rsidRPr="002344A6" w:rsidRDefault="002344A6">
    <w:pPr>
      <w:pStyle w:val="En-tte"/>
      <w:rPr>
        <w:lang w:val="es-ES"/>
      </w:rPr>
    </w:pPr>
    <w:r>
      <w:fldChar w:fldCharType="begin"/>
    </w:r>
    <w:r w:rsidRPr="002344A6">
      <w:rPr>
        <w:lang w:val="es-ES"/>
      </w:rPr>
      <w:instrText xml:space="preserve"> TITLE  \* MERGEFORMAT </w:instrText>
    </w:r>
    <w:r>
      <w:fldChar w:fldCharType="separate"/>
    </w:r>
    <w:r w:rsidR="00D30E71">
      <w:rPr>
        <w:lang w:val="es-ES"/>
      </w:rPr>
      <w:t>ECE/MP.EIA/2023/4</w:t>
    </w:r>
    <w:r>
      <w:fldChar w:fldCharType="end"/>
    </w:r>
    <w:r w:rsidRPr="002344A6">
      <w:rPr>
        <w:lang w:val="es-ES"/>
      </w:rPr>
      <w:br/>
    </w:r>
    <w:r>
      <w:fldChar w:fldCharType="begin"/>
    </w:r>
    <w:r w:rsidRPr="002344A6">
      <w:rPr>
        <w:lang w:val="es-ES"/>
      </w:rPr>
      <w:instrText xml:space="preserve"> KEYWORDS  \* MERGEFORMAT </w:instrText>
    </w:r>
    <w:r>
      <w:fldChar w:fldCharType="separate"/>
    </w:r>
    <w:r w:rsidR="00D30E71">
      <w:rPr>
        <w:lang w:val="es-ES"/>
      </w:rPr>
      <w:t>ECE/MP.EIA/SEA/2023/4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4EC9" w14:textId="608EBDD0" w:rsidR="002344A6" w:rsidRPr="002344A6" w:rsidRDefault="002344A6" w:rsidP="002344A6">
    <w:pPr>
      <w:pStyle w:val="En-tte"/>
      <w:jc w:val="right"/>
      <w:rPr>
        <w:lang w:val="es-ES"/>
      </w:rPr>
    </w:pPr>
    <w:r>
      <w:fldChar w:fldCharType="begin"/>
    </w:r>
    <w:r w:rsidRPr="002344A6">
      <w:rPr>
        <w:lang w:val="es-ES"/>
      </w:rPr>
      <w:instrText xml:space="preserve"> TITLE  \* MERGEFORMAT </w:instrText>
    </w:r>
    <w:r>
      <w:fldChar w:fldCharType="separate"/>
    </w:r>
    <w:r w:rsidR="00D30E71">
      <w:rPr>
        <w:lang w:val="es-ES"/>
      </w:rPr>
      <w:t>ECE/MP.EIA/2023/4</w:t>
    </w:r>
    <w:r>
      <w:fldChar w:fldCharType="end"/>
    </w:r>
    <w:r w:rsidRPr="002344A6">
      <w:rPr>
        <w:lang w:val="es-ES"/>
      </w:rPr>
      <w:br/>
    </w:r>
    <w:r>
      <w:fldChar w:fldCharType="begin"/>
    </w:r>
    <w:r w:rsidRPr="002344A6">
      <w:rPr>
        <w:lang w:val="es-ES"/>
      </w:rPr>
      <w:instrText xml:space="preserve"> KEYWORDS  \* MERGEFORMAT </w:instrText>
    </w:r>
    <w:r>
      <w:fldChar w:fldCharType="separate"/>
    </w:r>
    <w:r w:rsidR="00D30E71">
      <w:rPr>
        <w:lang w:val="es-ES"/>
      </w:rPr>
      <w:t>ECE/MP.EIA/SEA/2023/4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AFE6" w14:textId="01C46CA6" w:rsidR="00654248" w:rsidRPr="002344A6" w:rsidRDefault="00654248" w:rsidP="002344A6">
    <w:pPr>
      <w:pStyle w:val="En-tte"/>
      <w:jc w:val="right"/>
      <w:rPr>
        <w:lang w:val="es-ES"/>
      </w:rPr>
    </w:pPr>
    <w:r>
      <w:fldChar w:fldCharType="begin"/>
    </w:r>
    <w:r w:rsidRPr="002344A6">
      <w:rPr>
        <w:lang w:val="es-ES"/>
      </w:rPr>
      <w:instrText xml:space="preserve"> TITLE  \* MERGEFORMAT </w:instrText>
    </w:r>
    <w:r>
      <w:fldChar w:fldCharType="separate"/>
    </w:r>
    <w:r w:rsidR="00D30E71">
      <w:rPr>
        <w:lang w:val="es-ES"/>
      </w:rPr>
      <w:t>ECE/MP.EIA/2023/4</w:t>
    </w:r>
    <w:r>
      <w:fldChar w:fldCharType="end"/>
    </w:r>
    <w:r w:rsidRPr="002344A6">
      <w:rPr>
        <w:lang w:val="es-ES"/>
      </w:rPr>
      <w:br/>
    </w:r>
    <w:r>
      <w:fldChar w:fldCharType="begin"/>
    </w:r>
    <w:r w:rsidRPr="002344A6">
      <w:rPr>
        <w:lang w:val="es-ES"/>
      </w:rPr>
      <w:instrText xml:space="preserve"> KEYWORDS  \* MERGEFORMAT </w:instrText>
    </w:r>
    <w:r>
      <w:fldChar w:fldCharType="separate"/>
    </w:r>
    <w:r w:rsidR="00D30E71">
      <w:rPr>
        <w:lang w:val="es-ES"/>
      </w:rPr>
      <w:t>ECE/MP.EIA/SEA/2023/4</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C2265" w14:textId="5F8B7AB1" w:rsidR="00F37BB2" w:rsidRPr="002344A6" w:rsidRDefault="00F37BB2" w:rsidP="00F37BB2">
    <w:pPr>
      <w:pStyle w:val="En-tte"/>
      <w:rPr>
        <w:lang w:val="es-ES"/>
      </w:rPr>
    </w:pPr>
    <w:r>
      <w:fldChar w:fldCharType="begin"/>
    </w:r>
    <w:r w:rsidRPr="002344A6">
      <w:rPr>
        <w:lang w:val="es-ES"/>
      </w:rPr>
      <w:instrText xml:space="preserve"> TITLE  \* MERGEFORMAT </w:instrText>
    </w:r>
    <w:r>
      <w:fldChar w:fldCharType="separate"/>
    </w:r>
    <w:r w:rsidR="00D30E71">
      <w:rPr>
        <w:lang w:val="es-ES"/>
      </w:rPr>
      <w:t>ECE/MP.EIA/2023/4</w:t>
    </w:r>
    <w:r>
      <w:fldChar w:fldCharType="end"/>
    </w:r>
    <w:r w:rsidRPr="002344A6">
      <w:rPr>
        <w:lang w:val="es-ES"/>
      </w:rPr>
      <w:br/>
    </w:r>
    <w:r>
      <w:fldChar w:fldCharType="begin"/>
    </w:r>
    <w:r w:rsidRPr="002344A6">
      <w:rPr>
        <w:lang w:val="es-ES"/>
      </w:rPr>
      <w:instrText xml:space="preserve"> KEYWORDS  \* MERGEFORMAT </w:instrText>
    </w:r>
    <w:r>
      <w:fldChar w:fldCharType="separate"/>
    </w:r>
    <w:r w:rsidR="00D30E71">
      <w:rPr>
        <w:lang w:val="es-ES"/>
      </w:rPr>
      <w:t>ECE/MP.EIA/SEA/2023/4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792043691">
    <w:abstractNumId w:val="12"/>
  </w:num>
  <w:num w:numId="2" w16cid:durableId="1332218542">
    <w:abstractNumId w:val="11"/>
  </w:num>
  <w:num w:numId="3" w16cid:durableId="1980721317">
    <w:abstractNumId w:val="10"/>
  </w:num>
  <w:num w:numId="4" w16cid:durableId="588152060">
    <w:abstractNumId w:val="8"/>
  </w:num>
  <w:num w:numId="5" w16cid:durableId="479662175">
    <w:abstractNumId w:val="3"/>
  </w:num>
  <w:num w:numId="6" w16cid:durableId="429593613">
    <w:abstractNumId w:val="2"/>
  </w:num>
  <w:num w:numId="7" w16cid:durableId="1648435616">
    <w:abstractNumId w:val="1"/>
  </w:num>
  <w:num w:numId="8" w16cid:durableId="685211593">
    <w:abstractNumId w:val="0"/>
  </w:num>
  <w:num w:numId="9" w16cid:durableId="1505627116">
    <w:abstractNumId w:val="9"/>
  </w:num>
  <w:num w:numId="10" w16cid:durableId="1779522663">
    <w:abstractNumId w:val="7"/>
  </w:num>
  <w:num w:numId="11" w16cid:durableId="998968400">
    <w:abstractNumId w:val="6"/>
  </w:num>
  <w:num w:numId="12" w16cid:durableId="2097748652">
    <w:abstractNumId w:val="5"/>
  </w:num>
  <w:num w:numId="13" w16cid:durableId="757601749">
    <w:abstractNumId w:val="4"/>
  </w:num>
  <w:num w:numId="14" w16cid:durableId="316492645">
    <w:abstractNumId w:val="12"/>
  </w:num>
  <w:num w:numId="15" w16cid:durableId="1466125143">
    <w:abstractNumId w:val="11"/>
  </w:num>
  <w:num w:numId="16" w16cid:durableId="8331102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39E"/>
    <w:rsid w:val="00017F94"/>
    <w:rsid w:val="00023842"/>
    <w:rsid w:val="00031189"/>
    <w:rsid w:val="000334F9"/>
    <w:rsid w:val="00076AD3"/>
    <w:rsid w:val="0007796D"/>
    <w:rsid w:val="000B7790"/>
    <w:rsid w:val="00111F2F"/>
    <w:rsid w:val="0014365E"/>
    <w:rsid w:val="0016427F"/>
    <w:rsid w:val="00176178"/>
    <w:rsid w:val="001F525A"/>
    <w:rsid w:val="00223272"/>
    <w:rsid w:val="002344A6"/>
    <w:rsid w:val="0024779E"/>
    <w:rsid w:val="002832AC"/>
    <w:rsid w:val="002B40F9"/>
    <w:rsid w:val="002C08A1"/>
    <w:rsid w:val="002D7C93"/>
    <w:rsid w:val="00441C3B"/>
    <w:rsid w:val="00446FE5"/>
    <w:rsid w:val="00452396"/>
    <w:rsid w:val="004E468C"/>
    <w:rsid w:val="005505B7"/>
    <w:rsid w:val="00573BE5"/>
    <w:rsid w:val="00586ED3"/>
    <w:rsid w:val="00596AA9"/>
    <w:rsid w:val="005C6C73"/>
    <w:rsid w:val="005D6D16"/>
    <w:rsid w:val="005F26E5"/>
    <w:rsid w:val="00654248"/>
    <w:rsid w:val="006574E7"/>
    <w:rsid w:val="006C0E3B"/>
    <w:rsid w:val="006C739E"/>
    <w:rsid w:val="0071601D"/>
    <w:rsid w:val="007A5FC4"/>
    <w:rsid w:val="007A62E6"/>
    <w:rsid w:val="0080684C"/>
    <w:rsid w:val="00871C75"/>
    <w:rsid w:val="008776DC"/>
    <w:rsid w:val="008D6B3F"/>
    <w:rsid w:val="0090540F"/>
    <w:rsid w:val="009705C8"/>
    <w:rsid w:val="009C1CF4"/>
    <w:rsid w:val="00A14420"/>
    <w:rsid w:val="00A30353"/>
    <w:rsid w:val="00AC3823"/>
    <w:rsid w:val="00AE323C"/>
    <w:rsid w:val="00AF568D"/>
    <w:rsid w:val="00B00181"/>
    <w:rsid w:val="00B00B0D"/>
    <w:rsid w:val="00B5016B"/>
    <w:rsid w:val="00B61815"/>
    <w:rsid w:val="00B765F7"/>
    <w:rsid w:val="00B829DC"/>
    <w:rsid w:val="00BA0CA9"/>
    <w:rsid w:val="00C02897"/>
    <w:rsid w:val="00C375EB"/>
    <w:rsid w:val="00C554CE"/>
    <w:rsid w:val="00CE26D2"/>
    <w:rsid w:val="00D30E71"/>
    <w:rsid w:val="00D3439C"/>
    <w:rsid w:val="00D503D3"/>
    <w:rsid w:val="00DB1831"/>
    <w:rsid w:val="00DD3BFD"/>
    <w:rsid w:val="00DF5712"/>
    <w:rsid w:val="00DF6678"/>
    <w:rsid w:val="00E96BD6"/>
    <w:rsid w:val="00ED5F56"/>
    <w:rsid w:val="00EE22F9"/>
    <w:rsid w:val="00EF2E22"/>
    <w:rsid w:val="00F274A2"/>
    <w:rsid w:val="00F37BB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F15FF"/>
  <w15:docId w15:val="{9D09CCE3-072D-4446-BAE9-70AE9AC3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E22F9"/>
    <w:pPr>
      <w:tabs>
        <w:tab w:val="left" w:pos="1701"/>
        <w:tab w:val="left" w:pos="2268"/>
        <w:tab w:val="left" w:pos="2835"/>
      </w:tabs>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left" w:pos="1701"/>
        <w:tab w:val="left" w:pos="2268"/>
        <w:tab w:val="left" w:pos="2835"/>
      </w:tabs>
      <w:spacing w:after="120"/>
      <w:ind w:right="1134"/>
      <w:jc w:val="both"/>
    </w:pPr>
  </w:style>
  <w:style w:type="character" w:styleId="Appelnotedebasdep">
    <w:name w:val="footnote reference"/>
    <w:aliases w:val="4_G,4_GR,Footnote Reference Superscript,BVI fnr,Footnote symbol,Footnote call,SUPERS,(Footnote Reference),Footnote,Voetnootverwijzing,Times 10 Point,Exposant 3 Point,Footnote reference number,note TESI,Footnotes refss"/>
    <w:basedOn w:val="Policepardfaut"/>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HChGChar">
    <w:name w:val="_ H _Ch_G Char"/>
    <w:link w:val="HChG"/>
    <w:rsid w:val="002344A6"/>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2344A6"/>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8" ma:contentTypeDescription="Create a new document." ma:contentTypeScope="" ma:versionID="d22e6ad98b7321529a84105081bfcf9c">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0b3bd6ac9ac9790cf6efe025ca4e12b4"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40EA8E-4788-4EAE-AD17-7024959A89AC}">
  <ds:schemaRefs>
    <ds:schemaRef ds:uri="http://schemas.openxmlformats.org/officeDocument/2006/bibliography"/>
  </ds:schemaRefs>
</ds:datastoreItem>
</file>

<file path=customXml/itemProps2.xml><?xml version="1.0" encoding="utf-8"?>
<ds:datastoreItem xmlns:ds="http://schemas.openxmlformats.org/officeDocument/2006/customXml" ds:itemID="{1E5607C1-7F99-4A45-8AF8-8C6463B998EE}"/>
</file>

<file path=customXml/itemProps3.xml><?xml version="1.0" encoding="utf-8"?>
<ds:datastoreItem xmlns:ds="http://schemas.openxmlformats.org/officeDocument/2006/customXml" ds:itemID="{03592871-D3FE-40AF-9614-97164ADAC3ED}"/>
</file>

<file path=docProps/app.xml><?xml version="1.0" encoding="utf-8"?>
<Properties xmlns="http://schemas.openxmlformats.org/officeDocument/2006/extended-properties" xmlns:vt="http://schemas.openxmlformats.org/officeDocument/2006/docPropsVTypes">
  <Template>ECE_MP.dotm</Template>
  <TotalTime>1</TotalTime>
  <Pages>7</Pages>
  <Words>2876</Words>
  <Characters>16195</Characters>
  <Application>Microsoft Office Word</Application>
  <DocSecurity>0</DocSecurity>
  <Lines>253</Lines>
  <Paragraphs>68</Paragraphs>
  <ScaleCrop>false</ScaleCrop>
  <HeadingPairs>
    <vt:vector size="2" baseType="variant">
      <vt:variant>
        <vt:lpstr>Titre</vt:lpstr>
      </vt:variant>
      <vt:variant>
        <vt:i4>1</vt:i4>
      </vt:variant>
    </vt:vector>
  </HeadingPairs>
  <TitlesOfParts>
    <vt:vector size="1" baseType="lpstr">
      <vt:lpstr>ECE/MP.EIA/2023/4</vt:lpstr>
    </vt:vector>
  </TitlesOfParts>
  <Company>DCM</Company>
  <LinksUpToDate>false</LinksUpToDate>
  <CharactersWithSpaces>19003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ECE/MP.EIA/2023/4</dc:title>
  <dc:creator>Estelle-Delphine DITTA</dc:creator>
  <cp:keywords>ECE/MP.EIA/SEA/2023/4</cp:keywords>
  <cp:lastModifiedBy>Estelle-Delphine DITTA</cp:lastModifiedBy>
  <cp:revision>2</cp:revision>
  <cp:lastPrinted>2023-10-20T08:04:00Z</cp:lastPrinted>
  <dcterms:created xsi:type="dcterms:W3CDTF">2023-10-20T08:05:00Z</dcterms:created>
  <dcterms:modified xsi:type="dcterms:W3CDTF">2023-10-20T08:05:00Z</dcterms:modified>
</cp:coreProperties>
</file>