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A5E54" w14:paraId="284D097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C35661" w14:textId="77777777" w:rsidR="002D5AAC" w:rsidRPr="000C3BBC" w:rsidRDefault="002D5AAC" w:rsidP="000C3B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D5BDED" w14:textId="77777777" w:rsidR="002D5AAC" w:rsidRPr="000C3BBC" w:rsidRDefault="00DF71B9" w:rsidP="00387CD4">
            <w:pPr>
              <w:spacing w:after="80" w:line="300" w:lineRule="exact"/>
              <w:rPr>
                <w:sz w:val="24"/>
                <w:szCs w:val="24"/>
              </w:rPr>
            </w:pPr>
            <w:r w:rsidRPr="000C3BBC">
              <w:rPr>
                <w:sz w:val="24"/>
                <w:szCs w:val="24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E3FC26" w14:textId="46AFED54" w:rsidR="000C3BBC" w:rsidRPr="000C3BBC" w:rsidRDefault="000C3BBC" w:rsidP="000C3BBC">
            <w:pPr>
              <w:jc w:val="right"/>
              <w:rPr>
                <w:lang w:val="en-US"/>
              </w:rPr>
            </w:pPr>
            <w:r w:rsidRPr="000C3BBC">
              <w:rPr>
                <w:sz w:val="40"/>
                <w:lang w:val="en-US"/>
              </w:rPr>
              <w:t>ECE</w:t>
            </w:r>
            <w:r w:rsidRPr="000C3BBC">
              <w:rPr>
                <w:lang w:val="en-US"/>
              </w:rPr>
              <w:t>/MP.EIA/2023/14</w:t>
            </w:r>
            <w:r w:rsidRPr="000C3BBC">
              <w:rPr>
                <w:rFonts w:cs="Times New Roman"/>
                <w:lang w:val="en-US"/>
              </w:rPr>
              <w:t>−</w:t>
            </w:r>
            <w:r w:rsidRPr="000C3BBC">
              <w:rPr>
                <w:sz w:val="40"/>
                <w:lang w:val="en-US"/>
              </w:rPr>
              <w:t>ECE</w:t>
            </w:r>
            <w:r w:rsidRPr="000C3BBC">
              <w:rPr>
                <w:lang w:val="en-US"/>
              </w:rPr>
              <w:t>/MP.EIA/SEA/2023/14</w:t>
            </w:r>
          </w:p>
        </w:tc>
      </w:tr>
      <w:tr w:rsidR="002D5AAC" w:rsidRPr="00BA5E54" w14:paraId="6628FEAA" w14:textId="77777777" w:rsidTr="00F56F8D">
        <w:trPr>
          <w:trHeight w:hRule="exact" w:val="298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719F0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7C5E79" wp14:editId="0941336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EFC11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9084D4" w14:textId="77777777" w:rsidR="002D5AAC" w:rsidRDefault="000C3B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D1B030" w14:textId="77777777" w:rsidR="000C3BBC" w:rsidRDefault="000C3BBC" w:rsidP="000C3B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October 2023</w:t>
            </w:r>
          </w:p>
          <w:p w14:paraId="52AA1D5F" w14:textId="77777777" w:rsidR="000C3BBC" w:rsidRDefault="000C3BBC" w:rsidP="000C3B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CF6381" w14:textId="1C236661" w:rsidR="000C3BBC" w:rsidRPr="008D53B6" w:rsidRDefault="000C3BBC" w:rsidP="000C3B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DBE9F71" w14:textId="77777777" w:rsidR="008A37C8" w:rsidRPr="00BA5E54" w:rsidRDefault="008A37C8" w:rsidP="00F56F8D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cs="Times New Roman"/>
          <w:b/>
          <w:sz w:val="28"/>
          <w:szCs w:val="28"/>
        </w:rPr>
      </w:pPr>
      <w:r w:rsidRPr="00BA5E54">
        <w:rPr>
          <w:rFonts w:cs="Times New Roman"/>
          <w:b/>
          <w:sz w:val="28"/>
          <w:szCs w:val="28"/>
        </w:rPr>
        <w:t>Европейская экономическая комиссия</w:t>
      </w:r>
    </w:p>
    <w:p w14:paraId="2244AC6B" w14:textId="175683ED" w:rsidR="000C3BBC" w:rsidRPr="00BA5E54" w:rsidRDefault="000C3BBC" w:rsidP="00F56F8D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cs="Times New Roman"/>
          <w:bCs/>
          <w:sz w:val="28"/>
          <w:szCs w:val="28"/>
        </w:rPr>
      </w:pPr>
      <w:r w:rsidRPr="00BA5E54">
        <w:rPr>
          <w:rFonts w:cs="Times New Roman"/>
          <w:bCs/>
          <w:sz w:val="28"/>
          <w:szCs w:val="28"/>
        </w:rPr>
        <w:t>Совещание Сторон Конвенции об оценке</w:t>
      </w:r>
      <w:r w:rsidR="00501B39" w:rsidRPr="00BA5E54">
        <w:rPr>
          <w:rFonts w:cs="Times New Roman"/>
          <w:bCs/>
          <w:sz w:val="28"/>
          <w:szCs w:val="28"/>
        </w:rPr>
        <w:br/>
      </w:r>
      <w:r w:rsidRPr="00BA5E54">
        <w:rPr>
          <w:rFonts w:cs="Times New Roman"/>
          <w:bCs/>
          <w:sz w:val="28"/>
          <w:szCs w:val="28"/>
        </w:rPr>
        <w:t>воздействия на окружающую среду</w:t>
      </w:r>
      <w:r w:rsidR="00501B39" w:rsidRPr="00BA5E54">
        <w:rPr>
          <w:rFonts w:cs="Times New Roman"/>
          <w:bCs/>
          <w:sz w:val="28"/>
          <w:szCs w:val="28"/>
        </w:rPr>
        <w:br/>
      </w:r>
      <w:r w:rsidRPr="00BA5E54">
        <w:rPr>
          <w:rFonts w:cs="Times New Roman"/>
          <w:bCs/>
          <w:sz w:val="28"/>
          <w:szCs w:val="28"/>
        </w:rPr>
        <w:t xml:space="preserve">в трансграничном контексте </w:t>
      </w:r>
    </w:p>
    <w:p w14:paraId="3F975040" w14:textId="77777777" w:rsidR="000C3BBC" w:rsidRPr="00BA5E54" w:rsidRDefault="000C3BBC" w:rsidP="00F56F8D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cs="Times New Roman"/>
          <w:b/>
          <w:szCs w:val="20"/>
        </w:rPr>
      </w:pPr>
      <w:r w:rsidRPr="00BA5E54">
        <w:rPr>
          <w:rFonts w:cs="Times New Roman"/>
          <w:b/>
          <w:szCs w:val="20"/>
        </w:rPr>
        <w:t>Девятая сессия</w:t>
      </w:r>
    </w:p>
    <w:p w14:paraId="66A7DAB4" w14:textId="3BD9EEEF" w:rsidR="000C3BBC" w:rsidRPr="00BA5E54" w:rsidRDefault="000C3BBC" w:rsidP="00F56F8D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cs="Times New Roman"/>
          <w:bCs/>
          <w:sz w:val="28"/>
          <w:szCs w:val="28"/>
        </w:rPr>
      </w:pPr>
      <w:r w:rsidRPr="00BA5E54">
        <w:rPr>
          <w:rFonts w:cs="Times New Roman"/>
          <w:bCs/>
          <w:sz w:val="28"/>
          <w:szCs w:val="28"/>
        </w:rPr>
        <w:t>Совещание Сторон Конвенции об оценке</w:t>
      </w:r>
      <w:r w:rsidRPr="00BA5E54">
        <w:rPr>
          <w:rFonts w:cs="Times New Roman"/>
          <w:b/>
          <w:sz w:val="28"/>
          <w:szCs w:val="28"/>
        </w:rPr>
        <w:t xml:space="preserve"> </w:t>
      </w:r>
      <w:r w:rsidR="00501B39" w:rsidRPr="00BA5E54">
        <w:rPr>
          <w:rFonts w:cs="Times New Roman"/>
          <w:b/>
          <w:sz w:val="28"/>
          <w:szCs w:val="28"/>
        </w:rPr>
        <w:br/>
      </w:r>
      <w:r w:rsidRPr="00BA5E54">
        <w:rPr>
          <w:rFonts w:cs="Times New Roman"/>
          <w:bCs/>
          <w:sz w:val="28"/>
          <w:szCs w:val="28"/>
        </w:rPr>
        <w:t xml:space="preserve">воздействия на окружающую среду </w:t>
      </w:r>
      <w:r w:rsidR="00501B39" w:rsidRPr="00BA5E54">
        <w:rPr>
          <w:rFonts w:cs="Times New Roman"/>
          <w:bCs/>
          <w:sz w:val="28"/>
          <w:szCs w:val="28"/>
        </w:rPr>
        <w:br/>
      </w:r>
      <w:r w:rsidRPr="00BA5E54">
        <w:rPr>
          <w:rFonts w:cs="Times New Roman"/>
          <w:bCs/>
          <w:sz w:val="28"/>
          <w:szCs w:val="28"/>
        </w:rPr>
        <w:t xml:space="preserve">в трансграничном контексте, действующее </w:t>
      </w:r>
      <w:r w:rsidR="00501B39" w:rsidRPr="00BA5E54">
        <w:rPr>
          <w:rFonts w:cs="Times New Roman"/>
          <w:bCs/>
          <w:sz w:val="28"/>
          <w:szCs w:val="28"/>
        </w:rPr>
        <w:br/>
      </w:r>
      <w:r w:rsidRPr="00BA5E54">
        <w:rPr>
          <w:rFonts w:cs="Times New Roman"/>
          <w:bCs/>
          <w:sz w:val="28"/>
          <w:szCs w:val="28"/>
        </w:rPr>
        <w:t xml:space="preserve">в качестве Совещания Сторон Протокола </w:t>
      </w:r>
      <w:r w:rsidR="00501B39" w:rsidRPr="00BA5E54">
        <w:rPr>
          <w:rFonts w:cs="Times New Roman"/>
          <w:bCs/>
          <w:sz w:val="28"/>
          <w:szCs w:val="28"/>
        </w:rPr>
        <w:br/>
      </w:r>
      <w:r w:rsidRPr="00BA5E54">
        <w:rPr>
          <w:rFonts w:cs="Times New Roman"/>
          <w:bCs/>
          <w:sz w:val="28"/>
          <w:szCs w:val="28"/>
        </w:rPr>
        <w:t xml:space="preserve">по стратегической экологической оценке </w:t>
      </w:r>
    </w:p>
    <w:p w14:paraId="507E09F3" w14:textId="77777777" w:rsidR="000C3BBC" w:rsidRPr="00BA5E54" w:rsidRDefault="000C3BBC" w:rsidP="00F56F8D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cs="Times New Roman"/>
          <w:b/>
          <w:szCs w:val="20"/>
        </w:rPr>
      </w:pPr>
      <w:r w:rsidRPr="00BA5E54">
        <w:rPr>
          <w:rFonts w:cs="Times New Roman"/>
          <w:b/>
          <w:szCs w:val="20"/>
        </w:rPr>
        <w:t>Пятая сессия</w:t>
      </w:r>
    </w:p>
    <w:p w14:paraId="43FC464F" w14:textId="55C25BF5" w:rsidR="000C3BBC" w:rsidRPr="00F56F8D" w:rsidRDefault="000C3BBC" w:rsidP="00F56F8D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cs="Times New Roman"/>
          <w:bCs/>
          <w:szCs w:val="20"/>
        </w:rPr>
      </w:pPr>
      <w:r w:rsidRPr="00F56F8D">
        <w:rPr>
          <w:rFonts w:cs="Times New Roman"/>
          <w:b/>
          <w:szCs w:val="20"/>
        </w:rPr>
        <w:t>Женева, 12–15 декабря 2023 года</w:t>
      </w:r>
      <w:r w:rsidR="00F56F8D" w:rsidRPr="00F56F8D">
        <w:rPr>
          <w:rFonts w:cs="Times New Roman"/>
          <w:b/>
          <w:szCs w:val="20"/>
        </w:rPr>
        <w:br/>
      </w:r>
      <w:r w:rsidRPr="00F56F8D">
        <w:rPr>
          <w:rFonts w:cs="Times New Roman"/>
          <w:bCs/>
          <w:szCs w:val="20"/>
        </w:rPr>
        <w:t>Пункт 6 предварительной повестки дня</w:t>
      </w:r>
    </w:p>
    <w:p w14:paraId="79C6511C" w14:textId="6D3A11AF" w:rsidR="000C3BBC" w:rsidRPr="00BA5E54" w:rsidRDefault="000C3BBC" w:rsidP="00F56F8D">
      <w:pPr>
        <w:kinsoku w:val="0"/>
        <w:overflowPunct w:val="0"/>
        <w:autoSpaceDE w:val="0"/>
        <w:autoSpaceDN w:val="0"/>
        <w:adjustRightInd w:val="0"/>
        <w:snapToGrid w:val="0"/>
        <w:spacing w:before="120"/>
        <w:rPr>
          <w:rFonts w:cs="Times New Roman"/>
          <w:b/>
          <w:szCs w:val="20"/>
        </w:rPr>
      </w:pPr>
      <w:r w:rsidRPr="00BA5E54">
        <w:rPr>
          <w:rFonts w:cs="Times New Roman"/>
          <w:b/>
          <w:szCs w:val="20"/>
        </w:rPr>
        <w:t xml:space="preserve">Мероприятие высокого уровня, посвященное вкладу </w:t>
      </w:r>
      <w:r w:rsidR="00501B39" w:rsidRPr="00BA5E54">
        <w:rPr>
          <w:rFonts w:cs="Times New Roman"/>
          <w:b/>
          <w:szCs w:val="20"/>
        </w:rPr>
        <w:br/>
      </w:r>
      <w:r w:rsidRPr="00BA5E54">
        <w:rPr>
          <w:rFonts w:cs="Times New Roman"/>
          <w:b/>
          <w:szCs w:val="20"/>
        </w:rPr>
        <w:t>Конвенции</w:t>
      </w:r>
      <w:r w:rsidR="00501B39" w:rsidRPr="00BA5E54">
        <w:rPr>
          <w:rFonts w:cs="Times New Roman"/>
          <w:b/>
          <w:szCs w:val="20"/>
        </w:rPr>
        <w:t xml:space="preserve"> </w:t>
      </w:r>
      <w:r w:rsidRPr="00BA5E54">
        <w:rPr>
          <w:rFonts w:cs="Times New Roman"/>
          <w:b/>
          <w:szCs w:val="20"/>
        </w:rPr>
        <w:t xml:space="preserve">и Протокола в энергетический переход, </w:t>
      </w:r>
      <w:r w:rsidR="00501B39" w:rsidRPr="00BA5E54">
        <w:rPr>
          <w:rFonts w:cs="Times New Roman"/>
          <w:b/>
          <w:szCs w:val="20"/>
        </w:rPr>
        <w:br/>
      </w:r>
      <w:r w:rsidRPr="00BA5E54">
        <w:rPr>
          <w:rFonts w:cs="Times New Roman"/>
          <w:b/>
          <w:szCs w:val="20"/>
        </w:rPr>
        <w:t>экономику замкнутого цикла и зеленое финансирование</w:t>
      </w:r>
    </w:p>
    <w:p w14:paraId="482297BB" w14:textId="46852C8A" w:rsidR="000C3BBC" w:rsidRPr="00C41566" w:rsidRDefault="000C3BBC" w:rsidP="00F56F8D">
      <w:pPr>
        <w:pStyle w:val="HChG"/>
        <w:rPr>
          <w:lang w:eastAsia="en-US"/>
        </w:rPr>
      </w:pPr>
      <w:r w:rsidRPr="00D22FFE">
        <w:rPr>
          <w:lang w:eastAsia="en-US"/>
        </w:rPr>
        <w:tab/>
      </w:r>
      <w:r w:rsidRPr="00D22FFE">
        <w:rPr>
          <w:lang w:eastAsia="en-US"/>
        </w:rPr>
        <w:tab/>
      </w:r>
      <w:r w:rsidRPr="00A95A40">
        <w:rPr>
          <w:lang w:eastAsia="en-US"/>
        </w:rPr>
        <w:t>Энергетический переход, экономика замкнутого цикла и</w:t>
      </w:r>
      <w:r w:rsidR="00501B39">
        <w:rPr>
          <w:lang w:val="en-US" w:eastAsia="en-US"/>
        </w:rPr>
        <w:t> </w:t>
      </w:r>
      <w:r w:rsidRPr="00A95A40">
        <w:rPr>
          <w:lang w:eastAsia="en-US"/>
        </w:rPr>
        <w:t>зеленое финансирование: роль Конвенции Эспо и</w:t>
      </w:r>
      <w:r w:rsidR="00501B39">
        <w:rPr>
          <w:lang w:val="en-US" w:eastAsia="en-US"/>
        </w:rPr>
        <w:t> </w:t>
      </w:r>
      <w:r>
        <w:rPr>
          <w:lang w:eastAsia="en-US"/>
        </w:rPr>
        <w:t>П</w:t>
      </w:r>
      <w:r w:rsidRPr="00A95A40">
        <w:rPr>
          <w:lang w:eastAsia="en-US"/>
        </w:rPr>
        <w:t>ротокола к ней</w:t>
      </w:r>
    </w:p>
    <w:p w14:paraId="7223C4CF" w14:textId="77777777" w:rsidR="000C3BBC" w:rsidRPr="00A95A40" w:rsidRDefault="000C3BBC" w:rsidP="00F56F8D">
      <w:pPr>
        <w:pStyle w:val="H1G"/>
        <w:rPr>
          <w:lang w:eastAsia="en-US"/>
        </w:rPr>
      </w:pPr>
      <w:r w:rsidRPr="00A95A40">
        <w:rPr>
          <w:lang w:eastAsia="en-US"/>
        </w:rPr>
        <w:tab/>
      </w:r>
      <w:r w:rsidRPr="00A95A40">
        <w:rPr>
          <w:lang w:eastAsia="en-US"/>
        </w:rPr>
        <w:tab/>
        <w:t xml:space="preserve">Записка </w:t>
      </w:r>
      <w:r>
        <w:rPr>
          <w:lang w:eastAsia="en-US"/>
        </w:rPr>
        <w:t>Президиума</w:t>
      </w:r>
      <w:r w:rsidRPr="00A95A40">
        <w:rPr>
          <w:lang w:eastAsia="en-US"/>
        </w:rPr>
        <w:t>, подготовленная при поддержке двух консультантов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0C3BBC" w14:paraId="455BCDAF" w14:textId="77777777" w:rsidTr="00501B39">
        <w:trPr>
          <w:jc w:val="center"/>
        </w:trPr>
        <w:tc>
          <w:tcPr>
            <w:tcW w:w="9629" w:type="dxa"/>
            <w:tcBorders>
              <w:bottom w:val="nil"/>
            </w:tcBorders>
            <w:shd w:val="clear" w:color="auto" w:fill="auto"/>
          </w:tcPr>
          <w:p w14:paraId="61423E45" w14:textId="77777777" w:rsidR="000C3BBC" w:rsidRPr="00A95A40" w:rsidRDefault="000C3BBC" w:rsidP="00F56F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ind w:left="255"/>
              <w:rPr>
                <w:i/>
                <w:sz w:val="24"/>
              </w:rPr>
            </w:pPr>
            <w:r w:rsidRPr="00F56F8D">
              <w:rPr>
                <w:rFonts w:cs="Times New Roman"/>
                <w:i/>
                <w:sz w:val="24"/>
                <w:szCs w:val="20"/>
                <w:lang w:val="fr-FR"/>
              </w:rPr>
              <w:t>Резюме</w:t>
            </w:r>
          </w:p>
        </w:tc>
      </w:tr>
      <w:tr w:rsidR="000C3BBC" w:rsidRPr="00F67271" w14:paraId="0EFF671C" w14:textId="77777777" w:rsidTr="00501B39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6DEE8CA3" w14:textId="66AB453C" w:rsidR="000C3BBC" w:rsidRPr="00BA5E54" w:rsidRDefault="000C3BBC" w:rsidP="00F56F8D">
            <w:pPr>
              <w:pStyle w:val="SingleTxtG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567"/>
              <w:rPr>
                <w:rFonts w:eastAsiaTheme="minorHAnsi"/>
                <w:spacing w:val="-2"/>
              </w:rPr>
            </w:pPr>
            <w:r w:rsidRPr="00595E1D">
              <w:rPr>
                <w:rFonts w:eastAsiaTheme="minorHAnsi"/>
                <w:spacing w:val="-2"/>
              </w:rPr>
              <w:t xml:space="preserve">Настоящий документ посвящен роли и дальнейшему потенциалу Конвенции и Протокола к ней в отношении энергетического перехода, экономики замкнутого цикла и зеленого финансирования, которые будут обсуждаться на мероприятии высокого уровня в рамках нынешних сессий (14 декабря, 15 ч 30 мин — 17 ч 30 мин). </w:t>
            </w:r>
            <w:r w:rsidRPr="00BA5E54">
              <w:rPr>
                <w:rFonts w:eastAsiaTheme="minorHAnsi"/>
                <w:spacing w:val="-2"/>
              </w:rPr>
              <w:t>Он был подготовлен в соответствии с планом работы</w:t>
            </w:r>
            <w:r w:rsidRPr="00595E1D">
              <w:rPr>
                <w:rFonts w:eastAsiaTheme="minorHAnsi"/>
                <w:spacing w:val="-2"/>
                <w:sz w:val="18"/>
                <w:szCs w:val="18"/>
                <w:vertAlign w:val="superscript"/>
                <w:lang w:val="fr-FR"/>
              </w:rPr>
              <w:t>a</w:t>
            </w:r>
            <w:r w:rsidRPr="00BA5E54">
              <w:rPr>
                <w:rFonts w:eastAsiaTheme="minorHAnsi"/>
                <w:spacing w:val="-2"/>
              </w:rPr>
              <w:t xml:space="preserve">, по согласованию с Президиумом, при поддержке консультантов секретариата, финансируемых Италией, с учетом замечаний Рабочей группы по оценке воздействия на окружающую среду и стратегической экологической оценке, высказанных на ее двенадцатом совещании (Женева, </w:t>
            </w:r>
            <w:r w:rsidR="00501B39" w:rsidRPr="00BA5E54">
              <w:rPr>
                <w:rFonts w:eastAsiaTheme="minorHAnsi"/>
                <w:spacing w:val="-2"/>
              </w:rPr>
              <w:br/>
            </w:r>
            <w:r w:rsidRPr="00BA5E54">
              <w:rPr>
                <w:rFonts w:eastAsiaTheme="minorHAnsi"/>
                <w:spacing w:val="-2"/>
              </w:rPr>
              <w:t>13–15 июня 2023 года).</w:t>
            </w:r>
          </w:p>
          <w:p w14:paraId="73962FCA" w14:textId="1A4B25CA" w:rsidR="000C3BBC" w:rsidRPr="00BA5E54" w:rsidRDefault="000C3BBC" w:rsidP="00F56F8D">
            <w:pPr>
              <w:pStyle w:val="SingleTxtG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567"/>
              <w:rPr>
                <w:rFonts w:eastAsiaTheme="minorHAnsi"/>
                <w:spacing w:val="-2"/>
              </w:rPr>
            </w:pPr>
            <w:r w:rsidRPr="00C956E0">
              <w:rPr>
                <w:rFonts w:eastAsiaTheme="minorHAnsi"/>
                <w:spacing w:val="-2"/>
              </w:rPr>
              <w:t xml:space="preserve">Как ожидается, в ходе групповой дискуссии, проводящейся под руководством модератора, ее участники и делегаты рассмотрят ключевые вопросы, связанные с тремя темами, указываемыми в настоящем документе, обменяются соответствующим </w:t>
            </w:r>
            <w:r w:rsidRPr="00C956E0">
              <w:rPr>
                <w:rFonts w:eastAsiaTheme="minorHAnsi"/>
                <w:spacing w:val="-2"/>
              </w:rPr>
              <w:lastRenderedPageBreak/>
              <w:t>передовым опытом и изучат пути повышения осведомленности о договоре/договорах и расширения его/их применения</w:t>
            </w:r>
            <w:r w:rsidR="00C956E0">
              <w:rPr>
                <w:rFonts w:eastAsiaTheme="minorHAnsi"/>
                <w:spacing w:val="-2"/>
              </w:rPr>
              <w:t xml:space="preserve"> </w:t>
            </w:r>
            <w:r w:rsidRPr="00C956E0">
              <w:rPr>
                <w:rFonts w:eastAsiaTheme="minorHAnsi"/>
                <w:spacing w:val="-2"/>
              </w:rPr>
              <w:t xml:space="preserve">в данном контексте. </w:t>
            </w:r>
            <w:r w:rsidRPr="00BA5E54">
              <w:rPr>
                <w:rFonts w:eastAsiaTheme="minorHAnsi"/>
                <w:spacing w:val="-2"/>
              </w:rPr>
              <w:t>Делегациям, желающим выступить с места с короткими заявлениями (3 минуты), предлагается зарегистрировать их до начала сессий. Проект программы будет изложен в отдельном документе (</w:t>
            </w:r>
            <w:r w:rsidRPr="00F56F8D">
              <w:rPr>
                <w:rFonts w:eastAsiaTheme="minorHAnsi"/>
                <w:spacing w:val="-2"/>
                <w:lang w:val="fr-FR"/>
              </w:rPr>
              <w:t>ECE</w:t>
            </w:r>
            <w:r w:rsidRPr="00BA5E54">
              <w:rPr>
                <w:rFonts w:eastAsiaTheme="minorHAnsi"/>
                <w:spacing w:val="-2"/>
              </w:rPr>
              <w:t>/</w:t>
            </w:r>
            <w:r w:rsidRPr="00F56F8D">
              <w:rPr>
                <w:rFonts w:eastAsiaTheme="minorHAnsi"/>
                <w:spacing w:val="-2"/>
                <w:lang w:val="fr-FR"/>
              </w:rPr>
              <w:t>MP</w:t>
            </w:r>
            <w:r w:rsidRPr="00BA5E54">
              <w:rPr>
                <w:rFonts w:eastAsiaTheme="minorHAnsi"/>
                <w:spacing w:val="-2"/>
              </w:rPr>
              <w:t>.</w:t>
            </w:r>
            <w:r w:rsidRPr="00F56F8D">
              <w:rPr>
                <w:rFonts w:eastAsiaTheme="minorHAnsi"/>
                <w:spacing w:val="-2"/>
                <w:lang w:val="fr-FR"/>
              </w:rPr>
              <w:t>EIA</w:t>
            </w:r>
            <w:r w:rsidRPr="00BA5E54">
              <w:rPr>
                <w:rFonts w:eastAsiaTheme="minorHAnsi"/>
                <w:spacing w:val="-2"/>
              </w:rPr>
              <w:t>/2023/</w:t>
            </w:r>
            <w:r w:rsidRPr="00F56F8D">
              <w:rPr>
                <w:rFonts w:eastAsiaTheme="minorHAnsi"/>
                <w:spacing w:val="-2"/>
                <w:lang w:val="fr-FR"/>
              </w:rPr>
              <w:t>INF</w:t>
            </w:r>
            <w:r w:rsidRPr="00BA5E54">
              <w:rPr>
                <w:rFonts w:eastAsiaTheme="minorHAnsi"/>
                <w:spacing w:val="-2"/>
              </w:rPr>
              <w:t>.10, готовится к выпуску).</w:t>
            </w:r>
          </w:p>
          <w:p w14:paraId="63B44BD8" w14:textId="77777777" w:rsidR="000C3BBC" w:rsidRPr="005374F2" w:rsidRDefault="000C3BBC" w:rsidP="00501B39">
            <w:pPr>
              <w:pStyle w:val="SingleTxtG"/>
              <w:spacing w:after="60" w:line="220" w:lineRule="exact"/>
            </w:pPr>
            <w:r w:rsidRPr="005374F2">
              <w:t>_______________</w:t>
            </w:r>
          </w:p>
          <w:p w14:paraId="16CE9A3A" w14:textId="28A01D67" w:rsidR="000C3BBC" w:rsidRPr="005374F2" w:rsidRDefault="000C3BBC" w:rsidP="00501B39">
            <w:pPr>
              <w:pStyle w:val="SingleTxtG"/>
              <w:spacing w:after="0" w:line="200" w:lineRule="exact"/>
              <w:ind w:firstLine="170"/>
              <w:jc w:val="left"/>
            </w:pPr>
            <w:r w:rsidRPr="00501B39">
              <w:rPr>
                <w:i/>
                <w:iCs/>
                <w:sz w:val="18"/>
                <w:szCs w:val="18"/>
                <w:vertAlign w:val="superscript"/>
                <w:lang w:val="it-IT"/>
              </w:rPr>
              <w:t>a</w:t>
            </w:r>
            <w:r w:rsidR="006C6943" w:rsidRPr="00B66189">
              <w:t xml:space="preserve"> </w:t>
            </w:r>
            <w:r w:rsidR="00CD6A02" w:rsidRPr="00B66189">
              <w:t xml:space="preserve"> </w:t>
            </w:r>
            <w:r w:rsidRPr="00AA228F">
              <w:rPr>
                <w:sz w:val="18"/>
                <w:szCs w:val="18"/>
                <w:lang w:val="it-IT"/>
              </w:rPr>
              <w:t>ECE</w:t>
            </w:r>
            <w:r w:rsidRPr="005374F2">
              <w:rPr>
                <w:sz w:val="18"/>
                <w:szCs w:val="18"/>
              </w:rPr>
              <w:t>/</w:t>
            </w:r>
            <w:r w:rsidRPr="00AA228F">
              <w:rPr>
                <w:sz w:val="18"/>
                <w:szCs w:val="18"/>
                <w:lang w:val="it-IT"/>
              </w:rPr>
              <w:t>MP</w:t>
            </w:r>
            <w:r w:rsidRPr="005374F2">
              <w:rPr>
                <w:sz w:val="18"/>
                <w:szCs w:val="18"/>
              </w:rPr>
              <w:t>.</w:t>
            </w:r>
            <w:r w:rsidRPr="00AA228F">
              <w:rPr>
                <w:sz w:val="18"/>
                <w:szCs w:val="18"/>
                <w:lang w:val="it-IT"/>
              </w:rPr>
              <w:t>EIA</w:t>
            </w:r>
            <w:r w:rsidRPr="005374F2">
              <w:rPr>
                <w:sz w:val="18"/>
                <w:szCs w:val="18"/>
              </w:rPr>
              <w:t>/30/</w:t>
            </w:r>
            <w:r w:rsidRPr="00AA228F">
              <w:rPr>
                <w:sz w:val="18"/>
                <w:szCs w:val="18"/>
                <w:lang w:val="it-IT"/>
              </w:rPr>
              <w:t>Add</w:t>
            </w:r>
            <w:r w:rsidRPr="005374F2">
              <w:rPr>
                <w:sz w:val="18"/>
                <w:szCs w:val="18"/>
              </w:rPr>
              <w:t>.1–</w:t>
            </w:r>
            <w:r w:rsidRPr="00AA228F">
              <w:rPr>
                <w:sz w:val="18"/>
                <w:szCs w:val="18"/>
                <w:lang w:val="it-IT"/>
              </w:rPr>
              <w:t>ECE</w:t>
            </w:r>
            <w:r w:rsidRPr="005374F2">
              <w:rPr>
                <w:sz w:val="18"/>
                <w:szCs w:val="18"/>
              </w:rPr>
              <w:t>/</w:t>
            </w:r>
            <w:r w:rsidRPr="00AA228F">
              <w:rPr>
                <w:sz w:val="18"/>
                <w:szCs w:val="18"/>
                <w:lang w:val="it-IT"/>
              </w:rPr>
              <w:t>MP</w:t>
            </w:r>
            <w:r w:rsidRPr="005374F2">
              <w:rPr>
                <w:sz w:val="18"/>
                <w:szCs w:val="18"/>
              </w:rPr>
              <w:t>.</w:t>
            </w:r>
            <w:r w:rsidRPr="00AA228F">
              <w:rPr>
                <w:sz w:val="18"/>
                <w:szCs w:val="18"/>
                <w:lang w:val="it-IT"/>
              </w:rPr>
              <w:t>EIA</w:t>
            </w:r>
            <w:r w:rsidRPr="005374F2">
              <w:rPr>
                <w:sz w:val="18"/>
                <w:szCs w:val="18"/>
              </w:rPr>
              <w:t>/</w:t>
            </w:r>
            <w:r w:rsidRPr="00AA228F">
              <w:rPr>
                <w:sz w:val="18"/>
                <w:szCs w:val="18"/>
                <w:lang w:val="it-IT"/>
              </w:rPr>
              <w:t>SEA</w:t>
            </w:r>
            <w:r w:rsidRPr="005374F2">
              <w:rPr>
                <w:sz w:val="18"/>
                <w:szCs w:val="18"/>
              </w:rPr>
              <w:t>/13/</w:t>
            </w:r>
            <w:r w:rsidRPr="00AA228F">
              <w:rPr>
                <w:sz w:val="18"/>
                <w:szCs w:val="18"/>
                <w:lang w:val="it-IT"/>
              </w:rPr>
              <w:t>Add</w:t>
            </w:r>
            <w:r w:rsidRPr="005374F2">
              <w:rPr>
                <w:sz w:val="18"/>
                <w:szCs w:val="18"/>
              </w:rPr>
              <w:t xml:space="preserve">.1, </w:t>
            </w:r>
            <w:r>
              <w:rPr>
                <w:sz w:val="18"/>
                <w:szCs w:val="18"/>
              </w:rPr>
              <w:t>решение</w:t>
            </w:r>
            <w:r w:rsidRPr="005374F2">
              <w:rPr>
                <w:sz w:val="18"/>
                <w:szCs w:val="18"/>
              </w:rPr>
              <w:t xml:space="preserve"> </w:t>
            </w:r>
            <w:r w:rsidRPr="00AA228F">
              <w:rPr>
                <w:sz w:val="18"/>
                <w:szCs w:val="18"/>
                <w:lang w:val="it-IT"/>
              </w:rPr>
              <w:t>VIII</w:t>
            </w:r>
            <w:r w:rsidRPr="005374F2">
              <w:rPr>
                <w:sz w:val="18"/>
                <w:szCs w:val="18"/>
              </w:rPr>
              <w:t>/2–</w:t>
            </w:r>
            <w:r w:rsidRPr="00AA228F">
              <w:rPr>
                <w:sz w:val="18"/>
                <w:szCs w:val="18"/>
                <w:lang w:val="it-IT"/>
              </w:rPr>
              <w:t>IV</w:t>
            </w:r>
            <w:r w:rsidRPr="005374F2">
              <w:rPr>
                <w:sz w:val="18"/>
                <w:szCs w:val="18"/>
              </w:rPr>
              <w:t xml:space="preserve">/2, </w:t>
            </w:r>
            <w:r>
              <w:rPr>
                <w:sz w:val="18"/>
                <w:szCs w:val="18"/>
              </w:rPr>
              <w:t>приложение</w:t>
            </w:r>
            <w:r w:rsidRPr="005374F2">
              <w:rPr>
                <w:sz w:val="18"/>
                <w:szCs w:val="18"/>
              </w:rPr>
              <w:t xml:space="preserve"> </w:t>
            </w:r>
            <w:r w:rsidRPr="00AA228F">
              <w:rPr>
                <w:sz w:val="18"/>
                <w:szCs w:val="18"/>
                <w:lang w:val="it-IT"/>
              </w:rPr>
              <w:t>I</w:t>
            </w:r>
            <w:r w:rsidRPr="005374F2">
              <w:rPr>
                <w:sz w:val="18"/>
                <w:szCs w:val="18"/>
              </w:rPr>
              <w:t xml:space="preserve">, </w:t>
            </w:r>
            <w:r w:rsidR="00501B3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</w:t>
            </w:r>
            <w:r w:rsidRPr="005374F2">
              <w:rPr>
                <w:sz w:val="18"/>
                <w:szCs w:val="18"/>
              </w:rPr>
              <w:t xml:space="preserve">. </w:t>
            </w:r>
            <w:r w:rsidRPr="00AA228F">
              <w:rPr>
                <w:sz w:val="18"/>
                <w:szCs w:val="18"/>
                <w:lang w:val="it-IT"/>
              </w:rPr>
              <w:t>III</w:t>
            </w:r>
            <w:r w:rsidRPr="005374F2">
              <w:rPr>
                <w:sz w:val="18"/>
                <w:szCs w:val="18"/>
              </w:rPr>
              <w:t>.</w:t>
            </w:r>
            <w:r w:rsidRPr="00AA228F">
              <w:rPr>
                <w:sz w:val="18"/>
                <w:szCs w:val="18"/>
                <w:lang w:val="it-IT"/>
              </w:rPr>
              <w:t>B</w:t>
            </w:r>
            <w:r w:rsidRPr="005374F2">
              <w:rPr>
                <w:sz w:val="18"/>
                <w:szCs w:val="18"/>
              </w:rPr>
              <w:t>.1.</w:t>
            </w:r>
          </w:p>
        </w:tc>
      </w:tr>
      <w:tr w:rsidR="000C3BBC" w:rsidRPr="00F67271" w14:paraId="207246A2" w14:textId="77777777" w:rsidTr="00501B39">
        <w:trPr>
          <w:jc w:val="center"/>
        </w:trPr>
        <w:tc>
          <w:tcPr>
            <w:tcW w:w="9629" w:type="dxa"/>
            <w:tcBorders>
              <w:top w:val="nil"/>
            </w:tcBorders>
            <w:shd w:val="clear" w:color="auto" w:fill="auto"/>
          </w:tcPr>
          <w:p w14:paraId="77234DF2" w14:textId="77777777" w:rsidR="000C3BBC" w:rsidRPr="005374F2" w:rsidRDefault="000C3BBC" w:rsidP="00501B39">
            <w:pPr>
              <w:tabs>
                <w:tab w:val="left" w:pos="8559"/>
              </w:tabs>
              <w:spacing w:line="220" w:lineRule="exact"/>
            </w:pPr>
            <w:r w:rsidRPr="005374F2">
              <w:lastRenderedPageBreak/>
              <w:tab/>
            </w:r>
          </w:p>
        </w:tc>
      </w:tr>
    </w:tbl>
    <w:p w14:paraId="5B0C894B" w14:textId="77777777" w:rsidR="000C3BBC" w:rsidRPr="00E049C0" w:rsidRDefault="000C3BBC" w:rsidP="00F56F8D">
      <w:pPr>
        <w:pStyle w:val="HChG"/>
        <w:pageBreakBefore/>
        <w:rPr>
          <w:bCs/>
          <w:szCs w:val="28"/>
          <w:lang w:eastAsia="en-US"/>
        </w:rPr>
      </w:pPr>
      <w:r w:rsidRPr="005374F2">
        <w:rPr>
          <w:bCs/>
          <w:szCs w:val="28"/>
          <w:lang w:eastAsia="en-US"/>
        </w:rPr>
        <w:lastRenderedPageBreak/>
        <w:tab/>
      </w:r>
      <w:r w:rsidRPr="00C26937">
        <w:rPr>
          <w:bCs/>
          <w:szCs w:val="28"/>
          <w:lang w:eastAsia="en-US"/>
        </w:rPr>
        <w:t>I</w:t>
      </w:r>
      <w:r w:rsidRPr="00F439A6">
        <w:rPr>
          <w:bCs/>
          <w:szCs w:val="28"/>
          <w:lang w:eastAsia="en-US"/>
        </w:rPr>
        <w:t>.</w:t>
      </w:r>
      <w:r w:rsidRPr="00F439A6">
        <w:rPr>
          <w:bCs/>
          <w:szCs w:val="28"/>
          <w:lang w:eastAsia="en-US"/>
        </w:rPr>
        <w:tab/>
      </w:r>
      <w:r>
        <w:rPr>
          <w:lang w:eastAsia="en-US"/>
        </w:rPr>
        <w:t>Введение</w:t>
      </w:r>
    </w:p>
    <w:p w14:paraId="0AFBF74A" w14:textId="77777777" w:rsidR="000C3BBC" w:rsidRPr="00E049C0" w:rsidRDefault="000C3BBC" w:rsidP="000C3BBC">
      <w:pPr>
        <w:pStyle w:val="H1G"/>
        <w:rPr>
          <w:lang w:eastAsia="en-US"/>
        </w:rPr>
      </w:pPr>
      <w:r w:rsidRPr="00F439A6">
        <w:rPr>
          <w:lang w:eastAsia="en-US"/>
        </w:rPr>
        <w:tab/>
      </w:r>
      <w:r w:rsidRPr="00C26937">
        <w:rPr>
          <w:lang w:eastAsia="en-US"/>
        </w:rPr>
        <w:t>A</w:t>
      </w:r>
      <w:r w:rsidRPr="00F439A6">
        <w:rPr>
          <w:lang w:eastAsia="en-US"/>
        </w:rPr>
        <w:t>.</w:t>
      </w:r>
      <w:r w:rsidRPr="00F439A6">
        <w:rPr>
          <w:lang w:eastAsia="en-US"/>
        </w:rPr>
        <w:tab/>
      </w:r>
      <w:r>
        <w:rPr>
          <w:lang w:eastAsia="en-US"/>
        </w:rPr>
        <w:t>Цели</w:t>
      </w:r>
    </w:p>
    <w:p w14:paraId="7F4A7AB7" w14:textId="77777777" w:rsidR="000C3BBC" w:rsidRPr="00F439A6" w:rsidRDefault="000C3BBC" w:rsidP="000C3BBC">
      <w:pPr>
        <w:pStyle w:val="SingleTxtG"/>
      </w:pPr>
      <w:r w:rsidRPr="00F439A6">
        <w:t>1.</w:t>
      </w:r>
      <w:r w:rsidRPr="00F439A6">
        <w:tab/>
      </w:r>
      <w:r w:rsidRPr="00E049C0">
        <w:t xml:space="preserve">Настоящий документ </w:t>
      </w:r>
      <w:r>
        <w:t xml:space="preserve">был </w:t>
      </w:r>
      <w:r w:rsidRPr="00E049C0">
        <w:t xml:space="preserve">подготовлен в рамках Конвенции об оценке воздействия на окружающую среду в трансграничном контексте (Конвенция Эспо) и Протокола по стратегической экологической оценке к ней с целью представления роли и дальнейшего потенциала этих инструментов в отношении энергетического перехода, </w:t>
      </w:r>
      <w:r w:rsidRPr="00A95A40">
        <w:t>экономик</w:t>
      </w:r>
      <w:r>
        <w:t>и</w:t>
      </w:r>
      <w:r w:rsidRPr="00A95A40">
        <w:t xml:space="preserve"> замкнутого цикла</w:t>
      </w:r>
      <w:r w:rsidRPr="00E049C0">
        <w:t xml:space="preserve"> и зеленого финансирования. Это соответствует приоритетным целям долгосрочной стратегии по </w:t>
      </w:r>
      <w:r>
        <w:t xml:space="preserve">осуществлению </w:t>
      </w:r>
      <w:r w:rsidRPr="00E049C0">
        <w:t>Конвенции и Протокол</w:t>
      </w:r>
      <w:r>
        <w:t>а</w:t>
      </w:r>
      <w:r w:rsidRPr="00E049C0">
        <w:t xml:space="preserve"> (принятой в 2020 г</w:t>
      </w:r>
      <w:r>
        <w:t>оду</w:t>
      </w:r>
      <w:r w:rsidRPr="00E049C0">
        <w:t>), котор</w:t>
      </w:r>
      <w:r>
        <w:t>ая</w:t>
      </w:r>
      <w:r w:rsidRPr="00E049C0">
        <w:t xml:space="preserve"> включа</w:t>
      </w:r>
      <w:r>
        <w:t>е</w:t>
      </w:r>
      <w:r w:rsidRPr="00E049C0">
        <w:t>т</w:t>
      </w:r>
      <w:r>
        <w:t xml:space="preserve"> в себя такие аспекты, как</w:t>
      </w:r>
      <w:r w:rsidRPr="00E049C0">
        <w:t xml:space="preserve"> </w:t>
      </w:r>
      <w:r>
        <w:t>«п</w:t>
      </w:r>
      <w:r w:rsidRPr="0027212E">
        <w:t>ропаганда роли договоров</w:t>
      </w:r>
      <w:r>
        <w:t>»</w:t>
      </w:r>
      <w:r w:rsidRPr="00E049C0">
        <w:t xml:space="preserve"> и </w:t>
      </w:r>
      <w:r>
        <w:t>«и</w:t>
      </w:r>
      <w:r w:rsidRPr="0027212E">
        <w:t>спользование потенциала договоров в полной мере</w:t>
      </w:r>
      <w:r>
        <w:t>»</w:t>
      </w:r>
      <w:r w:rsidRPr="00E049C0">
        <w:t xml:space="preserve"> в </w:t>
      </w:r>
      <w:r>
        <w:t>интересах реализации</w:t>
      </w:r>
      <w:r w:rsidRPr="00E049C0">
        <w:t xml:space="preserve"> глобальных и национальных обязательств и приоритетных задач, в том числе в отношении изменения климата и </w:t>
      </w:r>
      <w:r w:rsidRPr="00A95A40">
        <w:t>экономик</w:t>
      </w:r>
      <w:r>
        <w:t>и</w:t>
      </w:r>
      <w:r w:rsidRPr="00A95A40">
        <w:t xml:space="preserve"> замкнутого цикла</w:t>
      </w:r>
      <w:r w:rsidRPr="00E049C0">
        <w:t xml:space="preserve">, </w:t>
      </w:r>
      <w:r w:rsidRPr="00F439A6">
        <w:t>разработк</w:t>
      </w:r>
      <w:r>
        <w:t>и</w:t>
      </w:r>
      <w:r w:rsidRPr="00F439A6">
        <w:t xml:space="preserve"> передовой практики в </w:t>
      </w:r>
      <w:r>
        <w:t>сфере</w:t>
      </w:r>
      <w:r w:rsidRPr="00F439A6">
        <w:t xml:space="preserve"> энергетики</w:t>
      </w:r>
      <w:r w:rsidRPr="00E049C0">
        <w:t xml:space="preserve"> и </w:t>
      </w:r>
      <w:r w:rsidRPr="00F439A6">
        <w:t>Целей в области устойчивого развития</w:t>
      </w:r>
      <w:r w:rsidRPr="00C26937">
        <w:rPr>
          <w:sz w:val="18"/>
          <w:vertAlign w:val="superscript"/>
        </w:rPr>
        <w:footnoteReference w:id="1"/>
      </w:r>
      <w:r>
        <w:t>.</w:t>
      </w:r>
    </w:p>
    <w:p w14:paraId="6752BE75" w14:textId="3303884C" w:rsidR="000C3BBC" w:rsidRPr="00754FE0" w:rsidRDefault="000C3BBC" w:rsidP="000C3BBC">
      <w:pPr>
        <w:pStyle w:val="SingleTxtG"/>
      </w:pPr>
      <w:r w:rsidRPr="00754FE0">
        <w:t>2.</w:t>
      </w:r>
      <w:r w:rsidRPr="00754FE0">
        <w:tab/>
      </w:r>
      <w:bookmarkStart w:id="0" w:name="_Hlk135663826"/>
      <w:r w:rsidRPr="00391F31">
        <w:t xml:space="preserve">Акцент на </w:t>
      </w:r>
      <w:r>
        <w:t xml:space="preserve">этих </w:t>
      </w:r>
      <w:r w:rsidRPr="00391F31">
        <w:t xml:space="preserve">трех взаимосвязанных темах также обусловлен их актуальностью и значимостью для выполнения глобальных обязательств в рамках Парижского соглашения и Повестки дня в области устойчивого развития на период до 2030 года, включая </w:t>
      </w:r>
      <w:r w:rsidR="006C6943">
        <w:t>Ц</w:t>
      </w:r>
      <w:r w:rsidR="006C6943" w:rsidRPr="00391F31">
        <w:t xml:space="preserve">ели </w:t>
      </w:r>
      <w:r w:rsidRPr="00391F31">
        <w:t>7 и 13</w:t>
      </w:r>
      <w:r>
        <w:t xml:space="preserve"> в области </w:t>
      </w:r>
      <w:r w:rsidRPr="00391F31">
        <w:t xml:space="preserve">устойчивого развития, касающиеся, соответственно, энергетики и </w:t>
      </w:r>
      <w:r w:rsidRPr="00754FE0">
        <w:t>мер по борьбе с изменением климата.</w:t>
      </w:r>
    </w:p>
    <w:bookmarkEnd w:id="0"/>
    <w:p w14:paraId="6C6171A2" w14:textId="77777777" w:rsidR="000C3BBC" w:rsidRPr="00D47068" w:rsidRDefault="000C3BBC" w:rsidP="000C3BBC">
      <w:pPr>
        <w:pStyle w:val="SingleTxtG"/>
      </w:pPr>
      <w:r w:rsidRPr="00D47068">
        <w:t>3.</w:t>
      </w:r>
      <w:r w:rsidRPr="00D47068">
        <w:tab/>
      </w:r>
      <w:r w:rsidRPr="00BC2A84">
        <w:t xml:space="preserve">Многие страны мира осуществляют энергетический переход, </w:t>
      </w:r>
      <w:r>
        <w:t>и</w:t>
      </w:r>
      <w:r w:rsidRPr="00BC2A84">
        <w:t xml:space="preserve"> на национальном и региональном уровнях уже разработаны или разрабатываются </w:t>
      </w:r>
      <w:r>
        <w:t>стратегии</w:t>
      </w:r>
      <w:r w:rsidRPr="00BC2A84">
        <w:t xml:space="preserve"> и/или правовые инструменты, направленные на внедрение </w:t>
      </w:r>
      <w:r>
        <w:t xml:space="preserve">механизмов </w:t>
      </w:r>
      <w:r w:rsidRPr="00A95A40">
        <w:t>экономик</w:t>
      </w:r>
      <w:r>
        <w:t>и</w:t>
      </w:r>
      <w:r w:rsidRPr="00A95A40">
        <w:t xml:space="preserve"> замкнутого цикла</w:t>
      </w:r>
      <w:r w:rsidRPr="00BC2A84">
        <w:t xml:space="preserve"> и зеленого финансирования. Эти события отражают сильную международную поддержку экологической и социальной устойчивости, отраженн</w:t>
      </w:r>
      <w:r>
        <w:t>ой</w:t>
      </w:r>
      <w:r w:rsidRPr="00BC2A84">
        <w:t xml:space="preserve"> в Целях </w:t>
      </w:r>
      <w:r w:rsidRPr="00F439A6">
        <w:t>в области</w:t>
      </w:r>
      <w:r>
        <w:t xml:space="preserve"> </w:t>
      </w:r>
      <w:r w:rsidRPr="00BC2A84">
        <w:t xml:space="preserve">устойчивого развития. Конвенция и Протокол обладают значительным потенциалом для оказания помощи в выполнении обязательств, связанных с этими темами, </w:t>
      </w:r>
      <w:r>
        <w:t>и</w:t>
      </w:r>
      <w:r w:rsidRPr="00BC2A84">
        <w:t xml:space="preserve"> для обеспечения их совместимости. В настоящем документе </w:t>
      </w:r>
      <w:r>
        <w:t xml:space="preserve">в общих чертах </w:t>
      </w:r>
      <w:r w:rsidRPr="00BC2A84">
        <w:t xml:space="preserve">описывается потенциальная роль договоров в обеспечении устойчивого </w:t>
      </w:r>
      <w:r>
        <w:t xml:space="preserve">энергетического </w:t>
      </w:r>
      <w:r w:rsidRPr="00BC2A84">
        <w:t>перехода и</w:t>
      </w:r>
      <w:r>
        <w:t xml:space="preserve"> </w:t>
      </w:r>
      <w:r w:rsidRPr="00A95A40">
        <w:t>экономик</w:t>
      </w:r>
      <w:r>
        <w:t>и</w:t>
      </w:r>
      <w:r w:rsidRPr="00A95A40">
        <w:t xml:space="preserve"> замкнутого цикла</w:t>
      </w:r>
      <w:r w:rsidRPr="00BC2A84">
        <w:t>, а также в поддержке целей зеленого финансирования</w:t>
      </w:r>
      <w:r w:rsidRPr="00D47068">
        <w:t>.</w:t>
      </w:r>
    </w:p>
    <w:p w14:paraId="7151399A" w14:textId="10DCC20D" w:rsidR="000C3BBC" w:rsidRPr="00945A4A" w:rsidRDefault="000C3BBC" w:rsidP="000C3BBC">
      <w:pPr>
        <w:pStyle w:val="SingleTxtG"/>
      </w:pPr>
      <w:r w:rsidRPr="00945A4A">
        <w:t>4.</w:t>
      </w:r>
      <w:r w:rsidRPr="00945A4A">
        <w:tab/>
      </w:r>
      <w:r w:rsidRPr="00B05C14">
        <w:t xml:space="preserve">Настоящий документ </w:t>
      </w:r>
      <w:r>
        <w:t>обеспечивает</w:t>
      </w:r>
      <w:r w:rsidRPr="00B05C14">
        <w:t xml:space="preserve"> основу для дискуссий и предлагает ключевые </w:t>
      </w:r>
      <w:r>
        <w:t>руководящие</w:t>
      </w:r>
      <w:r w:rsidRPr="00B05C14">
        <w:t xml:space="preserve"> вопросы/</w:t>
      </w:r>
      <w:r>
        <w:t>темы</w:t>
      </w:r>
      <w:r w:rsidRPr="00B05C14">
        <w:t xml:space="preserve"> </w:t>
      </w:r>
      <w:r>
        <w:t xml:space="preserve">для </w:t>
      </w:r>
      <w:r w:rsidRPr="00B05C14">
        <w:t>обсуждени</w:t>
      </w:r>
      <w:r>
        <w:t>й</w:t>
      </w:r>
      <w:r w:rsidRPr="00B05C14">
        <w:t xml:space="preserve"> по каждой из трех тем для </w:t>
      </w:r>
      <w:r>
        <w:t xml:space="preserve">их </w:t>
      </w:r>
      <w:r w:rsidRPr="00B05C14">
        <w:t xml:space="preserve">рассмотрения приглашенными докладчиками и </w:t>
      </w:r>
      <w:r>
        <w:t>участниками</w:t>
      </w:r>
      <w:r w:rsidRPr="00B05C14">
        <w:t xml:space="preserve">. </w:t>
      </w:r>
      <w:r>
        <w:t>Данный д</w:t>
      </w:r>
      <w:r w:rsidRPr="00B05C14">
        <w:t xml:space="preserve">окумент призван служить </w:t>
      </w:r>
      <w:r>
        <w:t xml:space="preserve">в качестве </w:t>
      </w:r>
      <w:r w:rsidRPr="004A5041">
        <w:t>информационно-разъяснительн</w:t>
      </w:r>
      <w:r>
        <w:t>ого</w:t>
      </w:r>
      <w:r w:rsidRPr="004A5041">
        <w:t xml:space="preserve"> материал</w:t>
      </w:r>
      <w:r>
        <w:t>а</w:t>
      </w:r>
      <w:r w:rsidRPr="004A5041">
        <w:t xml:space="preserve"> для повышения осведомленности </w:t>
      </w:r>
      <w:r>
        <w:t xml:space="preserve">об </w:t>
      </w:r>
      <w:r w:rsidRPr="004A5041">
        <w:t>этих</w:t>
      </w:r>
      <w:r w:rsidRPr="00B05C14">
        <w:t xml:space="preserve"> двух договор</w:t>
      </w:r>
      <w:r>
        <w:t>ах и поощрения их эффективного применения</w:t>
      </w:r>
      <w:r w:rsidRPr="00B05C14">
        <w:t xml:space="preserve"> </w:t>
      </w:r>
      <w:r>
        <w:t>нынешними и</w:t>
      </w:r>
      <w:r w:rsidRPr="00B05C14">
        <w:t xml:space="preserve"> будущими </w:t>
      </w:r>
      <w:r>
        <w:t>Сторонами</w:t>
      </w:r>
      <w:r w:rsidRPr="00B05C14">
        <w:t xml:space="preserve"> и заинтересованными </w:t>
      </w:r>
      <w:r>
        <w:t>субъектами</w:t>
      </w:r>
      <w:r w:rsidRPr="00B05C14">
        <w:t xml:space="preserve"> в </w:t>
      </w:r>
      <w:r w:rsidRPr="00945A4A">
        <w:t>регионе Европейской экономической комиссии (ЕЭК)</w:t>
      </w:r>
      <w:r>
        <w:t xml:space="preserve"> </w:t>
      </w:r>
      <w:r w:rsidRPr="00945A4A">
        <w:t>Организации Объединенных Наций</w:t>
      </w:r>
      <w:r w:rsidR="006C6943">
        <w:t xml:space="preserve"> </w:t>
      </w:r>
      <w:r w:rsidRPr="00945A4A">
        <w:t>и за его пределами</w:t>
      </w:r>
      <w:r w:rsidRPr="00B05C14">
        <w:t xml:space="preserve">, в том числе </w:t>
      </w:r>
      <w:r>
        <w:t xml:space="preserve">в сотрудничестве </w:t>
      </w:r>
      <w:r w:rsidRPr="00B05C14">
        <w:t xml:space="preserve">с соответствующими партнерскими организациями и международными финансовыми </w:t>
      </w:r>
      <w:r>
        <w:t>учреждениями</w:t>
      </w:r>
      <w:r w:rsidRPr="00B05C14">
        <w:t>. Таким образом, документ предоставляет возможность помочь сформировать будущую практику в рамках Конвенции и Протокола для более эффективного решения задач (описанных в разделах II</w:t>
      </w:r>
      <w:r w:rsidR="006C6943" w:rsidRPr="006C6943">
        <w:t>–</w:t>
      </w:r>
      <w:r w:rsidRPr="00B05C14">
        <w:t xml:space="preserve">IV ниже), связанных с темами энергетического перехода, </w:t>
      </w:r>
      <w:r w:rsidRPr="00A95A40">
        <w:t>экономик</w:t>
      </w:r>
      <w:r>
        <w:t>и</w:t>
      </w:r>
      <w:r w:rsidRPr="00A95A40">
        <w:t xml:space="preserve"> замкнутого цикла</w:t>
      </w:r>
      <w:r w:rsidRPr="00B05C14">
        <w:t xml:space="preserve"> и зеленого финансирования. Документ был подготовлен при консультационной поддержке, финанси</w:t>
      </w:r>
      <w:r>
        <w:t>ровавшейся</w:t>
      </w:r>
      <w:r w:rsidRPr="00B05C14">
        <w:t xml:space="preserve"> Италией, </w:t>
      </w:r>
      <w:r>
        <w:t>и</w:t>
      </w:r>
      <w:r w:rsidRPr="003447A6">
        <w:t xml:space="preserve"> </w:t>
      </w:r>
      <w:r>
        <w:t>участии</w:t>
      </w:r>
      <w:r w:rsidRPr="00B05C14">
        <w:t xml:space="preserve"> </w:t>
      </w:r>
      <w:r>
        <w:t>Президиума</w:t>
      </w:r>
      <w:r w:rsidRPr="00C26937">
        <w:rPr>
          <w:sz w:val="18"/>
          <w:vertAlign w:val="superscript"/>
        </w:rPr>
        <w:footnoteReference w:id="2"/>
      </w:r>
      <w:r w:rsidRPr="00945A4A">
        <w:t xml:space="preserve"> </w:t>
      </w:r>
      <w:r w:rsidRPr="00B05C14">
        <w:t>и Рабочей групп</w:t>
      </w:r>
      <w:r>
        <w:t>ы</w:t>
      </w:r>
      <w:r w:rsidRPr="00B05C14">
        <w:t xml:space="preserve"> по оценке воздействия на окружающую среду и </w:t>
      </w:r>
      <w:r w:rsidRPr="00B05C14">
        <w:lastRenderedPageBreak/>
        <w:t>стратегической экологической оценке</w:t>
      </w:r>
      <w:r w:rsidRPr="00C26937">
        <w:rPr>
          <w:sz w:val="18"/>
          <w:vertAlign w:val="superscript"/>
        </w:rPr>
        <w:footnoteReference w:id="3"/>
      </w:r>
      <w:r>
        <w:t>.</w:t>
      </w:r>
      <w:r w:rsidRPr="00945A4A">
        <w:t xml:space="preserve"> </w:t>
      </w:r>
      <w:r>
        <w:t>Данная р</w:t>
      </w:r>
      <w:r w:rsidRPr="00945A4A">
        <w:t xml:space="preserve">абота осуществлялась при поддержке </w:t>
      </w:r>
      <w:r>
        <w:t xml:space="preserve">со стороны </w:t>
      </w:r>
      <w:r w:rsidRPr="00945A4A">
        <w:t>секретариата.</w:t>
      </w:r>
    </w:p>
    <w:p w14:paraId="541BBC8F" w14:textId="67BD1D22" w:rsidR="000C3BBC" w:rsidRPr="00D53DDB" w:rsidRDefault="000C3BBC" w:rsidP="000C3BBC">
      <w:pPr>
        <w:pStyle w:val="SingleTxtG"/>
      </w:pPr>
      <w:r w:rsidRPr="00D53DDB">
        <w:t>5.</w:t>
      </w:r>
      <w:r w:rsidRPr="00D53DDB">
        <w:tab/>
        <w:t>Основные положения Конвенции и Протокола кратко изложены в подразделе</w:t>
      </w:r>
      <w:r w:rsidR="006C6943">
        <w:rPr>
          <w:lang w:val="en-US"/>
        </w:rPr>
        <w:t> </w:t>
      </w:r>
      <w:r w:rsidRPr="00D53DDB">
        <w:t>I.B (ниже), а затем каждая тема поочередно раскрывается в разделах II</w:t>
      </w:r>
      <w:r w:rsidR="006C6943" w:rsidRPr="006C6943">
        <w:t>–</w:t>
      </w:r>
      <w:r w:rsidRPr="00D53DDB">
        <w:t>IV ниже. Обсуждение</w:t>
      </w:r>
      <w:r>
        <w:t xml:space="preserve"> </w:t>
      </w:r>
      <w:r w:rsidRPr="00D53DDB">
        <w:t xml:space="preserve">каждой из </w:t>
      </w:r>
      <w:r>
        <w:t xml:space="preserve">этих </w:t>
      </w:r>
      <w:r w:rsidRPr="00D53DDB">
        <w:t>трех тем</w:t>
      </w:r>
      <w:r>
        <w:t xml:space="preserve"> </w:t>
      </w:r>
      <w:r w:rsidRPr="00D53DDB">
        <w:t>разделено на пять подразделов, охватывающих</w:t>
      </w:r>
      <w:r>
        <w:t xml:space="preserve"> такие аспекты, как</w:t>
      </w:r>
      <w:r w:rsidRPr="00D53DDB">
        <w:t>:</w:t>
      </w:r>
    </w:p>
    <w:p w14:paraId="471D9E47" w14:textId="77777777" w:rsidR="000C3BBC" w:rsidRPr="00D53DDB" w:rsidRDefault="000C3BBC" w:rsidP="000C3BBC">
      <w:pPr>
        <w:pStyle w:val="SingleTxtG"/>
        <w:ind w:firstLine="567"/>
      </w:pPr>
      <w:r>
        <w:t>a</w:t>
      </w:r>
      <w:r w:rsidRPr="00D53DDB">
        <w:t>)</w:t>
      </w:r>
      <w:r w:rsidRPr="00D53DDB">
        <w:tab/>
        <w:t xml:space="preserve">введение в концепцию; </w:t>
      </w:r>
    </w:p>
    <w:p w14:paraId="564DEBF3" w14:textId="77777777" w:rsidR="000C3BBC" w:rsidRPr="00D53DDB" w:rsidRDefault="000C3BBC" w:rsidP="000C3BBC">
      <w:pPr>
        <w:pStyle w:val="SingleTxtG"/>
        <w:ind w:firstLine="567"/>
      </w:pPr>
      <w:r>
        <w:t>b</w:t>
      </w:r>
      <w:r w:rsidRPr="00D53DDB">
        <w:t>)</w:t>
      </w:r>
      <w:r w:rsidRPr="00D53DDB">
        <w:tab/>
      </w:r>
      <w:r>
        <w:t>к</w:t>
      </w:r>
      <w:r w:rsidRPr="00D53DDB">
        <w:t>раткое описание политическ</w:t>
      </w:r>
      <w:r>
        <w:t>их</w:t>
      </w:r>
      <w:r w:rsidRPr="00D53DDB">
        <w:t xml:space="preserve"> </w:t>
      </w:r>
      <w:r>
        <w:t>рамок</w:t>
      </w:r>
      <w:r w:rsidRPr="00D53DDB">
        <w:t xml:space="preserve">; </w:t>
      </w:r>
    </w:p>
    <w:p w14:paraId="0661A12C" w14:textId="77777777" w:rsidR="000C3BBC" w:rsidRPr="00D53DDB" w:rsidRDefault="000C3BBC" w:rsidP="000C3BBC">
      <w:pPr>
        <w:pStyle w:val="SingleTxtG"/>
        <w:ind w:firstLine="567"/>
      </w:pPr>
      <w:r>
        <w:t>c</w:t>
      </w:r>
      <w:r w:rsidRPr="00D53DDB">
        <w:t>)</w:t>
      </w:r>
      <w:r w:rsidRPr="00D53DDB">
        <w:tab/>
      </w:r>
      <w:r>
        <w:t>р</w:t>
      </w:r>
      <w:r w:rsidRPr="00D53DDB">
        <w:t xml:space="preserve">оль, преимущества и дальнейший потенциал Конвенции и Протокола применительно к </w:t>
      </w:r>
      <w:r>
        <w:t xml:space="preserve">рассматриваемой </w:t>
      </w:r>
      <w:r w:rsidRPr="00D53DDB">
        <w:t xml:space="preserve">теме; </w:t>
      </w:r>
    </w:p>
    <w:p w14:paraId="6A70CAEE" w14:textId="77777777" w:rsidR="000C3BBC" w:rsidRPr="00D53DDB" w:rsidRDefault="000C3BBC" w:rsidP="000C3BBC">
      <w:pPr>
        <w:pStyle w:val="SingleTxtG"/>
        <w:ind w:firstLine="567"/>
        <w:rPr>
          <w:lang w:eastAsia="en-GB"/>
        </w:rPr>
      </w:pPr>
      <w:r>
        <w:t>d</w:t>
      </w:r>
      <w:r w:rsidRPr="00D53DDB">
        <w:t>)</w:t>
      </w:r>
      <w:r w:rsidRPr="00D53DDB">
        <w:tab/>
      </w:r>
      <w:r>
        <w:t>области для</w:t>
      </w:r>
      <w:r w:rsidRPr="00D53DDB">
        <w:t xml:space="preserve"> дальнейшего изучения роли Конвенции и Протокола и предлагаемые </w:t>
      </w:r>
      <w:r>
        <w:t>темы</w:t>
      </w:r>
      <w:r w:rsidRPr="00D53DDB">
        <w:t xml:space="preserve"> </w:t>
      </w:r>
      <w:r>
        <w:t xml:space="preserve">для </w:t>
      </w:r>
      <w:r w:rsidRPr="00D53DDB">
        <w:t>обсуждения/ключевые руководящие вопросы для мероприятия высокого уровня;</w:t>
      </w:r>
    </w:p>
    <w:p w14:paraId="04260446" w14:textId="77777777" w:rsidR="000C3BBC" w:rsidRPr="00632622" w:rsidRDefault="000C3BBC" w:rsidP="000C3BBC">
      <w:pPr>
        <w:pStyle w:val="SingleTxtG"/>
        <w:ind w:firstLine="567"/>
      </w:pPr>
      <w:r>
        <w:t>e</w:t>
      </w:r>
      <w:r w:rsidRPr="00632622">
        <w:t>)</w:t>
      </w:r>
      <w:r w:rsidRPr="00632622">
        <w:tab/>
      </w:r>
      <w:r>
        <w:rPr>
          <w:rFonts w:cs="Segoe UI"/>
          <w:szCs w:val="18"/>
        </w:rPr>
        <w:t>с помощью</w:t>
      </w:r>
      <w:r w:rsidRPr="00632622">
        <w:rPr>
          <w:rFonts w:cs="Segoe UI"/>
          <w:szCs w:val="18"/>
        </w:rPr>
        <w:t xml:space="preserve"> метода анализа </w:t>
      </w:r>
      <w:r>
        <w:rPr>
          <w:rFonts w:cs="Segoe UI"/>
          <w:szCs w:val="18"/>
        </w:rPr>
        <w:t>на основе параметров «с</w:t>
      </w:r>
      <w:r w:rsidRPr="00632622">
        <w:rPr>
          <w:rFonts w:cs="Segoe UI"/>
          <w:szCs w:val="18"/>
        </w:rPr>
        <w:t xml:space="preserve">ильные стороны </w:t>
      </w:r>
      <w:r>
        <w:rPr>
          <w:rFonts w:cs="Segoe UI"/>
          <w:szCs w:val="18"/>
        </w:rPr>
        <w:t>—</w:t>
      </w:r>
      <w:r w:rsidRPr="00632622">
        <w:rPr>
          <w:rFonts w:cs="Segoe UI"/>
          <w:szCs w:val="18"/>
        </w:rPr>
        <w:t xml:space="preserve"> </w:t>
      </w:r>
      <w:r>
        <w:rPr>
          <w:rFonts w:cs="Segoe UI"/>
          <w:szCs w:val="18"/>
        </w:rPr>
        <w:t>у</w:t>
      </w:r>
      <w:r w:rsidRPr="00632622">
        <w:rPr>
          <w:rFonts w:cs="Segoe UI"/>
          <w:szCs w:val="18"/>
        </w:rPr>
        <w:t xml:space="preserve">стремления </w:t>
      </w:r>
      <w:r>
        <w:rPr>
          <w:rFonts w:cs="Segoe UI"/>
          <w:szCs w:val="18"/>
        </w:rPr>
        <w:t>—</w:t>
      </w:r>
      <w:r w:rsidRPr="00632622">
        <w:rPr>
          <w:rFonts w:cs="Segoe UI"/>
          <w:szCs w:val="18"/>
        </w:rPr>
        <w:t xml:space="preserve"> возможности </w:t>
      </w:r>
      <w:r>
        <w:rPr>
          <w:rFonts w:cs="Segoe UI"/>
          <w:szCs w:val="18"/>
        </w:rPr>
        <w:t>—</w:t>
      </w:r>
      <w:r w:rsidRPr="00632622">
        <w:rPr>
          <w:rFonts w:cs="Segoe UI"/>
          <w:szCs w:val="18"/>
        </w:rPr>
        <w:t xml:space="preserve"> варианты</w:t>
      </w:r>
      <w:r>
        <w:rPr>
          <w:rFonts w:cs="Segoe UI"/>
          <w:szCs w:val="18"/>
        </w:rPr>
        <w:t>»</w:t>
      </w:r>
      <w:r w:rsidRPr="00632622">
        <w:rPr>
          <w:rFonts w:cs="Segoe UI"/>
          <w:szCs w:val="18"/>
        </w:rPr>
        <w:t xml:space="preserve"> проводится оценка сильных сторон инструментов; </w:t>
      </w:r>
      <w:r>
        <w:rPr>
          <w:rFonts w:cs="Segoe UI"/>
          <w:szCs w:val="18"/>
        </w:rPr>
        <w:t>у</w:t>
      </w:r>
      <w:r w:rsidRPr="00632622">
        <w:rPr>
          <w:rFonts w:cs="Segoe UI"/>
          <w:szCs w:val="18"/>
        </w:rPr>
        <w:t xml:space="preserve">стремлений к дальнейшему совершенствованию; возможностей для повышения роли в будущем; </w:t>
      </w:r>
      <w:r>
        <w:rPr>
          <w:rFonts w:cs="Segoe UI"/>
          <w:szCs w:val="18"/>
        </w:rPr>
        <w:t xml:space="preserve">и </w:t>
      </w:r>
      <w:r w:rsidRPr="00632622">
        <w:rPr>
          <w:rFonts w:cs="Segoe UI"/>
          <w:szCs w:val="18"/>
        </w:rPr>
        <w:t xml:space="preserve">вариантов достижения </w:t>
      </w:r>
      <w:r>
        <w:rPr>
          <w:rFonts w:cs="Segoe UI"/>
          <w:szCs w:val="18"/>
        </w:rPr>
        <w:t>более высокой</w:t>
      </w:r>
      <w:r w:rsidRPr="00632622">
        <w:rPr>
          <w:rFonts w:cs="Segoe UI"/>
          <w:szCs w:val="18"/>
        </w:rPr>
        <w:t xml:space="preserve"> роли</w:t>
      </w:r>
      <w:r w:rsidRPr="00632622">
        <w:t>.</w:t>
      </w:r>
    </w:p>
    <w:p w14:paraId="417EB5EA" w14:textId="7C635C99" w:rsidR="000C3BBC" w:rsidRPr="00D62EBC" w:rsidRDefault="000C3BBC" w:rsidP="000C3BBC">
      <w:pPr>
        <w:pStyle w:val="H1G"/>
        <w:rPr>
          <w:lang w:eastAsia="en-US"/>
        </w:rPr>
      </w:pPr>
      <w:r w:rsidRPr="00632622">
        <w:rPr>
          <w:lang w:eastAsia="en-US"/>
        </w:rPr>
        <w:tab/>
      </w:r>
      <w:r w:rsidRPr="00C26937">
        <w:rPr>
          <w:lang w:eastAsia="en-US"/>
        </w:rPr>
        <w:t>B</w:t>
      </w:r>
      <w:r w:rsidRPr="00D62EBC">
        <w:rPr>
          <w:lang w:eastAsia="en-US"/>
        </w:rPr>
        <w:t>.</w:t>
      </w:r>
      <w:r w:rsidRPr="00D62EBC">
        <w:rPr>
          <w:lang w:eastAsia="en-US"/>
        </w:rPr>
        <w:tab/>
        <w:t>Соответствующие положения и практика в рамках Конвенции и</w:t>
      </w:r>
      <w:r w:rsidR="00501B39">
        <w:rPr>
          <w:lang w:val="en-US" w:eastAsia="en-US"/>
        </w:rPr>
        <w:t> </w:t>
      </w:r>
      <w:r w:rsidRPr="00D62EBC">
        <w:rPr>
          <w:lang w:eastAsia="en-US"/>
        </w:rPr>
        <w:t>Протокола</w:t>
      </w:r>
    </w:p>
    <w:p w14:paraId="3515AC99" w14:textId="77777777" w:rsidR="000C3BBC" w:rsidRPr="00D85ED1" w:rsidRDefault="000C3BBC" w:rsidP="000C3BBC">
      <w:pPr>
        <w:pStyle w:val="SingleTxtG"/>
        <w:rPr>
          <w:lang w:eastAsia="en-GB"/>
        </w:rPr>
      </w:pPr>
      <w:r w:rsidRPr="00D85ED1">
        <w:t>6.</w:t>
      </w:r>
      <w:r w:rsidRPr="00D85ED1">
        <w:tab/>
      </w:r>
      <w:r w:rsidRPr="005374F2">
        <w:t xml:space="preserve">Конвенция и Протокол к ней были разработаны под эгидой ЕЭК. Протокол доступен для всех государств </w:t>
      </w:r>
      <w:r>
        <w:t>—</w:t>
      </w:r>
      <w:r w:rsidRPr="005374F2">
        <w:t xml:space="preserve"> членов Организации Объединенных Наций, и ожидается, что в ближайшие несколько лет Конвенция станет глобальным </w:t>
      </w:r>
      <w:r>
        <w:t>инструментом</w:t>
      </w:r>
      <w:r w:rsidRPr="005374F2">
        <w:t xml:space="preserve">. Оба договора предлагают международно-правовую базу и устоявшиеся практические процедуры для предотвращения, </w:t>
      </w:r>
      <w:r>
        <w:t>ограничения</w:t>
      </w:r>
      <w:r w:rsidRPr="005374F2">
        <w:t xml:space="preserve"> и смягчения значительн</w:t>
      </w:r>
      <w:r>
        <w:t>ого</w:t>
      </w:r>
      <w:r w:rsidRPr="005374F2">
        <w:t xml:space="preserve"> неблагоприятн</w:t>
      </w:r>
      <w:r>
        <w:t>ого</w:t>
      </w:r>
      <w:r w:rsidRPr="005374F2">
        <w:t xml:space="preserve"> трансгранич</w:t>
      </w:r>
      <w:r>
        <w:t>ного</w:t>
      </w:r>
      <w:r w:rsidRPr="005374F2">
        <w:t xml:space="preserve"> воздействи</w:t>
      </w:r>
      <w:r>
        <w:t>я</w:t>
      </w:r>
      <w:r w:rsidRPr="005374F2">
        <w:t xml:space="preserve"> проектов на окружающую среду; и для обеспечения </w:t>
      </w:r>
      <w:r>
        <w:t>тщательного учета</w:t>
      </w:r>
      <w:r w:rsidRPr="005374F2">
        <w:t xml:space="preserve"> </w:t>
      </w:r>
      <w:r w:rsidRPr="00B61CF8">
        <w:t>экологически</w:t>
      </w:r>
      <w:r>
        <w:t>х</w:t>
      </w:r>
      <w:r w:rsidRPr="00B61CF8">
        <w:t>, в том числе связанны</w:t>
      </w:r>
      <w:r>
        <w:t>х</w:t>
      </w:r>
      <w:r w:rsidRPr="00B61CF8">
        <w:t xml:space="preserve"> со здоровьем населения, соображени</w:t>
      </w:r>
      <w:r>
        <w:t>й</w:t>
      </w:r>
      <w:r w:rsidRPr="00B61CF8">
        <w:t xml:space="preserve"> </w:t>
      </w:r>
      <w:r w:rsidRPr="005374F2">
        <w:t xml:space="preserve">в планах и программах и, возможно, в политике и законодательстве. Оба документа применяются во многих секторах экономики, способствуют экологическому управлению и прозрачности </w:t>
      </w:r>
      <w:r>
        <w:t xml:space="preserve">при </w:t>
      </w:r>
      <w:r w:rsidRPr="005374F2">
        <w:t>планировани</w:t>
      </w:r>
      <w:r>
        <w:t>и</w:t>
      </w:r>
      <w:r w:rsidRPr="005374F2">
        <w:t xml:space="preserve"> и приняти</w:t>
      </w:r>
      <w:r>
        <w:t>и</w:t>
      </w:r>
      <w:r w:rsidRPr="005374F2">
        <w:t xml:space="preserve"> решений благодаря своим требованиям к участию общественности и консультациям с заинтересованными </w:t>
      </w:r>
      <w:r>
        <w:t>субъектами</w:t>
      </w:r>
      <w:r w:rsidRPr="005374F2">
        <w:t xml:space="preserve"> </w:t>
      </w:r>
      <w:r>
        <w:t>и поощряют</w:t>
      </w:r>
      <w:r w:rsidRPr="005374F2">
        <w:t xml:space="preserve"> международно</w:t>
      </w:r>
      <w:r>
        <w:t>е</w:t>
      </w:r>
      <w:r w:rsidRPr="005374F2">
        <w:t xml:space="preserve"> сотрудничеств</w:t>
      </w:r>
      <w:r>
        <w:t>о</w:t>
      </w:r>
      <w:r w:rsidRPr="005374F2">
        <w:t>. Оценка трансграничного воздействия на окружающую среду в рамках Конвенции и стратегическая экологическая оценка в рамках Протокола активно используются их Сторонами в</w:t>
      </w:r>
      <w:r>
        <w:t xml:space="preserve"> отношении</w:t>
      </w:r>
      <w:r w:rsidRPr="005374F2">
        <w:t xml:space="preserve"> </w:t>
      </w:r>
      <w:r>
        <w:t>«</w:t>
      </w:r>
      <w:r w:rsidRPr="005374F2">
        <w:t>зеленых</w:t>
      </w:r>
      <w:r>
        <w:t>»</w:t>
      </w:r>
      <w:r w:rsidRPr="005374F2">
        <w:t xml:space="preserve"> проект</w:t>
      </w:r>
      <w:r>
        <w:t>ов</w:t>
      </w:r>
      <w:r w:rsidRPr="005374F2">
        <w:t>, план</w:t>
      </w:r>
      <w:r>
        <w:t>ов</w:t>
      </w:r>
      <w:r w:rsidRPr="005374F2">
        <w:t xml:space="preserve"> и программ, в том числе в области энергетики, и </w:t>
      </w:r>
      <w:r>
        <w:t>способны</w:t>
      </w:r>
      <w:r w:rsidRPr="005374F2">
        <w:t xml:space="preserve"> играть </w:t>
      </w:r>
      <w:r>
        <w:t>еще</w:t>
      </w:r>
      <w:r w:rsidRPr="005374F2">
        <w:t xml:space="preserve"> более важную роль в </w:t>
      </w:r>
      <w:r>
        <w:t>поощрении</w:t>
      </w:r>
      <w:r w:rsidRPr="005374F2">
        <w:t xml:space="preserve"> </w:t>
      </w:r>
      <w:r>
        <w:t xml:space="preserve">энергетического </w:t>
      </w:r>
      <w:r w:rsidRPr="005374F2">
        <w:t>переход</w:t>
      </w:r>
      <w:r>
        <w:t>а</w:t>
      </w:r>
      <w:r w:rsidRPr="005374F2">
        <w:t xml:space="preserve"> и экономик</w:t>
      </w:r>
      <w:r>
        <w:t>и</w:t>
      </w:r>
      <w:r w:rsidRPr="005374F2">
        <w:t xml:space="preserve"> замкнутого цикла</w:t>
      </w:r>
      <w:r>
        <w:t xml:space="preserve"> и </w:t>
      </w:r>
      <w:r w:rsidRPr="005374F2">
        <w:t>в создании благоприятных условий для зелен</w:t>
      </w:r>
      <w:r>
        <w:t>ого</w:t>
      </w:r>
      <w:r w:rsidRPr="005374F2">
        <w:t xml:space="preserve"> финансировани</w:t>
      </w:r>
      <w:r>
        <w:t>я</w:t>
      </w:r>
      <w:r w:rsidRPr="00D85ED1">
        <w:rPr>
          <w:lang w:eastAsia="en-GB"/>
        </w:rPr>
        <w:t>.</w:t>
      </w:r>
    </w:p>
    <w:p w14:paraId="1B8B3437" w14:textId="77777777" w:rsidR="000C3BBC" w:rsidRPr="00D85ED1" w:rsidRDefault="000C3BBC" w:rsidP="000C3BBC">
      <w:pPr>
        <w:pStyle w:val="SingleTxtG"/>
      </w:pPr>
      <w:r w:rsidRPr="00D85ED1">
        <w:t>7.</w:t>
      </w:r>
      <w:r w:rsidRPr="00D85ED1">
        <w:tab/>
      </w:r>
      <w:r>
        <w:t>В д</w:t>
      </w:r>
      <w:r w:rsidRPr="00D85ED1">
        <w:t>анн</w:t>
      </w:r>
      <w:r>
        <w:t>ом</w:t>
      </w:r>
      <w:r w:rsidRPr="00D85ED1">
        <w:t xml:space="preserve"> раздел</w:t>
      </w:r>
      <w:r>
        <w:t>е</w:t>
      </w:r>
      <w:r w:rsidRPr="00D85ED1">
        <w:t xml:space="preserve"> кратко </w:t>
      </w:r>
      <w:r>
        <w:t>разъясняются</w:t>
      </w:r>
      <w:r w:rsidRPr="00D85ED1">
        <w:t xml:space="preserve"> соответствующи</w:t>
      </w:r>
      <w:r>
        <w:t>е</w:t>
      </w:r>
      <w:r w:rsidRPr="00D85ED1">
        <w:t xml:space="preserve"> положени</w:t>
      </w:r>
      <w:r>
        <w:t>я</w:t>
      </w:r>
      <w:r w:rsidRPr="00D85ED1">
        <w:t xml:space="preserve"> Конвенции и Протокола.</w:t>
      </w:r>
    </w:p>
    <w:p w14:paraId="465ED229" w14:textId="77777777" w:rsidR="000C3BBC" w:rsidRPr="001609FD" w:rsidRDefault="000C3BBC" w:rsidP="000C3BBC">
      <w:pPr>
        <w:pStyle w:val="H23G"/>
        <w:rPr>
          <w:lang w:eastAsia="en-US"/>
        </w:rPr>
      </w:pPr>
      <w:bookmarkStart w:id="1" w:name="_Hlk134453093"/>
      <w:r w:rsidRPr="00D85ED1">
        <w:rPr>
          <w:lang w:eastAsia="en-US"/>
        </w:rPr>
        <w:tab/>
      </w:r>
      <w:r w:rsidRPr="005B7D78">
        <w:rPr>
          <w:lang w:eastAsia="en-US"/>
        </w:rPr>
        <w:t>1.</w:t>
      </w:r>
      <w:r w:rsidRPr="005B7D78">
        <w:rPr>
          <w:lang w:eastAsia="en-US"/>
        </w:rPr>
        <w:tab/>
      </w:r>
      <w:r w:rsidRPr="005B7D78">
        <w:rPr>
          <w:lang w:eastAsia="en-US"/>
        </w:rPr>
        <w:tab/>
      </w:r>
      <w:r w:rsidRPr="001609FD">
        <w:rPr>
          <w:lang w:eastAsia="en-US"/>
        </w:rPr>
        <w:t>Конвенция Эспо</w:t>
      </w:r>
    </w:p>
    <w:bookmarkEnd w:id="1"/>
    <w:p w14:paraId="3EB140DE" w14:textId="77777777" w:rsidR="000C3BBC" w:rsidRPr="007B6EE8" w:rsidRDefault="000C3BBC" w:rsidP="000C3BBC">
      <w:pPr>
        <w:pStyle w:val="SingleTxtG"/>
      </w:pPr>
      <w:r w:rsidRPr="001609FD">
        <w:t>8.</w:t>
      </w:r>
      <w:r w:rsidRPr="001609FD">
        <w:tab/>
      </w:r>
      <w:r w:rsidRPr="007B6EE8">
        <w:t xml:space="preserve">Конвенция Эспо 1991 года обязывает Стороны применять оценку трансграничного воздействия на окружающую среду в отношении предлагаемых проектов, подпадающих под ее действие, </w:t>
      </w:r>
      <w:r>
        <w:t>в</w:t>
      </w:r>
      <w:r w:rsidRPr="007B6EE8">
        <w:t xml:space="preserve"> Сторон</w:t>
      </w:r>
      <w:r>
        <w:t>е</w:t>
      </w:r>
      <w:r w:rsidRPr="007B6EE8">
        <w:t xml:space="preserve"> происхождения, которая отвечает за </w:t>
      </w:r>
      <w:r>
        <w:t>осуществление</w:t>
      </w:r>
      <w:r w:rsidRPr="007B6EE8">
        <w:t xml:space="preserve"> проекта, и затрагиваемой Сторон</w:t>
      </w:r>
      <w:r>
        <w:t>е</w:t>
      </w:r>
      <w:r w:rsidRPr="007B6EE8">
        <w:t xml:space="preserve"> или Сторона</w:t>
      </w:r>
      <w:r>
        <w:t>х</w:t>
      </w:r>
      <w:r w:rsidRPr="007B6EE8">
        <w:t xml:space="preserve">. Она </w:t>
      </w:r>
      <w:r>
        <w:t>позволяет</w:t>
      </w:r>
      <w:r w:rsidRPr="007B6EE8">
        <w:t xml:space="preserve"> на практике </w:t>
      </w:r>
      <w:r>
        <w:t xml:space="preserve">реализовывать </w:t>
      </w:r>
      <w:r w:rsidRPr="007B6EE8">
        <w:t xml:space="preserve">обязательства, принятые всеми государствами </w:t>
      </w:r>
      <w:r>
        <w:t>—</w:t>
      </w:r>
      <w:r w:rsidRPr="007B6EE8">
        <w:t xml:space="preserve"> членами </w:t>
      </w:r>
      <w:r w:rsidRPr="003F4E31">
        <w:t>Организации Объединенных Наций</w:t>
      </w:r>
      <w:r w:rsidRPr="007B6EE8">
        <w:t xml:space="preserve"> в рамках принципов </w:t>
      </w:r>
      <w:r w:rsidRPr="003F4E31">
        <w:t>Рио-де-Жанейрск</w:t>
      </w:r>
      <w:r>
        <w:t>ой</w:t>
      </w:r>
      <w:r w:rsidRPr="003F4E31">
        <w:t xml:space="preserve"> деклараци</w:t>
      </w:r>
      <w:r>
        <w:t>и 1992 года</w:t>
      </w:r>
      <w:r w:rsidRPr="007B6EE8">
        <w:t>,</w:t>
      </w:r>
      <w:r>
        <w:t xml:space="preserve"> предусматривающих, что государства «</w:t>
      </w:r>
      <w:r w:rsidRPr="00345A72">
        <w:t xml:space="preserve">направляют государствам, которые могут оказаться затронутыми, предварительные и своевременные уведомления и соответствующую информацию о деятельности, </w:t>
      </w:r>
      <w:r w:rsidRPr="00345A72">
        <w:lastRenderedPageBreak/>
        <w:t>которая может иметь значительные негативные трансграничные последствия</w:t>
      </w:r>
      <w:r>
        <w:t>»</w:t>
      </w:r>
      <w:r w:rsidRPr="00345A72">
        <w:t xml:space="preserve">, </w:t>
      </w:r>
      <w:r>
        <w:t>а также</w:t>
      </w:r>
      <w:r w:rsidRPr="00345A72">
        <w:t xml:space="preserve"> </w:t>
      </w:r>
      <w:r>
        <w:t>«</w:t>
      </w:r>
      <w:r w:rsidRPr="00345A72">
        <w:t>проводят консультации с этими государствами на раннем этапе и в духе доброй воли</w:t>
      </w:r>
      <w:r>
        <w:t>»</w:t>
      </w:r>
      <w:r w:rsidRPr="00C26937">
        <w:rPr>
          <w:sz w:val="18"/>
          <w:vertAlign w:val="superscript"/>
        </w:rPr>
        <w:footnoteReference w:id="4"/>
      </w:r>
      <w:r w:rsidRPr="001609FD">
        <w:t xml:space="preserve"> </w:t>
      </w:r>
      <w:r w:rsidRPr="007B6EE8">
        <w:t xml:space="preserve">в отношении такой планируемой деятельности. Конвенция вступила в силу в 1997 году, </w:t>
      </w:r>
      <w:r>
        <w:t xml:space="preserve">при этом </w:t>
      </w:r>
      <w:r w:rsidRPr="007B6EE8">
        <w:t>текущий статус ратификации Конвенции и двух последующих поправок обновляется в режиме онлайн</w:t>
      </w:r>
      <w:r w:rsidRPr="00C26937">
        <w:rPr>
          <w:vertAlign w:val="superscript"/>
        </w:rPr>
        <w:footnoteReference w:id="5"/>
      </w:r>
      <w:r>
        <w:t>.</w:t>
      </w:r>
    </w:p>
    <w:p w14:paraId="3112538D" w14:textId="77777777" w:rsidR="000C3BBC" w:rsidRPr="00720423" w:rsidRDefault="000C3BBC" w:rsidP="000C3BBC">
      <w:pPr>
        <w:pStyle w:val="SingleTxtG"/>
      </w:pPr>
      <w:r w:rsidRPr="00720423">
        <w:rPr>
          <w:lang w:eastAsia="it-IT"/>
        </w:rPr>
        <w:t>9.</w:t>
      </w:r>
      <w:r w:rsidRPr="00720423">
        <w:rPr>
          <w:lang w:eastAsia="it-IT"/>
        </w:rPr>
        <w:tab/>
        <w:t>Ниже кратко излагаются ключевые процедурные требования Конвенции Эспо, дополненные рекомендуемой передовой практикой, инструментами и действиями для их эффективного практического применения</w:t>
      </w:r>
      <w:r w:rsidRPr="00C26937">
        <w:rPr>
          <w:vertAlign w:val="superscript"/>
        </w:rPr>
        <w:footnoteReference w:id="6"/>
      </w:r>
      <w:r>
        <w:rPr>
          <w:lang w:eastAsia="it-IT"/>
        </w:rPr>
        <w:t>:</w:t>
      </w:r>
    </w:p>
    <w:p w14:paraId="271C05F7" w14:textId="637DE0B2" w:rsidR="000C3BBC" w:rsidRPr="002D3C49" w:rsidRDefault="000C3BBC" w:rsidP="000C3BBC">
      <w:pPr>
        <w:pStyle w:val="SingleTxtG"/>
        <w:ind w:firstLine="567"/>
      </w:pPr>
      <w:r w:rsidRPr="00C26937">
        <w:rPr>
          <w:lang w:eastAsia="it-IT"/>
        </w:rPr>
        <w:t>a</w:t>
      </w:r>
      <w:r w:rsidRPr="002D3C49">
        <w:rPr>
          <w:lang w:eastAsia="it-IT"/>
        </w:rPr>
        <w:t>)</w:t>
      </w:r>
      <w:r w:rsidRPr="002D3C49">
        <w:tab/>
      </w:r>
      <w:r>
        <w:t>т</w:t>
      </w:r>
      <w:r w:rsidRPr="00C60023">
        <w:t xml:space="preserve">ребование </w:t>
      </w:r>
      <w:r>
        <w:t>о проведении</w:t>
      </w:r>
      <w:r w:rsidRPr="00C60023">
        <w:t xml:space="preserve"> оценк</w:t>
      </w:r>
      <w:r>
        <w:t>и</w:t>
      </w:r>
      <w:r w:rsidRPr="00C60023">
        <w:t xml:space="preserve"> воздействия на окружающую среду: Сторона должна осуществлять процедуру оценки воздействия на окружающую среду для </w:t>
      </w:r>
      <w:r>
        <w:t>планируемых</w:t>
      </w:r>
      <w:r w:rsidRPr="00C60023">
        <w:t xml:space="preserve"> видов деятельности,</w:t>
      </w:r>
      <w:r>
        <w:t xml:space="preserve"> </w:t>
      </w:r>
      <w:r w:rsidRPr="002D3C49">
        <w:t>перечисленных в</w:t>
      </w:r>
      <w:r w:rsidR="006C6943" w:rsidRPr="006C6943">
        <w:t xml:space="preserve"> </w:t>
      </w:r>
      <w:hyperlink r:id="rId8" w:anchor="a1" w:history="1">
        <w:r w:rsidRPr="002D3C49">
          <w:t>Добавлении I</w:t>
        </w:r>
      </w:hyperlink>
      <w:r>
        <w:t xml:space="preserve"> к Конвенции</w:t>
      </w:r>
      <w:r w:rsidRPr="002D3C49">
        <w:t>, которые могут оказывать значительное вредное трансграничное воздействие</w:t>
      </w:r>
      <w:r>
        <w:t xml:space="preserve"> </w:t>
      </w:r>
      <w:r w:rsidR="006C6943">
        <w:br/>
      </w:r>
      <w:r>
        <w:t>(ст. 2 (п. 2)),</w:t>
      </w:r>
      <w:r w:rsidRPr="00C60023">
        <w:t xml:space="preserve"> и до принятия решения о </w:t>
      </w:r>
      <w:r>
        <w:t>санкционировании</w:t>
      </w:r>
      <w:r w:rsidRPr="00C60023">
        <w:t xml:space="preserve"> или осуществлении любого такого </w:t>
      </w:r>
      <w:r>
        <w:t>планируемого</w:t>
      </w:r>
      <w:r w:rsidRPr="00C60023">
        <w:t xml:space="preserve"> вида деятельности (</w:t>
      </w:r>
      <w:r>
        <w:t>ст. 2 (п. 3)</w:t>
      </w:r>
      <w:r w:rsidRPr="00C60023">
        <w:t>)</w:t>
      </w:r>
      <w:r w:rsidRPr="002D3C49">
        <w:t>;</w:t>
      </w:r>
    </w:p>
    <w:p w14:paraId="791DA1FA" w14:textId="77777777" w:rsidR="000C3BBC" w:rsidRPr="00885AC0" w:rsidRDefault="000C3BBC" w:rsidP="000C3BBC">
      <w:pPr>
        <w:pStyle w:val="SingleTxtG"/>
        <w:ind w:firstLine="567"/>
        <w:rPr>
          <w:rFonts w:eastAsia="MyriadPro-Regular"/>
        </w:rPr>
      </w:pPr>
      <w:r w:rsidRPr="00C26937">
        <w:t>b</w:t>
      </w:r>
      <w:r w:rsidRPr="0014172F">
        <w:t>)</w:t>
      </w:r>
      <w:r w:rsidRPr="0014172F">
        <w:tab/>
      </w:r>
      <w:r>
        <w:rPr>
          <w:lang w:eastAsia="it-IT"/>
        </w:rPr>
        <w:t>з</w:t>
      </w:r>
      <w:r w:rsidRPr="00933672">
        <w:rPr>
          <w:lang w:eastAsia="it-IT"/>
        </w:rPr>
        <w:t xml:space="preserve">начение термина </w:t>
      </w:r>
      <w:r>
        <w:rPr>
          <w:lang w:eastAsia="it-IT"/>
        </w:rPr>
        <w:t>«</w:t>
      </w:r>
      <w:r w:rsidRPr="00933672">
        <w:rPr>
          <w:lang w:eastAsia="it-IT"/>
        </w:rPr>
        <w:t>воздействие</w:t>
      </w:r>
      <w:r>
        <w:rPr>
          <w:lang w:eastAsia="it-IT"/>
        </w:rPr>
        <w:t>»</w:t>
      </w:r>
      <w:r w:rsidRPr="00933672">
        <w:rPr>
          <w:lang w:eastAsia="it-IT"/>
        </w:rPr>
        <w:t xml:space="preserve">: в статье 1 </w:t>
      </w:r>
      <w:r>
        <w:rPr>
          <w:lang w:eastAsia="it-IT"/>
        </w:rPr>
        <w:t xml:space="preserve">(пункт </w:t>
      </w:r>
      <w:r w:rsidRPr="00933672">
        <w:rPr>
          <w:lang w:eastAsia="it-IT"/>
        </w:rPr>
        <w:t>vii)</w:t>
      </w:r>
      <w:r>
        <w:rPr>
          <w:lang w:eastAsia="it-IT"/>
        </w:rPr>
        <w:t>)</w:t>
      </w:r>
      <w:r w:rsidRPr="00933672">
        <w:rPr>
          <w:lang w:eastAsia="it-IT"/>
        </w:rPr>
        <w:t xml:space="preserve"> Конвенции </w:t>
      </w:r>
      <w:r>
        <w:rPr>
          <w:lang w:eastAsia="it-IT"/>
        </w:rPr>
        <w:t>«</w:t>
      </w:r>
      <w:r w:rsidRPr="00933672">
        <w:rPr>
          <w:lang w:eastAsia="it-IT"/>
        </w:rPr>
        <w:t>воздействие</w:t>
      </w:r>
      <w:r>
        <w:rPr>
          <w:lang w:eastAsia="it-IT"/>
        </w:rPr>
        <w:t>»</w:t>
      </w:r>
      <w:r w:rsidRPr="00933672">
        <w:rPr>
          <w:lang w:eastAsia="it-IT"/>
        </w:rPr>
        <w:t xml:space="preserve"> определяется как </w:t>
      </w:r>
      <w:r>
        <w:rPr>
          <w:lang w:eastAsia="it-IT"/>
        </w:rPr>
        <w:t>«</w:t>
      </w:r>
      <w:r w:rsidRPr="0014172F">
        <w:rPr>
          <w:lang w:eastAsia="it-IT"/>
        </w:rPr>
        <w:t>любые последствия планируемой деятельности для окружающей среды, включая здоровье и безопасность людей, флору, фауну, почву, воздух, воду, климат, ландшафт, исторические памятники и другие материальные объекты или взаимосвязь между этими факторами; оно охватывает также последствия для культурного наследия или социально-экономических условий, являющихся результатом изменения этих факторов</w:t>
      </w:r>
      <w:r>
        <w:rPr>
          <w:lang w:eastAsia="it-IT"/>
        </w:rPr>
        <w:t>»</w:t>
      </w:r>
      <w:r w:rsidRPr="0014172F">
        <w:rPr>
          <w:rFonts w:eastAsia="MyriadPro-Regular"/>
        </w:rPr>
        <w:t>;</w:t>
      </w:r>
    </w:p>
    <w:p w14:paraId="00DBFE71" w14:textId="77777777" w:rsidR="000C3BBC" w:rsidRPr="002D52F2" w:rsidRDefault="000C3BBC" w:rsidP="000C3BBC">
      <w:pPr>
        <w:pStyle w:val="SingleTxtG"/>
        <w:ind w:firstLine="567"/>
      </w:pPr>
      <w:r w:rsidRPr="00C26937">
        <w:rPr>
          <w:lang w:eastAsia="it-IT"/>
        </w:rPr>
        <w:t>c</w:t>
      </w:r>
      <w:r w:rsidRPr="002D52F2">
        <w:rPr>
          <w:lang w:eastAsia="it-IT"/>
        </w:rPr>
        <w:t>)</w:t>
      </w:r>
      <w:r w:rsidRPr="002D52F2">
        <w:rPr>
          <w:lang w:eastAsia="it-IT"/>
        </w:rPr>
        <w:tab/>
      </w:r>
      <w:r>
        <w:rPr>
          <w:lang w:eastAsia="it-IT"/>
        </w:rPr>
        <w:t>т</w:t>
      </w:r>
      <w:r w:rsidRPr="0014172F">
        <w:rPr>
          <w:lang w:eastAsia="it-IT"/>
        </w:rPr>
        <w:t xml:space="preserve">ребование об уведомлении: существует требование как можно </w:t>
      </w:r>
      <w:r>
        <w:rPr>
          <w:lang w:eastAsia="it-IT"/>
        </w:rPr>
        <w:t>скорее</w:t>
      </w:r>
      <w:r w:rsidRPr="0014172F">
        <w:rPr>
          <w:lang w:eastAsia="it-IT"/>
        </w:rPr>
        <w:t xml:space="preserve"> уведомлять затрагиваемые Стороны, включая </w:t>
      </w:r>
      <w:r>
        <w:rPr>
          <w:lang w:eastAsia="it-IT"/>
        </w:rPr>
        <w:t xml:space="preserve">направление </w:t>
      </w:r>
      <w:r w:rsidRPr="0014172F">
        <w:rPr>
          <w:lang w:eastAsia="it-IT"/>
        </w:rPr>
        <w:t>уточнени</w:t>
      </w:r>
      <w:r>
        <w:rPr>
          <w:lang w:eastAsia="it-IT"/>
        </w:rPr>
        <w:t>й</w:t>
      </w:r>
      <w:r w:rsidRPr="0014172F">
        <w:rPr>
          <w:lang w:eastAsia="it-IT"/>
        </w:rPr>
        <w:t xml:space="preserve"> относительно минимального содержания уведомления и процедуры, которой должны следовать заинтересованные Стороны, о</w:t>
      </w:r>
      <w:r>
        <w:rPr>
          <w:lang w:eastAsia="it-IT"/>
        </w:rPr>
        <w:t xml:space="preserve">б указываемых в Добавлении </w:t>
      </w:r>
      <w:r w:rsidRPr="0014172F">
        <w:rPr>
          <w:lang w:eastAsia="it-IT"/>
        </w:rPr>
        <w:t>I</w:t>
      </w:r>
      <w:r>
        <w:rPr>
          <w:lang w:eastAsia="it-IT"/>
        </w:rPr>
        <w:t xml:space="preserve"> планируемых видах деятельности</w:t>
      </w:r>
      <w:r w:rsidRPr="0014172F">
        <w:rPr>
          <w:lang w:eastAsia="it-IT"/>
        </w:rPr>
        <w:t>, котор</w:t>
      </w:r>
      <w:r>
        <w:rPr>
          <w:lang w:eastAsia="it-IT"/>
        </w:rPr>
        <w:t>ые</w:t>
      </w:r>
      <w:r w:rsidRPr="0014172F">
        <w:rPr>
          <w:lang w:eastAsia="it-IT"/>
        </w:rPr>
        <w:t xml:space="preserve"> мо</w:t>
      </w:r>
      <w:r>
        <w:rPr>
          <w:lang w:eastAsia="it-IT"/>
        </w:rPr>
        <w:t>гут</w:t>
      </w:r>
      <w:r w:rsidRPr="0014172F">
        <w:rPr>
          <w:lang w:eastAsia="it-IT"/>
        </w:rPr>
        <w:t xml:space="preserve"> </w:t>
      </w:r>
      <w:r>
        <w:rPr>
          <w:lang w:eastAsia="it-IT"/>
        </w:rPr>
        <w:t>оказывать</w:t>
      </w:r>
      <w:r w:rsidRPr="0014172F">
        <w:rPr>
          <w:lang w:eastAsia="it-IT"/>
        </w:rPr>
        <w:t xml:space="preserve"> значительное </w:t>
      </w:r>
      <w:r>
        <w:rPr>
          <w:lang w:eastAsia="it-IT"/>
        </w:rPr>
        <w:t>вредное</w:t>
      </w:r>
      <w:r w:rsidRPr="0014172F">
        <w:rPr>
          <w:lang w:eastAsia="it-IT"/>
        </w:rPr>
        <w:t xml:space="preserve"> трансграничное воздействие (ст</w:t>
      </w:r>
      <w:r>
        <w:rPr>
          <w:lang w:eastAsia="it-IT"/>
        </w:rPr>
        <w:t>.</w:t>
      </w:r>
      <w:r w:rsidRPr="0014172F">
        <w:rPr>
          <w:lang w:eastAsia="it-IT"/>
        </w:rPr>
        <w:t xml:space="preserve"> 2 (</w:t>
      </w:r>
      <w:r>
        <w:rPr>
          <w:lang w:eastAsia="it-IT"/>
        </w:rPr>
        <w:t xml:space="preserve">п. </w:t>
      </w:r>
      <w:r w:rsidRPr="0014172F">
        <w:rPr>
          <w:lang w:eastAsia="it-IT"/>
        </w:rPr>
        <w:t>4) и 3)</w:t>
      </w:r>
      <w:r w:rsidRPr="00C26937">
        <w:rPr>
          <w:vertAlign w:val="superscript"/>
        </w:rPr>
        <w:footnoteReference w:id="7"/>
      </w:r>
      <w:r>
        <w:rPr>
          <w:lang w:eastAsia="it-IT"/>
        </w:rPr>
        <w:t>;</w:t>
      </w:r>
    </w:p>
    <w:p w14:paraId="12BCEA07" w14:textId="4CC8FC7C" w:rsidR="000C3BBC" w:rsidRPr="00C421CB" w:rsidRDefault="000C3BBC" w:rsidP="000C3BBC">
      <w:pPr>
        <w:pStyle w:val="SingleTxtG"/>
        <w:ind w:firstLine="567"/>
        <w:rPr>
          <w:lang w:eastAsia="it-IT"/>
        </w:rPr>
      </w:pPr>
      <w:r w:rsidRPr="00C26937">
        <w:rPr>
          <w:lang w:eastAsia="it-IT"/>
        </w:rPr>
        <w:t>d</w:t>
      </w:r>
      <w:r w:rsidRPr="00A544D0">
        <w:rPr>
          <w:lang w:eastAsia="it-IT"/>
        </w:rPr>
        <w:t>)</w:t>
      </w:r>
      <w:r w:rsidRPr="00A544D0">
        <w:rPr>
          <w:lang w:eastAsia="it-IT"/>
        </w:rPr>
        <w:tab/>
      </w:r>
      <w:bookmarkStart w:id="2" w:name="_Ref138082203"/>
      <w:bookmarkStart w:id="3" w:name="_Ref138928272"/>
      <w:r>
        <w:rPr>
          <w:lang w:eastAsia="it-IT"/>
        </w:rPr>
        <w:t>т</w:t>
      </w:r>
      <w:r w:rsidRPr="00AD6165">
        <w:rPr>
          <w:lang w:eastAsia="it-IT"/>
        </w:rPr>
        <w:t xml:space="preserve">ребования к процессу: существует требование о подготовке документации </w:t>
      </w:r>
      <w:r>
        <w:rPr>
          <w:lang w:eastAsia="it-IT"/>
        </w:rPr>
        <w:t>об</w:t>
      </w:r>
      <w:r w:rsidRPr="00AD6165">
        <w:rPr>
          <w:lang w:eastAsia="it-IT"/>
        </w:rPr>
        <w:t xml:space="preserve"> оценке воздействия на окружающую среду, содержащей, как минимум, информацию, перечисленную в </w:t>
      </w:r>
      <w:r>
        <w:rPr>
          <w:lang w:eastAsia="it-IT"/>
        </w:rPr>
        <w:t>Добавлении</w:t>
      </w:r>
      <w:r w:rsidRPr="00AD6165">
        <w:rPr>
          <w:lang w:eastAsia="it-IT"/>
        </w:rPr>
        <w:t xml:space="preserve"> II к Конвенции. Она включает </w:t>
      </w:r>
      <w:r>
        <w:rPr>
          <w:lang w:eastAsia="it-IT"/>
        </w:rPr>
        <w:t xml:space="preserve">в себя </w:t>
      </w:r>
      <w:r w:rsidRPr="00AD6165">
        <w:rPr>
          <w:lang w:eastAsia="it-IT"/>
        </w:rPr>
        <w:t xml:space="preserve">информацию о </w:t>
      </w:r>
      <w:r>
        <w:rPr>
          <w:lang w:eastAsia="it-IT"/>
        </w:rPr>
        <w:t>планируемой</w:t>
      </w:r>
      <w:r w:rsidRPr="00AD6165">
        <w:rPr>
          <w:lang w:eastAsia="it-IT"/>
        </w:rPr>
        <w:t xml:space="preserve"> деятельности и </w:t>
      </w:r>
      <w:r w:rsidRPr="00EE2716">
        <w:rPr>
          <w:lang w:eastAsia="it-IT"/>
        </w:rPr>
        <w:t>ее альтернативны</w:t>
      </w:r>
      <w:r>
        <w:rPr>
          <w:lang w:eastAsia="it-IT"/>
        </w:rPr>
        <w:t>х</w:t>
      </w:r>
      <w:r w:rsidRPr="00EE2716">
        <w:rPr>
          <w:lang w:eastAsia="it-IT"/>
        </w:rPr>
        <w:t xml:space="preserve"> варианта</w:t>
      </w:r>
      <w:r>
        <w:rPr>
          <w:lang w:eastAsia="it-IT"/>
        </w:rPr>
        <w:t>х</w:t>
      </w:r>
      <w:r w:rsidRPr="00AD6165">
        <w:rPr>
          <w:lang w:eastAsia="it-IT"/>
        </w:rPr>
        <w:t xml:space="preserve">, </w:t>
      </w:r>
      <w:r w:rsidRPr="00EE2716">
        <w:rPr>
          <w:lang w:eastAsia="it-IT"/>
        </w:rPr>
        <w:t>окружающей сред</w:t>
      </w:r>
      <w:r>
        <w:rPr>
          <w:lang w:eastAsia="it-IT"/>
        </w:rPr>
        <w:t>е</w:t>
      </w:r>
      <w:r w:rsidRPr="00EE2716">
        <w:rPr>
          <w:lang w:eastAsia="it-IT"/>
        </w:rPr>
        <w:t>, котор</w:t>
      </w:r>
      <w:r>
        <w:rPr>
          <w:lang w:eastAsia="it-IT"/>
        </w:rPr>
        <w:t>ая</w:t>
      </w:r>
      <w:r w:rsidRPr="00EE2716">
        <w:rPr>
          <w:lang w:eastAsia="it-IT"/>
        </w:rPr>
        <w:t>, вероятно, буд</w:t>
      </w:r>
      <w:r>
        <w:rPr>
          <w:lang w:eastAsia="it-IT"/>
        </w:rPr>
        <w:t>е</w:t>
      </w:r>
      <w:r w:rsidRPr="00EE2716">
        <w:rPr>
          <w:lang w:eastAsia="it-IT"/>
        </w:rPr>
        <w:t>т затронут</w:t>
      </w:r>
      <w:r>
        <w:rPr>
          <w:lang w:eastAsia="it-IT"/>
        </w:rPr>
        <w:t>а</w:t>
      </w:r>
      <w:r w:rsidRPr="00AD6165">
        <w:rPr>
          <w:lang w:eastAsia="it-IT"/>
        </w:rPr>
        <w:t xml:space="preserve">, </w:t>
      </w:r>
      <w:r w:rsidRPr="00EE2716">
        <w:rPr>
          <w:lang w:eastAsia="it-IT"/>
        </w:rPr>
        <w:t>возможных вид</w:t>
      </w:r>
      <w:r>
        <w:rPr>
          <w:lang w:eastAsia="it-IT"/>
        </w:rPr>
        <w:t>ах</w:t>
      </w:r>
      <w:r w:rsidRPr="00EE2716">
        <w:rPr>
          <w:lang w:eastAsia="it-IT"/>
        </w:rPr>
        <w:t xml:space="preserve"> воздействия на окружающую среду</w:t>
      </w:r>
      <w:r w:rsidRPr="00AD6165">
        <w:rPr>
          <w:lang w:eastAsia="it-IT"/>
        </w:rPr>
        <w:t xml:space="preserve">, </w:t>
      </w:r>
      <w:r w:rsidRPr="0059237F">
        <w:rPr>
          <w:lang w:eastAsia="it-IT"/>
        </w:rPr>
        <w:t>мер</w:t>
      </w:r>
      <w:r>
        <w:rPr>
          <w:lang w:eastAsia="it-IT"/>
        </w:rPr>
        <w:t>ах по его смягчению</w:t>
      </w:r>
      <w:r w:rsidRPr="00AD6165">
        <w:rPr>
          <w:lang w:eastAsia="it-IT"/>
        </w:rPr>
        <w:t xml:space="preserve">, </w:t>
      </w:r>
      <w:r w:rsidRPr="0059237F">
        <w:rPr>
          <w:lang w:eastAsia="it-IT"/>
        </w:rPr>
        <w:t>метод</w:t>
      </w:r>
      <w:r>
        <w:rPr>
          <w:lang w:eastAsia="it-IT"/>
        </w:rPr>
        <w:t>ах</w:t>
      </w:r>
      <w:r w:rsidRPr="0059237F">
        <w:rPr>
          <w:lang w:eastAsia="it-IT"/>
        </w:rPr>
        <w:t xml:space="preserve"> прогнозирования и лежащи</w:t>
      </w:r>
      <w:r>
        <w:rPr>
          <w:lang w:eastAsia="it-IT"/>
        </w:rPr>
        <w:t>х</w:t>
      </w:r>
      <w:r w:rsidRPr="0059237F">
        <w:rPr>
          <w:lang w:eastAsia="it-IT"/>
        </w:rPr>
        <w:t xml:space="preserve"> в их основе исходны</w:t>
      </w:r>
      <w:r>
        <w:rPr>
          <w:lang w:eastAsia="it-IT"/>
        </w:rPr>
        <w:t>х</w:t>
      </w:r>
      <w:r w:rsidRPr="0059237F">
        <w:rPr>
          <w:lang w:eastAsia="it-IT"/>
        </w:rPr>
        <w:t xml:space="preserve"> положения</w:t>
      </w:r>
      <w:r>
        <w:rPr>
          <w:lang w:eastAsia="it-IT"/>
        </w:rPr>
        <w:t>х</w:t>
      </w:r>
      <w:r w:rsidRPr="00AD6165">
        <w:rPr>
          <w:lang w:eastAsia="it-IT"/>
        </w:rPr>
        <w:t xml:space="preserve"> и </w:t>
      </w:r>
      <w:r>
        <w:rPr>
          <w:lang w:eastAsia="it-IT"/>
        </w:rPr>
        <w:t xml:space="preserve">используемых </w:t>
      </w:r>
      <w:r w:rsidRPr="00AD6165">
        <w:rPr>
          <w:lang w:eastAsia="it-IT"/>
        </w:rPr>
        <w:t xml:space="preserve">данных, пробелах в информации, </w:t>
      </w:r>
      <w:r>
        <w:rPr>
          <w:lang w:eastAsia="it-IT"/>
        </w:rPr>
        <w:t xml:space="preserve">а также </w:t>
      </w:r>
      <w:r w:rsidRPr="0059237F">
        <w:rPr>
          <w:lang w:eastAsia="it-IT"/>
        </w:rPr>
        <w:t>резюме нетехнического характер</w:t>
      </w:r>
      <w:r>
        <w:rPr>
          <w:lang w:eastAsia="it-IT"/>
        </w:rPr>
        <w:t>а</w:t>
      </w:r>
      <w:r w:rsidRPr="00AD6165">
        <w:rPr>
          <w:lang w:eastAsia="it-IT"/>
        </w:rPr>
        <w:t xml:space="preserve"> и</w:t>
      </w:r>
      <w:r>
        <w:rPr>
          <w:lang w:eastAsia="it-IT"/>
        </w:rPr>
        <w:t>,</w:t>
      </w:r>
      <w:r w:rsidRPr="00150839">
        <w:rPr>
          <w:lang w:eastAsia="it-IT"/>
        </w:rPr>
        <w:t xml:space="preserve"> при</w:t>
      </w:r>
      <w:r>
        <w:rPr>
          <w:lang w:eastAsia="it-IT"/>
        </w:rPr>
        <w:t xml:space="preserve"> </w:t>
      </w:r>
      <w:r w:rsidRPr="00150839">
        <w:rPr>
          <w:lang w:eastAsia="it-IT"/>
        </w:rPr>
        <w:t>необходимости, краткое содержание программ мониторинга</w:t>
      </w:r>
      <w:r w:rsidRPr="00AD6165">
        <w:rPr>
          <w:lang w:eastAsia="it-IT"/>
        </w:rPr>
        <w:t xml:space="preserve"> (ст. 4 и </w:t>
      </w:r>
      <w:r>
        <w:rPr>
          <w:lang w:eastAsia="it-IT"/>
        </w:rPr>
        <w:t>Добавление</w:t>
      </w:r>
      <w:r w:rsidRPr="00AD6165">
        <w:rPr>
          <w:lang w:eastAsia="it-IT"/>
        </w:rPr>
        <w:t xml:space="preserve"> </w:t>
      </w:r>
      <w:r w:rsidRPr="0059237F">
        <w:rPr>
          <w:lang w:eastAsia="it-IT"/>
        </w:rPr>
        <w:t>II</w:t>
      </w:r>
      <w:r w:rsidRPr="00AD6165">
        <w:rPr>
          <w:lang w:eastAsia="it-IT"/>
        </w:rPr>
        <w:t xml:space="preserve">). </w:t>
      </w:r>
      <w:r w:rsidRPr="008B6BF2">
        <w:rPr>
          <w:lang w:eastAsia="it-IT"/>
        </w:rPr>
        <w:t>В</w:t>
      </w:r>
      <w:r w:rsidRPr="00A544D0">
        <w:rPr>
          <w:i/>
          <w:iCs/>
          <w:lang w:eastAsia="it-IT"/>
        </w:rPr>
        <w:t xml:space="preserve"> </w:t>
      </w:r>
      <w:r w:rsidRPr="00150839">
        <w:rPr>
          <w:i/>
          <w:iCs/>
          <w:lang w:eastAsia="it-IT"/>
        </w:rPr>
        <w:t>Руководстве</w:t>
      </w:r>
      <w:r w:rsidRPr="00A544D0">
        <w:rPr>
          <w:i/>
          <w:iCs/>
          <w:lang w:eastAsia="it-IT"/>
        </w:rPr>
        <w:t xml:space="preserve"> </w:t>
      </w:r>
      <w:r w:rsidRPr="00150839">
        <w:rPr>
          <w:i/>
          <w:iCs/>
          <w:lang w:eastAsia="it-IT"/>
        </w:rPr>
        <w:t>по</w:t>
      </w:r>
      <w:r w:rsidRPr="00A544D0">
        <w:rPr>
          <w:i/>
          <w:iCs/>
          <w:lang w:eastAsia="it-IT"/>
        </w:rPr>
        <w:t xml:space="preserve"> </w:t>
      </w:r>
      <w:r w:rsidRPr="00150839">
        <w:rPr>
          <w:i/>
          <w:iCs/>
          <w:lang w:eastAsia="it-IT"/>
        </w:rPr>
        <w:t>практическому</w:t>
      </w:r>
      <w:r w:rsidRPr="00A544D0">
        <w:rPr>
          <w:i/>
          <w:iCs/>
          <w:lang w:eastAsia="it-IT"/>
        </w:rPr>
        <w:t xml:space="preserve"> </w:t>
      </w:r>
      <w:r w:rsidRPr="00150839">
        <w:rPr>
          <w:i/>
          <w:iCs/>
          <w:lang w:eastAsia="it-IT"/>
        </w:rPr>
        <w:t>применению</w:t>
      </w:r>
      <w:r w:rsidRPr="00A544D0">
        <w:rPr>
          <w:i/>
          <w:iCs/>
          <w:lang w:eastAsia="it-IT"/>
        </w:rPr>
        <w:t xml:space="preserve"> </w:t>
      </w:r>
      <w:r w:rsidRPr="00150839">
        <w:rPr>
          <w:i/>
          <w:iCs/>
          <w:lang w:eastAsia="it-IT"/>
        </w:rPr>
        <w:t>принятой</w:t>
      </w:r>
      <w:r w:rsidRPr="00A544D0">
        <w:rPr>
          <w:i/>
          <w:iCs/>
          <w:lang w:eastAsia="it-IT"/>
        </w:rPr>
        <w:t xml:space="preserve"> </w:t>
      </w:r>
      <w:r w:rsidRPr="00150839">
        <w:rPr>
          <w:i/>
          <w:iCs/>
          <w:lang w:eastAsia="it-IT"/>
        </w:rPr>
        <w:t>в</w:t>
      </w:r>
      <w:r w:rsidRPr="00A544D0">
        <w:rPr>
          <w:i/>
          <w:iCs/>
          <w:lang w:eastAsia="it-IT"/>
        </w:rPr>
        <w:t xml:space="preserve"> </w:t>
      </w:r>
      <w:r w:rsidRPr="00150839">
        <w:rPr>
          <w:i/>
          <w:iCs/>
          <w:lang w:eastAsia="it-IT"/>
        </w:rPr>
        <w:t>Эспо</w:t>
      </w:r>
      <w:r w:rsidRPr="00A544D0">
        <w:rPr>
          <w:i/>
          <w:iCs/>
          <w:lang w:eastAsia="it-IT"/>
        </w:rPr>
        <w:t xml:space="preserve"> </w:t>
      </w:r>
      <w:r w:rsidRPr="00150839">
        <w:rPr>
          <w:i/>
          <w:iCs/>
          <w:lang w:eastAsia="it-IT"/>
        </w:rPr>
        <w:t>Конвенции</w:t>
      </w:r>
      <w:r w:rsidRPr="00A544D0">
        <w:rPr>
          <w:lang w:eastAsia="it-IT"/>
        </w:rPr>
        <w:t xml:space="preserve"> (</w:t>
      </w:r>
      <w:r w:rsidRPr="00AD6165">
        <w:rPr>
          <w:lang w:eastAsia="it-IT"/>
        </w:rPr>
        <w:t>далее</w:t>
      </w:r>
      <w:r w:rsidRPr="00A544D0">
        <w:rPr>
          <w:lang w:eastAsia="it-IT"/>
        </w:rPr>
        <w:t xml:space="preserve"> — </w:t>
      </w:r>
      <w:r w:rsidRPr="00AD6165">
        <w:rPr>
          <w:lang w:eastAsia="it-IT"/>
        </w:rPr>
        <w:t>Руководство</w:t>
      </w:r>
      <w:r w:rsidRPr="00A544D0">
        <w:rPr>
          <w:lang w:eastAsia="it-IT"/>
        </w:rPr>
        <w:t>)</w:t>
      </w:r>
      <w:r w:rsidRPr="00C26937">
        <w:rPr>
          <w:vertAlign w:val="superscript"/>
        </w:rPr>
        <w:footnoteReference w:id="8"/>
      </w:r>
      <w:bookmarkEnd w:id="2"/>
      <w:bookmarkEnd w:id="3"/>
      <w:r w:rsidRPr="00A544D0">
        <w:t xml:space="preserve"> </w:t>
      </w:r>
      <w:r w:rsidRPr="00AD6165">
        <w:rPr>
          <w:lang w:eastAsia="it-IT"/>
        </w:rPr>
        <w:t xml:space="preserve">рекомендуется проводить процедуру </w:t>
      </w:r>
      <w:r w:rsidRPr="005B7D78">
        <w:t>выявления подлежащих изучению вопросов</w:t>
      </w:r>
      <w:r w:rsidRPr="00AD6165">
        <w:rPr>
          <w:lang w:eastAsia="it-IT"/>
        </w:rPr>
        <w:t xml:space="preserve">; кроме того, вторая поправка к Конвенции Эспо включает положение о том, что в </w:t>
      </w:r>
      <w:r>
        <w:rPr>
          <w:lang w:eastAsia="it-IT"/>
        </w:rPr>
        <w:t xml:space="preserve">том </w:t>
      </w:r>
      <w:r w:rsidRPr="00AD6165">
        <w:rPr>
          <w:lang w:eastAsia="it-IT"/>
        </w:rPr>
        <w:t xml:space="preserve">случае, когда Сторона происхождения проводит </w:t>
      </w:r>
      <w:r>
        <w:rPr>
          <w:lang w:eastAsia="it-IT"/>
        </w:rPr>
        <w:t>«</w:t>
      </w:r>
      <w:r w:rsidRPr="00A544D0">
        <w:rPr>
          <w:lang w:eastAsia="it-IT"/>
        </w:rPr>
        <w:t xml:space="preserve">процедуру для целей определения содержания документации </w:t>
      </w:r>
      <w:r>
        <w:rPr>
          <w:lang w:eastAsia="it-IT"/>
        </w:rPr>
        <w:t>по</w:t>
      </w:r>
      <w:r w:rsidRPr="00A544D0">
        <w:rPr>
          <w:lang w:eastAsia="it-IT"/>
        </w:rPr>
        <w:t xml:space="preserve"> оценке воздействия на окружающую среду, то затрагиваемой </w:t>
      </w:r>
      <w:r w:rsidRPr="00A544D0">
        <w:rPr>
          <w:lang w:eastAsia="it-IT"/>
        </w:rPr>
        <w:lastRenderedPageBreak/>
        <w:t>Стороне следует в необходимой степени предоставить возможность участвовать в этой процедуре</w:t>
      </w:r>
      <w:r>
        <w:rPr>
          <w:lang w:eastAsia="it-IT"/>
        </w:rPr>
        <w:t>»</w:t>
      </w:r>
      <w:r w:rsidRPr="00C26937">
        <w:rPr>
          <w:sz w:val="18"/>
          <w:vertAlign w:val="superscript"/>
        </w:rPr>
        <w:footnoteReference w:id="9"/>
      </w:r>
      <w:r>
        <w:rPr>
          <w:lang w:eastAsia="it-IT"/>
        </w:rPr>
        <w:t>;</w:t>
      </w:r>
      <w:r w:rsidR="006C6943">
        <w:rPr>
          <w:lang w:eastAsia="it-IT"/>
        </w:rPr>
        <w:t xml:space="preserve"> </w:t>
      </w:r>
    </w:p>
    <w:p w14:paraId="746AD220" w14:textId="77777777" w:rsidR="000C3BBC" w:rsidRPr="00391396" w:rsidRDefault="000C3BBC" w:rsidP="000C3BBC">
      <w:pPr>
        <w:pStyle w:val="SingleTxtG"/>
        <w:ind w:firstLine="567"/>
        <w:rPr>
          <w:lang w:eastAsia="it-IT"/>
        </w:rPr>
      </w:pPr>
      <w:r w:rsidRPr="00C26937">
        <w:rPr>
          <w:lang w:eastAsia="it-IT"/>
        </w:rPr>
        <w:t>e</w:t>
      </w:r>
      <w:r w:rsidRPr="00391396">
        <w:rPr>
          <w:lang w:eastAsia="it-IT"/>
        </w:rPr>
        <w:t>)</w:t>
      </w:r>
      <w:r w:rsidRPr="00391396">
        <w:rPr>
          <w:lang w:eastAsia="it-IT"/>
        </w:rPr>
        <w:tab/>
      </w:r>
      <w:r>
        <w:rPr>
          <w:lang w:eastAsia="it-IT"/>
        </w:rPr>
        <w:t>т</w:t>
      </w:r>
      <w:r w:rsidRPr="00391396">
        <w:rPr>
          <w:lang w:eastAsia="it-IT"/>
        </w:rPr>
        <w:t>ребование о проведении консультаций: существует требование о проведении без необоснованного</w:t>
      </w:r>
      <w:r>
        <w:rPr>
          <w:lang w:eastAsia="it-IT"/>
        </w:rPr>
        <w:t xml:space="preserve"> </w:t>
      </w:r>
      <w:r w:rsidRPr="00391396">
        <w:rPr>
          <w:lang w:eastAsia="it-IT"/>
        </w:rPr>
        <w:t>промедления консультаций с затрагиваемыми Сторонами на основе документации о</w:t>
      </w:r>
      <w:r>
        <w:rPr>
          <w:lang w:eastAsia="it-IT"/>
        </w:rPr>
        <w:t>б</w:t>
      </w:r>
      <w:r w:rsidRPr="00391396">
        <w:rPr>
          <w:lang w:eastAsia="it-IT"/>
        </w:rPr>
        <w:t xml:space="preserve"> оценке воздействия на окружающую среду, в том числе </w:t>
      </w:r>
      <w:r>
        <w:rPr>
          <w:lang w:eastAsia="it-IT"/>
        </w:rPr>
        <w:t xml:space="preserve">в отношении </w:t>
      </w:r>
      <w:r w:rsidRPr="00391396">
        <w:rPr>
          <w:lang w:eastAsia="it-IT"/>
        </w:rPr>
        <w:t>потенциального трансграничного воздействия планируемой деятельности и мер по уменьшению или устранению ее воздействия (ст. 5);</w:t>
      </w:r>
    </w:p>
    <w:p w14:paraId="410C1B2F" w14:textId="77777777" w:rsidR="000C3BBC" w:rsidRPr="00E02E32" w:rsidRDefault="000C3BBC" w:rsidP="000C3BBC">
      <w:pPr>
        <w:pStyle w:val="SingleTxtG"/>
        <w:ind w:firstLine="567"/>
        <w:rPr>
          <w:lang w:eastAsia="it-IT"/>
        </w:rPr>
      </w:pPr>
      <w:r w:rsidRPr="00C26937">
        <w:rPr>
          <w:lang w:eastAsia="it-IT"/>
        </w:rPr>
        <w:t>f</w:t>
      </w:r>
      <w:r w:rsidRPr="00E02E32">
        <w:rPr>
          <w:lang w:eastAsia="it-IT"/>
        </w:rPr>
        <w:t>)</w:t>
      </w:r>
      <w:r w:rsidRPr="00E02E32">
        <w:rPr>
          <w:lang w:eastAsia="it-IT"/>
        </w:rPr>
        <w:tab/>
      </w:r>
      <w:r>
        <w:rPr>
          <w:lang w:eastAsia="it-IT"/>
        </w:rPr>
        <w:t>т</w:t>
      </w:r>
      <w:r w:rsidRPr="00391396">
        <w:rPr>
          <w:lang w:eastAsia="it-IT"/>
        </w:rPr>
        <w:t>ребование об участии общественности: существует требование</w:t>
      </w:r>
      <w:r>
        <w:rPr>
          <w:lang w:eastAsia="it-IT"/>
        </w:rPr>
        <w:t>, обращенное</w:t>
      </w:r>
      <w:r w:rsidRPr="00391396">
        <w:rPr>
          <w:lang w:eastAsia="it-IT"/>
        </w:rPr>
        <w:t xml:space="preserve"> к заинтересованным Сторонам</w:t>
      </w:r>
      <w:r>
        <w:rPr>
          <w:lang w:eastAsia="it-IT"/>
        </w:rPr>
        <w:t>,</w:t>
      </w:r>
      <w:r w:rsidRPr="00391396">
        <w:rPr>
          <w:lang w:eastAsia="it-IT"/>
        </w:rPr>
        <w:t xml:space="preserve"> предоставить общественности затрагиваемой Стороны </w:t>
      </w:r>
      <w:r w:rsidRPr="00701278">
        <w:rPr>
          <w:lang w:eastAsia="it-IT"/>
        </w:rPr>
        <w:t>в</w:t>
      </w:r>
      <w:r>
        <w:rPr>
          <w:lang w:eastAsia="it-IT"/>
        </w:rPr>
        <w:t xml:space="preserve"> </w:t>
      </w:r>
      <w:r w:rsidRPr="00701278">
        <w:rPr>
          <w:lang w:eastAsia="it-IT"/>
        </w:rPr>
        <w:t>районах,</w:t>
      </w:r>
      <w:r>
        <w:rPr>
          <w:lang w:eastAsia="it-IT"/>
        </w:rPr>
        <w:t xml:space="preserve"> </w:t>
      </w:r>
      <w:r w:rsidRPr="00701278">
        <w:rPr>
          <w:lang w:eastAsia="it-IT"/>
        </w:rPr>
        <w:t>которые, по всей вероятности, будут</w:t>
      </w:r>
      <w:r>
        <w:rPr>
          <w:lang w:eastAsia="it-IT"/>
        </w:rPr>
        <w:t xml:space="preserve"> </w:t>
      </w:r>
      <w:r w:rsidRPr="00701278">
        <w:rPr>
          <w:lang w:eastAsia="it-IT"/>
        </w:rPr>
        <w:t>затронуты</w:t>
      </w:r>
      <w:r w:rsidRPr="00391396">
        <w:rPr>
          <w:lang w:eastAsia="it-IT"/>
        </w:rPr>
        <w:t xml:space="preserve"> </w:t>
      </w:r>
      <w:r>
        <w:rPr>
          <w:lang w:eastAsia="it-IT"/>
        </w:rPr>
        <w:t xml:space="preserve">планируемой </w:t>
      </w:r>
      <w:r w:rsidRPr="00391396">
        <w:rPr>
          <w:lang w:eastAsia="it-IT"/>
        </w:rPr>
        <w:t>деятельностью, возможность участвовать в трансграничной процедуре, эквивалентную той, которая предоставляется общественности Стороны происхождения (ст. 2 (</w:t>
      </w:r>
      <w:r>
        <w:rPr>
          <w:lang w:eastAsia="it-IT"/>
        </w:rPr>
        <w:t xml:space="preserve">п. </w:t>
      </w:r>
      <w:r w:rsidRPr="00391396">
        <w:rPr>
          <w:lang w:eastAsia="it-IT"/>
        </w:rPr>
        <w:t>6), 3 (</w:t>
      </w:r>
      <w:r>
        <w:rPr>
          <w:lang w:eastAsia="it-IT"/>
        </w:rPr>
        <w:t xml:space="preserve">п. </w:t>
      </w:r>
      <w:r w:rsidRPr="00391396">
        <w:rPr>
          <w:lang w:eastAsia="it-IT"/>
        </w:rPr>
        <w:t>8) и 4 (</w:t>
      </w:r>
      <w:r>
        <w:rPr>
          <w:lang w:eastAsia="it-IT"/>
        </w:rPr>
        <w:t xml:space="preserve">п. </w:t>
      </w:r>
      <w:r w:rsidRPr="00391396">
        <w:rPr>
          <w:lang w:eastAsia="it-IT"/>
        </w:rPr>
        <w:t>2))</w:t>
      </w:r>
      <w:r w:rsidRPr="00E02E32">
        <w:rPr>
          <w:lang w:eastAsia="it-IT"/>
        </w:rPr>
        <w:t>;</w:t>
      </w:r>
    </w:p>
    <w:p w14:paraId="087BBE8F" w14:textId="77777777" w:rsidR="000C3BBC" w:rsidRPr="001E11C3" w:rsidRDefault="000C3BBC" w:rsidP="000C3BBC">
      <w:pPr>
        <w:pStyle w:val="SingleTxtG"/>
        <w:ind w:firstLine="567"/>
        <w:rPr>
          <w:lang w:eastAsia="it-IT"/>
        </w:rPr>
      </w:pPr>
      <w:r w:rsidRPr="00C26937">
        <w:rPr>
          <w:lang w:eastAsia="it-IT"/>
        </w:rPr>
        <w:t>g</w:t>
      </w:r>
      <w:r w:rsidRPr="001E11C3">
        <w:rPr>
          <w:lang w:eastAsia="it-IT"/>
        </w:rPr>
        <w:t>)</w:t>
      </w:r>
      <w:r w:rsidRPr="001E11C3">
        <w:tab/>
      </w:r>
      <w:r>
        <w:rPr>
          <w:rFonts w:eastAsia="MyriadPro-Regular"/>
        </w:rPr>
        <w:t>о</w:t>
      </w:r>
      <w:r w:rsidRPr="002D1E27">
        <w:rPr>
          <w:rFonts w:eastAsia="MyriadPro-Regular"/>
        </w:rPr>
        <w:t xml:space="preserve">кончательное решение: требования к окончательному решению по </w:t>
      </w:r>
      <w:r>
        <w:rPr>
          <w:rFonts w:eastAsia="MyriadPro-Regular"/>
        </w:rPr>
        <w:t>планируемой</w:t>
      </w:r>
      <w:r w:rsidRPr="002D1E27">
        <w:rPr>
          <w:rFonts w:eastAsia="MyriadPro-Regular"/>
        </w:rPr>
        <w:t xml:space="preserve"> деятельности </w:t>
      </w:r>
      <w:r>
        <w:rPr>
          <w:rFonts w:eastAsia="MyriadPro-Regular"/>
        </w:rPr>
        <w:t>предусматривают</w:t>
      </w:r>
      <w:r w:rsidRPr="002D1E27">
        <w:rPr>
          <w:rFonts w:eastAsia="MyriadPro-Regular"/>
        </w:rPr>
        <w:t xml:space="preserve"> </w:t>
      </w:r>
      <w:r>
        <w:rPr>
          <w:rFonts w:eastAsia="MyriadPro-Regular"/>
        </w:rPr>
        <w:t>обеспечение того, чтобы были учтены</w:t>
      </w:r>
      <w:r w:rsidRPr="002D1E27">
        <w:rPr>
          <w:rFonts w:eastAsia="MyriadPro-Regular"/>
        </w:rPr>
        <w:t xml:space="preserve"> </w:t>
      </w:r>
      <w:r>
        <w:rPr>
          <w:rFonts w:eastAsia="MyriadPro-Regular"/>
        </w:rPr>
        <w:t>«</w:t>
      </w:r>
      <w:r w:rsidRPr="007B409A">
        <w:rPr>
          <w:rFonts w:eastAsia="MyriadPro-Regular"/>
        </w:rPr>
        <w:t xml:space="preserve">результаты оценки воздействия на окружающую среду, включая документацию об оценке воздействия на окружающую среду, а также замечания по этой документации, полученные в соответствии с </w:t>
      </w:r>
      <w:r>
        <w:rPr>
          <w:rFonts w:eastAsia="MyriadPro-Regular"/>
        </w:rPr>
        <w:t>с</w:t>
      </w:r>
      <w:r w:rsidRPr="007B409A">
        <w:rPr>
          <w:rFonts w:eastAsia="MyriadPro-Regular"/>
        </w:rPr>
        <w:t>тать</w:t>
      </w:r>
      <w:r>
        <w:rPr>
          <w:rFonts w:eastAsia="MyriadPro-Regular"/>
        </w:rPr>
        <w:t>ей</w:t>
      </w:r>
      <w:r w:rsidRPr="007B409A">
        <w:rPr>
          <w:rFonts w:eastAsia="MyriadPro-Regular"/>
        </w:rPr>
        <w:t xml:space="preserve"> 3</w:t>
      </w:r>
      <w:r>
        <w:rPr>
          <w:rFonts w:eastAsia="MyriadPro-Regular"/>
        </w:rPr>
        <w:t xml:space="preserve"> (пункт 8)</w:t>
      </w:r>
      <w:r w:rsidRPr="007B409A">
        <w:rPr>
          <w:rFonts w:eastAsia="MyriadPro-Regular"/>
        </w:rPr>
        <w:t xml:space="preserve"> и </w:t>
      </w:r>
      <w:r>
        <w:rPr>
          <w:rFonts w:eastAsia="MyriadPro-Regular"/>
        </w:rPr>
        <w:t>с</w:t>
      </w:r>
      <w:r w:rsidRPr="007B409A">
        <w:rPr>
          <w:rFonts w:eastAsia="MyriadPro-Regular"/>
        </w:rPr>
        <w:t>тать</w:t>
      </w:r>
      <w:r>
        <w:rPr>
          <w:rFonts w:eastAsia="MyriadPro-Regular"/>
        </w:rPr>
        <w:t>ей</w:t>
      </w:r>
      <w:r w:rsidRPr="007B409A">
        <w:rPr>
          <w:rFonts w:eastAsia="MyriadPro-Regular"/>
        </w:rPr>
        <w:t xml:space="preserve"> 4</w:t>
      </w:r>
      <w:r>
        <w:rPr>
          <w:rFonts w:eastAsia="MyriadPro-Regular"/>
        </w:rPr>
        <w:t xml:space="preserve"> (</w:t>
      </w:r>
      <w:r w:rsidRPr="007B409A">
        <w:rPr>
          <w:rFonts w:eastAsia="MyriadPro-Regular"/>
        </w:rPr>
        <w:t>пункт 2</w:t>
      </w:r>
      <w:r>
        <w:rPr>
          <w:rFonts w:eastAsia="MyriadPro-Regular"/>
        </w:rPr>
        <w:t>)</w:t>
      </w:r>
      <w:r w:rsidRPr="007B409A">
        <w:rPr>
          <w:rFonts w:eastAsia="MyriadPro-Regular"/>
        </w:rPr>
        <w:t>, и итоги консультаций, указанных в Статье 5</w:t>
      </w:r>
      <w:r>
        <w:rPr>
          <w:rFonts w:eastAsia="MyriadPro-Regular"/>
        </w:rPr>
        <w:t>» (ст. 6 (п. 1))</w:t>
      </w:r>
      <w:r w:rsidRPr="002D1E27">
        <w:rPr>
          <w:rFonts w:eastAsia="MyriadPro-Regular"/>
        </w:rPr>
        <w:t xml:space="preserve">; </w:t>
      </w:r>
      <w:r>
        <w:rPr>
          <w:rFonts w:eastAsia="MyriadPro-Regular"/>
        </w:rPr>
        <w:t xml:space="preserve">и чтобы </w:t>
      </w:r>
      <w:r w:rsidRPr="002D1E27">
        <w:rPr>
          <w:rFonts w:eastAsia="MyriadPro-Regular"/>
        </w:rPr>
        <w:t xml:space="preserve">Сторона происхождения </w:t>
      </w:r>
      <w:r w:rsidRPr="001E11C3">
        <w:rPr>
          <w:rFonts w:eastAsia="MyriadPro-Regular"/>
        </w:rPr>
        <w:t>сообща</w:t>
      </w:r>
      <w:r>
        <w:rPr>
          <w:rFonts w:eastAsia="MyriadPro-Regular"/>
        </w:rPr>
        <w:t>ла</w:t>
      </w:r>
      <w:r w:rsidRPr="001E11C3">
        <w:rPr>
          <w:rFonts w:eastAsia="MyriadPro-Regular"/>
        </w:rPr>
        <w:t xml:space="preserve"> </w:t>
      </w:r>
      <w:r>
        <w:rPr>
          <w:rFonts w:eastAsia="MyriadPro-Regular"/>
        </w:rPr>
        <w:t>«</w:t>
      </w:r>
      <w:r w:rsidRPr="001E11C3">
        <w:rPr>
          <w:rFonts w:eastAsia="MyriadPro-Regular"/>
        </w:rPr>
        <w:t>затрагиваемой Стороне окончательное решение относительно планируемой деятельности вместе с</w:t>
      </w:r>
      <w:r>
        <w:rPr>
          <w:rFonts w:eastAsia="MyriadPro-Regular"/>
        </w:rPr>
        <w:t xml:space="preserve"> </w:t>
      </w:r>
      <w:r w:rsidRPr="001E11C3">
        <w:rPr>
          <w:rFonts w:eastAsia="MyriadPro-Regular"/>
        </w:rPr>
        <w:t>причинами и соображениями, на которых оно основано</w:t>
      </w:r>
      <w:r>
        <w:rPr>
          <w:rFonts w:eastAsia="MyriadPro-Regular"/>
        </w:rPr>
        <w:t>»</w:t>
      </w:r>
      <w:r w:rsidRPr="002D1E27">
        <w:rPr>
          <w:rFonts w:eastAsia="MyriadPro-Regular"/>
        </w:rPr>
        <w:t xml:space="preserve"> (ст</w:t>
      </w:r>
      <w:r>
        <w:rPr>
          <w:rFonts w:eastAsia="MyriadPro-Regular"/>
        </w:rPr>
        <w:t>.</w:t>
      </w:r>
      <w:r w:rsidRPr="002D1E27">
        <w:rPr>
          <w:rFonts w:eastAsia="MyriadPro-Regular"/>
        </w:rPr>
        <w:t xml:space="preserve"> 6 (</w:t>
      </w:r>
      <w:r>
        <w:rPr>
          <w:rFonts w:eastAsia="MyriadPro-Regular"/>
        </w:rPr>
        <w:t xml:space="preserve">п. </w:t>
      </w:r>
      <w:r w:rsidRPr="002D1E27">
        <w:rPr>
          <w:rFonts w:eastAsia="MyriadPro-Regular"/>
        </w:rPr>
        <w:t>2))</w:t>
      </w:r>
      <w:r w:rsidRPr="001E11C3">
        <w:rPr>
          <w:lang w:eastAsia="it-IT"/>
        </w:rPr>
        <w:t>;</w:t>
      </w:r>
    </w:p>
    <w:p w14:paraId="0E4A1752" w14:textId="77777777" w:rsidR="000C3BBC" w:rsidRPr="00490DD5" w:rsidRDefault="000C3BBC" w:rsidP="000C3BBC">
      <w:pPr>
        <w:pStyle w:val="SingleTxtG"/>
        <w:ind w:firstLine="567"/>
        <w:rPr>
          <w:rFonts w:eastAsia="MyriadPro-Regular"/>
        </w:rPr>
      </w:pPr>
      <w:r w:rsidRPr="00C26937">
        <w:rPr>
          <w:rFonts w:eastAsia="MyriadPro-Regular"/>
        </w:rPr>
        <w:t>h</w:t>
      </w:r>
      <w:r w:rsidRPr="00490DD5">
        <w:rPr>
          <w:rFonts w:eastAsia="MyriadPro-Regular"/>
        </w:rPr>
        <w:t>)</w:t>
      </w:r>
      <w:r w:rsidRPr="00490DD5">
        <w:rPr>
          <w:rFonts w:eastAsia="MyriadPro-Regular"/>
        </w:rPr>
        <w:tab/>
      </w:r>
      <w:r>
        <w:t>п</w:t>
      </w:r>
      <w:r w:rsidRPr="0015216F">
        <w:t>ослепроектный анализ: статья 7 (</w:t>
      </w:r>
      <w:r>
        <w:t xml:space="preserve">пункт </w:t>
      </w:r>
      <w:r w:rsidRPr="0015216F">
        <w:t xml:space="preserve">1) Конвенции </w:t>
      </w:r>
      <w:r>
        <w:t>поощряет проведение</w:t>
      </w:r>
      <w:r w:rsidRPr="0015216F">
        <w:t xml:space="preserve"> послепроектн</w:t>
      </w:r>
      <w:r>
        <w:t>ого</w:t>
      </w:r>
      <w:r w:rsidRPr="0015216F">
        <w:t xml:space="preserve"> анализ</w:t>
      </w:r>
      <w:r>
        <w:t xml:space="preserve">а </w:t>
      </w:r>
      <w:r w:rsidRPr="0015216F">
        <w:t xml:space="preserve">по согласованию с заинтересованными </w:t>
      </w:r>
      <w:r>
        <w:t>С</w:t>
      </w:r>
      <w:r w:rsidRPr="0015216F">
        <w:t xml:space="preserve">торонами </w:t>
      </w:r>
      <w:r>
        <w:t>с уделением особого внимания</w:t>
      </w:r>
      <w:r w:rsidRPr="0015216F">
        <w:t xml:space="preserve"> цел</w:t>
      </w:r>
      <w:r>
        <w:t>ям</w:t>
      </w:r>
      <w:r w:rsidRPr="0015216F">
        <w:t>, перечисленны</w:t>
      </w:r>
      <w:r>
        <w:t>м</w:t>
      </w:r>
      <w:r w:rsidRPr="0015216F">
        <w:t xml:space="preserve"> в </w:t>
      </w:r>
      <w:r>
        <w:t>Добавлении</w:t>
      </w:r>
      <w:r w:rsidRPr="0015216F">
        <w:t xml:space="preserve"> V</w:t>
      </w:r>
      <w:r w:rsidRPr="00490DD5">
        <w:rPr>
          <w:rFonts w:eastAsia="MyriadPro-Regular"/>
        </w:rPr>
        <w:t>.</w:t>
      </w:r>
    </w:p>
    <w:p w14:paraId="4B6D4E13" w14:textId="77777777" w:rsidR="000C3BBC" w:rsidRPr="00A9741A" w:rsidRDefault="000C3BBC" w:rsidP="000C3BBC">
      <w:pPr>
        <w:pStyle w:val="SingleTxtG"/>
        <w:rPr>
          <w:rFonts w:eastAsia="MyriadPro-Regular"/>
        </w:rPr>
      </w:pPr>
      <w:r w:rsidRPr="00A9741A">
        <w:rPr>
          <w:rFonts w:eastAsia="MyriadPro-Regular"/>
        </w:rPr>
        <w:t>10.</w:t>
      </w:r>
      <w:r w:rsidRPr="00A9741A">
        <w:rPr>
          <w:rFonts w:eastAsia="MyriadPro-Regular"/>
        </w:rPr>
        <w:tab/>
      </w:r>
      <w:r w:rsidRPr="00D46439">
        <w:t xml:space="preserve">В статье 8 Конвенции подчеркивается возможность заключения заинтересованными </w:t>
      </w:r>
      <w:r>
        <w:t>С</w:t>
      </w:r>
      <w:r w:rsidRPr="00D46439">
        <w:t xml:space="preserve">торонами соглашений друг с другом, а в Руководстве указывается, что в таких соглашениях должны учитываться другие заинтересованные </w:t>
      </w:r>
      <w:r>
        <w:t>субъекты</w:t>
      </w:r>
      <w:r w:rsidRPr="00D46439">
        <w:t xml:space="preserve">, такие как </w:t>
      </w:r>
      <w:r w:rsidRPr="00F77E5B">
        <w:t>инициатор</w:t>
      </w:r>
      <w:r>
        <w:t>ы</w:t>
      </w:r>
      <w:r w:rsidRPr="00D46439">
        <w:t xml:space="preserve">, </w:t>
      </w:r>
      <w:r w:rsidRPr="00032942">
        <w:t>международные кредитно</w:t>
      </w:r>
      <w:r>
        <w:t>-</w:t>
      </w:r>
      <w:r w:rsidRPr="00032942">
        <w:t>финансовые организации</w:t>
      </w:r>
      <w:r w:rsidRPr="00D46439">
        <w:t xml:space="preserve"> и неправительственные организации (НПО)</w:t>
      </w:r>
      <w:r w:rsidRPr="00C26937">
        <w:rPr>
          <w:rFonts w:eastAsia="MyriadPro-Regular"/>
          <w:sz w:val="18"/>
          <w:vertAlign w:val="superscript"/>
        </w:rPr>
        <w:footnoteReference w:id="10"/>
      </w:r>
      <w:r>
        <w:t>.</w:t>
      </w:r>
      <w:r w:rsidRPr="00A9741A">
        <w:rPr>
          <w:rFonts w:eastAsia="MyriadPro-Regular"/>
        </w:rPr>
        <w:t xml:space="preserve"> </w:t>
      </w:r>
      <w:r w:rsidRPr="00D46439">
        <w:t>Такие соглашения включают практические договоренности о совместном несении</w:t>
      </w:r>
      <w:r>
        <w:t>/распределении</w:t>
      </w:r>
      <w:r w:rsidRPr="00D46439">
        <w:t xml:space="preserve"> расходов, охватывающие такие вопросы, как перевод</w:t>
      </w:r>
      <w:r>
        <w:t xml:space="preserve"> документов</w:t>
      </w:r>
      <w:r w:rsidRPr="00D46439">
        <w:t>, слушания и дополнительные исследования. Таким образом, они потенциально могут выступать в качестве шаблонов для сотрудничества</w:t>
      </w:r>
      <w:r>
        <w:t xml:space="preserve"> по инициативам</w:t>
      </w:r>
      <w:r w:rsidRPr="00D46439">
        <w:t xml:space="preserve"> в области </w:t>
      </w:r>
      <w:r>
        <w:t xml:space="preserve">энергетического </w:t>
      </w:r>
      <w:r w:rsidRPr="00D46439">
        <w:t>перехода, экономики замкнутого цикла и/или зеленого финансирования</w:t>
      </w:r>
      <w:r w:rsidRPr="00A9741A">
        <w:rPr>
          <w:rFonts w:eastAsia="MyriadPro-Regular"/>
        </w:rPr>
        <w:t>.</w:t>
      </w:r>
    </w:p>
    <w:p w14:paraId="3B590BF7" w14:textId="77777777" w:rsidR="000C3BBC" w:rsidRPr="00B66A7C" w:rsidRDefault="000C3BBC" w:rsidP="000C3BBC">
      <w:pPr>
        <w:pStyle w:val="SingleTxtG"/>
        <w:rPr>
          <w:rFonts w:eastAsia="MyriadPro-Regular"/>
        </w:rPr>
      </w:pPr>
      <w:r w:rsidRPr="00B66A7C">
        <w:rPr>
          <w:rFonts w:eastAsia="MyriadPro-Regular"/>
        </w:rPr>
        <w:t>11.</w:t>
      </w:r>
      <w:r w:rsidRPr="00B66A7C">
        <w:rPr>
          <w:rFonts w:eastAsia="MyriadPro-Regular"/>
        </w:rPr>
        <w:tab/>
      </w:r>
      <w:r w:rsidRPr="007622EE">
        <w:t xml:space="preserve">В Руководстве представлены две ситуации, которые могут привести к </w:t>
      </w:r>
      <w:r>
        <w:t xml:space="preserve">возникновению </w:t>
      </w:r>
      <w:r w:rsidRPr="007622EE">
        <w:t>особо</w:t>
      </w:r>
      <w:r>
        <w:t>го</w:t>
      </w:r>
      <w:r w:rsidRPr="007622EE">
        <w:t xml:space="preserve"> случа</w:t>
      </w:r>
      <w:r>
        <w:t>я</w:t>
      </w:r>
      <w:r w:rsidRPr="007622EE">
        <w:t xml:space="preserve"> проведения совместной оценки воздействия на окружающую среду: совместные проекты, воздействие которых распространяется на территории одной или обеих Сторон происхождения; совместные проекты, воздействие которых распространяется не только на территории двух Сторон происхождения, </w:t>
      </w:r>
      <w:r>
        <w:t>но</w:t>
      </w:r>
      <w:r w:rsidRPr="007622EE">
        <w:t xml:space="preserve"> и на территории других Сторон</w:t>
      </w:r>
      <w:r w:rsidRPr="00C26937">
        <w:rPr>
          <w:rFonts w:eastAsia="MyriadPro-Regular"/>
          <w:sz w:val="18"/>
          <w:vertAlign w:val="superscript"/>
        </w:rPr>
        <w:footnoteReference w:id="11"/>
      </w:r>
      <w:r>
        <w:t>.</w:t>
      </w:r>
      <w:r w:rsidRPr="00B66A7C">
        <w:rPr>
          <w:rFonts w:eastAsia="MyriadPro-Regular"/>
        </w:rPr>
        <w:t xml:space="preserve"> </w:t>
      </w:r>
      <w:r w:rsidRPr="007622EE">
        <w:t xml:space="preserve">Некоторые проекты по </w:t>
      </w:r>
      <w:r>
        <w:t xml:space="preserve">энергетическому </w:t>
      </w:r>
      <w:r w:rsidRPr="007622EE">
        <w:t>переходу будут относиться к этой категории (например, создание новой инфраструктуры электроснабжения) и могут стать полезным средством развития экономики</w:t>
      </w:r>
      <w:r>
        <w:t xml:space="preserve"> </w:t>
      </w:r>
      <w:r w:rsidRPr="002A5FEF">
        <w:t>замкнутого цикла</w:t>
      </w:r>
      <w:r w:rsidRPr="007622EE">
        <w:t xml:space="preserve"> </w:t>
      </w:r>
      <w:r>
        <w:t>посредством</w:t>
      </w:r>
      <w:r w:rsidRPr="007622EE">
        <w:t xml:space="preserve"> сотрудничества по элементам оценки трансграничного воздействия на окружающую среду, когда отходы одного проекта служат сырьем для другого в </w:t>
      </w:r>
      <w:r>
        <w:t>иной</w:t>
      </w:r>
      <w:r w:rsidRPr="007622EE">
        <w:t xml:space="preserve"> стране.</w:t>
      </w:r>
    </w:p>
    <w:p w14:paraId="622CCD22" w14:textId="77777777" w:rsidR="000C3BBC" w:rsidRPr="00DC2E1F" w:rsidRDefault="000C3BBC" w:rsidP="000C3BBC">
      <w:pPr>
        <w:pStyle w:val="H23G"/>
        <w:rPr>
          <w:lang w:eastAsia="en-US"/>
        </w:rPr>
      </w:pPr>
      <w:r w:rsidRPr="007622EE">
        <w:rPr>
          <w:lang w:eastAsia="en-US"/>
        </w:rPr>
        <w:tab/>
      </w:r>
      <w:r w:rsidRPr="00DC2E1F">
        <w:rPr>
          <w:lang w:eastAsia="en-US"/>
        </w:rPr>
        <w:t>2.</w:t>
      </w:r>
      <w:r w:rsidRPr="00DC2E1F">
        <w:rPr>
          <w:lang w:eastAsia="en-US"/>
        </w:rPr>
        <w:tab/>
        <w:t>Протокол по стратегической экологической оценке</w:t>
      </w:r>
    </w:p>
    <w:p w14:paraId="6BC6795A" w14:textId="77777777" w:rsidR="000C3BBC" w:rsidRPr="00DC2E1F" w:rsidRDefault="000C3BBC" w:rsidP="000C3BBC">
      <w:pPr>
        <w:pStyle w:val="SingleTxtG"/>
      </w:pPr>
      <w:r w:rsidRPr="00DC2E1F">
        <w:t>12.</w:t>
      </w:r>
      <w:r w:rsidRPr="00DC2E1F">
        <w:tab/>
      </w:r>
      <w:r w:rsidRPr="00BC3366">
        <w:t>Протокол ЕЭК по стратегической экологической оценке</w:t>
      </w:r>
      <w:r>
        <w:t xml:space="preserve"> </w:t>
      </w:r>
      <w:r w:rsidRPr="00BC3366">
        <w:t>2003 г</w:t>
      </w:r>
      <w:r>
        <w:t>ода</w:t>
      </w:r>
      <w:r w:rsidRPr="00BC3366">
        <w:t xml:space="preserve"> </w:t>
      </w:r>
      <w:r>
        <w:t xml:space="preserve">далее </w:t>
      </w:r>
      <w:r w:rsidRPr="00BC3366">
        <w:t xml:space="preserve">способствует созданию основ устойчивого развития, </w:t>
      </w:r>
      <w:r>
        <w:t>обязывая</w:t>
      </w:r>
      <w:r w:rsidRPr="00BC3366">
        <w:t xml:space="preserve"> Сторон</w:t>
      </w:r>
      <w:r>
        <w:t>ы</w:t>
      </w:r>
      <w:r w:rsidRPr="00BC3366">
        <w:t xml:space="preserve"> примен</w:t>
      </w:r>
      <w:r>
        <w:t>ять</w:t>
      </w:r>
      <w:r w:rsidRPr="00BC3366">
        <w:t xml:space="preserve"> </w:t>
      </w:r>
      <w:r>
        <w:t xml:space="preserve">предусмотренные в нем </w:t>
      </w:r>
      <w:r w:rsidRPr="00BC3366">
        <w:t>процедур</w:t>
      </w:r>
      <w:r>
        <w:t>ы</w:t>
      </w:r>
      <w:r w:rsidRPr="00BC3366">
        <w:t xml:space="preserve"> стратегической экологической оценки </w:t>
      </w:r>
      <w:r>
        <w:t xml:space="preserve">в </w:t>
      </w:r>
      <w:r>
        <w:lastRenderedPageBreak/>
        <w:t>отношении</w:t>
      </w:r>
      <w:r w:rsidRPr="00BC3366">
        <w:t xml:space="preserve"> широко</w:t>
      </w:r>
      <w:r>
        <w:t>го</w:t>
      </w:r>
      <w:r w:rsidRPr="00BC3366">
        <w:t xml:space="preserve"> круг</w:t>
      </w:r>
      <w:r>
        <w:t>а</w:t>
      </w:r>
      <w:r w:rsidRPr="00BC3366">
        <w:t xml:space="preserve"> отраслевых планов и программ и рекомендуя (ст. 13)</w:t>
      </w:r>
      <w:r>
        <w:t xml:space="preserve"> также</w:t>
      </w:r>
      <w:r w:rsidRPr="00BC3366">
        <w:t xml:space="preserve"> </w:t>
      </w:r>
      <w:r>
        <w:t xml:space="preserve">применять </w:t>
      </w:r>
      <w:r w:rsidRPr="00BC3366">
        <w:t xml:space="preserve">их </w:t>
      </w:r>
      <w:r>
        <w:t>в установленном порядке в отношении</w:t>
      </w:r>
      <w:r w:rsidRPr="00BC3366">
        <w:t xml:space="preserve"> соответствующей политик</w:t>
      </w:r>
      <w:r>
        <w:t>и</w:t>
      </w:r>
      <w:r w:rsidRPr="00BC3366">
        <w:t xml:space="preserve"> и законодательств</w:t>
      </w:r>
      <w:r>
        <w:t>а</w:t>
      </w:r>
      <w:r w:rsidRPr="00BC3366">
        <w:t>. Протокол вступил в силу 11 июля 2010 г</w:t>
      </w:r>
      <w:r>
        <w:t>ода</w:t>
      </w:r>
      <w:r w:rsidRPr="00BC3366">
        <w:t xml:space="preserve">, </w:t>
      </w:r>
      <w:r>
        <w:t xml:space="preserve">при этом </w:t>
      </w:r>
      <w:r w:rsidRPr="007B6EE8">
        <w:t xml:space="preserve">текущий статус </w:t>
      </w:r>
      <w:r>
        <w:t xml:space="preserve">его </w:t>
      </w:r>
      <w:r w:rsidRPr="007B6EE8">
        <w:t>рати</w:t>
      </w:r>
      <w:r>
        <w:t xml:space="preserve">фикации </w:t>
      </w:r>
      <w:r w:rsidRPr="00BC3366">
        <w:t>обновляется в режиме онлайн</w:t>
      </w:r>
      <w:r w:rsidRPr="00C26937">
        <w:rPr>
          <w:vertAlign w:val="superscript"/>
        </w:rPr>
        <w:footnoteReference w:id="12"/>
      </w:r>
      <w:r>
        <w:t>.</w:t>
      </w:r>
    </w:p>
    <w:p w14:paraId="382A5008" w14:textId="77777777" w:rsidR="000C3BBC" w:rsidRPr="00DC2E1F" w:rsidRDefault="000C3BBC" w:rsidP="000C3BBC">
      <w:pPr>
        <w:pStyle w:val="SingleTxtG"/>
      </w:pPr>
      <w:r w:rsidRPr="00DC2E1F">
        <w:rPr>
          <w:lang w:eastAsia="it-IT"/>
        </w:rPr>
        <w:t>13.</w:t>
      </w:r>
      <w:r w:rsidRPr="00DC2E1F">
        <w:rPr>
          <w:lang w:eastAsia="it-IT"/>
        </w:rPr>
        <w:tab/>
      </w:r>
      <w:r w:rsidRPr="00720423">
        <w:rPr>
          <w:lang w:eastAsia="it-IT"/>
        </w:rPr>
        <w:t>Ниже</w:t>
      </w:r>
      <w:r w:rsidRPr="00DC2E1F">
        <w:rPr>
          <w:lang w:eastAsia="it-IT"/>
        </w:rPr>
        <w:t xml:space="preserve"> </w:t>
      </w:r>
      <w:r w:rsidRPr="00720423">
        <w:rPr>
          <w:lang w:eastAsia="it-IT"/>
        </w:rPr>
        <w:t>кратко</w:t>
      </w:r>
      <w:r w:rsidRPr="00DC2E1F">
        <w:rPr>
          <w:lang w:eastAsia="it-IT"/>
        </w:rPr>
        <w:t xml:space="preserve"> </w:t>
      </w:r>
      <w:r w:rsidRPr="00720423">
        <w:rPr>
          <w:lang w:eastAsia="it-IT"/>
        </w:rPr>
        <w:t>излагаются</w:t>
      </w:r>
      <w:r w:rsidRPr="00DC2E1F">
        <w:rPr>
          <w:lang w:eastAsia="it-IT"/>
        </w:rPr>
        <w:t xml:space="preserve"> </w:t>
      </w:r>
      <w:r w:rsidRPr="00720423">
        <w:rPr>
          <w:lang w:eastAsia="it-IT"/>
        </w:rPr>
        <w:t>ключевые</w:t>
      </w:r>
      <w:r w:rsidRPr="00DC2E1F">
        <w:rPr>
          <w:lang w:eastAsia="it-IT"/>
        </w:rPr>
        <w:t xml:space="preserve"> </w:t>
      </w:r>
      <w:r w:rsidRPr="00720423">
        <w:rPr>
          <w:lang w:eastAsia="it-IT"/>
        </w:rPr>
        <w:t>процедурные</w:t>
      </w:r>
      <w:r w:rsidRPr="00DC2E1F">
        <w:rPr>
          <w:lang w:eastAsia="it-IT"/>
        </w:rPr>
        <w:t xml:space="preserve"> </w:t>
      </w:r>
      <w:r w:rsidRPr="00720423">
        <w:rPr>
          <w:lang w:eastAsia="it-IT"/>
        </w:rPr>
        <w:t>требования</w:t>
      </w:r>
      <w:r w:rsidRPr="00DC2E1F">
        <w:rPr>
          <w:lang w:eastAsia="it-IT"/>
        </w:rPr>
        <w:t xml:space="preserve"> </w:t>
      </w:r>
      <w:r>
        <w:rPr>
          <w:lang w:eastAsia="it-IT"/>
        </w:rPr>
        <w:t>Протокола</w:t>
      </w:r>
      <w:r w:rsidRPr="00C26937">
        <w:rPr>
          <w:vertAlign w:val="superscript"/>
        </w:rPr>
        <w:footnoteReference w:id="13"/>
      </w:r>
      <w:r w:rsidRPr="00DC2E1F">
        <w:rPr>
          <w:lang w:eastAsia="it-IT"/>
        </w:rPr>
        <w:t>,</w:t>
      </w:r>
      <w:r w:rsidRPr="00DC2E1F">
        <w:t xml:space="preserve"> </w:t>
      </w:r>
      <w:bookmarkStart w:id="4" w:name="_Ref138084593"/>
      <w:r w:rsidRPr="00720423">
        <w:rPr>
          <w:lang w:eastAsia="it-IT"/>
        </w:rPr>
        <w:t>дополненные рекомендуемой передовой практикой, инструментами и действиями для их эффективного практического применения</w:t>
      </w:r>
      <w:bookmarkStart w:id="5" w:name="_Ref146870685"/>
      <w:r w:rsidRPr="00C26937">
        <w:rPr>
          <w:vertAlign w:val="superscript"/>
        </w:rPr>
        <w:footnoteReference w:id="14"/>
      </w:r>
      <w:bookmarkEnd w:id="4"/>
      <w:bookmarkEnd w:id="5"/>
      <w:r>
        <w:rPr>
          <w:lang w:eastAsia="it-IT"/>
        </w:rPr>
        <w:t>:</w:t>
      </w:r>
    </w:p>
    <w:p w14:paraId="4A4D10C2" w14:textId="1D18C871" w:rsidR="000C3BBC" w:rsidRPr="006A6819" w:rsidRDefault="000C3BBC" w:rsidP="000C3BBC">
      <w:pPr>
        <w:pStyle w:val="SingleTxtG"/>
        <w:ind w:firstLine="567"/>
        <w:rPr>
          <w:lang w:eastAsia="zh-CN"/>
        </w:rPr>
      </w:pPr>
      <w:r w:rsidRPr="00C26937">
        <w:rPr>
          <w:rFonts w:eastAsia="MyriadPro-Regular"/>
        </w:rPr>
        <w:t>a</w:t>
      </w:r>
      <w:r w:rsidRPr="006A6819">
        <w:rPr>
          <w:rFonts w:eastAsia="MyriadPro-Regular"/>
        </w:rPr>
        <w:t>)</w:t>
      </w:r>
      <w:r w:rsidRPr="006A6819">
        <w:rPr>
          <w:rFonts w:eastAsia="MyriadPro-Regular"/>
        </w:rPr>
        <w:tab/>
      </w:r>
      <w:r>
        <w:rPr>
          <w:lang w:eastAsia="zh-CN"/>
        </w:rPr>
        <w:t>т</w:t>
      </w:r>
      <w:r w:rsidRPr="007B3CFF">
        <w:rPr>
          <w:lang w:eastAsia="zh-CN"/>
        </w:rPr>
        <w:t xml:space="preserve">ребование </w:t>
      </w:r>
      <w:r>
        <w:rPr>
          <w:lang w:eastAsia="zh-CN"/>
        </w:rPr>
        <w:t xml:space="preserve">о проведении </w:t>
      </w:r>
      <w:r w:rsidRPr="007B3CFF">
        <w:rPr>
          <w:lang w:eastAsia="zh-CN"/>
        </w:rPr>
        <w:t>стратегической экологической оценк</w:t>
      </w:r>
      <w:r>
        <w:rPr>
          <w:lang w:eastAsia="zh-CN"/>
        </w:rPr>
        <w:t>и</w:t>
      </w:r>
      <w:r w:rsidRPr="007B3CFF">
        <w:rPr>
          <w:lang w:eastAsia="zh-CN"/>
        </w:rPr>
        <w:t xml:space="preserve">: </w:t>
      </w:r>
      <w:r>
        <w:rPr>
          <w:lang w:eastAsia="zh-CN"/>
        </w:rPr>
        <w:t xml:space="preserve">в </w:t>
      </w:r>
      <w:r w:rsidRPr="007B3CFF">
        <w:rPr>
          <w:lang w:eastAsia="zh-CN"/>
        </w:rPr>
        <w:t>стать</w:t>
      </w:r>
      <w:r>
        <w:rPr>
          <w:lang w:eastAsia="zh-CN"/>
        </w:rPr>
        <w:t>е</w:t>
      </w:r>
      <w:r w:rsidR="008871A3">
        <w:rPr>
          <w:lang w:val="en-US" w:eastAsia="zh-CN"/>
        </w:rPr>
        <w:t> </w:t>
      </w:r>
      <w:r w:rsidRPr="007B3CFF">
        <w:rPr>
          <w:lang w:eastAsia="zh-CN"/>
        </w:rPr>
        <w:t>4 (</w:t>
      </w:r>
      <w:r>
        <w:rPr>
          <w:lang w:eastAsia="zh-CN"/>
        </w:rPr>
        <w:t xml:space="preserve">пункт </w:t>
      </w:r>
      <w:r w:rsidRPr="007B3CFF">
        <w:rPr>
          <w:lang w:eastAsia="zh-CN"/>
        </w:rPr>
        <w:t xml:space="preserve">1) Протокола </w:t>
      </w:r>
      <w:r>
        <w:rPr>
          <w:lang w:eastAsia="zh-CN"/>
        </w:rPr>
        <w:t>предусмотрено</w:t>
      </w:r>
      <w:r w:rsidRPr="007B3CFF">
        <w:rPr>
          <w:lang w:eastAsia="zh-CN"/>
        </w:rPr>
        <w:t xml:space="preserve">, что </w:t>
      </w:r>
      <w:r>
        <w:rPr>
          <w:lang w:eastAsia="zh-CN"/>
        </w:rPr>
        <w:t>«</w:t>
      </w:r>
      <w:r>
        <w:t>к</w:t>
      </w:r>
      <w:r w:rsidRPr="00C403F8">
        <w:t>аждая Сторона обеспечивает, чтобы стратегическая экологическая оценка проводилась в отношении планов и программ, упомянутых в пунктах 2, 3 и 4, которые могут вызвать</w:t>
      </w:r>
      <w:r>
        <w:t xml:space="preserve"> </w:t>
      </w:r>
      <w:r w:rsidRPr="00C403F8">
        <w:t>существенные экологические, в том числе связанные со здоровьем населения, последствия</w:t>
      </w:r>
      <w:r>
        <w:rPr>
          <w:lang w:eastAsia="zh-CN"/>
        </w:rPr>
        <w:t>»</w:t>
      </w:r>
      <w:r w:rsidRPr="007B3CFF">
        <w:rPr>
          <w:lang w:eastAsia="zh-CN"/>
        </w:rPr>
        <w:t xml:space="preserve">. </w:t>
      </w:r>
      <w:r w:rsidR="008871A3">
        <w:rPr>
          <w:lang w:eastAsia="zh-CN"/>
        </w:rPr>
        <w:br/>
      </w:r>
      <w:r w:rsidRPr="007B3CFF">
        <w:rPr>
          <w:lang w:eastAsia="zh-CN"/>
        </w:rPr>
        <w:t xml:space="preserve">В статье 4 указано, какие планы и программы подпадают под действие Протокола. </w:t>
      </w:r>
      <w:r w:rsidR="008871A3">
        <w:rPr>
          <w:lang w:eastAsia="zh-CN"/>
        </w:rPr>
        <w:br/>
      </w:r>
      <w:r w:rsidRPr="007B3CFF">
        <w:rPr>
          <w:lang w:eastAsia="zh-CN"/>
        </w:rPr>
        <w:t xml:space="preserve">В статье 13 </w:t>
      </w:r>
      <w:r>
        <w:rPr>
          <w:lang w:eastAsia="zh-CN"/>
        </w:rPr>
        <w:t xml:space="preserve">(пункты </w:t>
      </w:r>
      <w:r w:rsidRPr="007B3CFF">
        <w:rPr>
          <w:lang w:eastAsia="zh-CN"/>
        </w:rPr>
        <w:t>1</w:t>
      </w:r>
      <w:r>
        <w:rPr>
          <w:lang w:eastAsia="zh-CN"/>
        </w:rPr>
        <w:t>–</w:t>
      </w:r>
      <w:r w:rsidRPr="007B3CFF">
        <w:rPr>
          <w:lang w:eastAsia="zh-CN"/>
        </w:rPr>
        <w:t>2) Сторонам предлагается стремиться применять Протокол</w:t>
      </w:r>
      <w:r>
        <w:rPr>
          <w:lang w:eastAsia="zh-CN"/>
        </w:rPr>
        <w:t xml:space="preserve"> </w:t>
      </w:r>
      <w:r w:rsidRPr="00AC0865">
        <w:t xml:space="preserve">при разработке </w:t>
      </w:r>
      <w:r>
        <w:t>их</w:t>
      </w:r>
      <w:r w:rsidRPr="00AC0865">
        <w:t xml:space="preserve"> предложений в отношении политики и законодательства, способных вызвать существенные экологические, в том числе связанные со здоровьем населения, последствия</w:t>
      </w:r>
      <w:r w:rsidRPr="006A6819">
        <w:rPr>
          <w:lang w:eastAsia="zh-CN"/>
        </w:rPr>
        <w:t>;</w:t>
      </w:r>
    </w:p>
    <w:p w14:paraId="0988B1C1" w14:textId="5FE62F72" w:rsidR="000C3BBC" w:rsidRPr="00671E40" w:rsidRDefault="000C3BBC" w:rsidP="000C3BBC">
      <w:pPr>
        <w:pStyle w:val="SingleTxtG"/>
        <w:ind w:firstLine="567"/>
      </w:pPr>
      <w:r w:rsidRPr="00C26937">
        <w:rPr>
          <w:lang w:eastAsia="zh-CN"/>
        </w:rPr>
        <w:t>b</w:t>
      </w:r>
      <w:r w:rsidRPr="00AA4F07">
        <w:rPr>
          <w:lang w:eastAsia="zh-CN"/>
        </w:rPr>
        <w:t>)</w:t>
      </w:r>
      <w:r w:rsidRPr="00AA4F07">
        <w:rPr>
          <w:sz w:val="24"/>
          <w:szCs w:val="24"/>
        </w:rPr>
        <w:tab/>
      </w:r>
      <w:r>
        <w:t>з</w:t>
      </w:r>
      <w:r w:rsidRPr="006A6819">
        <w:t xml:space="preserve">начение термина </w:t>
      </w:r>
      <w:r>
        <w:t>«последствия»</w:t>
      </w:r>
      <w:r w:rsidRPr="006A6819">
        <w:t xml:space="preserve">: </w:t>
      </w:r>
      <w:r>
        <w:t xml:space="preserve">в </w:t>
      </w:r>
      <w:r w:rsidRPr="006A6819">
        <w:t>стать</w:t>
      </w:r>
      <w:r>
        <w:t>е</w:t>
      </w:r>
      <w:r w:rsidRPr="006A6819">
        <w:t xml:space="preserve"> 2 (</w:t>
      </w:r>
      <w:r>
        <w:t xml:space="preserve">пункт </w:t>
      </w:r>
      <w:r w:rsidRPr="006A6819">
        <w:t xml:space="preserve">7) </w:t>
      </w:r>
      <w:r>
        <w:t>указывается</w:t>
      </w:r>
      <w:r w:rsidRPr="006A6819">
        <w:t>, что</w:t>
      </w:r>
      <w:r w:rsidRPr="00AA4F07">
        <w:t xml:space="preserve"> </w:t>
      </w:r>
      <w:r>
        <w:t>«</w:t>
      </w:r>
      <w:r w:rsidRPr="00AA4F07">
        <w:t>"</w:t>
      </w:r>
      <w:r>
        <w:t>э</w:t>
      </w:r>
      <w:r w:rsidRPr="00AA4F07">
        <w:t>кологические, в том числе связанные со здоровьем населения, последствия" означают любые последствия для окружающей среды, в том числе для здоровья населения, флоры, фауны, биоразнообразия, почвы, климата, воздуха, воды, ландшафта, природных объектов, материальных активов, культурного наследия и взаимодействия этих факторов</w:t>
      </w:r>
      <w:r>
        <w:t>»</w:t>
      </w:r>
      <w:r w:rsidRPr="00AA4F07">
        <w:t>;</w:t>
      </w:r>
      <w:r w:rsidR="006C6943">
        <w:t xml:space="preserve"> </w:t>
      </w:r>
    </w:p>
    <w:p w14:paraId="5C17F355" w14:textId="3B945A99" w:rsidR="000C3BBC" w:rsidRPr="00F64C25" w:rsidRDefault="000C3BBC" w:rsidP="000C3BBC">
      <w:pPr>
        <w:pStyle w:val="SingleTxtG"/>
        <w:ind w:firstLine="567"/>
      </w:pPr>
      <w:r w:rsidRPr="00C26937">
        <w:t>c</w:t>
      </w:r>
      <w:r w:rsidRPr="00DF2D33">
        <w:t>)</w:t>
      </w:r>
      <w:r w:rsidRPr="00DF2D33">
        <w:tab/>
      </w:r>
      <w:r>
        <w:rPr>
          <w:lang w:eastAsia="it-IT"/>
        </w:rPr>
        <w:t>т</w:t>
      </w:r>
      <w:r w:rsidRPr="00AD6165">
        <w:rPr>
          <w:lang w:eastAsia="it-IT"/>
        </w:rPr>
        <w:t>ребования</w:t>
      </w:r>
      <w:r w:rsidRPr="00DF2D33">
        <w:rPr>
          <w:lang w:eastAsia="it-IT"/>
        </w:rPr>
        <w:t xml:space="preserve"> </w:t>
      </w:r>
      <w:r w:rsidRPr="00AD6165">
        <w:rPr>
          <w:lang w:eastAsia="it-IT"/>
        </w:rPr>
        <w:t>к</w:t>
      </w:r>
      <w:r w:rsidRPr="00DF2D33">
        <w:rPr>
          <w:lang w:eastAsia="it-IT"/>
        </w:rPr>
        <w:t xml:space="preserve"> </w:t>
      </w:r>
      <w:r w:rsidRPr="00AD6165">
        <w:rPr>
          <w:lang w:eastAsia="it-IT"/>
        </w:rPr>
        <w:t>процессу</w:t>
      </w:r>
      <w:r w:rsidRPr="00DF2D33">
        <w:t xml:space="preserve">: </w:t>
      </w:r>
      <w:r w:rsidRPr="00AA4F07">
        <w:t xml:space="preserve">Стороны проводят процесс </w:t>
      </w:r>
      <w:r>
        <w:t>«предварительной оценки»</w:t>
      </w:r>
      <w:r w:rsidRPr="00AA4F07">
        <w:t xml:space="preserve"> для определения того, какие планы и программы подпадают под действие Протокола (ст</w:t>
      </w:r>
      <w:r>
        <w:t>.</w:t>
      </w:r>
      <w:r w:rsidRPr="00AA4F07">
        <w:t xml:space="preserve"> 4, 5</w:t>
      </w:r>
      <w:r>
        <w:t xml:space="preserve"> </w:t>
      </w:r>
      <w:r w:rsidRPr="00AA4F07">
        <w:t>(</w:t>
      </w:r>
      <w:r>
        <w:t xml:space="preserve">п. </w:t>
      </w:r>
      <w:r w:rsidRPr="00AA4F07">
        <w:t xml:space="preserve">1) и приложение III), процесс </w:t>
      </w:r>
      <w:r>
        <w:t>«</w:t>
      </w:r>
      <w:r w:rsidRPr="00AA4F07">
        <w:t>определения сферы охвата</w:t>
      </w:r>
      <w:r>
        <w:t>»</w:t>
      </w:r>
      <w:r w:rsidRPr="00AA4F07">
        <w:t xml:space="preserve"> для </w:t>
      </w:r>
      <w:r>
        <w:t>установления</w:t>
      </w:r>
      <w:r w:rsidRPr="00AA4F07">
        <w:t xml:space="preserve"> того, какую информацию </w:t>
      </w:r>
      <w:r>
        <w:t xml:space="preserve">следует </w:t>
      </w:r>
      <w:r w:rsidRPr="00AA4F07">
        <w:t xml:space="preserve">включать в экологический </w:t>
      </w:r>
      <w:r>
        <w:t>доклад</w:t>
      </w:r>
      <w:r w:rsidRPr="00AA4F07">
        <w:t>, подгот</w:t>
      </w:r>
      <w:r>
        <w:t>авливаемый</w:t>
      </w:r>
      <w:r w:rsidRPr="00AA4F07">
        <w:t xml:space="preserve"> </w:t>
      </w:r>
      <w:r>
        <w:t>«</w:t>
      </w:r>
      <w:r w:rsidRPr="00AA4F07">
        <w:t>в соответствии со статьей 7</w:t>
      </w:r>
      <w:r>
        <w:t xml:space="preserve"> </w:t>
      </w:r>
      <w:r w:rsidRPr="00AA4F07">
        <w:t>(</w:t>
      </w:r>
      <w:r>
        <w:t xml:space="preserve">пункт </w:t>
      </w:r>
      <w:r w:rsidRPr="00AA4F07">
        <w:t>2)</w:t>
      </w:r>
      <w:r>
        <w:t>»</w:t>
      </w:r>
      <w:r w:rsidRPr="00AA4F07">
        <w:t xml:space="preserve"> (ст</w:t>
      </w:r>
      <w:r>
        <w:t>.</w:t>
      </w:r>
      <w:r w:rsidRPr="00AA4F07">
        <w:t xml:space="preserve"> 6</w:t>
      </w:r>
      <w:r>
        <w:t xml:space="preserve"> </w:t>
      </w:r>
      <w:r w:rsidRPr="00AA4F07">
        <w:t>(</w:t>
      </w:r>
      <w:r>
        <w:t xml:space="preserve">п. </w:t>
      </w:r>
      <w:r w:rsidRPr="00AA4F07">
        <w:t>1))</w:t>
      </w:r>
      <w:r>
        <w:t>,</w:t>
      </w:r>
      <w:r w:rsidRPr="00AA4F07">
        <w:t xml:space="preserve"> и </w:t>
      </w:r>
      <w:r>
        <w:t>составляют</w:t>
      </w:r>
      <w:r w:rsidRPr="00AA4F07">
        <w:t xml:space="preserve"> </w:t>
      </w:r>
      <w:r>
        <w:t>«</w:t>
      </w:r>
      <w:r w:rsidRPr="00AA4F07">
        <w:t xml:space="preserve">экологический </w:t>
      </w:r>
      <w:r>
        <w:t>доклад»</w:t>
      </w:r>
      <w:r w:rsidRPr="00AA4F07">
        <w:t xml:space="preserve">, </w:t>
      </w:r>
      <w:r>
        <w:t>который содержит</w:t>
      </w:r>
      <w:r w:rsidRPr="00AA4F07">
        <w:t xml:space="preserve"> информацию, указанную в приложении</w:t>
      </w:r>
      <w:r w:rsidR="008871A3">
        <w:rPr>
          <w:lang w:val="en-US"/>
        </w:rPr>
        <w:t> </w:t>
      </w:r>
      <w:r w:rsidRPr="00AA4F07">
        <w:t>IV (</w:t>
      </w:r>
      <w:r w:rsidRPr="00A404F1">
        <w:t>которая</w:t>
      </w:r>
      <w:r>
        <w:t xml:space="preserve"> </w:t>
      </w:r>
      <w:r w:rsidRPr="00A404F1">
        <w:t>может в разумной степени потребоваться</w:t>
      </w:r>
      <w:r w:rsidRPr="00AA4F07">
        <w:t xml:space="preserve">), </w:t>
      </w:r>
      <w:r>
        <w:t>и в котором</w:t>
      </w:r>
      <w:r w:rsidRPr="00AA4F07">
        <w:t xml:space="preserve"> </w:t>
      </w:r>
      <w:r>
        <w:t>«</w:t>
      </w:r>
      <w:r w:rsidRPr="00DF2D33">
        <w:t>определяются, описываются и материально оцениваются вероятные существенные экологические, в том числе связанные со здоровьем населения, последствия осуществления плана или программы и его/ее разумные альтернативы</w:t>
      </w:r>
      <w:r>
        <w:t>»</w:t>
      </w:r>
      <w:r w:rsidRPr="00AA4F07">
        <w:t xml:space="preserve"> (ст</w:t>
      </w:r>
      <w:r>
        <w:t>.</w:t>
      </w:r>
      <w:r w:rsidRPr="00AA4F07">
        <w:t xml:space="preserve"> 7 (</w:t>
      </w:r>
      <w:r>
        <w:t xml:space="preserve">п. </w:t>
      </w:r>
      <w:r w:rsidRPr="00AA4F07">
        <w:t>2))</w:t>
      </w:r>
      <w:r w:rsidRPr="00DF2D33">
        <w:t>;</w:t>
      </w:r>
      <w:r>
        <w:t xml:space="preserve"> </w:t>
      </w:r>
    </w:p>
    <w:p w14:paraId="1DDEE2E4" w14:textId="77777777" w:rsidR="000C3BBC" w:rsidRPr="00F14744" w:rsidRDefault="000C3BBC" w:rsidP="000C3BBC">
      <w:pPr>
        <w:pStyle w:val="SingleTxtG"/>
        <w:ind w:firstLine="567"/>
      </w:pPr>
      <w:r w:rsidRPr="00C26937">
        <w:t>d</w:t>
      </w:r>
      <w:r w:rsidRPr="00F14744">
        <w:t>)</w:t>
      </w:r>
      <w:r w:rsidRPr="00F14744">
        <w:tab/>
      </w:r>
      <w:r>
        <w:rPr>
          <w:lang w:eastAsia="it-IT"/>
        </w:rPr>
        <w:t>т</w:t>
      </w:r>
      <w:r w:rsidRPr="00391396">
        <w:rPr>
          <w:lang w:eastAsia="it-IT"/>
        </w:rPr>
        <w:t>ребовани</w:t>
      </w:r>
      <w:r>
        <w:rPr>
          <w:lang w:eastAsia="it-IT"/>
        </w:rPr>
        <w:t>я</w:t>
      </w:r>
      <w:r w:rsidRPr="00F14744">
        <w:rPr>
          <w:lang w:eastAsia="it-IT"/>
        </w:rPr>
        <w:t xml:space="preserve"> </w:t>
      </w:r>
      <w:r w:rsidRPr="00391396">
        <w:rPr>
          <w:lang w:eastAsia="it-IT"/>
        </w:rPr>
        <w:t>о</w:t>
      </w:r>
      <w:r w:rsidRPr="00F14744">
        <w:rPr>
          <w:lang w:eastAsia="it-IT"/>
        </w:rPr>
        <w:t xml:space="preserve"> </w:t>
      </w:r>
      <w:r w:rsidRPr="00391396">
        <w:rPr>
          <w:lang w:eastAsia="it-IT"/>
        </w:rPr>
        <w:t>проведении</w:t>
      </w:r>
      <w:r w:rsidRPr="00F14744">
        <w:rPr>
          <w:lang w:eastAsia="it-IT"/>
        </w:rPr>
        <w:t xml:space="preserve"> </w:t>
      </w:r>
      <w:r w:rsidRPr="00391396">
        <w:rPr>
          <w:lang w:eastAsia="it-IT"/>
        </w:rPr>
        <w:t>консультаций</w:t>
      </w:r>
      <w:r w:rsidRPr="00F14744">
        <w:t xml:space="preserve">: </w:t>
      </w:r>
      <w:r>
        <w:t>к</w:t>
      </w:r>
      <w:r w:rsidRPr="004615C7">
        <w:t>аждая Сторона должна обеспечить проведение консультаций с природоохранными органами и органами здравоохранения, упомянутыми в статье 9 (</w:t>
      </w:r>
      <w:r>
        <w:t xml:space="preserve">пункт </w:t>
      </w:r>
      <w:r w:rsidRPr="004615C7">
        <w:t>1), при принятии решени</w:t>
      </w:r>
      <w:r>
        <w:t>й как</w:t>
      </w:r>
      <w:r w:rsidRPr="004615C7">
        <w:t xml:space="preserve"> о </w:t>
      </w:r>
      <w:r>
        <w:t>предварительной оценке</w:t>
      </w:r>
      <w:r w:rsidRPr="004615C7">
        <w:t xml:space="preserve">, так и </w:t>
      </w:r>
      <w:r>
        <w:t>об</w:t>
      </w:r>
      <w:r w:rsidRPr="004615C7">
        <w:t xml:space="preserve"> определении </w:t>
      </w:r>
      <w:r>
        <w:t>сферы охвата</w:t>
      </w:r>
      <w:r w:rsidRPr="004615C7">
        <w:t xml:space="preserve"> (ст</w:t>
      </w:r>
      <w:r>
        <w:t>.</w:t>
      </w:r>
      <w:r w:rsidRPr="004615C7">
        <w:t xml:space="preserve"> 5 (</w:t>
      </w:r>
      <w:r>
        <w:t xml:space="preserve">п. </w:t>
      </w:r>
      <w:r w:rsidRPr="004615C7">
        <w:t>2))</w:t>
      </w:r>
      <w:r>
        <w:t xml:space="preserve"> и предоставление </w:t>
      </w:r>
      <w:r w:rsidRPr="004615C7">
        <w:t>эти</w:t>
      </w:r>
      <w:r>
        <w:t>м</w:t>
      </w:r>
      <w:r w:rsidRPr="004615C7">
        <w:t xml:space="preserve"> орган</w:t>
      </w:r>
      <w:r>
        <w:t>ам</w:t>
      </w:r>
      <w:r w:rsidRPr="004615C7">
        <w:t xml:space="preserve"> доступ</w:t>
      </w:r>
      <w:r>
        <w:t>а</w:t>
      </w:r>
      <w:r w:rsidRPr="004615C7">
        <w:t xml:space="preserve"> к проекту экологического </w:t>
      </w:r>
      <w:r>
        <w:t>доклада, а также создание условий для того, чтобы у них была «</w:t>
      </w:r>
      <w:r w:rsidRPr="006971C3">
        <w:t>заблаговременная, своевременная и эффективная</w:t>
      </w:r>
      <w:r>
        <w:t>»</w:t>
      </w:r>
      <w:r w:rsidRPr="004615C7">
        <w:t xml:space="preserve"> возможност</w:t>
      </w:r>
      <w:r>
        <w:t>ь</w:t>
      </w:r>
      <w:r w:rsidRPr="004615C7">
        <w:t xml:space="preserve"> выразить свое мнение (ст</w:t>
      </w:r>
      <w:r>
        <w:t>.</w:t>
      </w:r>
      <w:r w:rsidRPr="004615C7">
        <w:t xml:space="preserve"> 9 (</w:t>
      </w:r>
      <w:r>
        <w:t xml:space="preserve">п. </w:t>
      </w:r>
      <w:r w:rsidRPr="004615C7">
        <w:t>3))</w:t>
      </w:r>
      <w:r w:rsidRPr="00F14744">
        <w:t>;</w:t>
      </w:r>
    </w:p>
    <w:p w14:paraId="0AB30498" w14:textId="7C6CE60E" w:rsidR="000C3BBC" w:rsidRPr="00AC748C" w:rsidRDefault="000C3BBC" w:rsidP="000C3BBC">
      <w:pPr>
        <w:pStyle w:val="SingleTxtG"/>
        <w:ind w:firstLine="567"/>
      </w:pPr>
      <w:r w:rsidRPr="00C26937">
        <w:t>e</w:t>
      </w:r>
      <w:r w:rsidRPr="00AC748C">
        <w:t>)</w:t>
      </w:r>
      <w:r w:rsidRPr="00AC748C">
        <w:tab/>
      </w:r>
      <w:r>
        <w:rPr>
          <w:lang w:eastAsia="it-IT"/>
        </w:rPr>
        <w:t>т</w:t>
      </w:r>
      <w:r w:rsidRPr="00391396">
        <w:rPr>
          <w:lang w:eastAsia="it-IT"/>
        </w:rPr>
        <w:t>ребовани</w:t>
      </w:r>
      <w:r>
        <w:rPr>
          <w:lang w:eastAsia="it-IT"/>
        </w:rPr>
        <w:t>я</w:t>
      </w:r>
      <w:r w:rsidRPr="00391396">
        <w:rPr>
          <w:lang w:eastAsia="it-IT"/>
        </w:rPr>
        <w:t xml:space="preserve"> об участии общественности</w:t>
      </w:r>
      <w:r w:rsidRPr="00636A14">
        <w:t>: при проведении</w:t>
      </w:r>
      <w:r>
        <w:t xml:space="preserve"> </w:t>
      </w:r>
      <w:r w:rsidRPr="00636A14">
        <w:t xml:space="preserve">стратегической экологической оценки каждая Сторона обеспечивает </w:t>
      </w:r>
      <w:r>
        <w:t>«</w:t>
      </w:r>
      <w:r w:rsidRPr="009974FB">
        <w:t>заблаговременные, своевременные и эффективные возможности для участия общественности</w:t>
      </w:r>
      <w:r w:rsidR="00A82EF1" w:rsidRPr="00A82EF1">
        <w:t>,</w:t>
      </w:r>
      <w:r w:rsidRPr="009974FB">
        <w:t xml:space="preserve"> когда еще возможен выбор любого из вариантов</w:t>
      </w:r>
      <w:r>
        <w:t>»</w:t>
      </w:r>
      <w:r w:rsidRPr="00636A14">
        <w:t xml:space="preserve"> (ст. 8 (</w:t>
      </w:r>
      <w:r>
        <w:t xml:space="preserve">п. </w:t>
      </w:r>
      <w:r w:rsidRPr="00636A14">
        <w:t xml:space="preserve">1)). В частности, Стороны стремятся обеспечить возможности для участия заинтересованной общественности при проведении </w:t>
      </w:r>
      <w:r>
        <w:t>предварительной оценки</w:t>
      </w:r>
      <w:r w:rsidRPr="00636A14">
        <w:t xml:space="preserve"> планов и программ (ст. 5 (</w:t>
      </w:r>
      <w:r>
        <w:t xml:space="preserve">п. </w:t>
      </w:r>
      <w:r w:rsidRPr="00636A14">
        <w:t xml:space="preserve">3)), при определении </w:t>
      </w:r>
      <w:r>
        <w:t>сферы охвата</w:t>
      </w:r>
      <w:r w:rsidRPr="00636A14">
        <w:t xml:space="preserve"> </w:t>
      </w:r>
      <w:r>
        <w:t xml:space="preserve">содержания </w:t>
      </w:r>
      <w:r w:rsidRPr="00636A14">
        <w:t xml:space="preserve">экологического </w:t>
      </w:r>
      <w:r>
        <w:t xml:space="preserve">доклада </w:t>
      </w:r>
      <w:r w:rsidRPr="00636A14">
        <w:t>(ст. 6 (</w:t>
      </w:r>
      <w:r>
        <w:t xml:space="preserve">п. </w:t>
      </w:r>
      <w:r w:rsidRPr="00636A14">
        <w:t xml:space="preserve">3)) и на </w:t>
      </w:r>
      <w:r>
        <w:t xml:space="preserve">этапе </w:t>
      </w:r>
      <w:r w:rsidRPr="00636A14">
        <w:t xml:space="preserve">подготовки </w:t>
      </w:r>
      <w:r w:rsidRPr="00636A14">
        <w:lastRenderedPageBreak/>
        <w:t xml:space="preserve">проекта экологического </w:t>
      </w:r>
      <w:r>
        <w:t>доклада</w:t>
      </w:r>
      <w:r w:rsidRPr="00636A14">
        <w:t xml:space="preserve"> (ст. 8 (</w:t>
      </w:r>
      <w:r>
        <w:t xml:space="preserve">п. </w:t>
      </w:r>
      <w:r w:rsidRPr="00636A14">
        <w:t>4)). Стороны должны обеспечи</w:t>
      </w:r>
      <w:r>
        <w:t>ва</w:t>
      </w:r>
      <w:r w:rsidRPr="00636A14">
        <w:t>ть выявление общественности (включая соответствующие НПО)</w:t>
      </w:r>
      <w:r>
        <w:t xml:space="preserve"> и «</w:t>
      </w:r>
      <w:r w:rsidRPr="00AC748C">
        <w:t>определение и обнародование конкретных мер по информированию заинтересованной общественности и получению ее мнения</w:t>
      </w:r>
      <w:r>
        <w:t xml:space="preserve">» </w:t>
      </w:r>
      <w:r w:rsidRPr="00636A14">
        <w:t>(ст. 8 (</w:t>
      </w:r>
      <w:r>
        <w:t xml:space="preserve">п. </w:t>
      </w:r>
      <w:r w:rsidRPr="00636A14">
        <w:t>5))</w:t>
      </w:r>
      <w:r w:rsidRPr="00AC748C">
        <w:t>;</w:t>
      </w:r>
    </w:p>
    <w:p w14:paraId="10C404CD" w14:textId="020C0B5E" w:rsidR="000C3BBC" w:rsidRPr="00F713CF" w:rsidRDefault="000C3BBC" w:rsidP="000C3BBC">
      <w:pPr>
        <w:pStyle w:val="SingleTxtG"/>
        <w:ind w:firstLine="567"/>
      </w:pPr>
      <w:r w:rsidRPr="00C26937">
        <w:t>f</w:t>
      </w:r>
      <w:r w:rsidRPr="00B56797">
        <w:t>)</w:t>
      </w:r>
      <w:r w:rsidRPr="00B56797">
        <w:tab/>
      </w:r>
      <w:r>
        <w:t>т</w:t>
      </w:r>
      <w:r w:rsidRPr="00C77448">
        <w:t xml:space="preserve">рансграничные консультации: </w:t>
      </w:r>
      <w:r>
        <w:t xml:space="preserve">в </w:t>
      </w:r>
      <w:r w:rsidRPr="00C77448">
        <w:t>стать</w:t>
      </w:r>
      <w:r>
        <w:t>е</w:t>
      </w:r>
      <w:r w:rsidRPr="00C77448">
        <w:t xml:space="preserve"> 10 устанавлива</w:t>
      </w:r>
      <w:r>
        <w:t>ются</w:t>
      </w:r>
      <w:r w:rsidRPr="00C77448">
        <w:t xml:space="preserve"> требования </w:t>
      </w:r>
      <w:r>
        <w:t>о</w:t>
      </w:r>
      <w:r w:rsidRPr="00C77448">
        <w:t xml:space="preserve"> проведени</w:t>
      </w:r>
      <w:r>
        <w:t>и</w:t>
      </w:r>
      <w:r w:rsidRPr="00C77448">
        <w:t xml:space="preserve"> трансграничных консультаций</w:t>
      </w:r>
      <w:r>
        <w:t xml:space="preserve"> «в</w:t>
      </w:r>
      <w:r w:rsidRPr="00C77448">
        <w:t xml:space="preserve"> тех случаях, когда Сторона происхождения считает, что осуществление плана или программы может быть сопряжено с существенными трансграничными экологическими, в том числе связанны</w:t>
      </w:r>
      <w:r>
        <w:t>ми</w:t>
      </w:r>
      <w:r w:rsidRPr="00C77448">
        <w:t xml:space="preserve"> со здоровьем населения, последствиями, или когда об этом просит Сторона, которая может быть</w:t>
      </w:r>
      <w:r w:rsidR="008871A3" w:rsidRPr="008871A3">
        <w:t xml:space="preserve"> </w:t>
      </w:r>
      <w:r w:rsidRPr="00C77448">
        <w:t>затронута такими последствиями</w:t>
      </w:r>
      <w:r>
        <w:t>»</w:t>
      </w:r>
      <w:r w:rsidRPr="00B56797">
        <w:t>;</w:t>
      </w:r>
      <w:r w:rsidR="006C6943">
        <w:t xml:space="preserve"> </w:t>
      </w:r>
    </w:p>
    <w:p w14:paraId="4AF8EE2F" w14:textId="77E73AF8" w:rsidR="000C3BBC" w:rsidRPr="00346037" w:rsidRDefault="000C3BBC" w:rsidP="000C3BBC">
      <w:pPr>
        <w:pStyle w:val="SingleTxtG"/>
        <w:ind w:firstLine="567"/>
      </w:pPr>
      <w:r w:rsidRPr="004040C7">
        <w:t>g</w:t>
      </w:r>
      <w:r w:rsidRPr="00346037">
        <w:t>)</w:t>
      </w:r>
      <w:r w:rsidRPr="00346037">
        <w:tab/>
      </w:r>
      <w:r>
        <w:t>о</w:t>
      </w:r>
      <w:r w:rsidRPr="00B56797">
        <w:t xml:space="preserve">кончательное решение: </w:t>
      </w:r>
      <w:r>
        <w:t>в</w:t>
      </w:r>
      <w:r w:rsidRPr="00B56797">
        <w:t xml:space="preserve"> статье 11 (</w:t>
      </w:r>
      <w:r>
        <w:t xml:space="preserve">пункт </w:t>
      </w:r>
      <w:r w:rsidRPr="00B56797">
        <w:t xml:space="preserve">1) </w:t>
      </w:r>
      <w:r>
        <w:t xml:space="preserve">предусматривается, что в </w:t>
      </w:r>
      <w:r w:rsidRPr="00B56797">
        <w:t>решения</w:t>
      </w:r>
      <w:r>
        <w:t>х</w:t>
      </w:r>
      <w:r w:rsidRPr="00B56797">
        <w:t xml:space="preserve"> Сторон о</w:t>
      </w:r>
      <w:r>
        <w:t>б</w:t>
      </w:r>
      <w:r w:rsidRPr="00B56797">
        <w:t xml:space="preserve"> </w:t>
      </w:r>
      <w:r>
        <w:t>утверждении</w:t>
      </w:r>
      <w:r w:rsidRPr="00B56797">
        <w:t xml:space="preserve"> плана или программы </w:t>
      </w:r>
      <w:r>
        <w:t>необходимо</w:t>
      </w:r>
      <w:r w:rsidRPr="00B56797">
        <w:t xml:space="preserve"> </w:t>
      </w:r>
      <w:r>
        <w:t>«</w:t>
      </w:r>
      <w:r w:rsidRPr="00B56797">
        <w:t>должным образом</w:t>
      </w:r>
      <w:r>
        <w:t>»</w:t>
      </w:r>
      <w:r w:rsidRPr="00B56797">
        <w:t xml:space="preserve"> </w:t>
      </w:r>
      <w:r>
        <w:t>обеспечивать учет</w:t>
      </w:r>
      <w:r w:rsidRPr="00B56797">
        <w:t xml:space="preserve"> результат</w:t>
      </w:r>
      <w:r>
        <w:t>ов</w:t>
      </w:r>
      <w:r w:rsidRPr="00B56797">
        <w:t xml:space="preserve"> стратегической экологической оценки, </w:t>
      </w:r>
      <w:r>
        <w:t>в том числе</w:t>
      </w:r>
      <w:r w:rsidRPr="00B56797">
        <w:t>, в соответствующих случаях, результат</w:t>
      </w:r>
      <w:r>
        <w:t>ов</w:t>
      </w:r>
      <w:r w:rsidRPr="00B56797">
        <w:t xml:space="preserve"> трансграничных консультаций. Органы власти должны указать, каким образом были учтены </w:t>
      </w:r>
      <w:r w:rsidRPr="00346037">
        <w:t>экологические, в том числе связанные со здоровьем населения, соображения</w:t>
      </w:r>
      <w:r>
        <w:t xml:space="preserve"> и</w:t>
      </w:r>
      <w:r w:rsidRPr="00B56797">
        <w:t xml:space="preserve"> </w:t>
      </w:r>
      <w:r w:rsidRPr="00346037">
        <w:t>насколько приняты во внимание замечания</w:t>
      </w:r>
      <w:r w:rsidRPr="00B56797">
        <w:t xml:space="preserve">, и представить </w:t>
      </w:r>
      <w:r w:rsidRPr="00346037">
        <w:t>причин</w:t>
      </w:r>
      <w:r>
        <w:t>ы</w:t>
      </w:r>
      <w:r w:rsidRPr="00346037">
        <w:t xml:space="preserve"> </w:t>
      </w:r>
      <w:r>
        <w:t>«</w:t>
      </w:r>
      <w:r w:rsidRPr="00346037">
        <w:t>для ег</w:t>
      </w:r>
      <w:r>
        <w:t>o</w:t>
      </w:r>
      <w:r w:rsidRPr="00346037">
        <w:t>/ее принятия в свете рассмотрения разумных альтернати</w:t>
      </w:r>
      <w:r>
        <w:t>в»</w:t>
      </w:r>
      <w:r w:rsidRPr="00B56797">
        <w:t xml:space="preserve"> (ст</w:t>
      </w:r>
      <w:r>
        <w:t>.</w:t>
      </w:r>
      <w:r w:rsidRPr="00B56797">
        <w:t xml:space="preserve"> 11 (</w:t>
      </w:r>
      <w:r>
        <w:t xml:space="preserve">п. </w:t>
      </w:r>
      <w:r w:rsidRPr="00B56797">
        <w:t>2))</w:t>
      </w:r>
      <w:r w:rsidRPr="00346037">
        <w:t>;</w:t>
      </w:r>
      <w:r w:rsidR="006C6943">
        <w:t xml:space="preserve"> </w:t>
      </w:r>
    </w:p>
    <w:p w14:paraId="4AD66660" w14:textId="77777777" w:rsidR="000C3BBC" w:rsidRPr="00C774E0" w:rsidRDefault="000C3BBC" w:rsidP="000C3BBC">
      <w:pPr>
        <w:pStyle w:val="SingleTxtG"/>
        <w:ind w:firstLine="567"/>
      </w:pPr>
      <w:r w:rsidRPr="004040C7">
        <w:t>h</w:t>
      </w:r>
      <w:r w:rsidRPr="00C774E0">
        <w:t>)</w:t>
      </w:r>
      <w:r w:rsidRPr="00C774E0">
        <w:tab/>
      </w:r>
      <w:r>
        <w:t>м</w:t>
      </w:r>
      <w:r w:rsidRPr="00346037">
        <w:t xml:space="preserve">ониторинг: каждая Сторона обязана </w:t>
      </w:r>
      <w:r>
        <w:t>проводить</w:t>
      </w:r>
      <w:r w:rsidRPr="00346037">
        <w:t xml:space="preserve"> мониторинг </w:t>
      </w:r>
      <w:r w:rsidRPr="00C774E0">
        <w:t>существенных экологических, в том числе связанных со здоровьем населения, последствий осуществления планов и программ</w:t>
      </w:r>
      <w:r w:rsidRPr="00346037">
        <w:t>,</w:t>
      </w:r>
      <w:r>
        <w:t xml:space="preserve"> </w:t>
      </w:r>
      <w:r w:rsidRPr="00346037">
        <w:t>принятых в соответствии с Протоколом (ст. 12 (</w:t>
      </w:r>
      <w:r>
        <w:t xml:space="preserve">п. </w:t>
      </w:r>
      <w:r w:rsidRPr="00346037">
        <w:t>1)</w:t>
      </w:r>
      <w:r w:rsidRPr="00C774E0">
        <w:t>).</w:t>
      </w:r>
    </w:p>
    <w:p w14:paraId="1E2260E5" w14:textId="39CDC7A1" w:rsidR="000C3BBC" w:rsidRPr="00392FF8" w:rsidRDefault="000C3BBC" w:rsidP="000C3BBC">
      <w:pPr>
        <w:pStyle w:val="SingleTxtG"/>
        <w:rPr>
          <w:rFonts w:eastAsia="MyriadPro-Regular"/>
        </w:rPr>
      </w:pPr>
      <w:r w:rsidRPr="00392FF8">
        <w:rPr>
          <w:rFonts w:eastAsia="MyriadPro-Regular"/>
        </w:rPr>
        <w:t>14.</w:t>
      </w:r>
      <w:r w:rsidRPr="00392FF8">
        <w:rPr>
          <w:rFonts w:eastAsia="MyriadPro-Regular"/>
        </w:rPr>
        <w:tab/>
      </w:r>
      <w:r w:rsidRPr="00BA462E">
        <w:t xml:space="preserve">В </w:t>
      </w:r>
      <w:r>
        <w:t xml:space="preserve">изданном под эгидой ЕЭК </w:t>
      </w:r>
      <w:r>
        <w:rPr>
          <w:i/>
          <w:iCs/>
        </w:rPr>
        <w:t>Информационно-справочном руководстве</w:t>
      </w:r>
      <w:r w:rsidRPr="00930997">
        <w:rPr>
          <w:i/>
          <w:iCs/>
        </w:rPr>
        <w:t xml:space="preserve"> по применению Протокола ЕЭК ООН по стратегической экологической оценк</w:t>
      </w:r>
      <w:r>
        <w:rPr>
          <w:i/>
          <w:iCs/>
        </w:rPr>
        <w:t>е</w:t>
      </w:r>
      <w:r w:rsidRPr="004040C7">
        <w:rPr>
          <w:vertAlign w:val="superscript"/>
        </w:rPr>
        <w:fldChar w:fldCharType="begin"/>
      </w:r>
      <w:r w:rsidRPr="00392FF8">
        <w:rPr>
          <w:vertAlign w:val="superscript"/>
        </w:rPr>
        <w:instrText xml:space="preserve"> </w:instrText>
      </w:r>
      <w:r w:rsidRPr="004040C7">
        <w:rPr>
          <w:vertAlign w:val="superscript"/>
        </w:rPr>
        <w:instrText>NOTEREF</w:instrText>
      </w:r>
      <w:r w:rsidRPr="00392FF8">
        <w:rPr>
          <w:vertAlign w:val="superscript"/>
        </w:rPr>
        <w:instrText xml:space="preserve"> _</w:instrText>
      </w:r>
      <w:r w:rsidRPr="004040C7">
        <w:rPr>
          <w:vertAlign w:val="superscript"/>
        </w:rPr>
        <w:instrText>Ref</w:instrText>
      </w:r>
      <w:r w:rsidRPr="00392FF8">
        <w:rPr>
          <w:vertAlign w:val="superscript"/>
        </w:rPr>
        <w:instrText>146870685 \</w:instrText>
      </w:r>
      <w:r w:rsidRPr="004040C7">
        <w:rPr>
          <w:vertAlign w:val="superscript"/>
        </w:rPr>
        <w:instrText>h</w:instrText>
      </w:r>
      <w:r w:rsidRPr="00392FF8">
        <w:rPr>
          <w:vertAlign w:val="superscript"/>
        </w:rPr>
        <w:instrText xml:space="preserve">  \* </w:instrText>
      </w:r>
      <w:r w:rsidRPr="004040C7">
        <w:rPr>
          <w:vertAlign w:val="superscript"/>
        </w:rPr>
        <w:instrText>MERGEFORMAT</w:instrText>
      </w:r>
      <w:r w:rsidRPr="00392FF8">
        <w:rPr>
          <w:vertAlign w:val="superscript"/>
        </w:rPr>
        <w:instrText xml:space="preserve"> </w:instrText>
      </w:r>
      <w:r w:rsidRPr="004040C7">
        <w:rPr>
          <w:vertAlign w:val="superscript"/>
        </w:rPr>
      </w:r>
      <w:r w:rsidRPr="004040C7">
        <w:rPr>
          <w:vertAlign w:val="superscript"/>
        </w:rPr>
        <w:fldChar w:fldCharType="separate"/>
      </w:r>
      <w:r w:rsidR="00563772">
        <w:rPr>
          <w:vertAlign w:val="superscript"/>
        </w:rPr>
        <w:t>14</w:t>
      </w:r>
      <w:r w:rsidRPr="004040C7">
        <w:rPr>
          <w:vertAlign w:val="superscript"/>
        </w:rPr>
        <w:fldChar w:fldCharType="end"/>
      </w:r>
      <w:r>
        <w:rPr>
          <w:vertAlign w:val="subscript"/>
        </w:rPr>
        <w:t xml:space="preserve"> </w:t>
      </w:r>
      <w:r w:rsidRPr="00BA462E">
        <w:t>подчеркивается роль, которую стратегическая экологическая оценка может играть в рассмотрении альтернатив и сдвиге процесса принятия решений в сторону устойчивого развития</w:t>
      </w:r>
      <w:r>
        <w:rPr>
          <w:rFonts w:eastAsia="MyriadPro-Regular"/>
        </w:rPr>
        <w:t>.</w:t>
      </w:r>
    </w:p>
    <w:p w14:paraId="27EBF9E0" w14:textId="77777777" w:rsidR="000C3BBC" w:rsidRPr="00392FF8" w:rsidRDefault="000C3BBC" w:rsidP="000C3BBC">
      <w:pPr>
        <w:pStyle w:val="HChG"/>
        <w:rPr>
          <w:lang w:eastAsia="en-US"/>
        </w:rPr>
      </w:pPr>
      <w:r w:rsidRPr="00BA462E">
        <w:rPr>
          <w:sz w:val="24"/>
          <w:lang w:eastAsia="en-US"/>
        </w:rPr>
        <w:tab/>
      </w:r>
      <w:r w:rsidRPr="004040C7">
        <w:rPr>
          <w:szCs w:val="28"/>
          <w:lang w:eastAsia="en-US"/>
        </w:rPr>
        <w:t>II</w:t>
      </w:r>
      <w:r w:rsidRPr="001528D2">
        <w:rPr>
          <w:lang w:eastAsia="en-US"/>
        </w:rPr>
        <w:t>.</w:t>
      </w:r>
      <w:r w:rsidRPr="001528D2">
        <w:rPr>
          <w:lang w:eastAsia="en-US"/>
        </w:rPr>
        <w:tab/>
      </w:r>
      <w:r>
        <w:rPr>
          <w:lang w:eastAsia="en-US"/>
        </w:rPr>
        <w:t>Энергетический переход</w:t>
      </w:r>
    </w:p>
    <w:p w14:paraId="22DDC132" w14:textId="77777777" w:rsidR="000C3BBC" w:rsidRPr="001528D2" w:rsidRDefault="000C3BBC" w:rsidP="000C3BBC">
      <w:pPr>
        <w:pStyle w:val="H1G"/>
        <w:rPr>
          <w:lang w:eastAsia="en-US"/>
        </w:rPr>
      </w:pPr>
      <w:r w:rsidRPr="001528D2">
        <w:rPr>
          <w:lang w:eastAsia="en-US"/>
        </w:rPr>
        <w:tab/>
      </w:r>
      <w:r w:rsidRPr="004040C7">
        <w:rPr>
          <w:szCs w:val="24"/>
          <w:lang w:eastAsia="en-US"/>
        </w:rPr>
        <w:t>A</w:t>
      </w:r>
      <w:r w:rsidRPr="001528D2">
        <w:rPr>
          <w:lang w:eastAsia="en-US"/>
        </w:rPr>
        <w:t>.</w:t>
      </w:r>
      <w:r w:rsidRPr="001528D2">
        <w:rPr>
          <w:lang w:eastAsia="en-US"/>
        </w:rPr>
        <w:tab/>
        <w:t>Что такое энергетический переход</w:t>
      </w:r>
      <w:r>
        <w:rPr>
          <w:lang w:eastAsia="en-US"/>
        </w:rPr>
        <w:t>?</w:t>
      </w:r>
      <w:r w:rsidRPr="001528D2">
        <w:rPr>
          <w:lang w:eastAsia="en-US"/>
        </w:rPr>
        <w:t xml:space="preserve"> Введение в концепцию</w:t>
      </w:r>
    </w:p>
    <w:p w14:paraId="30496532" w14:textId="31070974" w:rsidR="000C3BBC" w:rsidRPr="00851930" w:rsidRDefault="000C3BBC" w:rsidP="000C3BBC">
      <w:pPr>
        <w:pStyle w:val="SingleTxtG"/>
      </w:pPr>
      <w:r w:rsidRPr="00A26D39">
        <w:t>15.</w:t>
      </w:r>
      <w:r w:rsidRPr="00A26D39">
        <w:tab/>
      </w:r>
      <w:r>
        <w:t>В</w:t>
      </w:r>
      <w:r w:rsidRPr="00851930">
        <w:t xml:space="preserve"> своем шестом докладе</w:t>
      </w:r>
      <w:r>
        <w:t xml:space="preserve"> об оценке</w:t>
      </w:r>
      <w:r w:rsidRPr="00851930">
        <w:t xml:space="preserve"> Межправительственная группа экспертов по изменению климата определяет </w:t>
      </w:r>
      <w:r>
        <w:t>«</w:t>
      </w:r>
      <w:r w:rsidRPr="00851930">
        <w:t>переход</w:t>
      </w:r>
      <w:r>
        <w:t>»</w:t>
      </w:r>
      <w:r w:rsidRPr="00851930">
        <w:t xml:space="preserve"> как </w:t>
      </w:r>
      <w:r>
        <w:t>«</w:t>
      </w:r>
      <w:r w:rsidRPr="00851930">
        <w:t>процесс перехода от одного состояния к другому за определенный период времени. Переход может происходить в отдельных людях, фирмах, городах, регионах и государствах и может быть основан на постепенных или трансформационных изменениях</w:t>
      </w:r>
      <w:r>
        <w:t>»</w:t>
      </w:r>
      <w:r w:rsidRPr="004040C7">
        <w:rPr>
          <w:vertAlign w:val="superscript"/>
        </w:rPr>
        <w:footnoteReference w:id="15"/>
      </w:r>
      <w:r>
        <w:t>.</w:t>
      </w:r>
      <w:r w:rsidRPr="00A26D39">
        <w:t xml:space="preserve"> </w:t>
      </w:r>
      <w:r w:rsidRPr="00851930">
        <w:t xml:space="preserve">Цель 7 в области устойчивого развития предусматривает обеспечение к 2030 году всеобщего доступа к энергии, существенное увеличение доли возобновляемых источников энергии, удвоение темпов повышения энергоэффективности, </w:t>
      </w:r>
      <w:r>
        <w:t>укрепление</w:t>
      </w:r>
      <w:r w:rsidRPr="00851930">
        <w:t xml:space="preserve"> международного сотрудничества для облегчения доступа к чистой энергии, а также расширение инфраструктуры и обновление технологий для предоставления современных и устойчивых энергетических услуг для всех развивающихся стран</w:t>
      </w:r>
      <w:r w:rsidRPr="004040C7">
        <w:rPr>
          <w:sz w:val="18"/>
          <w:vertAlign w:val="superscript"/>
        </w:rPr>
        <w:footnoteReference w:id="16"/>
      </w:r>
      <w:r>
        <w:t>.</w:t>
      </w:r>
      <w:r w:rsidRPr="00A26D39">
        <w:t xml:space="preserve"> </w:t>
      </w:r>
      <w:r w:rsidRPr="00851930">
        <w:t xml:space="preserve">Центральным элементом энергетического перехода является глобальный </w:t>
      </w:r>
      <w:r>
        <w:t>сдвиг в направлении</w:t>
      </w:r>
      <w:r w:rsidRPr="00851930">
        <w:t xml:space="preserve"> </w:t>
      </w:r>
      <w:r>
        <w:t>использования</w:t>
      </w:r>
      <w:r w:rsidRPr="00851930">
        <w:t xml:space="preserve"> возобновляемы</w:t>
      </w:r>
      <w:r>
        <w:t>х</w:t>
      </w:r>
      <w:r w:rsidRPr="00851930">
        <w:t xml:space="preserve"> источник</w:t>
      </w:r>
      <w:r>
        <w:t>ов</w:t>
      </w:r>
      <w:r w:rsidRPr="00851930">
        <w:t xml:space="preserve"> энергии (и, следовательно, </w:t>
      </w:r>
      <w:r>
        <w:t xml:space="preserve">в сторону </w:t>
      </w:r>
      <w:r w:rsidRPr="00851930">
        <w:t>низк</w:t>
      </w:r>
      <w:r>
        <w:t>ого</w:t>
      </w:r>
      <w:r w:rsidRPr="00851930">
        <w:t xml:space="preserve"> или чист</w:t>
      </w:r>
      <w:r>
        <w:t>ого</w:t>
      </w:r>
      <w:r w:rsidRPr="00851930">
        <w:t xml:space="preserve"> нулево</w:t>
      </w:r>
      <w:r>
        <w:t>го</w:t>
      </w:r>
      <w:r w:rsidRPr="00851930">
        <w:t xml:space="preserve"> уров</w:t>
      </w:r>
      <w:r>
        <w:t>ня</w:t>
      </w:r>
      <w:r w:rsidRPr="00851930">
        <w:t xml:space="preserve"> выбросов углерода), однако эта концепция часто подразумевает также изменения в системах распределения энергии (например, интеллектуальные сети) и поведении потребителей</w:t>
      </w:r>
      <w:r w:rsidRPr="00A26D39">
        <w:t>.</w:t>
      </w:r>
    </w:p>
    <w:p w14:paraId="0ABBF454" w14:textId="77777777" w:rsidR="000C3BBC" w:rsidRPr="00640DD5" w:rsidRDefault="000C3BBC" w:rsidP="000C3BBC">
      <w:pPr>
        <w:pStyle w:val="H1G"/>
        <w:rPr>
          <w:lang w:eastAsia="en-US"/>
        </w:rPr>
      </w:pPr>
      <w:r w:rsidRPr="00851930">
        <w:rPr>
          <w:lang w:eastAsia="en-US"/>
        </w:rPr>
        <w:lastRenderedPageBreak/>
        <w:tab/>
      </w:r>
      <w:r w:rsidRPr="004040C7">
        <w:rPr>
          <w:szCs w:val="24"/>
          <w:lang w:eastAsia="en-US"/>
        </w:rPr>
        <w:t>B</w:t>
      </w:r>
      <w:r w:rsidRPr="00640DD5">
        <w:rPr>
          <w:lang w:eastAsia="en-US"/>
        </w:rPr>
        <w:t>.</w:t>
      </w:r>
      <w:r w:rsidRPr="00640DD5">
        <w:rPr>
          <w:lang w:eastAsia="en-US"/>
        </w:rPr>
        <w:tab/>
        <w:t xml:space="preserve">Политические рамки, цели и задачи </w:t>
      </w:r>
      <w:r>
        <w:rPr>
          <w:lang w:eastAsia="en-US"/>
        </w:rPr>
        <w:t xml:space="preserve">для </w:t>
      </w:r>
      <w:r w:rsidRPr="00640DD5">
        <w:rPr>
          <w:lang w:eastAsia="en-US"/>
        </w:rPr>
        <w:t>энергетического перехода</w:t>
      </w:r>
    </w:p>
    <w:p w14:paraId="6798E0BA" w14:textId="5EA5CC39" w:rsidR="000C3BBC" w:rsidRPr="008213E4" w:rsidRDefault="000C3BBC" w:rsidP="000C3BBC">
      <w:pPr>
        <w:pStyle w:val="SingleTxtG"/>
      </w:pPr>
      <w:r w:rsidRPr="003A3EBE">
        <w:t>16.</w:t>
      </w:r>
      <w:r w:rsidRPr="003A3EBE">
        <w:tab/>
      </w:r>
      <w:r>
        <w:t xml:space="preserve">В </w:t>
      </w:r>
      <w:r w:rsidR="00A82EF1">
        <w:t>Ц</w:t>
      </w:r>
      <w:r w:rsidR="00A82EF1" w:rsidRPr="00640DD5">
        <w:t>ел</w:t>
      </w:r>
      <w:r w:rsidR="00A82EF1">
        <w:t>и</w:t>
      </w:r>
      <w:r w:rsidR="00A82EF1" w:rsidRPr="00640DD5">
        <w:t xml:space="preserve"> </w:t>
      </w:r>
      <w:r w:rsidRPr="00640DD5">
        <w:t xml:space="preserve">13 в области устойчивого развития </w:t>
      </w:r>
      <w:r>
        <w:t>содержится обращенный к</w:t>
      </w:r>
      <w:r w:rsidRPr="00640DD5">
        <w:t xml:space="preserve"> стран</w:t>
      </w:r>
      <w:r>
        <w:t>ам призыв</w:t>
      </w:r>
      <w:r w:rsidRPr="00640DD5">
        <w:t xml:space="preserve"> </w:t>
      </w:r>
      <w:r>
        <w:t xml:space="preserve">обеспечить «принятие </w:t>
      </w:r>
      <w:r w:rsidRPr="00640DD5">
        <w:t>срочны</w:t>
      </w:r>
      <w:r>
        <w:t>х</w:t>
      </w:r>
      <w:r w:rsidRPr="00640DD5">
        <w:t xml:space="preserve"> мер по борьбе с изменением климата и его последствиями</w:t>
      </w:r>
      <w:r>
        <w:t>»</w:t>
      </w:r>
      <w:r w:rsidRPr="004040C7">
        <w:rPr>
          <w:vertAlign w:val="superscript"/>
        </w:rPr>
        <w:footnoteReference w:id="17"/>
      </w:r>
      <w:r>
        <w:t>.</w:t>
      </w:r>
      <w:r w:rsidRPr="003A3EBE">
        <w:t xml:space="preserve"> </w:t>
      </w:r>
      <w:r w:rsidRPr="00640DD5">
        <w:t>Достижению</w:t>
      </w:r>
      <w:r w:rsidRPr="003A3EBE">
        <w:t xml:space="preserve"> </w:t>
      </w:r>
      <w:r w:rsidRPr="00640DD5">
        <w:t>это</w:t>
      </w:r>
      <w:r>
        <w:t>го</w:t>
      </w:r>
      <w:r w:rsidRPr="003A3EBE">
        <w:t xml:space="preserve"> </w:t>
      </w:r>
      <w:r>
        <w:t>результата</w:t>
      </w:r>
      <w:r w:rsidRPr="003A3EBE">
        <w:t xml:space="preserve"> </w:t>
      </w:r>
      <w:r w:rsidRPr="00640DD5">
        <w:t>способствует</w:t>
      </w:r>
      <w:r w:rsidRPr="003A3EBE">
        <w:t xml:space="preserve"> </w:t>
      </w:r>
      <w:r w:rsidRPr="00640DD5">
        <w:t>цель</w:t>
      </w:r>
      <w:r w:rsidRPr="003A3EBE">
        <w:t xml:space="preserve"> </w:t>
      </w:r>
      <w:r w:rsidRPr="00640DD5">
        <w:t>Парижского</w:t>
      </w:r>
      <w:r w:rsidRPr="003A3EBE">
        <w:t xml:space="preserve"> </w:t>
      </w:r>
      <w:r w:rsidRPr="00640DD5">
        <w:t>соглашения</w:t>
      </w:r>
      <w:r w:rsidRPr="003A3EBE">
        <w:t xml:space="preserve"> 2015 </w:t>
      </w:r>
      <w:r w:rsidRPr="00640DD5">
        <w:t>года</w:t>
      </w:r>
      <w:r w:rsidRPr="004040C7">
        <w:rPr>
          <w:vertAlign w:val="superscript"/>
        </w:rPr>
        <w:footnoteReference w:id="18"/>
      </w:r>
      <w:r>
        <w:t>,</w:t>
      </w:r>
      <w:r w:rsidRPr="003A3EBE">
        <w:t xml:space="preserve"> </w:t>
      </w:r>
      <w:r w:rsidRPr="00640DD5">
        <w:t xml:space="preserve">принятого на двадцать первой сессии Конференции </w:t>
      </w:r>
      <w:r>
        <w:t>С</w:t>
      </w:r>
      <w:r w:rsidRPr="00640DD5">
        <w:t>торон Рамочной конвенции Организации Объединенных Наций об изменении климата (</w:t>
      </w:r>
      <w:r w:rsidRPr="00610AD1">
        <w:t>РКИКООН </w:t>
      </w:r>
      <w:r w:rsidRPr="00640DD5">
        <w:t xml:space="preserve">) (Париж, 30 ноября </w:t>
      </w:r>
      <w:r>
        <w:t>—</w:t>
      </w:r>
      <w:r w:rsidRPr="00640DD5">
        <w:t xml:space="preserve"> 11 декабря 2015 г</w:t>
      </w:r>
      <w:r>
        <w:t>ода</w:t>
      </w:r>
      <w:r w:rsidRPr="00640DD5">
        <w:t>), которая заключается в сокращении выбросов углекислого газа (CO</w:t>
      </w:r>
      <w:r w:rsidRPr="00610AD1">
        <w:rPr>
          <w:vertAlign w:val="subscript"/>
        </w:rPr>
        <w:t>2</w:t>
      </w:r>
      <w:r w:rsidRPr="00640DD5">
        <w:t xml:space="preserve">), связанных с энергетикой, таким образом, чтобы </w:t>
      </w:r>
      <w:r>
        <w:t>обеспечить удержание при</w:t>
      </w:r>
      <w:r w:rsidRPr="00640DD5">
        <w:t>рост</w:t>
      </w:r>
      <w:r>
        <w:t>а</w:t>
      </w:r>
      <w:r w:rsidRPr="00640DD5">
        <w:t xml:space="preserve"> глобальной средней температуры </w:t>
      </w:r>
      <w:r>
        <w:t>намного ниже</w:t>
      </w:r>
      <w:r w:rsidRPr="00640DD5">
        <w:t xml:space="preserve"> 2</w:t>
      </w:r>
      <w:r w:rsidR="00A82EF1" w:rsidRPr="00A82EF1">
        <w:t xml:space="preserve"> </w:t>
      </w:r>
      <w:r w:rsidRPr="00640DD5">
        <w:t>°</w:t>
      </w:r>
      <w:r w:rsidRPr="00C73E83">
        <w:t>C</w:t>
      </w:r>
      <w:r w:rsidRPr="00640DD5">
        <w:t xml:space="preserve"> и чтобы</w:t>
      </w:r>
      <w:r>
        <w:t xml:space="preserve"> при этом</w:t>
      </w:r>
      <w:r w:rsidRPr="00640DD5">
        <w:t xml:space="preserve"> прилагались усилия </w:t>
      </w:r>
      <w:r w:rsidRPr="00C73E83">
        <w:t>в</w:t>
      </w:r>
      <w:r>
        <w:t xml:space="preserve"> </w:t>
      </w:r>
      <w:r w:rsidRPr="00C73E83">
        <w:t>целях</w:t>
      </w:r>
      <w:r>
        <w:t xml:space="preserve"> </w:t>
      </w:r>
      <w:r w:rsidRPr="00C73E83">
        <w:t>ограничения роста температуры до</w:t>
      </w:r>
      <w:r w:rsidRPr="00640DD5">
        <w:t xml:space="preserve"> 1,5</w:t>
      </w:r>
      <w:r w:rsidR="00A82EF1" w:rsidRPr="00A82EF1">
        <w:t xml:space="preserve"> </w:t>
      </w:r>
      <w:r w:rsidRPr="00640DD5">
        <w:t>°</w:t>
      </w:r>
      <w:r w:rsidRPr="00C73E83">
        <w:t>C</w:t>
      </w:r>
      <w:r w:rsidRPr="00640DD5">
        <w:t xml:space="preserve"> от доиндустриального уровня. </w:t>
      </w:r>
      <w:r>
        <w:t>Участники д</w:t>
      </w:r>
      <w:r w:rsidRPr="00640DD5">
        <w:t>вадцать шест</w:t>
      </w:r>
      <w:r>
        <w:t>ой</w:t>
      </w:r>
      <w:r w:rsidRPr="00640DD5">
        <w:t xml:space="preserve"> сесси</w:t>
      </w:r>
      <w:r>
        <w:t>и</w:t>
      </w:r>
      <w:r w:rsidRPr="00640DD5">
        <w:t xml:space="preserve"> Конференции </w:t>
      </w:r>
      <w:r>
        <w:t>С</w:t>
      </w:r>
      <w:r w:rsidRPr="00640DD5">
        <w:t xml:space="preserve">торон </w:t>
      </w:r>
      <w:r w:rsidRPr="00610AD1">
        <w:t>РКИКООН</w:t>
      </w:r>
      <w:r w:rsidR="00A82EF1" w:rsidRPr="00A82EF1">
        <w:t xml:space="preserve"> </w:t>
      </w:r>
      <w:r w:rsidRPr="00640DD5">
        <w:t xml:space="preserve">(Глазго, Соединенное Королевство Великобритании и Северной Ирландии, 31 октября </w:t>
      </w:r>
      <w:r>
        <w:t>—</w:t>
      </w:r>
      <w:r w:rsidRPr="00640DD5">
        <w:t xml:space="preserve"> 12 ноября 2021 г</w:t>
      </w:r>
      <w:r>
        <w:t>ода</w:t>
      </w:r>
      <w:r w:rsidRPr="00640DD5">
        <w:t>)</w:t>
      </w:r>
      <w:r w:rsidRPr="004040C7">
        <w:rPr>
          <w:vertAlign w:val="superscript"/>
        </w:rPr>
        <w:footnoteReference w:id="19"/>
      </w:r>
      <w:r w:rsidRPr="003A3EBE">
        <w:t xml:space="preserve"> </w:t>
      </w:r>
      <w:r w:rsidRPr="00640DD5">
        <w:t>призвал</w:t>
      </w:r>
      <w:r>
        <w:t>и</w:t>
      </w:r>
      <w:r w:rsidRPr="00640DD5">
        <w:t xml:space="preserve"> ускорить разработку более жестких климатических планов (</w:t>
      </w:r>
      <w:r w:rsidRPr="00086353">
        <w:t>определяемых на национальном уровне</w:t>
      </w:r>
      <w:r>
        <w:t xml:space="preserve"> </w:t>
      </w:r>
      <w:r w:rsidRPr="00086353">
        <w:t>вкладов</w:t>
      </w:r>
      <w:r w:rsidRPr="00640DD5">
        <w:t xml:space="preserve">). На двадцать седьмой сессии Конференции </w:t>
      </w:r>
      <w:r>
        <w:t>С</w:t>
      </w:r>
      <w:r w:rsidRPr="00640DD5">
        <w:t>торон РКИКООН (</w:t>
      </w:r>
      <w:r w:rsidRPr="00086353">
        <w:t>Шарм-эш-Шейх</w:t>
      </w:r>
      <w:r w:rsidRPr="00640DD5">
        <w:t xml:space="preserve">, Египет, 6 ноября </w:t>
      </w:r>
      <w:r w:rsidR="00A82EF1" w:rsidRPr="00A82EF1">
        <w:t>—</w:t>
      </w:r>
      <w:r w:rsidRPr="00640DD5">
        <w:t xml:space="preserve"> 20 ноября 2022 г</w:t>
      </w:r>
      <w:r>
        <w:t>ода</w:t>
      </w:r>
      <w:r w:rsidRPr="00640DD5">
        <w:t xml:space="preserve">) </w:t>
      </w:r>
      <w:r>
        <w:t xml:space="preserve">был отмечен </w:t>
      </w:r>
      <w:r w:rsidRPr="003740BB">
        <w:t xml:space="preserve">сдвиг в сторону </w:t>
      </w:r>
      <w:r>
        <w:t>реализации соответствующих мер</w:t>
      </w:r>
      <w:r w:rsidRPr="004040C7">
        <w:rPr>
          <w:vertAlign w:val="superscript"/>
        </w:rPr>
        <w:footnoteReference w:id="20"/>
      </w:r>
      <w:r>
        <w:t>,</w:t>
      </w:r>
      <w:r w:rsidRPr="003A3EBE">
        <w:t xml:space="preserve"> </w:t>
      </w:r>
      <w:r>
        <w:t>при этом</w:t>
      </w:r>
      <w:r w:rsidRPr="00640DD5">
        <w:t xml:space="preserve"> в пункте 9 постановляющей части </w:t>
      </w:r>
      <w:r w:rsidRPr="00086353">
        <w:t>Шарм-эш-Шейхского плана осуществления</w:t>
      </w:r>
      <w:r w:rsidRPr="00640DD5">
        <w:t xml:space="preserve"> говорится</w:t>
      </w:r>
      <w:r>
        <w:t xml:space="preserve"> о том</w:t>
      </w:r>
      <w:r w:rsidRPr="00640DD5">
        <w:t xml:space="preserve">, что Конференция </w:t>
      </w:r>
      <w:r>
        <w:t>С</w:t>
      </w:r>
      <w:r w:rsidRPr="00640DD5">
        <w:t xml:space="preserve">торон </w:t>
      </w:r>
      <w:r>
        <w:t>«</w:t>
      </w:r>
      <w:r w:rsidRPr="003740BB">
        <w:t>отмечает, что беспрецедентный глобальный энергетический кризис подчеркивает настоятельную необходимость быстрого преобразования энергетических систем для повышения степени их безопасности, надежности и устойчивости, в том числе путем ускорения чистого и справедливого перехода на возобновляемые источники энергии в течение этого критического десятилетия действий</w:t>
      </w:r>
      <w:r>
        <w:t>»</w:t>
      </w:r>
      <w:r w:rsidRPr="004040C7">
        <w:rPr>
          <w:sz w:val="18"/>
          <w:vertAlign w:val="superscript"/>
        </w:rPr>
        <w:footnoteReference w:id="21"/>
      </w:r>
      <w:r>
        <w:t>.</w:t>
      </w:r>
      <w:r w:rsidRPr="003A3EBE">
        <w:t xml:space="preserve"> </w:t>
      </w:r>
      <w:r w:rsidRPr="00640DD5">
        <w:t xml:space="preserve">Переговорный процесс </w:t>
      </w:r>
      <w:r>
        <w:t>в рамках</w:t>
      </w:r>
      <w:r w:rsidRPr="00640DD5">
        <w:t xml:space="preserve"> этой Конвенции и соответствующие решения Конференции </w:t>
      </w:r>
      <w:r>
        <w:t>С</w:t>
      </w:r>
      <w:r w:rsidRPr="00640DD5">
        <w:t>торон, принятые в последние годы, убедительно подчеркивают необходимость перехода к экологически чистой энергетике</w:t>
      </w:r>
      <w:r w:rsidRPr="003A3EBE">
        <w:t>.</w:t>
      </w:r>
      <w:r>
        <w:t xml:space="preserve"> </w:t>
      </w:r>
    </w:p>
    <w:p w14:paraId="6EF231D5" w14:textId="0B6B6251" w:rsidR="000C3BBC" w:rsidRPr="00B85D40" w:rsidRDefault="000C3BBC" w:rsidP="000C3BBC">
      <w:pPr>
        <w:pStyle w:val="SingleTxtG"/>
      </w:pPr>
      <w:r w:rsidRPr="00D80031">
        <w:t>17.</w:t>
      </w:r>
      <w:r w:rsidRPr="00D80031">
        <w:tab/>
      </w:r>
      <w:r w:rsidRPr="00B85D40">
        <w:t>Комисси</w:t>
      </w:r>
      <w:r>
        <w:t>я</w:t>
      </w:r>
      <w:r w:rsidRPr="00B85D40">
        <w:t xml:space="preserve"> по энергетическому переходу</w:t>
      </w:r>
      <w:r>
        <w:t xml:space="preserve"> подсчитала</w:t>
      </w:r>
      <w:r w:rsidRPr="00B85D40">
        <w:t>,</w:t>
      </w:r>
      <w:r>
        <w:t xml:space="preserve"> что</w:t>
      </w:r>
      <w:r w:rsidRPr="00B85D40">
        <w:t xml:space="preserve"> для осуществления энергетического перехода в период с 2023 по 2050 год </w:t>
      </w:r>
      <w:r>
        <w:t xml:space="preserve">ежегодный размер </w:t>
      </w:r>
      <w:r w:rsidRPr="00B85D40">
        <w:t>глобальны</w:t>
      </w:r>
      <w:r>
        <w:t>х</w:t>
      </w:r>
      <w:r w:rsidRPr="00B85D40">
        <w:t xml:space="preserve"> капиталовложени</w:t>
      </w:r>
      <w:r>
        <w:t xml:space="preserve">й </w:t>
      </w:r>
      <w:r w:rsidRPr="00B85D40">
        <w:t>долж</w:t>
      </w:r>
      <w:r>
        <w:t>ен</w:t>
      </w:r>
      <w:r w:rsidRPr="00B85D40">
        <w:t xml:space="preserve"> составить в среднем 3,5 трлн долл. (с начального уровня в </w:t>
      </w:r>
      <w:r>
        <w:t xml:space="preserve">размере </w:t>
      </w:r>
      <w:r w:rsidRPr="00B85D40">
        <w:t>0,9</w:t>
      </w:r>
      <w:r>
        <w:t>–</w:t>
      </w:r>
      <w:r w:rsidRPr="00B85D40">
        <w:t>1,2 трлн долл.)</w:t>
      </w:r>
      <w:r w:rsidRPr="004040C7">
        <w:rPr>
          <w:vertAlign w:val="superscript"/>
        </w:rPr>
        <w:footnoteReference w:id="22"/>
      </w:r>
      <w:r>
        <w:t>.</w:t>
      </w:r>
      <w:r w:rsidRPr="00D80031">
        <w:t xml:space="preserve"> </w:t>
      </w:r>
      <w:bookmarkStart w:id="6" w:name="_Ref146720977"/>
      <w:r w:rsidRPr="00B85D40">
        <w:t xml:space="preserve">Поэтому Конвенция и Протокол играют центральную роль в оценке потенциального воздействия планов, программ и проектов, </w:t>
      </w:r>
      <w:r>
        <w:t>которые будут осуществлятьс</w:t>
      </w:r>
      <w:r w:rsidRPr="00B85D40">
        <w:t xml:space="preserve">я </w:t>
      </w:r>
      <w:r>
        <w:t xml:space="preserve">в </w:t>
      </w:r>
      <w:r w:rsidRPr="00B85D40">
        <w:t>результат</w:t>
      </w:r>
      <w:r>
        <w:t>е</w:t>
      </w:r>
      <w:r w:rsidRPr="00B85D40">
        <w:t xml:space="preserve"> этих инвестиций. Кроме того, существует множество взаимосвязей между инвестициями в энергетический переход и экономику </w:t>
      </w:r>
      <w:r>
        <w:t xml:space="preserve">замкнутого цикла </w:t>
      </w:r>
      <w:r w:rsidRPr="00B85D40">
        <w:t xml:space="preserve">и зеленым финансированием. Например, </w:t>
      </w:r>
      <w:r>
        <w:t>инициатива</w:t>
      </w:r>
      <w:r w:rsidRPr="00B85D40">
        <w:t xml:space="preserve"> </w:t>
      </w:r>
      <w:r>
        <w:t>«Европейский зеленый курс»</w:t>
      </w:r>
      <w:r w:rsidRPr="00B85D40">
        <w:t xml:space="preserve">, являющаяся одним из примеров стратегии энергетического перехода, включает в себя </w:t>
      </w:r>
      <w:r>
        <w:t>П</w:t>
      </w:r>
      <w:r w:rsidRPr="00B85D40">
        <w:t>лан действий в области экономик</w:t>
      </w:r>
      <w:r>
        <w:t>и</w:t>
      </w:r>
      <w:r w:rsidRPr="00B85D40">
        <w:t xml:space="preserve"> </w:t>
      </w:r>
      <w:r>
        <w:t>замкнутого цикла</w:t>
      </w:r>
      <w:r w:rsidRPr="00B85D40">
        <w:t>, принятый в 2020 году</w:t>
      </w:r>
      <w:r w:rsidRPr="004040C7">
        <w:rPr>
          <w:vertAlign w:val="superscript"/>
        </w:rPr>
        <w:footnoteReference w:id="23"/>
      </w:r>
      <w:bookmarkEnd w:id="6"/>
      <w:r w:rsidRPr="00D80031">
        <w:t xml:space="preserve"> </w:t>
      </w:r>
      <w:r w:rsidRPr="00B85D40">
        <w:t xml:space="preserve">(см. раздел III ниже), </w:t>
      </w:r>
      <w:r w:rsidRPr="00D80031">
        <w:t xml:space="preserve">в то время как во всем мире также </w:t>
      </w:r>
      <w:r>
        <w:t>устанавливаются</w:t>
      </w:r>
      <w:r w:rsidRPr="00D80031">
        <w:t xml:space="preserve"> правила зеленого финансирования для обеспечения устойчивого распределения инвестиций </w:t>
      </w:r>
      <w:r w:rsidRPr="00B85D40">
        <w:t>(см. раздел IV ниже).</w:t>
      </w:r>
    </w:p>
    <w:p w14:paraId="5C6EB8A8" w14:textId="31A78429" w:rsidR="000C3BBC" w:rsidRPr="00B60CBA" w:rsidRDefault="000C3BBC" w:rsidP="000C3BBC">
      <w:pPr>
        <w:pStyle w:val="SingleTxtG"/>
      </w:pPr>
      <w:r w:rsidRPr="001A5AA4">
        <w:t>18.</w:t>
      </w:r>
      <w:r w:rsidRPr="001A5AA4">
        <w:tab/>
      </w:r>
      <w:r>
        <w:t>Инициатива</w:t>
      </w:r>
      <w:r w:rsidRPr="001A5AA4">
        <w:t xml:space="preserve"> «</w:t>
      </w:r>
      <w:r>
        <w:t>Европейский</w:t>
      </w:r>
      <w:r w:rsidRPr="001A5AA4">
        <w:t xml:space="preserve"> </w:t>
      </w:r>
      <w:r>
        <w:t>зеленый</w:t>
      </w:r>
      <w:r w:rsidRPr="001A5AA4">
        <w:t xml:space="preserve"> </w:t>
      </w:r>
      <w:r>
        <w:t>курс</w:t>
      </w:r>
      <w:r w:rsidRPr="001A5AA4">
        <w:t>»</w:t>
      </w:r>
      <w:r w:rsidRPr="004040C7">
        <w:rPr>
          <w:vertAlign w:val="superscript"/>
        </w:rPr>
        <w:footnoteReference w:id="24"/>
      </w:r>
      <w:r w:rsidRPr="001A5AA4">
        <w:t xml:space="preserve"> </w:t>
      </w:r>
      <w:r w:rsidRPr="00B60CBA">
        <w:t xml:space="preserve">является </w:t>
      </w:r>
      <w:r>
        <w:t xml:space="preserve">наилучшим практическим </w:t>
      </w:r>
      <w:r w:rsidRPr="00B60CBA">
        <w:t xml:space="preserve">примером стратегии, направленной на достижение </w:t>
      </w:r>
      <w:r w:rsidRPr="00461E65">
        <w:t>чистого нулевого уровня выбросов</w:t>
      </w:r>
      <w:r w:rsidRPr="00B60CBA">
        <w:t xml:space="preserve"> (т.</w:t>
      </w:r>
      <w:r w:rsidR="00A82EF1">
        <w:rPr>
          <w:lang w:val="en-US"/>
        </w:rPr>
        <w:t> </w:t>
      </w:r>
      <w:r w:rsidRPr="00B60CBA">
        <w:t xml:space="preserve">е. углеродной нейтральности) к 2050 году. Она включает в себя переход к чистой энергетике, предполагающий создание взаимосвязанных энергетических систем и </w:t>
      </w:r>
      <w:r w:rsidRPr="00B60CBA">
        <w:lastRenderedPageBreak/>
        <w:t xml:space="preserve">более </w:t>
      </w:r>
      <w:r>
        <w:t>эффективно</w:t>
      </w:r>
      <w:r w:rsidRPr="00B60CBA">
        <w:t xml:space="preserve"> интегрированных сетей. Чтобы придать цели </w:t>
      </w:r>
      <w:r>
        <w:t>инициативы</w:t>
      </w:r>
      <w:r w:rsidRPr="00B85D40">
        <w:t xml:space="preserve"> </w:t>
      </w:r>
      <w:r>
        <w:t>«Европейский зеленый курс»</w:t>
      </w:r>
      <w:r w:rsidRPr="00B60CBA">
        <w:t xml:space="preserve"> юридически обязательный характер, Европейская комиссия приняла Европейский закон о климате</w:t>
      </w:r>
      <w:r w:rsidRPr="004040C7">
        <w:rPr>
          <w:vertAlign w:val="superscript"/>
        </w:rPr>
        <w:footnoteReference w:id="25"/>
      </w:r>
      <w:r>
        <w:t>,</w:t>
      </w:r>
      <w:r w:rsidRPr="001A5AA4">
        <w:t xml:space="preserve"> </w:t>
      </w:r>
      <w:bookmarkStart w:id="7" w:name="_Ref133310416"/>
      <w:r w:rsidRPr="00B60CBA">
        <w:t>согласно которому к 2030 году чистые выбросы парниковых газов должны быть сокращены не менее чем на 55</w:t>
      </w:r>
      <w:r>
        <w:t xml:space="preserve"> </w:t>
      </w:r>
      <w:r w:rsidRPr="00B60CBA">
        <w:t>% по сравнению с уровнем 1990 года. Для</w:t>
      </w:r>
      <w:r w:rsidRPr="001A5AA4">
        <w:t xml:space="preserve"> </w:t>
      </w:r>
      <w:r w:rsidRPr="00B60CBA">
        <w:t>достижения</w:t>
      </w:r>
      <w:r w:rsidRPr="001A5AA4">
        <w:t xml:space="preserve"> </w:t>
      </w:r>
      <w:r w:rsidRPr="00B60CBA">
        <w:t>этой</w:t>
      </w:r>
      <w:r w:rsidRPr="001A5AA4">
        <w:t xml:space="preserve"> </w:t>
      </w:r>
      <w:r w:rsidRPr="00B60CBA">
        <w:t>цели</w:t>
      </w:r>
      <w:r w:rsidRPr="001A5AA4">
        <w:t xml:space="preserve"> </w:t>
      </w:r>
      <w:r w:rsidRPr="00B60CBA">
        <w:t>был</w:t>
      </w:r>
      <w:r w:rsidRPr="001A5AA4">
        <w:t xml:space="preserve"> </w:t>
      </w:r>
      <w:r w:rsidRPr="00B60CBA">
        <w:t>разработан</w:t>
      </w:r>
      <w:r w:rsidRPr="001A5AA4">
        <w:t xml:space="preserve"> пакет нормативных мер «</w:t>
      </w:r>
      <w:r w:rsidRPr="001A5AA4">
        <w:rPr>
          <w:lang w:val="en-US"/>
        </w:rPr>
        <w:t>Fit</w:t>
      </w:r>
      <w:r w:rsidRPr="001A5AA4">
        <w:t xml:space="preserve"> </w:t>
      </w:r>
      <w:r w:rsidRPr="001A5AA4">
        <w:rPr>
          <w:lang w:val="en-US"/>
        </w:rPr>
        <w:t>for</w:t>
      </w:r>
      <w:r w:rsidRPr="001A5AA4">
        <w:t xml:space="preserve"> 55»</w:t>
      </w:r>
      <w:r w:rsidRPr="004040C7">
        <w:rPr>
          <w:vertAlign w:val="superscript"/>
        </w:rPr>
        <w:footnoteReference w:id="26"/>
      </w:r>
      <w:bookmarkEnd w:id="7"/>
      <w:r>
        <w:t>,</w:t>
      </w:r>
      <w:r w:rsidRPr="001A5AA4">
        <w:t xml:space="preserve"> </w:t>
      </w:r>
      <w:r w:rsidRPr="00B60CBA">
        <w:t xml:space="preserve">включающий в себя целый ряд инициатив, связанных с разработкой планов и проектов, </w:t>
      </w:r>
      <w:r>
        <w:t>которые могут опираться на</w:t>
      </w:r>
      <w:r w:rsidRPr="00B60CBA">
        <w:t xml:space="preserve"> оценк</w:t>
      </w:r>
      <w:r>
        <w:t>у</w:t>
      </w:r>
      <w:r w:rsidRPr="00B60CBA">
        <w:t xml:space="preserve"> потенциального воздействия, предусмотренн</w:t>
      </w:r>
      <w:r>
        <w:t>ую</w:t>
      </w:r>
      <w:r w:rsidRPr="00B60CBA">
        <w:t xml:space="preserve"> Конвенцией и Протоколом</w:t>
      </w:r>
      <w:r w:rsidRPr="001A5AA4">
        <w:t xml:space="preserve">. </w:t>
      </w:r>
    </w:p>
    <w:p w14:paraId="1EAEDDAC" w14:textId="64B00B25" w:rsidR="000C3BBC" w:rsidRPr="005016B3" w:rsidRDefault="000C3BBC" w:rsidP="000C3BBC">
      <w:pPr>
        <w:pStyle w:val="SingleTxtG"/>
      </w:pPr>
      <w:r w:rsidRPr="005D601C">
        <w:t>19.</w:t>
      </w:r>
      <w:r w:rsidRPr="005D601C">
        <w:tab/>
      </w:r>
      <w:r>
        <w:t xml:space="preserve">Обращенное к Сторонам </w:t>
      </w:r>
      <w:r w:rsidRPr="005016B3">
        <w:t xml:space="preserve">Парижского соглашения </w:t>
      </w:r>
      <w:r>
        <w:t>т</w:t>
      </w:r>
      <w:r w:rsidRPr="005016B3">
        <w:t xml:space="preserve">ребование разрабатывать меры по борьбе с изменением климата в рамках </w:t>
      </w:r>
      <w:r>
        <w:t>«</w:t>
      </w:r>
      <w:r w:rsidRPr="0045060E">
        <w:t>определяемых на национальном уровне вкладов</w:t>
      </w:r>
      <w:r>
        <w:t>»</w:t>
      </w:r>
      <w:r w:rsidRPr="004040C7">
        <w:rPr>
          <w:vertAlign w:val="superscript"/>
        </w:rPr>
        <w:footnoteReference w:id="27"/>
      </w:r>
      <w:r w:rsidRPr="005D601C">
        <w:t xml:space="preserve"> </w:t>
      </w:r>
      <w:r w:rsidRPr="005016B3">
        <w:t>означает, что стратегии, аналогичные</w:t>
      </w:r>
      <w:r>
        <w:t xml:space="preserve"> тем, которые</w:t>
      </w:r>
      <w:r w:rsidRPr="005016B3">
        <w:t xml:space="preserve"> перечислен</w:t>
      </w:r>
      <w:r>
        <w:t>ы</w:t>
      </w:r>
      <w:r w:rsidRPr="005016B3">
        <w:t xml:space="preserve"> для Европейского союза, </w:t>
      </w:r>
      <w:r>
        <w:t xml:space="preserve">должны </w:t>
      </w:r>
      <w:r w:rsidRPr="005016B3">
        <w:t>существ</w:t>
      </w:r>
      <w:r>
        <w:t>овать</w:t>
      </w:r>
      <w:r w:rsidRPr="005016B3">
        <w:t xml:space="preserve"> и в других странах. Однако важно признать, что отправные точки энергетического перехода в регионе ЕЭК и за его пределами существенно </w:t>
      </w:r>
      <w:r>
        <w:t>отличаются друг от друга</w:t>
      </w:r>
      <w:r w:rsidRPr="005016B3">
        <w:t xml:space="preserve">. </w:t>
      </w:r>
      <w:r w:rsidRPr="0045060E">
        <w:t>Сеть по политике в области использования возобновляемых источников энергии для XXI века</w:t>
      </w:r>
      <w:r w:rsidRPr="005016B3">
        <w:t xml:space="preserve"> и ЕЭК совместно подготовили </w:t>
      </w:r>
      <w:r w:rsidRPr="007C0C04">
        <w:t>Доклад о состоянии возобновляемой энергетики в</w:t>
      </w:r>
      <w:r>
        <w:t xml:space="preserve"> </w:t>
      </w:r>
      <w:r w:rsidRPr="007C0C04">
        <w:t>регионе ЕЭК ООН</w:t>
      </w:r>
      <w:r w:rsidR="006C6943">
        <w:t xml:space="preserve"> </w:t>
      </w:r>
      <w:r w:rsidRPr="005016B3">
        <w:t>в 2022 г</w:t>
      </w:r>
      <w:r>
        <w:t>оду</w:t>
      </w:r>
      <w:r w:rsidRPr="005016B3">
        <w:t>, в котором рассматривается состояние возобновляемой энергетики в 17</w:t>
      </w:r>
      <w:r w:rsidR="00A82EF1">
        <w:rPr>
          <w:lang w:val="en-US"/>
        </w:rPr>
        <w:t> </w:t>
      </w:r>
      <w:r w:rsidRPr="005016B3">
        <w:t>странах ЕЭК плюс Косово</w:t>
      </w:r>
      <w:r w:rsidRPr="004040C7">
        <w:rPr>
          <w:sz w:val="18"/>
          <w:vertAlign w:val="superscript"/>
        </w:rPr>
        <w:footnoteReference w:id="28"/>
      </w:r>
      <w:r w:rsidRPr="005D601C">
        <w:t xml:space="preserve"> </w:t>
      </w:r>
      <w:r>
        <w:t>и особое внимание уделяется странам</w:t>
      </w:r>
      <w:r w:rsidRPr="005016B3">
        <w:t xml:space="preserve"> Юго-Восточн</w:t>
      </w:r>
      <w:r>
        <w:t>ой</w:t>
      </w:r>
      <w:r w:rsidRPr="005016B3">
        <w:t xml:space="preserve"> и Восточн</w:t>
      </w:r>
      <w:r>
        <w:t>ой</w:t>
      </w:r>
      <w:r w:rsidRPr="005016B3">
        <w:t xml:space="preserve"> Европ</w:t>
      </w:r>
      <w:r>
        <w:t>ы</w:t>
      </w:r>
      <w:r w:rsidRPr="005016B3">
        <w:t>, Кавказ</w:t>
      </w:r>
      <w:r>
        <w:t>а</w:t>
      </w:r>
      <w:r w:rsidRPr="005016B3">
        <w:t>, Центральн</w:t>
      </w:r>
      <w:r>
        <w:t>ой</w:t>
      </w:r>
      <w:r w:rsidRPr="005016B3">
        <w:t xml:space="preserve"> Ази</w:t>
      </w:r>
      <w:r>
        <w:t>и</w:t>
      </w:r>
      <w:r w:rsidRPr="005016B3">
        <w:t xml:space="preserve"> и Российск</w:t>
      </w:r>
      <w:r>
        <w:t>ой</w:t>
      </w:r>
      <w:r w:rsidRPr="005016B3">
        <w:t xml:space="preserve"> Федераци</w:t>
      </w:r>
      <w:r>
        <w:t>и</w:t>
      </w:r>
      <w:r w:rsidRPr="004040C7">
        <w:rPr>
          <w:vertAlign w:val="superscript"/>
        </w:rPr>
        <w:footnoteReference w:id="29"/>
      </w:r>
      <w:r>
        <w:t>.</w:t>
      </w:r>
      <w:r w:rsidRPr="005D601C">
        <w:t xml:space="preserve"> </w:t>
      </w:r>
      <w:r w:rsidRPr="005016B3">
        <w:t xml:space="preserve">В </w:t>
      </w:r>
      <w:r>
        <w:t xml:space="preserve">этом </w:t>
      </w:r>
      <w:r w:rsidRPr="005016B3">
        <w:t xml:space="preserve">исследовании отмечается, что страны, </w:t>
      </w:r>
      <w:r>
        <w:t>входящие в</w:t>
      </w:r>
      <w:r w:rsidRPr="005016B3">
        <w:t xml:space="preserve"> </w:t>
      </w:r>
      <w:r>
        <w:t>последний</w:t>
      </w:r>
      <w:r w:rsidRPr="005016B3">
        <w:t xml:space="preserve"> </w:t>
      </w:r>
      <w:r>
        <w:t>регион государств</w:t>
      </w:r>
      <w:r w:rsidRPr="005016B3">
        <w:t xml:space="preserve">, </w:t>
      </w:r>
      <w:r>
        <w:t>«</w:t>
      </w:r>
      <w:r w:rsidRPr="005016B3">
        <w:t xml:space="preserve">обладают значительным потенциалом для </w:t>
      </w:r>
      <w:r>
        <w:t>использования</w:t>
      </w:r>
      <w:r w:rsidRPr="005016B3">
        <w:t xml:space="preserve"> возобновляемых источников энергии, однако большинство из них по-прежнему сильно зависят от ископаемого топлива, </w:t>
      </w:r>
      <w:r w:rsidRPr="007C0C04">
        <w:t xml:space="preserve">при этом доля возобновляемых источников энергии в их общем </w:t>
      </w:r>
      <w:r>
        <w:t xml:space="preserve">объеме </w:t>
      </w:r>
      <w:r w:rsidRPr="007C0C04">
        <w:t>конечно</w:t>
      </w:r>
      <w:r>
        <w:t>го</w:t>
      </w:r>
      <w:r w:rsidRPr="007C0C04">
        <w:t xml:space="preserve"> потреблени</w:t>
      </w:r>
      <w:r>
        <w:t>я</w:t>
      </w:r>
      <w:r w:rsidRPr="007C0C04">
        <w:t xml:space="preserve"> энергии относительно невелика</w:t>
      </w:r>
      <w:r>
        <w:t>»</w:t>
      </w:r>
      <w:r w:rsidRPr="005016B3">
        <w:t xml:space="preserve">. Таким образом, планы энергетического перехода будут выглядеть совершенно по-разному, по крайней мере в краткосрочной и среднесрочной перспективе, в </w:t>
      </w:r>
      <w:r>
        <w:t>тех или иных Сторонах</w:t>
      </w:r>
      <w:r w:rsidRPr="005016B3">
        <w:t xml:space="preserve"> Конвенции и Протокола</w:t>
      </w:r>
      <w:r w:rsidRPr="005D601C">
        <w:t>.</w:t>
      </w:r>
    </w:p>
    <w:p w14:paraId="357AE4C1" w14:textId="684CB91F" w:rsidR="000C3BBC" w:rsidRPr="00B86730" w:rsidRDefault="000C3BBC" w:rsidP="000C3BBC">
      <w:pPr>
        <w:pStyle w:val="SingleTxtG"/>
      </w:pPr>
      <w:r w:rsidRPr="00406620">
        <w:t>20.</w:t>
      </w:r>
      <w:r w:rsidRPr="00406620">
        <w:tab/>
      </w:r>
      <w:r w:rsidRPr="00B86730">
        <w:t xml:space="preserve">Стратегии развития возобновляемой энергетики во многих странах </w:t>
      </w:r>
      <w:r>
        <w:t>приводят к</w:t>
      </w:r>
      <w:r w:rsidRPr="00B86730">
        <w:t xml:space="preserve"> разработк</w:t>
      </w:r>
      <w:r>
        <w:t>е</w:t>
      </w:r>
      <w:r w:rsidRPr="00B86730">
        <w:t xml:space="preserve"> территориальных планов, связанных с возобновляемыми источниками энергии, например в Греции</w:t>
      </w:r>
      <w:r w:rsidRPr="004040C7">
        <w:rPr>
          <w:sz w:val="18"/>
          <w:vertAlign w:val="superscript"/>
        </w:rPr>
        <w:footnoteReference w:id="30"/>
      </w:r>
      <w:r w:rsidRPr="00406620">
        <w:t xml:space="preserve"> </w:t>
      </w:r>
      <w:r w:rsidRPr="00B86730">
        <w:t>и Австрии</w:t>
      </w:r>
      <w:r w:rsidRPr="004040C7">
        <w:rPr>
          <w:sz w:val="18"/>
          <w:vertAlign w:val="superscript"/>
        </w:rPr>
        <w:footnoteReference w:id="31"/>
      </w:r>
      <w:r>
        <w:t>.</w:t>
      </w:r>
      <w:r w:rsidRPr="00406620">
        <w:t xml:space="preserve"> </w:t>
      </w:r>
      <w:r>
        <w:t>В</w:t>
      </w:r>
      <w:r w:rsidRPr="00B86730">
        <w:t xml:space="preserve"> соответствии с Протоколом </w:t>
      </w:r>
      <w:r>
        <w:t xml:space="preserve">его </w:t>
      </w:r>
      <w:r w:rsidRPr="00B86730">
        <w:t>Сторон</w:t>
      </w:r>
      <w:r>
        <w:t>ы</w:t>
      </w:r>
      <w:r w:rsidRPr="00B86730">
        <w:t xml:space="preserve"> </w:t>
      </w:r>
      <w:r>
        <w:t xml:space="preserve">обязаны проводить </w:t>
      </w:r>
      <w:r w:rsidRPr="00B86730">
        <w:t>стратегическ</w:t>
      </w:r>
      <w:r>
        <w:t>ую</w:t>
      </w:r>
      <w:r w:rsidRPr="00B86730">
        <w:t xml:space="preserve"> экологическ</w:t>
      </w:r>
      <w:r>
        <w:t>ую</w:t>
      </w:r>
      <w:r w:rsidRPr="00B86730">
        <w:t xml:space="preserve"> оценк</w:t>
      </w:r>
      <w:r>
        <w:t>у э</w:t>
      </w:r>
      <w:r w:rsidRPr="00B86730">
        <w:t>ти</w:t>
      </w:r>
      <w:r>
        <w:t>х</w:t>
      </w:r>
      <w:r w:rsidRPr="00B86730">
        <w:t xml:space="preserve"> план</w:t>
      </w:r>
      <w:r>
        <w:t>ов</w:t>
      </w:r>
      <w:r w:rsidRPr="00B86730">
        <w:t xml:space="preserve">, что </w:t>
      </w:r>
      <w:r>
        <w:t>предоставляет</w:t>
      </w:r>
      <w:r w:rsidRPr="00B86730">
        <w:t xml:space="preserve"> своевременную возможность обеспечить устойчивое осуществление энергетического перехода </w:t>
      </w:r>
      <w:r w:rsidRPr="0013270B">
        <w:t>без</w:t>
      </w:r>
      <w:r>
        <w:t xml:space="preserve"> </w:t>
      </w:r>
      <w:r w:rsidRPr="0013270B">
        <w:t>превышения допустимой нагрузки на</w:t>
      </w:r>
      <w:r>
        <w:t xml:space="preserve"> </w:t>
      </w:r>
      <w:r w:rsidRPr="0013270B">
        <w:t>окружающую среду</w:t>
      </w:r>
      <w:r w:rsidRPr="00B86730">
        <w:t xml:space="preserve">. В тех случаях, когда такие планы не разработаны, </w:t>
      </w:r>
      <w:r>
        <w:t xml:space="preserve">то существуют </w:t>
      </w:r>
      <w:r w:rsidRPr="00B86730">
        <w:t>ограничения</w:t>
      </w:r>
      <w:r>
        <w:t>, которые касаются</w:t>
      </w:r>
      <w:r w:rsidRPr="00B86730">
        <w:t xml:space="preserve"> оценки воздействия на окружающую среду, основанной на проектах</w:t>
      </w:r>
      <w:r>
        <w:t xml:space="preserve"> и</w:t>
      </w:r>
      <w:r w:rsidRPr="00B86730">
        <w:t xml:space="preserve"> </w:t>
      </w:r>
      <w:r>
        <w:t>проводимой с целью</w:t>
      </w:r>
      <w:r w:rsidRPr="00B86730">
        <w:t xml:space="preserve"> определения кумулятивного воздействия многочисленных энергетических проектов</w:t>
      </w:r>
      <w:r>
        <w:t>, и которые</w:t>
      </w:r>
      <w:r w:rsidRPr="00B86730">
        <w:t xml:space="preserve"> были продемонстрированы в ходе рассмотрения дела </w:t>
      </w:r>
      <w:r w:rsidRPr="002766E7">
        <w:rPr>
          <w:i/>
          <w:iCs/>
        </w:rPr>
        <w:t>Европейск</w:t>
      </w:r>
      <w:r>
        <w:rPr>
          <w:i/>
          <w:iCs/>
        </w:rPr>
        <w:t>ая</w:t>
      </w:r>
      <w:r w:rsidRPr="002766E7">
        <w:rPr>
          <w:i/>
          <w:iCs/>
        </w:rPr>
        <w:t xml:space="preserve"> комисси</w:t>
      </w:r>
      <w:r>
        <w:rPr>
          <w:i/>
          <w:iCs/>
        </w:rPr>
        <w:t>я</w:t>
      </w:r>
      <w:r w:rsidRPr="002766E7">
        <w:rPr>
          <w:i/>
          <w:iCs/>
        </w:rPr>
        <w:t xml:space="preserve"> против Республики Болгария (Калиакра)</w:t>
      </w:r>
      <w:r w:rsidRPr="00B86730">
        <w:t xml:space="preserve"> в </w:t>
      </w:r>
      <w:r w:rsidRPr="002766E7">
        <w:t>Суд</w:t>
      </w:r>
      <w:r>
        <w:t>е</w:t>
      </w:r>
      <w:r w:rsidRPr="002766E7">
        <w:t xml:space="preserve"> Европейского</w:t>
      </w:r>
      <w:r>
        <w:t xml:space="preserve"> </w:t>
      </w:r>
      <w:r w:rsidRPr="002766E7">
        <w:t>союза</w:t>
      </w:r>
      <w:r w:rsidRPr="004040C7">
        <w:rPr>
          <w:sz w:val="18"/>
          <w:vertAlign w:val="superscript"/>
        </w:rPr>
        <w:footnoteReference w:id="32"/>
      </w:r>
      <w:r>
        <w:t>.</w:t>
      </w:r>
      <w:r w:rsidRPr="00406620">
        <w:t xml:space="preserve"> </w:t>
      </w:r>
      <w:r w:rsidRPr="00B86730">
        <w:t>Таким образом, подготовка планов энергетического перехода и их последующ</w:t>
      </w:r>
      <w:r>
        <w:t>ий</w:t>
      </w:r>
      <w:r w:rsidRPr="00B86730">
        <w:t xml:space="preserve"> </w:t>
      </w:r>
      <w:r>
        <w:t>анализ</w:t>
      </w:r>
      <w:r w:rsidRPr="00B86730">
        <w:t xml:space="preserve"> с использованием стратегической экологической оценки отража</w:t>
      </w:r>
      <w:r>
        <w:t>ю</w:t>
      </w:r>
      <w:r w:rsidRPr="00B86730">
        <w:t>т передовую практику, которая имеет очевидные экологические преимущества</w:t>
      </w:r>
      <w:r w:rsidRPr="00406620">
        <w:t>.</w:t>
      </w:r>
    </w:p>
    <w:p w14:paraId="46A68EB7" w14:textId="1B31A2F0" w:rsidR="000C3BBC" w:rsidRPr="00A26C73" w:rsidRDefault="000C3BBC" w:rsidP="000C3BBC">
      <w:pPr>
        <w:pStyle w:val="H1G"/>
        <w:rPr>
          <w:lang w:eastAsia="en-US"/>
        </w:rPr>
      </w:pPr>
      <w:r w:rsidRPr="00B86730">
        <w:rPr>
          <w:lang w:eastAsia="en-US"/>
        </w:rPr>
        <w:lastRenderedPageBreak/>
        <w:tab/>
      </w:r>
      <w:r w:rsidRPr="004040C7">
        <w:rPr>
          <w:szCs w:val="24"/>
          <w:lang w:eastAsia="en-US"/>
        </w:rPr>
        <w:t>C</w:t>
      </w:r>
      <w:r w:rsidRPr="00A26C73">
        <w:rPr>
          <w:lang w:eastAsia="en-US"/>
        </w:rPr>
        <w:t>.</w:t>
      </w:r>
      <w:r w:rsidRPr="00A26C73">
        <w:rPr>
          <w:lang w:eastAsia="en-US"/>
        </w:rPr>
        <w:tab/>
        <w:t>Роль, преимущества и дальнейший потенциал Конвенции и</w:t>
      </w:r>
      <w:r w:rsidR="00A82EF1">
        <w:rPr>
          <w:lang w:val="en-US" w:eastAsia="en-US"/>
        </w:rPr>
        <w:t> </w:t>
      </w:r>
      <w:r w:rsidRPr="00A26C73">
        <w:rPr>
          <w:lang w:eastAsia="en-US"/>
        </w:rPr>
        <w:t>Протокола в содействии энергетическому переходу</w:t>
      </w:r>
    </w:p>
    <w:p w14:paraId="7EBDCAB5" w14:textId="5A4480D7" w:rsidR="000C3BBC" w:rsidRPr="00A26C73" w:rsidRDefault="000C3BBC" w:rsidP="000C3BBC">
      <w:pPr>
        <w:pStyle w:val="SingleTxtG"/>
      </w:pPr>
      <w:r w:rsidRPr="004C7FB5">
        <w:t>21.</w:t>
      </w:r>
      <w:r w:rsidRPr="004C7FB5">
        <w:tab/>
      </w:r>
      <w:r w:rsidRPr="007D6DF3">
        <w:rPr>
          <w:i/>
          <w:iCs/>
        </w:rPr>
        <w:t>Рекомендации</w:t>
      </w:r>
      <w:r w:rsidRPr="004C7FB5">
        <w:rPr>
          <w:i/>
          <w:iCs/>
        </w:rPr>
        <w:t xml:space="preserve">, </w:t>
      </w:r>
      <w:r w:rsidRPr="007D6DF3">
        <w:rPr>
          <w:i/>
          <w:iCs/>
        </w:rPr>
        <w:t>касающиеся</w:t>
      </w:r>
      <w:r w:rsidRPr="004C7FB5">
        <w:rPr>
          <w:i/>
          <w:iCs/>
        </w:rPr>
        <w:t xml:space="preserve"> </w:t>
      </w:r>
      <w:r w:rsidRPr="007D6DF3">
        <w:rPr>
          <w:i/>
          <w:iCs/>
        </w:rPr>
        <w:t>надлежащей</w:t>
      </w:r>
      <w:r w:rsidRPr="004C7FB5">
        <w:rPr>
          <w:i/>
          <w:iCs/>
        </w:rPr>
        <w:t xml:space="preserve"> </w:t>
      </w:r>
      <w:r w:rsidRPr="007D6DF3">
        <w:rPr>
          <w:i/>
          <w:iCs/>
        </w:rPr>
        <w:t>практики</w:t>
      </w:r>
      <w:r w:rsidRPr="004C7FB5">
        <w:rPr>
          <w:i/>
          <w:iCs/>
        </w:rPr>
        <w:t xml:space="preserve"> </w:t>
      </w:r>
      <w:r w:rsidRPr="007D6DF3">
        <w:rPr>
          <w:i/>
          <w:iCs/>
        </w:rPr>
        <w:t>применения</w:t>
      </w:r>
      <w:r w:rsidRPr="004C7FB5">
        <w:rPr>
          <w:i/>
          <w:iCs/>
        </w:rPr>
        <w:t xml:space="preserve"> </w:t>
      </w:r>
      <w:r w:rsidRPr="007D6DF3">
        <w:rPr>
          <w:i/>
          <w:iCs/>
        </w:rPr>
        <w:t>Конвенции</w:t>
      </w:r>
      <w:r w:rsidRPr="004C7FB5">
        <w:rPr>
          <w:i/>
          <w:iCs/>
        </w:rPr>
        <w:t xml:space="preserve"> </w:t>
      </w:r>
      <w:r w:rsidRPr="007D6DF3">
        <w:rPr>
          <w:i/>
          <w:iCs/>
        </w:rPr>
        <w:t>к</w:t>
      </w:r>
      <w:r w:rsidRPr="004C7FB5">
        <w:rPr>
          <w:i/>
          <w:iCs/>
        </w:rPr>
        <w:t xml:space="preserve"> </w:t>
      </w:r>
      <w:r w:rsidRPr="007D6DF3">
        <w:rPr>
          <w:i/>
          <w:iCs/>
        </w:rPr>
        <w:t>деятельности</w:t>
      </w:r>
      <w:r w:rsidRPr="004C7FB5">
        <w:rPr>
          <w:i/>
          <w:iCs/>
        </w:rPr>
        <w:t xml:space="preserve">, </w:t>
      </w:r>
      <w:r w:rsidRPr="007D6DF3">
        <w:rPr>
          <w:i/>
          <w:iCs/>
        </w:rPr>
        <w:t>связанной</w:t>
      </w:r>
      <w:r w:rsidRPr="004C7FB5">
        <w:rPr>
          <w:i/>
          <w:iCs/>
        </w:rPr>
        <w:t xml:space="preserve"> </w:t>
      </w:r>
      <w:r w:rsidRPr="007D6DF3">
        <w:rPr>
          <w:i/>
          <w:iCs/>
        </w:rPr>
        <w:t>с</w:t>
      </w:r>
      <w:r w:rsidR="006C6943">
        <w:rPr>
          <w:i/>
          <w:iCs/>
        </w:rPr>
        <w:t xml:space="preserve"> </w:t>
      </w:r>
      <w:r w:rsidRPr="007D6DF3">
        <w:rPr>
          <w:i/>
          <w:iCs/>
        </w:rPr>
        <w:t>атомной</w:t>
      </w:r>
      <w:r w:rsidRPr="004C7FB5">
        <w:rPr>
          <w:i/>
          <w:iCs/>
        </w:rPr>
        <w:t xml:space="preserve"> </w:t>
      </w:r>
      <w:r w:rsidRPr="007D6DF3">
        <w:rPr>
          <w:i/>
          <w:iCs/>
        </w:rPr>
        <w:t>энергетикой</w:t>
      </w:r>
      <w:r w:rsidRPr="004040C7">
        <w:rPr>
          <w:vertAlign w:val="superscript"/>
        </w:rPr>
        <w:footnoteReference w:id="33"/>
      </w:r>
      <w:r w:rsidRPr="005529A5">
        <w:t>,</w:t>
      </w:r>
      <w:r w:rsidRPr="004C7FB5">
        <w:t xml:space="preserve"> </w:t>
      </w:r>
      <w:r w:rsidRPr="00A26C73">
        <w:t xml:space="preserve">были </w:t>
      </w:r>
      <w:r>
        <w:t>приняты</w:t>
      </w:r>
      <w:r w:rsidRPr="00A26C73">
        <w:t xml:space="preserve"> Совещанием </w:t>
      </w:r>
      <w:r>
        <w:t>С</w:t>
      </w:r>
      <w:r w:rsidRPr="00A26C73">
        <w:t xml:space="preserve">торон Конвенции Эспо на его седьмой сессии, а </w:t>
      </w:r>
      <w:r w:rsidRPr="007D6DF3">
        <w:rPr>
          <w:i/>
          <w:iCs/>
        </w:rPr>
        <w:t>Руководство по применимости Конвенции к продлению срока службы атомных электростанций</w:t>
      </w:r>
      <w:r w:rsidRPr="004040C7">
        <w:rPr>
          <w:vertAlign w:val="superscript"/>
        </w:rPr>
        <w:footnoteReference w:id="34"/>
      </w:r>
      <w:r w:rsidRPr="004C7FB5">
        <w:t xml:space="preserve"> </w:t>
      </w:r>
      <w:r>
        <w:t>—</w:t>
      </w:r>
      <w:r w:rsidRPr="00A26C73">
        <w:t xml:space="preserve"> Совещанием </w:t>
      </w:r>
      <w:r>
        <w:t>С</w:t>
      </w:r>
      <w:r w:rsidRPr="00A26C73">
        <w:t>торон на его восьмой сессии (Вильнюс (онлайн), 8</w:t>
      </w:r>
      <w:r>
        <w:t>–</w:t>
      </w:r>
      <w:r w:rsidRPr="00A26C73">
        <w:t>11 декабря 2020 г</w:t>
      </w:r>
      <w:r>
        <w:t>ода</w:t>
      </w:r>
      <w:r w:rsidRPr="00A26C73">
        <w:t xml:space="preserve">). 3 июня 2014 года в Женеве было проведено рабочее совещание, </w:t>
      </w:r>
      <w:r>
        <w:t>на котором была представлена ц</w:t>
      </w:r>
      <w:r w:rsidRPr="007C3267">
        <w:t>енн</w:t>
      </w:r>
      <w:r>
        <w:t>ая</w:t>
      </w:r>
      <w:r w:rsidRPr="007C3267">
        <w:t xml:space="preserve"> </w:t>
      </w:r>
      <w:r>
        <w:t>информация</w:t>
      </w:r>
      <w:r w:rsidRPr="007C3267">
        <w:t xml:space="preserve"> о </w:t>
      </w:r>
      <w:r w:rsidRPr="00A26C73">
        <w:t>примен</w:t>
      </w:r>
      <w:r>
        <w:t>имости</w:t>
      </w:r>
      <w:r w:rsidRPr="00A26C73">
        <w:t xml:space="preserve"> Конвенции и Протокола к деятельности, связанной с ветро- и гидроэнергетикой</w:t>
      </w:r>
      <w:r w:rsidRPr="004040C7">
        <w:rPr>
          <w:vertAlign w:val="superscript"/>
        </w:rPr>
        <w:footnoteReference w:id="35"/>
      </w:r>
      <w:r>
        <w:t>.</w:t>
      </w:r>
      <w:r w:rsidRPr="004C7FB5">
        <w:t xml:space="preserve"> </w:t>
      </w:r>
      <w:r w:rsidRPr="00A26C73">
        <w:t xml:space="preserve">На этом же мероприятии в ходе </w:t>
      </w:r>
      <w:r>
        <w:t>групповой</w:t>
      </w:r>
      <w:r w:rsidRPr="00A26C73">
        <w:t xml:space="preserve"> дискуссии были освещены основные достижения, извлеченные уроки и сохраняющиеся проблемы в применении Конвенции и Протокола к вопросам энергетики</w:t>
      </w:r>
      <w:r w:rsidRPr="004040C7">
        <w:rPr>
          <w:vertAlign w:val="superscript"/>
        </w:rPr>
        <w:footnoteReference w:id="36"/>
      </w:r>
      <w:r>
        <w:t>,</w:t>
      </w:r>
      <w:r w:rsidRPr="005529A5">
        <w:t xml:space="preserve"> </w:t>
      </w:r>
      <w:r w:rsidRPr="00A26C73">
        <w:t xml:space="preserve">а на семинаре был продемонстрирован опыт международных финансовых </w:t>
      </w:r>
      <w:r>
        <w:t>учреждений</w:t>
      </w:r>
      <w:r w:rsidRPr="00A26C73">
        <w:t xml:space="preserve"> в </w:t>
      </w:r>
      <w:r>
        <w:t>проведении</w:t>
      </w:r>
      <w:r w:rsidRPr="00A26C73">
        <w:t xml:space="preserve"> экологических оценок в регионе ЕЭК и за его пределами, в том числе </w:t>
      </w:r>
      <w:r>
        <w:t xml:space="preserve">в отношении </w:t>
      </w:r>
      <w:r w:rsidRPr="004C7FB5">
        <w:t>трансграничных</w:t>
      </w:r>
      <w:r>
        <w:t xml:space="preserve"> </w:t>
      </w:r>
      <w:r w:rsidRPr="004C7FB5">
        <w:t>энергетических инфраструктурных проектов</w:t>
      </w:r>
      <w:r w:rsidRPr="004040C7">
        <w:rPr>
          <w:vertAlign w:val="superscript"/>
        </w:rPr>
        <w:footnoteReference w:id="37"/>
      </w:r>
      <w:r>
        <w:t>.</w:t>
      </w:r>
      <w:r w:rsidRPr="005529A5">
        <w:t xml:space="preserve"> </w:t>
      </w:r>
      <w:r w:rsidRPr="00A26C73">
        <w:t xml:space="preserve">Таким образом, </w:t>
      </w:r>
      <w:r>
        <w:t xml:space="preserve">в рамках </w:t>
      </w:r>
      <w:r w:rsidRPr="00A26C73">
        <w:t>Конвенци</w:t>
      </w:r>
      <w:r>
        <w:t>и</w:t>
      </w:r>
      <w:r w:rsidRPr="00A26C73">
        <w:t xml:space="preserve"> и Протокол</w:t>
      </w:r>
      <w:r>
        <w:t>а</w:t>
      </w:r>
      <w:r w:rsidRPr="00A26C73">
        <w:t xml:space="preserve"> имеют</w:t>
      </w:r>
      <w:r>
        <w:t>ся</w:t>
      </w:r>
      <w:r w:rsidRPr="00A26C73">
        <w:t xml:space="preserve"> все возможности для выявления воздейств</w:t>
      </w:r>
      <w:r>
        <w:t>ия</w:t>
      </w:r>
      <w:r w:rsidRPr="00A26C73">
        <w:t>, связанн</w:t>
      </w:r>
      <w:r>
        <w:t>ого</w:t>
      </w:r>
      <w:r w:rsidRPr="00A26C73">
        <w:t xml:space="preserve"> с разрабатываемыми планами, программами и проектами </w:t>
      </w:r>
      <w:r>
        <w:t xml:space="preserve">энергетического </w:t>
      </w:r>
      <w:r w:rsidRPr="00A26C73">
        <w:t>перехода</w:t>
      </w:r>
      <w:r w:rsidR="00A82EF1">
        <w:br/>
      </w:r>
      <w:r w:rsidRPr="00A26C73">
        <w:t xml:space="preserve"> (см. раздел II.B выше), и для определения мер по </w:t>
      </w:r>
      <w:r>
        <w:t xml:space="preserve">сокращению </w:t>
      </w:r>
      <w:r w:rsidRPr="00A26C73">
        <w:t>или устранению эт</w:t>
      </w:r>
      <w:r>
        <w:t>ого</w:t>
      </w:r>
      <w:r w:rsidRPr="00A26C73">
        <w:t xml:space="preserve"> воздействи</w:t>
      </w:r>
      <w:r>
        <w:t>я</w:t>
      </w:r>
      <w:r w:rsidRPr="00A26C73">
        <w:t xml:space="preserve"> </w:t>
      </w:r>
      <w:r>
        <w:t xml:space="preserve">в контексте </w:t>
      </w:r>
      <w:r w:rsidRPr="00A26C73">
        <w:t>трансграничных проектов (Конвенция, ст. 5)</w:t>
      </w:r>
      <w:r w:rsidRPr="005529A5">
        <w:t>.</w:t>
      </w:r>
    </w:p>
    <w:p w14:paraId="521685DA" w14:textId="77777777" w:rsidR="000C3BBC" w:rsidRPr="00E753DA" w:rsidRDefault="000C3BBC" w:rsidP="000C3BBC">
      <w:pPr>
        <w:pStyle w:val="SingleTxtG"/>
        <w:rPr>
          <w:shd w:val="clear" w:color="auto" w:fill="FFFFFF"/>
        </w:rPr>
      </w:pPr>
      <w:r w:rsidRPr="009C2848">
        <w:t>22.</w:t>
      </w:r>
      <w:r w:rsidRPr="009C2848">
        <w:tab/>
      </w:r>
      <w:r>
        <w:rPr>
          <w:shd w:val="clear" w:color="auto" w:fill="FFFFFF"/>
        </w:rPr>
        <w:t>В контексте признания</w:t>
      </w:r>
      <w:r w:rsidRPr="005A3513">
        <w:rPr>
          <w:shd w:val="clear" w:color="auto" w:fill="FFFFFF"/>
        </w:rPr>
        <w:t xml:space="preserve"> важност</w:t>
      </w:r>
      <w:r>
        <w:rPr>
          <w:shd w:val="clear" w:color="auto" w:fill="FFFFFF"/>
        </w:rPr>
        <w:t>и</w:t>
      </w:r>
      <w:r w:rsidRPr="005A3513">
        <w:rPr>
          <w:shd w:val="clear" w:color="auto" w:fill="FFFFFF"/>
        </w:rPr>
        <w:t xml:space="preserve"> морских </w:t>
      </w:r>
      <w:r>
        <w:rPr>
          <w:shd w:val="clear" w:color="auto" w:fill="FFFFFF"/>
        </w:rPr>
        <w:t>районов</w:t>
      </w:r>
      <w:r w:rsidRPr="005A3513">
        <w:rPr>
          <w:shd w:val="clear" w:color="auto" w:fill="FFFFFF"/>
        </w:rPr>
        <w:t xml:space="preserve"> в </w:t>
      </w:r>
      <w:r>
        <w:rPr>
          <w:shd w:val="clear" w:color="auto" w:fill="FFFFFF"/>
        </w:rPr>
        <w:t xml:space="preserve">поставках энергии из </w:t>
      </w:r>
      <w:r w:rsidRPr="005A3513">
        <w:rPr>
          <w:shd w:val="clear" w:color="auto" w:fill="FFFFFF"/>
        </w:rPr>
        <w:t xml:space="preserve">возобновляемых источников был также изучен потенциал повышения эффективности применения Конвенции и Протокола с точки зрения синергии между этими </w:t>
      </w:r>
      <w:r>
        <w:rPr>
          <w:shd w:val="clear" w:color="auto" w:fill="FFFFFF"/>
        </w:rPr>
        <w:t>инструментами</w:t>
      </w:r>
      <w:r w:rsidRPr="005A3513">
        <w:rPr>
          <w:shd w:val="clear" w:color="auto" w:fill="FFFFFF"/>
        </w:rPr>
        <w:t xml:space="preserve"> и региональными морскими конвенциями. Эта работа опира</w:t>
      </w:r>
      <w:r>
        <w:rPr>
          <w:shd w:val="clear" w:color="auto" w:fill="FFFFFF"/>
        </w:rPr>
        <w:t>лась</w:t>
      </w:r>
      <w:r w:rsidRPr="005A3513">
        <w:rPr>
          <w:shd w:val="clear" w:color="auto" w:fill="FFFFFF"/>
        </w:rPr>
        <w:t xml:space="preserve"> на передовой опыт в области оценки и смягчения </w:t>
      </w:r>
      <w:r>
        <w:rPr>
          <w:shd w:val="clear" w:color="auto" w:fill="FFFFFF"/>
        </w:rPr>
        <w:t>воздействия</w:t>
      </w:r>
      <w:r w:rsidRPr="005A3513">
        <w:rPr>
          <w:shd w:val="clear" w:color="auto" w:fill="FFFFFF"/>
        </w:rPr>
        <w:t xml:space="preserve"> в рамках Конвенции и Протокола с целью дальнейшего развития сотрудничества в регионе ЕЭК и за его пределами. </w:t>
      </w:r>
      <w:r>
        <w:rPr>
          <w:shd w:val="clear" w:color="auto" w:fill="FFFFFF"/>
        </w:rPr>
        <w:t>Данная</w:t>
      </w:r>
      <w:r w:rsidRPr="005A3513">
        <w:rPr>
          <w:shd w:val="clear" w:color="auto" w:fill="FFFFFF"/>
        </w:rPr>
        <w:t xml:space="preserve"> работа, финансир</w:t>
      </w:r>
      <w:r>
        <w:rPr>
          <w:shd w:val="clear" w:color="auto" w:fill="FFFFFF"/>
        </w:rPr>
        <w:t>овавшаяся</w:t>
      </w:r>
      <w:r w:rsidRPr="005A3513">
        <w:rPr>
          <w:shd w:val="clear" w:color="auto" w:fill="FFFFFF"/>
        </w:rPr>
        <w:t xml:space="preserve"> Италией, проводилась в сотрудничестве с представителями </w:t>
      </w:r>
      <w:r w:rsidRPr="0033432C">
        <w:rPr>
          <w:shd w:val="clear" w:color="auto" w:fill="FFFFFF"/>
        </w:rPr>
        <w:t>Барселонск</w:t>
      </w:r>
      <w:r>
        <w:rPr>
          <w:shd w:val="clear" w:color="auto" w:fill="FFFFFF"/>
        </w:rPr>
        <w:t>ой</w:t>
      </w:r>
      <w:r w:rsidRPr="0033432C">
        <w:rPr>
          <w:shd w:val="clear" w:color="auto" w:fill="FFFFFF"/>
        </w:rPr>
        <w:t xml:space="preserve"> конвенци</w:t>
      </w:r>
      <w:r>
        <w:rPr>
          <w:shd w:val="clear" w:color="auto" w:fill="FFFFFF"/>
        </w:rPr>
        <w:t>и</w:t>
      </w:r>
      <w:r w:rsidRPr="0033432C">
        <w:rPr>
          <w:shd w:val="clear" w:color="auto" w:fill="FFFFFF"/>
        </w:rPr>
        <w:t xml:space="preserve"> о защите морской среды и прибрежного региона Средиземного моря</w:t>
      </w:r>
      <w:r w:rsidRPr="005A3513">
        <w:rPr>
          <w:shd w:val="clear" w:color="auto" w:fill="FFFFFF"/>
        </w:rPr>
        <w:t xml:space="preserve"> и следующих региональных морских конвенций и органов: </w:t>
      </w:r>
      <w:r w:rsidRPr="0033432C">
        <w:rPr>
          <w:shd w:val="clear" w:color="auto" w:fill="FFFFFF"/>
        </w:rPr>
        <w:t>Рабочей</w:t>
      </w:r>
      <w:r>
        <w:rPr>
          <w:shd w:val="clear" w:color="auto" w:fill="FFFFFF"/>
        </w:rPr>
        <w:t xml:space="preserve"> </w:t>
      </w:r>
      <w:r w:rsidRPr="0033432C">
        <w:rPr>
          <w:shd w:val="clear" w:color="auto" w:fill="FFFFFF"/>
        </w:rPr>
        <w:t>группы по защите морской среды</w:t>
      </w:r>
      <w:r>
        <w:rPr>
          <w:shd w:val="clear" w:color="auto" w:fill="FFFFFF"/>
        </w:rPr>
        <w:t xml:space="preserve"> </w:t>
      </w:r>
      <w:r w:rsidRPr="0033432C">
        <w:rPr>
          <w:shd w:val="clear" w:color="auto" w:fill="FFFFFF"/>
        </w:rPr>
        <w:t>Арктики</w:t>
      </w:r>
      <w:r w:rsidRPr="005A3513">
        <w:rPr>
          <w:shd w:val="clear" w:color="auto" w:fill="FFFFFF"/>
        </w:rPr>
        <w:t xml:space="preserve"> при Арктическом совете; Бухарестской конвенции </w:t>
      </w:r>
      <w:r w:rsidRPr="00E753DA">
        <w:rPr>
          <w:shd w:val="clear" w:color="auto" w:fill="FFFFFF"/>
        </w:rPr>
        <w:t>о защите</w:t>
      </w:r>
      <w:r>
        <w:rPr>
          <w:shd w:val="clear" w:color="auto" w:fill="FFFFFF"/>
        </w:rPr>
        <w:t xml:space="preserve"> </w:t>
      </w:r>
      <w:r w:rsidRPr="00E753DA">
        <w:rPr>
          <w:shd w:val="clear" w:color="auto" w:fill="FFFFFF"/>
        </w:rPr>
        <w:t>Черного моря от загрязнения</w:t>
      </w:r>
      <w:r w:rsidRPr="005A3513">
        <w:rPr>
          <w:shd w:val="clear" w:color="auto" w:fill="FFFFFF"/>
        </w:rPr>
        <w:t xml:space="preserve">; Хельсинкской конвенции по защите морской среды района Балтийского моря; Тегеранской рамочной конвенции по защите морской среды Каспийского моря; </w:t>
      </w:r>
      <w:r>
        <w:rPr>
          <w:shd w:val="clear" w:color="auto" w:fill="FFFFFF"/>
        </w:rPr>
        <w:t xml:space="preserve">и </w:t>
      </w:r>
      <w:r w:rsidRPr="005A3513">
        <w:rPr>
          <w:shd w:val="clear" w:color="auto" w:fill="FFFFFF"/>
        </w:rPr>
        <w:t>Конвенции о защите морской среды Северо-Восточной Атлантики (Конвенция ОСПАР)</w:t>
      </w:r>
      <w:r w:rsidRPr="004040C7">
        <w:rPr>
          <w:vertAlign w:val="superscript"/>
        </w:rPr>
        <w:footnoteReference w:id="38"/>
      </w:r>
      <w:r>
        <w:rPr>
          <w:shd w:val="clear" w:color="auto" w:fill="FFFFFF"/>
        </w:rPr>
        <w:t>.</w:t>
      </w:r>
      <w:r w:rsidRPr="009C2848">
        <w:rPr>
          <w:shd w:val="clear" w:color="auto" w:fill="FFFFFF"/>
        </w:rPr>
        <w:t xml:space="preserve"> </w:t>
      </w:r>
      <w:r w:rsidRPr="005A3513">
        <w:rPr>
          <w:shd w:val="clear" w:color="auto" w:fill="FFFFFF"/>
        </w:rPr>
        <w:t>Кроме</w:t>
      </w:r>
      <w:r w:rsidRPr="009C2848">
        <w:rPr>
          <w:shd w:val="clear" w:color="auto" w:fill="FFFFFF"/>
        </w:rPr>
        <w:t xml:space="preserve"> </w:t>
      </w:r>
      <w:r w:rsidRPr="005A3513">
        <w:rPr>
          <w:shd w:val="clear" w:color="auto" w:fill="FFFFFF"/>
        </w:rPr>
        <w:t>того</w:t>
      </w:r>
      <w:r w:rsidRPr="009C2848">
        <w:rPr>
          <w:shd w:val="clear" w:color="auto" w:fill="FFFFFF"/>
        </w:rPr>
        <w:t xml:space="preserve">, </w:t>
      </w:r>
      <w:r w:rsidRPr="005A3513">
        <w:rPr>
          <w:shd w:val="clear" w:color="auto" w:fill="FFFFFF"/>
        </w:rPr>
        <w:t>в</w:t>
      </w:r>
      <w:r w:rsidRPr="009C2848">
        <w:rPr>
          <w:shd w:val="clear" w:color="auto" w:fill="FFFFFF"/>
        </w:rPr>
        <w:t xml:space="preserve"> 2014 </w:t>
      </w:r>
      <w:r w:rsidRPr="005A3513">
        <w:rPr>
          <w:shd w:val="clear" w:color="auto" w:fill="FFFFFF"/>
        </w:rPr>
        <w:t>году</w:t>
      </w:r>
      <w:r w:rsidRPr="009C2848">
        <w:rPr>
          <w:shd w:val="clear" w:color="auto" w:fill="FFFFFF"/>
        </w:rPr>
        <w:t xml:space="preserve"> </w:t>
      </w:r>
      <w:r w:rsidRPr="005A3513">
        <w:rPr>
          <w:shd w:val="clear" w:color="auto" w:fill="FFFFFF"/>
        </w:rPr>
        <w:t>была</w:t>
      </w:r>
      <w:r w:rsidRPr="009C2848">
        <w:rPr>
          <w:shd w:val="clear" w:color="auto" w:fill="FFFFFF"/>
        </w:rPr>
        <w:t xml:space="preserve"> </w:t>
      </w:r>
      <w:r w:rsidRPr="005A3513">
        <w:rPr>
          <w:shd w:val="clear" w:color="auto" w:fill="FFFFFF"/>
        </w:rPr>
        <w:t>принята</w:t>
      </w:r>
      <w:r w:rsidRPr="009C2848">
        <w:rPr>
          <w:shd w:val="clear" w:color="auto" w:fill="FFFFFF"/>
        </w:rPr>
        <w:t xml:space="preserve"> </w:t>
      </w:r>
      <w:r>
        <w:rPr>
          <w:shd w:val="clear" w:color="auto" w:fill="FFFFFF"/>
        </w:rPr>
        <w:t>Д</w:t>
      </w:r>
      <w:r w:rsidRPr="005A3513">
        <w:rPr>
          <w:shd w:val="clear" w:color="auto" w:fill="FFFFFF"/>
        </w:rPr>
        <w:t>иректива</w:t>
      </w:r>
      <w:r w:rsidRPr="009C2848">
        <w:rPr>
          <w:shd w:val="clear" w:color="auto" w:fill="FFFFFF"/>
        </w:rPr>
        <w:t xml:space="preserve"> </w:t>
      </w:r>
      <w:r w:rsidRPr="005A3513">
        <w:rPr>
          <w:shd w:val="clear" w:color="auto" w:fill="FFFFFF"/>
        </w:rPr>
        <w:t>Европейского</w:t>
      </w:r>
      <w:r w:rsidRPr="009C2848">
        <w:rPr>
          <w:shd w:val="clear" w:color="auto" w:fill="FFFFFF"/>
        </w:rPr>
        <w:t xml:space="preserve"> </w:t>
      </w:r>
      <w:r w:rsidRPr="005A3513">
        <w:rPr>
          <w:shd w:val="clear" w:color="auto" w:fill="FFFFFF"/>
        </w:rPr>
        <w:t>союза</w:t>
      </w:r>
      <w:r w:rsidRPr="004040C7">
        <w:rPr>
          <w:sz w:val="18"/>
          <w:shd w:val="clear" w:color="auto" w:fill="FFFFFF"/>
          <w:vertAlign w:val="superscript"/>
        </w:rPr>
        <w:footnoteReference w:id="39"/>
      </w:r>
      <w:r>
        <w:rPr>
          <w:shd w:val="clear" w:color="auto" w:fill="FFFFFF"/>
        </w:rPr>
        <w:t>,</w:t>
      </w:r>
      <w:r w:rsidRPr="009C2848">
        <w:rPr>
          <w:shd w:val="clear" w:color="auto" w:fill="FFFFFF"/>
        </w:rPr>
        <w:t xml:space="preserve"> </w:t>
      </w:r>
      <w:r w:rsidRPr="005A3513">
        <w:rPr>
          <w:shd w:val="clear" w:color="auto" w:fill="FFFFFF"/>
        </w:rPr>
        <w:t>обязывающая государства-члены к 2021 году разработать морские пространственные планы, направленные на развитие энергетического сектора на море.</w:t>
      </w:r>
      <w:r>
        <w:rPr>
          <w:shd w:val="clear" w:color="auto" w:fill="FFFFFF"/>
        </w:rPr>
        <w:t xml:space="preserve"> П</w:t>
      </w:r>
      <w:r w:rsidRPr="005A3513">
        <w:rPr>
          <w:shd w:val="clear" w:color="auto" w:fill="FFFFFF"/>
        </w:rPr>
        <w:t>рименени</w:t>
      </w:r>
      <w:r>
        <w:rPr>
          <w:shd w:val="clear" w:color="auto" w:fill="FFFFFF"/>
        </w:rPr>
        <w:t>е</w:t>
      </w:r>
      <w:r w:rsidRPr="005A3513">
        <w:rPr>
          <w:shd w:val="clear" w:color="auto" w:fill="FFFFFF"/>
        </w:rPr>
        <w:t xml:space="preserve"> Протокола в </w:t>
      </w:r>
      <w:r>
        <w:rPr>
          <w:shd w:val="clear" w:color="auto" w:fill="FFFFFF"/>
        </w:rPr>
        <w:t>государствах</w:t>
      </w:r>
      <w:r w:rsidRPr="005A3513">
        <w:rPr>
          <w:shd w:val="clear" w:color="auto" w:fill="FFFFFF"/>
        </w:rPr>
        <w:t>-</w:t>
      </w:r>
      <w:r>
        <w:rPr>
          <w:shd w:val="clear" w:color="auto" w:fill="FFFFFF"/>
        </w:rPr>
        <w:t>членах, являющихся его Сторонами, позволит повысить эффективность каждого</w:t>
      </w:r>
      <w:r w:rsidRPr="005A3513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такого</w:t>
      </w:r>
      <w:r w:rsidRPr="005A3513">
        <w:rPr>
          <w:shd w:val="clear" w:color="auto" w:fill="FFFFFF"/>
        </w:rPr>
        <w:t xml:space="preserve"> план</w:t>
      </w:r>
      <w:r>
        <w:rPr>
          <w:shd w:val="clear" w:color="auto" w:fill="FFFFFF"/>
        </w:rPr>
        <w:t>а.</w:t>
      </w:r>
    </w:p>
    <w:p w14:paraId="4519DF07" w14:textId="5BA89FA4" w:rsidR="000C3BBC" w:rsidRPr="0088500A" w:rsidRDefault="000C3BBC" w:rsidP="000C3BBC">
      <w:pPr>
        <w:pStyle w:val="SingleTxtG"/>
      </w:pPr>
      <w:r w:rsidRPr="0088500A">
        <w:t>23.</w:t>
      </w:r>
      <w:r w:rsidRPr="0088500A">
        <w:tab/>
      </w:r>
      <w:r>
        <w:t>Стремительное</w:t>
      </w:r>
      <w:r w:rsidRPr="00C7620B">
        <w:t xml:space="preserve"> развитие возобновляемой энергетики </w:t>
      </w:r>
      <w:r>
        <w:t>«</w:t>
      </w:r>
      <w:r w:rsidRPr="00C7620B">
        <w:t>прив</w:t>
      </w:r>
      <w:r>
        <w:t>одит</w:t>
      </w:r>
      <w:r w:rsidRPr="00C7620B">
        <w:t xml:space="preserve"> к </w:t>
      </w:r>
      <w:r>
        <w:t>возникновению</w:t>
      </w:r>
      <w:r w:rsidRPr="00C7620B">
        <w:t xml:space="preserve"> местны</w:t>
      </w:r>
      <w:r>
        <w:t>х</w:t>
      </w:r>
      <w:r w:rsidRPr="00C7620B">
        <w:t xml:space="preserve"> оппозиционны</w:t>
      </w:r>
      <w:r>
        <w:t>х</w:t>
      </w:r>
      <w:r w:rsidRPr="00C7620B">
        <w:t xml:space="preserve"> движени</w:t>
      </w:r>
      <w:r>
        <w:t xml:space="preserve">й </w:t>
      </w:r>
      <w:r w:rsidRPr="00C7620B">
        <w:t>во многих странах</w:t>
      </w:r>
      <w:r>
        <w:t>»</w:t>
      </w:r>
      <w:r w:rsidRPr="004040C7">
        <w:rPr>
          <w:vertAlign w:val="superscript"/>
        </w:rPr>
        <w:footnoteReference w:id="40"/>
      </w:r>
      <w:r>
        <w:t>.</w:t>
      </w:r>
      <w:r w:rsidRPr="0088500A">
        <w:t xml:space="preserve"> </w:t>
      </w:r>
      <w:r>
        <w:t>В силу этих причин еще более пристальное внимание стало уделяться</w:t>
      </w:r>
      <w:r w:rsidRPr="00C7620B">
        <w:t xml:space="preserve"> социальной приемлемости инфраструктуры возобновляемой энергетики и распределени</w:t>
      </w:r>
      <w:r>
        <w:t>я</w:t>
      </w:r>
      <w:r w:rsidRPr="00C7620B">
        <w:t xml:space="preserve"> общественных выгод и </w:t>
      </w:r>
      <w:r>
        <w:t>потерь</w:t>
      </w:r>
      <w:r w:rsidRPr="00C7620B">
        <w:t xml:space="preserve">. Кроме того, мировые лидеры в </w:t>
      </w:r>
      <w:r>
        <w:t xml:space="preserve">своем </w:t>
      </w:r>
      <w:r w:rsidRPr="00C7620B">
        <w:t>открытом письме, опубликованном 21</w:t>
      </w:r>
      <w:r w:rsidR="0063077D">
        <w:rPr>
          <w:lang w:val="en-US"/>
        </w:rPr>
        <w:t> </w:t>
      </w:r>
      <w:r w:rsidRPr="00C7620B">
        <w:t>июня 2023 г</w:t>
      </w:r>
      <w:r>
        <w:t>ода</w:t>
      </w:r>
      <w:r w:rsidRPr="00C7620B">
        <w:t>, заявили</w:t>
      </w:r>
      <w:r>
        <w:t xml:space="preserve"> о том</w:t>
      </w:r>
      <w:r w:rsidRPr="00C7620B">
        <w:t xml:space="preserve">, что </w:t>
      </w:r>
      <w:r>
        <w:t>«</w:t>
      </w:r>
      <w:r w:rsidRPr="00C7620B">
        <w:t xml:space="preserve">переход </w:t>
      </w:r>
      <w:r w:rsidRPr="002F43A3">
        <w:t xml:space="preserve">к миру с </w:t>
      </w:r>
      <w:r>
        <w:t xml:space="preserve">чистым </w:t>
      </w:r>
      <w:r w:rsidRPr="002F43A3">
        <w:t>нулевым балансом выбросов</w:t>
      </w:r>
      <w:r w:rsidRPr="00C7620B">
        <w:t xml:space="preserve"> и цели Парижского соглашения </w:t>
      </w:r>
      <w:r>
        <w:t>предоставляют</w:t>
      </w:r>
      <w:r w:rsidRPr="00C7620B">
        <w:t xml:space="preserve"> нынешн</w:t>
      </w:r>
      <w:r>
        <w:t>ему</w:t>
      </w:r>
      <w:r w:rsidRPr="00C7620B">
        <w:t xml:space="preserve"> поколени</w:t>
      </w:r>
      <w:r>
        <w:t>ю</w:t>
      </w:r>
      <w:r w:rsidRPr="00C7620B">
        <w:t xml:space="preserve"> </w:t>
      </w:r>
      <w:r w:rsidRPr="00C7620B">
        <w:lastRenderedPageBreak/>
        <w:t>возможность открыть новую эру устойчивого глобального экономического роста...</w:t>
      </w:r>
      <w:r>
        <w:t xml:space="preserve"> м</w:t>
      </w:r>
      <w:r w:rsidRPr="00C7620B">
        <w:t xml:space="preserve">ы должны уделять первостепенное внимание справедливому и инклюзивному переходу </w:t>
      </w:r>
      <w:r>
        <w:t>для обеспечения того</w:t>
      </w:r>
      <w:r w:rsidRPr="00C7620B">
        <w:t>, что</w:t>
      </w:r>
      <w:r>
        <w:t>бы</w:t>
      </w:r>
      <w:r w:rsidRPr="00C7620B">
        <w:t xml:space="preserve"> бедные и наиболее уязвимые слои населения смог</w:t>
      </w:r>
      <w:r>
        <w:t>ли</w:t>
      </w:r>
      <w:r w:rsidRPr="00C7620B">
        <w:t xml:space="preserve"> в полной мере воспользоваться этой возможностью, а не нес</w:t>
      </w:r>
      <w:r>
        <w:t>ли</w:t>
      </w:r>
      <w:r w:rsidRPr="00C7620B">
        <w:t xml:space="preserve"> непропорционально </w:t>
      </w:r>
      <w:r>
        <w:t>высокие издержки»</w:t>
      </w:r>
      <w:r w:rsidRPr="004040C7">
        <w:rPr>
          <w:shd w:val="clear" w:color="auto" w:fill="FFFFFF"/>
          <w:vertAlign w:val="superscript"/>
        </w:rPr>
        <w:footnoteReference w:id="41"/>
      </w:r>
      <w:r>
        <w:t>.</w:t>
      </w:r>
      <w:r w:rsidRPr="0088500A">
        <w:rPr>
          <w:shd w:val="clear" w:color="auto" w:fill="FFFFFF"/>
        </w:rPr>
        <w:t xml:space="preserve"> </w:t>
      </w:r>
      <w:r w:rsidRPr="00C7620B">
        <w:t xml:space="preserve">Конвенция и Протокол содержат всеобъемлющие требования </w:t>
      </w:r>
      <w:r>
        <w:t>относительно</w:t>
      </w:r>
      <w:r w:rsidRPr="00C7620B">
        <w:t xml:space="preserve"> участи</w:t>
      </w:r>
      <w:r>
        <w:t>я</w:t>
      </w:r>
      <w:r w:rsidRPr="00C7620B">
        <w:t xml:space="preserve"> общественности, которые, при условии согласия Сторон на проведение трансграничной оценки или </w:t>
      </w:r>
      <w:r>
        <w:t xml:space="preserve">на </w:t>
      </w:r>
      <w:r w:rsidRPr="00C7620B">
        <w:t xml:space="preserve">участие в ней, соответствуют </w:t>
      </w:r>
      <w:r>
        <w:t xml:space="preserve">отражающим наилучшую практику </w:t>
      </w:r>
      <w:r w:rsidRPr="00C7620B">
        <w:t xml:space="preserve">обязательствам, предусмотренным </w:t>
      </w:r>
      <w:r>
        <w:t xml:space="preserve">в </w:t>
      </w:r>
      <w:r w:rsidRPr="00C7620B">
        <w:t>Конвенци</w:t>
      </w:r>
      <w:r>
        <w:t>и</w:t>
      </w:r>
      <w:r w:rsidRPr="00C7620B">
        <w:t xml:space="preserve">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конвенция).</w:t>
      </w:r>
      <w:r>
        <w:t xml:space="preserve"> </w:t>
      </w:r>
    </w:p>
    <w:p w14:paraId="0C8DD96D" w14:textId="04AF0FB9" w:rsidR="000C3BBC" w:rsidRPr="00867F9B" w:rsidRDefault="000C3BBC" w:rsidP="000C3BBC">
      <w:pPr>
        <w:pStyle w:val="SingleTxtG"/>
      </w:pPr>
      <w:r w:rsidRPr="008D6D0E">
        <w:t>24.</w:t>
      </w:r>
      <w:r w:rsidRPr="008D6D0E">
        <w:tab/>
      </w:r>
      <w:r w:rsidRPr="00867F9B">
        <w:t xml:space="preserve">В рамках энергетического перехода ожидаются значительные инвестиции в новую энергетическую инфраструктуру, и многие из предложений по созданию новой инфраструктуры, вероятно, будут </w:t>
      </w:r>
      <w:r>
        <w:t>носить трансграничный характер</w:t>
      </w:r>
      <w:r w:rsidRPr="00867F9B">
        <w:t xml:space="preserve"> и, следовательно, потребуют проведения </w:t>
      </w:r>
      <w:r>
        <w:t>о</w:t>
      </w:r>
      <w:r w:rsidRPr="005374F2">
        <w:t>ценк</w:t>
      </w:r>
      <w:r>
        <w:t>и</w:t>
      </w:r>
      <w:r w:rsidRPr="005374F2">
        <w:t xml:space="preserve"> трансграничного воздействия на окружающую среду</w:t>
      </w:r>
      <w:r w:rsidRPr="00867F9B">
        <w:t>. В этом контексте примечательно, что</w:t>
      </w:r>
      <w:r>
        <w:t xml:space="preserve"> </w:t>
      </w:r>
      <w:r w:rsidRPr="00867F9B">
        <w:t xml:space="preserve">согласно данным, представленным </w:t>
      </w:r>
      <w:r>
        <w:t>Сторонами</w:t>
      </w:r>
      <w:r w:rsidRPr="00867F9B">
        <w:t xml:space="preserve"> Конвенции</w:t>
      </w:r>
      <w:r>
        <w:t>,</w:t>
      </w:r>
      <w:r w:rsidRPr="00867F9B">
        <w:t xml:space="preserve"> </w:t>
      </w:r>
      <w:r>
        <w:t>с</w:t>
      </w:r>
      <w:r w:rsidRPr="00867F9B">
        <w:t xml:space="preserve"> </w:t>
      </w:r>
      <w:r>
        <w:t>ветряными электростанциями было связано, несомненно,</w:t>
      </w:r>
      <w:r w:rsidRPr="00867F9B">
        <w:t xml:space="preserve"> наибольшее количество процедур трансграничных консультаций, проведенных в период </w:t>
      </w:r>
      <w:r w:rsidR="0063077D">
        <w:br/>
      </w:r>
      <w:r w:rsidRPr="00867F9B">
        <w:t>2019</w:t>
      </w:r>
      <w:r>
        <w:t>–</w:t>
      </w:r>
      <w:r w:rsidRPr="00867F9B">
        <w:t>2021 годов</w:t>
      </w:r>
      <w:bookmarkStart w:id="8" w:name="_Ref142392510"/>
      <w:r w:rsidRPr="004040C7">
        <w:rPr>
          <w:vertAlign w:val="superscript"/>
        </w:rPr>
        <w:footnoteReference w:id="42"/>
      </w:r>
      <w:bookmarkEnd w:id="8"/>
      <w:r>
        <w:t>.</w:t>
      </w:r>
      <w:r w:rsidRPr="008D6D0E">
        <w:t xml:space="preserve"> </w:t>
      </w:r>
      <w:r w:rsidRPr="00867F9B">
        <w:t xml:space="preserve">Это свидетельствует о том, что Конвенция уже играет важную роль в процессе энергетического перехода. Во вставке 1 ниже приведен </w:t>
      </w:r>
      <w:r>
        <w:t xml:space="preserve">практический </w:t>
      </w:r>
      <w:r w:rsidRPr="00867F9B">
        <w:t>пример того, как</w:t>
      </w:r>
      <w:r>
        <w:t>им образом</w:t>
      </w:r>
      <w:r w:rsidRPr="00867F9B">
        <w:t xml:space="preserve"> Протокол и Конвенция помогают обеспечить энергетический переход в регионе Балтийского моря путем оценки экологических </w:t>
      </w:r>
      <w:r w:rsidR="0063077D">
        <w:br/>
      </w:r>
      <w:r w:rsidRPr="00867F9B">
        <w:t>(и</w:t>
      </w:r>
      <w:r>
        <w:t xml:space="preserve">, </w:t>
      </w:r>
      <w:r w:rsidRPr="00867F9B">
        <w:t>согласно Протоколу</w:t>
      </w:r>
      <w:r>
        <w:t>,</w:t>
      </w:r>
      <w:r w:rsidRPr="00867F9B">
        <w:t xml:space="preserve"> </w:t>
      </w:r>
      <w:r w:rsidRPr="00C403F8">
        <w:t>связанны</w:t>
      </w:r>
      <w:r>
        <w:t>х</w:t>
      </w:r>
      <w:r w:rsidRPr="00C403F8">
        <w:t xml:space="preserve"> со здоровьем населения</w:t>
      </w:r>
      <w:r w:rsidRPr="00867F9B">
        <w:t xml:space="preserve">) последствий развития </w:t>
      </w:r>
      <w:r>
        <w:t>морской</w:t>
      </w:r>
      <w:r w:rsidRPr="00867F9B">
        <w:t xml:space="preserve"> ветроэнергетики.</w:t>
      </w:r>
      <w:r w:rsidR="006C6943">
        <w:t xml:space="preserve"> </w:t>
      </w:r>
    </w:p>
    <w:p w14:paraId="38DAE1D2" w14:textId="71F45DFC" w:rsidR="000C3BBC" w:rsidRPr="006C1C6F" w:rsidRDefault="000C3BBC" w:rsidP="000C3BBC">
      <w:pPr>
        <w:pStyle w:val="SingleTxtG"/>
      </w:pPr>
      <w:r w:rsidRPr="006C1C6F">
        <w:t>25.</w:t>
      </w:r>
      <w:r w:rsidRPr="006C1C6F">
        <w:tab/>
      </w:r>
      <w:r w:rsidRPr="00443758">
        <w:t xml:space="preserve">В </w:t>
      </w:r>
      <w:r>
        <w:t>консультативной</w:t>
      </w:r>
      <w:r w:rsidRPr="00443758">
        <w:t xml:space="preserve"> записке</w:t>
      </w:r>
      <w:r>
        <w:t xml:space="preserve"> из серии </w:t>
      </w:r>
      <w:r w:rsidRPr="00443758">
        <w:t>информационных</w:t>
      </w:r>
      <w:r>
        <w:t xml:space="preserve"> </w:t>
      </w:r>
      <w:r w:rsidRPr="00443758">
        <w:t xml:space="preserve">брошюр «FasTips» Международной ассоциации по оценке воздействия, озаглавленной </w:t>
      </w:r>
      <w:r>
        <w:t>«</w:t>
      </w:r>
      <w:r w:rsidRPr="00443758">
        <w:t xml:space="preserve">Оценка воздействия и Цели </w:t>
      </w:r>
      <w:r>
        <w:t xml:space="preserve">в области </w:t>
      </w:r>
      <w:r w:rsidRPr="00443758">
        <w:t>устойчивого развития</w:t>
      </w:r>
      <w:r>
        <w:t>»</w:t>
      </w:r>
      <w:r w:rsidRPr="00443758">
        <w:t xml:space="preserve">, </w:t>
      </w:r>
      <w:r>
        <w:t>особо указывается</w:t>
      </w:r>
      <w:r w:rsidRPr="00443758">
        <w:t xml:space="preserve">, что важно </w:t>
      </w:r>
      <w:r>
        <w:t>«п</w:t>
      </w:r>
      <w:r w:rsidRPr="00443758">
        <w:t xml:space="preserve">оддерживать принятие или адаптацию руководящих принципов [оценки воздействия] для включения в них принципов и концепций [Целей </w:t>
      </w:r>
      <w:r>
        <w:t xml:space="preserve">в области </w:t>
      </w:r>
      <w:r w:rsidRPr="00443758">
        <w:t xml:space="preserve">устойчивого развития], разрабатывать отраслевые руководящие принципы [оценки воздействия], согласованные с [Целями </w:t>
      </w:r>
      <w:r>
        <w:t xml:space="preserve">в области </w:t>
      </w:r>
      <w:r w:rsidRPr="00443758">
        <w:t xml:space="preserve">устойчивого развития], и проводить </w:t>
      </w:r>
      <w:r>
        <w:t>надежно</w:t>
      </w:r>
      <w:r w:rsidRPr="00443758">
        <w:t xml:space="preserve"> документированные тематические исследования, подчеркивающие связь между [оценкой воздействия] и [Целями </w:t>
      </w:r>
      <w:r>
        <w:t xml:space="preserve">в области </w:t>
      </w:r>
      <w:r w:rsidRPr="00443758">
        <w:t>устойчивого развития]</w:t>
      </w:r>
      <w:r>
        <w:t>»</w:t>
      </w:r>
      <w:r w:rsidRPr="00CD635B">
        <w:rPr>
          <w:vertAlign w:val="superscript"/>
        </w:rPr>
        <w:footnoteReference w:id="43"/>
      </w:r>
      <w:r>
        <w:t>.</w:t>
      </w:r>
      <w:r w:rsidRPr="006C1C6F">
        <w:t xml:space="preserve"> </w:t>
      </w:r>
      <w:r w:rsidRPr="00443758">
        <w:t xml:space="preserve">Примечательно, что </w:t>
      </w:r>
      <w:r>
        <w:t>«</w:t>
      </w:r>
      <w:r w:rsidR="0063077D" w:rsidRPr="0063077D">
        <w:t>12</w:t>
      </w:r>
      <w:r w:rsidRPr="006C1C6F">
        <w:t xml:space="preserve"> Сторон, а также Грузия сообщают, что трансграничная оценка воздействия на окружающую среду внесла значительный вклад в достижение Целей в области устойчивого развития</w:t>
      </w:r>
      <w:r>
        <w:t>»</w:t>
      </w:r>
      <w:r w:rsidRPr="00CD635B">
        <w:rPr>
          <w:sz w:val="18"/>
          <w:vertAlign w:val="superscript"/>
        </w:rPr>
        <w:footnoteReference w:id="44"/>
      </w:r>
      <w:r>
        <w:t>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63077D" w14:paraId="2B22F6EA" w14:textId="77777777" w:rsidTr="0063077D">
        <w:trPr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4ABC0BF1" w14:textId="77777777" w:rsidR="0063077D" w:rsidRDefault="0063077D" w:rsidP="0063077D">
            <w:pPr>
              <w:spacing w:line="20" w:lineRule="exact"/>
            </w:pPr>
          </w:p>
        </w:tc>
      </w:tr>
      <w:tr w:rsidR="000C3BBC" w14:paraId="0106E997" w14:textId="77777777" w:rsidTr="0063077D">
        <w:trPr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0283141D" w14:textId="259A5579" w:rsidR="000C3BBC" w:rsidRPr="00141283" w:rsidRDefault="00F715CE" w:rsidP="00B04E6B">
            <w:pPr>
              <w:spacing w:before="120" w:after="120"/>
              <w:rPr>
                <w:b/>
                <w:bCs/>
              </w:rPr>
            </w:pPr>
            <w:r>
              <w:t>Вставка</w:t>
            </w:r>
            <w:r w:rsidRPr="00CD635B">
              <w:t xml:space="preserve"> 1</w:t>
            </w:r>
            <w:r>
              <w:br/>
            </w:r>
            <w:r w:rsidR="000C3BBC" w:rsidRPr="00141283">
              <w:rPr>
                <w:b/>
                <w:bCs/>
              </w:rPr>
              <w:t xml:space="preserve">Тематическое исследование </w:t>
            </w:r>
            <w:r w:rsidR="000C3BBC">
              <w:rPr>
                <w:b/>
                <w:bCs/>
              </w:rPr>
              <w:t xml:space="preserve">по вопросу об </w:t>
            </w:r>
            <w:r w:rsidR="000C3BBC" w:rsidRPr="00141283">
              <w:rPr>
                <w:b/>
                <w:bCs/>
              </w:rPr>
              <w:t>использовани</w:t>
            </w:r>
            <w:r w:rsidR="000C3BBC">
              <w:rPr>
                <w:b/>
                <w:bCs/>
              </w:rPr>
              <w:t>и</w:t>
            </w:r>
            <w:r w:rsidR="000C3BBC" w:rsidRPr="00141283">
              <w:rPr>
                <w:b/>
                <w:bCs/>
              </w:rPr>
              <w:t xml:space="preserve"> Протокола </w:t>
            </w:r>
            <w:r>
              <w:rPr>
                <w:b/>
                <w:bCs/>
              </w:rPr>
              <w:br/>
            </w:r>
            <w:r w:rsidR="000C3BBC" w:rsidRPr="00141283">
              <w:rPr>
                <w:b/>
                <w:bCs/>
              </w:rPr>
              <w:t>и Конвенции для развития морской ветроэнергетики в регионе Балтийского моря</w:t>
            </w:r>
          </w:p>
          <w:p w14:paraId="79A751A8" w14:textId="5A7E5F50" w:rsidR="000C3BBC" w:rsidRPr="00141283" w:rsidRDefault="00F715CE" w:rsidP="00F715CE">
            <w:pPr>
              <w:spacing w:after="120"/>
              <w:jc w:val="both"/>
            </w:pPr>
            <w:r>
              <w:tab/>
            </w:r>
            <w:r w:rsidR="000C3BBC" w:rsidRPr="00141283">
              <w:t xml:space="preserve">Многие страны </w:t>
            </w:r>
            <w:r w:rsidR="000C3BBC">
              <w:t xml:space="preserve">всего </w:t>
            </w:r>
            <w:r w:rsidR="000C3BBC" w:rsidRPr="00141283">
              <w:t xml:space="preserve">мира все чаще обращают свой взор на </w:t>
            </w:r>
            <w:r w:rsidR="000C3BBC" w:rsidRPr="001B4A27">
              <w:t xml:space="preserve">прибрежные участки </w:t>
            </w:r>
            <w:r w:rsidR="000C3BBC" w:rsidRPr="00141283">
              <w:t>морск</w:t>
            </w:r>
            <w:r w:rsidR="000C3BBC">
              <w:t>ой</w:t>
            </w:r>
            <w:r w:rsidR="000C3BBC" w:rsidRPr="00141283">
              <w:t xml:space="preserve"> сред</w:t>
            </w:r>
            <w:r w:rsidR="000C3BBC">
              <w:t>ы</w:t>
            </w:r>
            <w:r w:rsidR="000C3BBC" w:rsidRPr="00141283">
              <w:t xml:space="preserve">, чтобы значительно увеличить мощности по производству энергии из возобновляемых источников. В </w:t>
            </w:r>
            <w:r w:rsidR="000C3BBC">
              <w:t>этом контексте</w:t>
            </w:r>
            <w:r w:rsidR="000C3BBC" w:rsidRPr="00141283">
              <w:t xml:space="preserve"> в августе 2022 г</w:t>
            </w:r>
            <w:r w:rsidR="000C3BBC">
              <w:t xml:space="preserve">ода </w:t>
            </w:r>
            <w:r w:rsidR="000C3BBC" w:rsidRPr="00141283">
              <w:t>восемь стран региона</w:t>
            </w:r>
            <w:r w:rsidR="000C3BBC">
              <w:t xml:space="preserve"> </w:t>
            </w:r>
            <w:r w:rsidR="000C3BBC" w:rsidRPr="00141283">
              <w:t>Балтийского</w:t>
            </w:r>
            <w:r w:rsidR="000C3BBC">
              <w:t xml:space="preserve"> моря</w:t>
            </w:r>
            <w:r w:rsidR="000C3BBC" w:rsidRPr="00141283">
              <w:t xml:space="preserve"> (Германия, Дания, Латвия, Литва, Польша, Финляндия, Швеция и Эстония) подписали Мариенборгскую декларацию</w:t>
            </w:r>
            <w:r w:rsidR="000C3BBC" w:rsidRPr="00035945">
              <w:rPr>
                <w:vertAlign w:val="superscript"/>
              </w:rPr>
              <w:t>a</w:t>
            </w:r>
            <w:r w:rsidR="000C3BBC">
              <w:t xml:space="preserve">, </w:t>
            </w:r>
            <w:r w:rsidR="000C3BBC" w:rsidRPr="00141283">
              <w:t xml:space="preserve">которая устанавливает </w:t>
            </w:r>
            <w:r w:rsidR="000C3BBC">
              <w:t>«</w:t>
            </w:r>
            <w:r w:rsidR="000C3BBC" w:rsidRPr="00141283">
              <w:t xml:space="preserve">совокупные амбиции по развитию </w:t>
            </w:r>
            <w:r w:rsidR="000C3BBC" w:rsidRPr="001B4A27">
              <w:t>мощност</w:t>
            </w:r>
            <w:r w:rsidR="000C3BBC">
              <w:t>ей</w:t>
            </w:r>
            <w:r w:rsidR="000C3BBC" w:rsidRPr="001B4A27">
              <w:t xml:space="preserve"> морских ветряных парков</w:t>
            </w:r>
            <w:r w:rsidR="000C3BBC">
              <w:t xml:space="preserve"> </w:t>
            </w:r>
            <w:r w:rsidR="000C3BBC" w:rsidRPr="00141283">
              <w:t xml:space="preserve">в регионе Балтийского моря </w:t>
            </w:r>
            <w:r w:rsidR="000C3BBC">
              <w:t>до</w:t>
            </w:r>
            <w:r w:rsidR="000C3BBC" w:rsidRPr="00141283">
              <w:t xml:space="preserve"> не менее 19,6 ГВт к 2030 г</w:t>
            </w:r>
            <w:r w:rsidR="000C3BBC">
              <w:t>оду</w:t>
            </w:r>
            <w:r w:rsidR="000C3BBC" w:rsidRPr="00141283">
              <w:t xml:space="preserve">, что в семь раз превышает </w:t>
            </w:r>
            <w:r w:rsidR="000C3BBC">
              <w:t>производительность существующих установок»</w:t>
            </w:r>
            <w:r w:rsidR="000C3BBC" w:rsidRPr="00141283">
              <w:t>.</w:t>
            </w:r>
            <w:r w:rsidR="006C6943">
              <w:t xml:space="preserve"> </w:t>
            </w:r>
            <w:r w:rsidR="000C3BBC" w:rsidRPr="00141283">
              <w:t>Стороны Декларации также обязались</w:t>
            </w:r>
            <w:r w:rsidR="000C3BBC">
              <w:t xml:space="preserve"> </w:t>
            </w:r>
            <w:r w:rsidR="000C3BBC" w:rsidRPr="00141283">
              <w:t xml:space="preserve">осуществлять совместные трансграничные проекты в области возобновляемой энергетики; сотрудничать в создании необходимой инфраструктуры </w:t>
            </w:r>
            <w:r w:rsidR="000C3BBC" w:rsidRPr="00141283">
              <w:lastRenderedPageBreak/>
              <w:t xml:space="preserve">для передачи энергии; </w:t>
            </w:r>
            <w:r w:rsidR="000C3BBC">
              <w:t xml:space="preserve">и </w:t>
            </w:r>
            <w:r w:rsidR="000C3BBC" w:rsidRPr="00141283">
              <w:t>укреплять политическое сотрудничество в достижении этих целей.</w:t>
            </w:r>
          </w:p>
          <w:p w14:paraId="22F491EC" w14:textId="5DD33EE6" w:rsidR="000C3BBC" w:rsidRPr="00D66320" w:rsidRDefault="00F715CE" w:rsidP="0063077D">
            <w:pPr>
              <w:spacing w:after="120"/>
              <w:jc w:val="both"/>
            </w:pPr>
            <w:r>
              <w:tab/>
            </w:r>
            <w:r w:rsidR="000C3BBC" w:rsidRPr="000A4C78">
              <w:t xml:space="preserve">Стратегическая экологическая оценка в соответствии с Протоколом и оценка трансграничного воздействия на окружающую среду в соответствии с Конвенцией </w:t>
            </w:r>
            <w:r w:rsidR="000C3BBC">
              <w:t>призваны сыграть</w:t>
            </w:r>
            <w:r w:rsidR="000C3BBC" w:rsidRPr="000A4C78">
              <w:t xml:space="preserve"> ключевую роль в реализации энергетических преобразований, подобных тем, которые предусмотрены </w:t>
            </w:r>
            <w:r w:rsidR="000C3BBC">
              <w:t xml:space="preserve">в </w:t>
            </w:r>
            <w:r w:rsidR="000C3BBC" w:rsidRPr="000A4C78">
              <w:t>Мариенборгской деклараци</w:t>
            </w:r>
            <w:r w:rsidR="000C3BBC">
              <w:t>и</w:t>
            </w:r>
            <w:r w:rsidR="000C3BBC" w:rsidRPr="000A4C78">
              <w:t xml:space="preserve">. Вторая поправка к Конвенции </w:t>
            </w:r>
            <w:r w:rsidR="000C3BBC">
              <w:t>предусматривает добавление</w:t>
            </w:r>
            <w:r w:rsidR="000C3BBC" w:rsidRPr="000A4C78">
              <w:t xml:space="preserve"> </w:t>
            </w:r>
            <w:r w:rsidR="000C3BBC">
              <w:t xml:space="preserve">эксплуатации </w:t>
            </w:r>
            <w:r w:rsidR="000C3BBC" w:rsidRPr="000A4C78">
              <w:t>ветряны</w:t>
            </w:r>
            <w:r w:rsidR="000C3BBC">
              <w:t>х</w:t>
            </w:r>
            <w:r w:rsidR="000C3BBC" w:rsidRPr="000A4C78">
              <w:t xml:space="preserve"> электростанци</w:t>
            </w:r>
            <w:r w:rsidR="000C3BBC">
              <w:t>й</w:t>
            </w:r>
            <w:r w:rsidR="000C3BBC" w:rsidRPr="000A4C78">
              <w:t xml:space="preserve"> в </w:t>
            </w:r>
            <w:r w:rsidR="000C3BBC">
              <w:t>перечень</w:t>
            </w:r>
            <w:r w:rsidR="000C3BBC" w:rsidRPr="000A4C78">
              <w:t xml:space="preserve"> видов деятельности</w:t>
            </w:r>
            <w:r w:rsidR="000C3BBC">
              <w:t>, указанных</w:t>
            </w:r>
            <w:r w:rsidR="000C3BBC" w:rsidRPr="000A4C78">
              <w:t xml:space="preserve"> в </w:t>
            </w:r>
            <w:r w:rsidR="000C3BBC">
              <w:t>Добавлении</w:t>
            </w:r>
            <w:r w:rsidR="000C3BBC" w:rsidRPr="000A4C78">
              <w:t xml:space="preserve"> I, для которых может потребоваться </w:t>
            </w:r>
            <w:r w:rsidR="000C3BBC">
              <w:t>осуществление</w:t>
            </w:r>
            <w:r w:rsidR="000C3BBC" w:rsidRPr="000A4C78">
              <w:t xml:space="preserve"> оценки трансграничного воздействия на окружающую среду, и в последние годы было проведено множество трансграничных консультаций по этому виду деятельности (см. п. 24 выше). Протокол требует проведения стратегической экологической оценки</w:t>
            </w:r>
            <w:r w:rsidR="000C3BBC">
              <w:t xml:space="preserve"> для</w:t>
            </w:r>
            <w:r w:rsidR="000C3BBC" w:rsidRPr="000A4C78">
              <w:t>, в частности, энергетических планов и программ.</w:t>
            </w:r>
            <w:r w:rsidR="006C6943">
              <w:t xml:space="preserve"> </w:t>
            </w:r>
            <w:r w:rsidR="000C3BBC" w:rsidRPr="000A4C78">
              <w:t xml:space="preserve">Эти договоры ЕЭК не только </w:t>
            </w:r>
            <w:r w:rsidR="000C3BBC">
              <w:t xml:space="preserve">предоставляют </w:t>
            </w:r>
            <w:r w:rsidR="000C3BBC" w:rsidRPr="000A4C78">
              <w:t>важны</w:t>
            </w:r>
            <w:r w:rsidR="000C3BBC">
              <w:t>е</w:t>
            </w:r>
            <w:r w:rsidR="000C3BBC" w:rsidRPr="000A4C78">
              <w:t xml:space="preserve"> механизм</w:t>
            </w:r>
            <w:r w:rsidR="000C3BBC">
              <w:t>ы для</w:t>
            </w:r>
            <w:r w:rsidR="000C3BBC" w:rsidRPr="000A4C78">
              <w:t xml:space="preserve"> обеспечения экологических</w:t>
            </w:r>
            <w:r w:rsidR="000C3BBC">
              <w:t xml:space="preserve"> </w:t>
            </w:r>
            <w:r w:rsidR="000C3BBC" w:rsidRPr="000A4C78">
              <w:t xml:space="preserve">гарантий и прогресса в достижении Целей </w:t>
            </w:r>
            <w:r w:rsidR="000C3BBC">
              <w:t xml:space="preserve">в области </w:t>
            </w:r>
            <w:r w:rsidR="000C3BBC" w:rsidRPr="000A4C78">
              <w:t xml:space="preserve">устойчивого развития, но и играют </w:t>
            </w:r>
            <w:r w:rsidR="000C3BBC">
              <w:t xml:space="preserve">соответствующую </w:t>
            </w:r>
            <w:r w:rsidR="000C3BBC" w:rsidRPr="000A4C78">
              <w:t>роль в развитии более тесного трансграничного политического</w:t>
            </w:r>
            <w:r w:rsidR="000C3BBC">
              <w:t xml:space="preserve"> </w:t>
            </w:r>
            <w:r w:rsidR="000C3BBC" w:rsidRPr="000A4C78">
              <w:t xml:space="preserve">сотрудничества, </w:t>
            </w:r>
            <w:r w:rsidR="000C3BBC" w:rsidRPr="00D66320">
              <w:t>как это предусмотрено в Мариенборгской декларации.</w:t>
            </w:r>
          </w:p>
          <w:p w14:paraId="1B8EC6E8" w14:textId="6B33A503" w:rsidR="000C3BBC" w:rsidRPr="004E391F" w:rsidRDefault="00F715CE" w:rsidP="0063077D">
            <w:pPr>
              <w:spacing w:after="120"/>
              <w:jc w:val="both"/>
            </w:pPr>
            <w:r>
              <w:tab/>
            </w:r>
            <w:r w:rsidR="000C3BBC" w:rsidRPr="004E391F">
              <w:t>Важную роль этих договоров иллюстрирует проводимая в настоящее время оценка трансграничного воздействия на окружающую среду пре</w:t>
            </w:r>
            <w:r w:rsidR="000C3BBC">
              <w:t>дполагаемого</w:t>
            </w:r>
            <w:r w:rsidR="000C3BBC" w:rsidRPr="004E391F">
              <w:t xml:space="preserve"> </w:t>
            </w:r>
            <w:r w:rsidR="000C3BBC">
              <w:t>строительства фирмой Saare</w:t>
            </w:r>
            <w:r w:rsidR="000C3BBC" w:rsidRPr="00C64B0F">
              <w:t xml:space="preserve"> </w:t>
            </w:r>
            <w:r w:rsidR="000C3BBC">
              <w:t>Wind</w:t>
            </w:r>
            <w:r w:rsidR="000C3BBC" w:rsidRPr="00C64B0F">
              <w:t xml:space="preserve"> </w:t>
            </w:r>
            <w:r w:rsidR="000C3BBC">
              <w:t>Energy</w:t>
            </w:r>
            <w:r w:rsidR="000C3BBC" w:rsidRPr="00C64B0F">
              <w:t xml:space="preserve"> </w:t>
            </w:r>
            <w:r w:rsidR="000C3BBC" w:rsidRPr="00AF324D">
              <w:t>парк</w:t>
            </w:r>
            <w:r w:rsidR="000C3BBC">
              <w:t>а морских</w:t>
            </w:r>
            <w:r w:rsidR="000C3BBC" w:rsidRPr="00AF324D">
              <w:t xml:space="preserve"> ветрогенераторов</w:t>
            </w:r>
            <w:r w:rsidR="000C3BBC" w:rsidRPr="00035945">
              <w:rPr>
                <w:vertAlign w:val="superscript"/>
              </w:rPr>
              <w:t>b</w:t>
            </w:r>
            <w:r w:rsidR="000C3BBC" w:rsidRPr="002C38F5">
              <w:t xml:space="preserve"> </w:t>
            </w:r>
            <w:r w:rsidR="000C3BBC" w:rsidRPr="004E391F">
              <w:t xml:space="preserve">в эстонской части Балтийского моря. </w:t>
            </w:r>
            <w:r w:rsidR="000C3BBC">
              <w:t xml:space="preserve">Этот </w:t>
            </w:r>
            <w:r w:rsidR="000C3BBC" w:rsidRPr="00AF324D">
              <w:t>парк</w:t>
            </w:r>
            <w:r w:rsidR="000C3BBC">
              <w:t xml:space="preserve"> морских</w:t>
            </w:r>
            <w:r w:rsidR="000C3BBC" w:rsidRPr="00AF324D">
              <w:t xml:space="preserve"> ветрогенераторов</w:t>
            </w:r>
            <w:r w:rsidR="000C3BBC" w:rsidRPr="004E391F">
              <w:t xml:space="preserve"> будет включать</w:t>
            </w:r>
            <w:r w:rsidR="000C3BBC">
              <w:t xml:space="preserve"> в себя</w:t>
            </w:r>
            <w:r w:rsidR="000C3BBC" w:rsidRPr="004E391F">
              <w:t xml:space="preserve"> до 100 ветровых турбин (общая производственная мощность </w:t>
            </w:r>
            <w:r w:rsidR="000C3BBC">
              <w:t xml:space="preserve">в размере </w:t>
            </w:r>
            <w:r w:rsidR="000C3BBC" w:rsidRPr="004E391F">
              <w:t xml:space="preserve">1400 МВт) и соответствующую инфраструктуру </w:t>
            </w:r>
            <w:r w:rsidR="000C3BBC">
              <w:t xml:space="preserve">для </w:t>
            </w:r>
            <w:r w:rsidR="000C3BBC" w:rsidRPr="004E391F">
              <w:t>передачи электроэнергии и будет расположен на расстоянии более 10 км от побережья острова Сааремаа (Эстония). Выб</w:t>
            </w:r>
            <w:r w:rsidR="000C3BBC">
              <w:t>ор</w:t>
            </w:r>
            <w:r w:rsidR="000C3BBC" w:rsidRPr="004E391F">
              <w:t xml:space="preserve"> мест</w:t>
            </w:r>
            <w:r w:rsidR="000C3BBC">
              <w:t>а</w:t>
            </w:r>
            <w:r w:rsidR="000C3BBC" w:rsidRPr="004E391F">
              <w:t xml:space="preserve"> </w:t>
            </w:r>
            <w:r w:rsidR="000C3BBC">
              <w:t xml:space="preserve">строительства был </w:t>
            </w:r>
            <w:r w:rsidR="000C3BBC" w:rsidRPr="004E391F">
              <w:t xml:space="preserve">основан на </w:t>
            </w:r>
            <w:r w:rsidR="000C3BBC">
              <w:t xml:space="preserve">результатах </w:t>
            </w:r>
            <w:r w:rsidR="000C3BBC" w:rsidRPr="004E391F">
              <w:t>оценк</w:t>
            </w:r>
            <w:r w:rsidR="000C3BBC">
              <w:t>и</w:t>
            </w:r>
            <w:r w:rsidR="000C3BBC" w:rsidRPr="004E391F">
              <w:t xml:space="preserve"> предпочтительных районов для </w:t>
            </w:r>
            <w:r w:rsidR="000C3BBC">
              <w:t>создания</w:t>
            </w:r>
            <w:r w:rsidR="000C3BBC" w:rsidRPr="004E391F">
              <w:t xml:space="preserve"> </w:t>
            </w:r>
            <w:r w:rsidR="000C3BBC">
              <w:t>парков ветротурбин</w:t>
            </w:r>
            <w:r w:rsidR="000C3BBC" w:rsidRPr="004E391F">
              <w:t xml:space="preserve">, </w:t>
            </w:r>
            <w:r w:rsidR="000C3BBC">
              <w:t>указываемых</w:t>
            </w:r>
            <w:r w:rsidR="000C3BBC" w:rsidRPr="004E391F">
              <w:t xml:space="preserve"> в </w:t>
            </w:r>
            <w:r w:rsidR="000C3BBC">
              <w:t>м</w:t>
            </w:r>
            <w:r w:rsidR="000C3BBC" w:rsidRPr="004E391F">
              <w:t xml:space="preserve">орском </w:t>
            </w:r>
            <w:r w:rsidR="000C3BBC" w:rsidRPr="005A3513">
              <w:rPr>
                <w:shd w:val="clear" w:color="auto" w:fill="FFFFFF"/>
              </w:rPr>
              <w:t>пространственн</w:t>
            </w:r>
            <w:r w:rsidR="000C3BBC">
              <w:rPr>
                <w:shd w:val="clear" w:color="auto" w:fill="FFFFFF"/>
              </w:rPr>
              <w:t>ом</w:t>
            </w:r>
            <w:r w:rsidR="000C3BBC" w:rsidRPr="004E391F">
              <w:t xml:space="preserve"> плане Эстонии, </w:t>
            </w:r>
            <w:r w:rsidR="000C3BBC">
              <w:t>охваченном</w:t>
            </w:r>
            <w:r w:rsidR="000C3BBC" w:rsidRPr="004E391F">
              <w:t xml:space="preserve"> стратегической экологической оценк</w:t>
            </w:r>
            <w:r w:rsidR="000C3BBC">
              <w:t>ой</w:t>
            </w:r>
            <w:r w:rsidR="000C3BBC" w:rsidRPr="004E391F">
              <w:t xml:space="preserve">, </w:t>
            </w:r>
            <w:r w:rsidR="000C3BBC">
              <w:t xml:space="preserve">в ходе которой </w:t>
            </w:r>
            <w:r w:rsidR="000C3BBC" w:rsidRPr="004E391F">
              <w:t>изуча</w:t>
            </w:r>
            <w:r w:rsidR="000C3BBC">
              <w:t>лось</w:t>
            </w:r>
            <w:r w:rsidR="000C3BBC" w:rsidRPr="004E391F">
              <w:t xml:space="preserve"> воздействие на окружающую среду, </w:t>
            </w:r>
            <w:r w:rsidR="000C3BBC">
              <w:t>в том числе на</w:t>
            </w:r>
            <w:r w:rsidR="000C3BBC" w:rsidRPr="004E391F">
              <w:t xml:space="preserve"> здоровье людей, </w:t>
            </w:r>
            <w:r w:rsidR="000C3BBC">
              <w:t>в трансграничном контексте</w:t>
            </w:r>
            <w:r w:rsidR="000C3BBC" w:rsidRPr="004E391F">
              <w:t xml:space="preserve"> и </w:t>
            </w:r>
            <w:r w:rsidR="000C3BBC">
              <w:t>которая предусматривала проведение</w:t>
            </w:r>
            <w:r w:rsidR="000C3BBC" w:rsidRPr="004E391F">
              <w:t xml:space="preserve"> трансграничны</w:t>
            </w:r>
            <w:r w:rsidR="000C3BBC">
              <w:t>х</w:t>
            </w:r>
            <w:r w:rsidR="000C3BBC" w:rsidRPr="004E391F">
              <w:t xml:space="preserve"> консультаци</w:t>
            </w:r>
            <w:r w:rsidR="000C3BBC">
              <w:t>й</w:t>
            </w:r>
            <w:r w:rsidR="000C3BBC" w:rsidRPr="002C38F5">
              <w:t>.</w:t>
            </w:r>
          </w:p>
          <w:p w14:paraId="4F716049" w14:textId="788D3EFA" w:rsidR="000C3BBC" w:rsidRDefault="00F715CE" w:rsidP="0063077D">
            <w:pPr>
              <w:spacing w:after="120"/>
              <w:jc w:val="both"/>
            </w:pPr>
            <w:r>
              <w:tab/>
            </w:r>
            <w:r w:rsidR="000C3BBC" w:rsidRPr="002C38F5">
              <w:t xml:space="preserve">Процедура оценки воздействия на окружающую среду для </w:t>
            </w:r>
            <w:r w:rsidR="000C3BBC">
              <w:t xml:space="preserve">этого </w:t>
            </w:r>
            <w:r w:rsidR="000C3BBC" w:rsidRPr="00AF324D">
              <w:t>парк</w:t>
            </w:r>
            <w:r w:rsidR="000C3BBC">
              <w:t>а морских</w:t>
            </w:r>
            <w:r w:rsidR="000C3BBC" w:rsidRPr="00AF324D">
              <w:t xml:space="preserve"> ветрогенераторов</w:t>
            </w:r>
            <w:r w:rsidR="000C3BBC" w:rsidRPr="002C38F5">
              <w:t>, начавшаяся в 2020 г</w:t>
            </w:r>
            <w:r w:rsidR="000C3BBC">
              <w:t>ода</w:t>
            </w:r>
            <w:r w:rsidR="000C3BBC" w:rsidRPr="002C38F5">
              <w:t xml:space="preserve">, </w:t>
            </w:r>
            <w:r w:rsidR="000C3BBC">
              <w:t>позволила привлечь к этому процессу</w:t>
            </w:r>
            <w:r w:rsidR="000C3BBC" w:rsidRPr="002C38F5">
              <w:t xml:space="preserve"> потенциально затрагиваемы</w:t>
            </w:r>
            <w:r w:rsidR="000C3BBC">
              <w:t>е</w:t>
            </w:r>
            <w:r w:rsidR="000C3BBC" w:rsidRPr="002C38F5">
              <w:t xml:space="preserve"> Сторон</w:t>
            </w:r>
            <w:r w:rsidR="000C3BBC">
              <w:t>ы</w:t>
            </w:r>
            <w:r w:rsidR="000C3BBC" w:rsidRPr="002C38F5">
              <w:t xml:space="preserve"> Конвенции</w:t>
            </w:r>
            <w:r w:rsidR="000C3BBC">
              <w:t xml:space="preserve"> уже на его начальном этапе</w:t>
            </w:r>
            <w:r w:rsidR="000C3BBC" w:rsidRPr="002C38F5">
              <w:t xml:space="preserve"> и </w:t>
            </w:r>
            <w:r w:rsidR="000C3BBC">
              <w:t>повлекла за собой необходимость разработки</w:t>
            </w:r>
            <w:r w:rsidR="000C3BBC" w:rsidRPr="002C38F5">
              <w:t xml:space="preserve"> </w:t>
            </w:r>
            <w:r w:rsidR="000C3BBC">
              <w:t>всеобъемлющего</w:t>
            </w:r>
            <w:r w:rsidR="000C3BBC" w:rsidRPr="002C38F5">
              <w:t xml:space="preserve"> план</w:t>
            </w:r>
            <w:r w:rsidR="000C3BBC">
              <w:t>а ее</w:t>
            </w:r>
            <w:r w:rsidR="000C3BBC" w:rsidRPr="002C38F5">
              <w:t xml:space="preserve"> </w:t>
            </w:r>
            <w:r w:rsidR="000C3BBC">
              <w:t>осуществления с целью</w:t>
            </w:r>
            <w:r w:rsidR="000C3BBC" w:rsidRPr="002C38F5">
              <w:t xml:space="preserve"> </w:t>
            </w:r>
            <w:r w:rsidR="000C3BBC">
              <w:t>оказания помощи в</w:t>
            </w:r>
            <w:r w:rsidR="000C3BBC" w:rsidRPr="002C38F5">
              <w:t xml:space="preserve"> координ</w:t>
            </w:r>
            <w:r w:rsidR="000C3BBC">
              <w:t>ации</w:t>
            </w:r>
            <w:r w:rsidR="000C3BBC" w:rsidRPr="002C38F5">
              <w:t xml:space="preserve"> последующ</w:t>
            </w:r>
            <w:r w:rsidR="000C3BBC">
              <w:t>ей</w:t>
            </w:r>
            <w:r w:rsidR="000C3BBC" w:rsidRPr="002C38F5">
              <w:t xml:space="preserve"> деятельност</w:t>
            </w:r>
            <w:r w:rsidR="000C3BBC">
              <w:t>и</w:t>
            </w:r>
            <w:r w:rsidR="000C3BBC" w:rsidRPr="002C38F5">
              <w:t xml:space="preserve"> по проведению консультаций и </w:t>
            </w:r>
            <w:r w:rsidR="000C3BBC">
              <w:t xml:space="preserve">обеспечению </w:t>
            </w:r>
            <w:r w:rsidR="000C3BBC" w:rsidRPr="002C38F5">
              <w:t>участи</w:t>
            </w:r>
            <w:r w:rsidR="000C3BBC">
              <w:t>я</w:t>
            </w:r>
            <w:r w:rsidR="000C3BBC" w:rsidRPr="002C38F5">
              <w:t xml:space="preserve">. В плане </w:t>
            </w:r>
            <w:r w:rsidR="000C3BBC">
              <w:t xml:space="preserve">осуществления </w:t>
            </w:r>
            <w:r w:rsidR="000C3BBC" w:rsidRPr="002C38F5">
              <w:t>трансграничной процедуры были установлены длительные сроки</w:t>
            </w:r>
            <w:r w:rsidR="000C3BBC">
              <w:t xml:space="preserve"> для</w:t>
            </w:r>
            <w:r w:rsidR="000C3BBC" w:rsidRPr="002C38F5">
              <w:t xml:space="preserve"> получения ответов от потенциально затрагиваемых Сторон, </w:t>
            </w:r>
            <w:r w:rsidR="000C3BBC">
              <w:t>с тем чтобы помочь</w:t>
            </w:r>
            <w:r w:rsidR="000C3BBC" w:rsidRPr="002C38F5">
              <w:t xml:space="preserve"> им </w:t>
            </w:r>
            <w:r w:rsidR="000C3BBC">
              <w:t>облегчить</w:t>
            </w:r>
            <w:r w:rsidR="000C3BBC" w:rsidRPr="002C38F5">
              <w:t xml:space="preserve"> </w:t>
            </w:r>
            <w:r w:rsidR="000C3BBC">
              <w:t xml:space="preserve">проведение </w:t>
            </w:r>
            <w:r w:rsidR="000C3BBC" w:rsidRPr="002C38F5">
              <w:t>эффективн</w:t>
            </w:r>
            <w:r w:rsidR="000C3BBC">
              <w:t>ой</w:t>
            </w:r>
            <w:r w:rsidR="000C3BBC" w:rsidRPr="002C38F5">
              <w:t xml:space="preserve"> деятельност</w:t>
            </w:r>
            <w:r w:rsidR="000C3BBC">
              <w:t>и</w:t>
            </w:r>
            <w:r w:rsidR="000C3BBC" w:rsidRPr="002C38F5">
              <w:t xml:space="preserve"> по</w:t>
            </w:r>
            <w:r w:rsidR="000C3BBC">
              <w:t xml:space="preserve"> обеспечению</w:t>
            </w:r>
            <w:r w:rsidR="000C3BBC" w:rsidRPr="002C38F5">
              <w:t xml:space="preserve"> участи</w:t>
            </w:r>
            <w:r w:rsidR="000C3BBC">
              <w:t>я</w:t>
            </w:r>
            <w:r w:rsidR="000C3BBC" w:rsidRPr="002C38F5">
              <w:t xml:space="preserve"> общественности на национальном уровне. Для обеспечения связи с заинтересованными </w:t>
            </w:r>
            <w:r w:rsidR="000C3BBC">
              <w:t>субъектами</w:t>
            </w:r>
            <w:r w:rsidR="000C3BBC" w:rsidRPr="002C38F5">
              <w:t xml:space="preserve"> использ</w:t>
            </w:r>
            <w:r w:rsidR="000C3BBC">
              <w:t>овались</w:t>
            </w:r>
            <w:r w:rsidR="000C3BBC" w:rsidRPr="002C38F5">
              <w:t xml:space="preserve"> электронные документы и веб-страницы. </w:t>
            </w:r>
            <w:r w:rsidR="000C3BBC" w:rsidRPr="00BA4982">
              <w:t xml:space="preserve">Было установлено, что сеть национальных </w:t>
            </w:r>
            <w:r w:rsidR="000C3BBC">
              <w:t xml:space="preserve">контактных </w:t>
            </w:r>
            <w:r w:rsidR="000C3BBC" w:rsidRPr="00BA4982">
              <w:t>пунктов и координационных центров по Конвенции является весьма полезной как для достижения целей Конвенции,</w:t>
            </w:r>
            <w:r w:rsidR="000C3BBC">
              <w:t xml:space="preserve"> </w:t>
            </w:r>
            <w:r w:rsidR="000C3BBC" w:rsidRPr="00BA4982">
              <w:t>так и в более общем плане для трансграничной политической координации.</w:t>
            </w:r>
          </w:p>
          <w:p w14:paraId="4B87BE97" w14:textId="1CBBE47F" w:rsidR="000C3BBC" w:rsidRPr="00501B39" w:rsidRDefault="000C3BBC" w:rsidP="00F715CE">
            <w:pPr>
              <w:spacing w:line="220" w:lineRule="exact"/>
              <w:ind w:firstLine="170"/>
              <w:rPr>
                <w:sz w:val="18"/>
                <w:lang w:val="en-US"/>
              </w:rPr>
            </w:pPr>
            <w:proofErr w:type="gramStart"/>
            <w:r w:rsidRPr="00F715CE">
              <w:rPr>
                <w:i/>
                <w:iCs/>
                <w:sz w:val="18"/>
                <w:vertAlign w:val="superscript"/>
                <w:lang w:val="en-US"/>
              </w:rPr>
              <w:t>a</w:t>
            </w:r>
            <w:r w:rsidR="006C6943" w:rsidRPr="0063077D">
              <w:rPr>
                <w:sz w:val="18"/>
                <w:lang w:val="en-US"/>
              </w:rPr>
              <w:t xml:space="preserve"> </w:t>
            </w:r>
            <w:r w:rsidR="0063077D" w:rsidRPr="0063077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См</w:t>
            </w:r>
            <w:r w:rsidRPr="00501B39">
              <w:rPr>
                <w:sz w:val="18"/>
                <w:lang w:val="en-US"/>
              </w:rPr>
              <w:t>.</w:t>
            </w:r>
            <w:proofErr w:type="gramEnd"/>
            <w:r w:rsidRPr="00501B39">
              <w:rPr>
                <w:sz w:val="18"/>
                <w:lang w:val="en-US"/>
              </w:rPr>
              <w:t xml:space="preserve"> </w:t>
            </w:r>
            <w:hyperlink r:id="rId9" w:history="1">
              <w:r w:rsidRPr="00B941FC">
                <w:rPr>
                  <w:rStyle w:val="af1"/>
                  <w:sz w:val="18"/>
                  <w:lang w:val="en-US"/>
                </w:rPr>
                <w:t>www.regeringen.dk/aktuelt/tidligere-publikationer/the-marienborg-declaration/</w:t>
              </w:r>
            </w:hyperlink>
            <w:r w:rsidRPr="00501B39">
              <w:rPr>
                <w:sz w:val="18"/>
                <w:lang w:val="en-US"/>
              </w:rPr>
              <w:t>.</w:t>
            </w:r>
          </w:p>
          <w:p w14:paraId="31A77A2D" w14:textId="6F39A09E" w:rsidR="000C3BBC" w:rsidRDefault="000C3BBC" w:rsidP="00F56F8D">
            <w:pPr>
              <w:spacing w:after="120" w:line="220" w:lineRule="exact"/>
              <w:ind w:firstLine="170"/>
            </w:pPr>
            <w:r w:rsidRPr="00B66189">
              <w:rPr>
                <w:i/>
                <w:iCs/>
                <w:sz w:val="18"/>
                <w:vertAlign w:val="superscript"/>
                <w:lang w:val="en-US"/>
              </w:rPr>
              <w:t>b</w:t>
            </w:r>
            <w:r w:rsidR="0063077D" w:rsidRPr="00B66189">
              <w:rPr>
                <w:sz w:val="18"/>
              </w:rPr>
              <w:t xml:space="preserve">  </w:t>
            </w:r>
            <w:r>
              <w:rPr>
                <w:sz w:val="18"/>
              </w:rPr>
              <w:t>См</w:t>
            </w:r>
            <w:r w:rsidRPr="00B66189">
              <w:rPr>
                <w:sz w:val="18"/>
              </w:rPr>
              <w:t xml:space="preserve">. </w:t>
            </w:r>
            <w:hyperlink r:id="rId10" w:history="1">
              <w:r w:rsidRPr="00B941FC">
                <w:rPr>
                  <w:rStyle w:val="af1"/>
                  <w:sz w:val="18"/>
                </w:rPr>
                <w:t>www.swe.ee/en/</w:t>
              </w:r>
            </w:hyperlink>
            <w:r w:rsidRPr="00265F64">
              <w:rPr>
                <w:sz w:val="18"/>
              </w:rPr>
              <w:t>.</w:t>
            </w:r>
          </w:p>
        </w:tc>
      </w:tr>
      <w:tr w:rsidR="000C3BBC" w14:paraId="76C48D6F" w14:textId="77777777" w:rsidTr="00B04E6B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013C0626" w14:textId="77777777" w:rsidR="000C3BBC" w:rsidRDefault="000C3BBC" w:rsidP="00B04E6B">
            <w:pPr>
              <w:spacing w:line="240" w:lineRule="auto"/>
            </w:pPr>
          </w:p>
        </w:tc>
      </w:tr>
    </w:tbl>
    <w:p w14:paraId="6D72D86A" w14:textId="77777777" w:rsidR="000C3BBC" w:rsidRPr="00195757" w:rsidRDefault="000C3BBC" w:rsidP="000C3BBC">
      <w:pPr>
        <w:pStyle w:val="SingleTxtG"/>
        <w:spacing w:before="120"/>
      </w:pPr>
      <w:r w:rsidRPr="00832B47">
        <w:t>26.</w:t>
      </w:r>
      <w:r w:rsidRPr="00832B47">
        <w:tab/>
      </w:r>
      <w:bookmarkStart w:id="9" w:name="_Ref132886529"/>
      <w:r>
        <w:t>Вполне о</w:t>
      </w:r>
      <w:r w:rsidRPr="00195757">
        <w:t xml:space="preserve">чевидно, что энергетический переход </w:t>
      </w:r>
      <w:r>
        <w:t>может осуществляться на основе</w:t>
      </w:r>
      <w:r w:rsidRPr="00195757">
        <w:t xml:space="preserve"> множеств</w:t>
      </w:r>
      <w:r>
        <w:t>а</w:t>
      </w:r>
      <w:r w:rsidRPr="00195757">
        <w:t xml:space="preserve"> стратегий, каждая из которых имеет множество вариантов. </w:t>
      </w:r>
      <w:r>
        <w:t xml:space="preserve">В качестве одного </w:t>
      </w:r>
      <w:r w:rsidRPr="00195757">
        <w:t xml:space="preserve">из недавних </w:t>
      </w:r>
      <w:r>
        <w:t xml:space="preserve">примеров можно сослаться на опыт </w:t>
      </w:r>
      <w:r w:rsidRPr="00195757">
        <w:t>использовани</w:t>
      </w:r>
      <w:r>
        <w:t xml:space="preserve">я </w:t>
      </w:r>
      <w:r w:rsidRPr="00195757">
        <w:t>в Саскачеване</w:t>
      </w:r>
      <w:r>
        <w:t xml:space="preserve">, </w:t>
      </w:r>
      <w:r w:rsidRPr="00195757">
        <w:t xml:space="preserve">Канада, специального подхода к стратегической экологической оценке, основанного </w:t>
      </w:r>
      <w:r>
        <w:t xml:space="preserve">учете </w:t>
      </w:r>
      <w:r w:rsidRPr="00195757">
        <w:t>энергетическ</w:t>
      </w:r>
      <w:r>
        <w:t xml:space="preserve">ого </w:t>
      </w:r>
      <w:r w:rsidRPr="00195757">
        <w:t>переход</w:t>
      </w:r>
      <w:r>
        <w:t>а</w:t>
      </w:r>
      <w:r w:rsidRPr="00195757">
        <w:t xml:space="preserve">, для рассмотрения более широких потребностей в потенциале, возможностей, рисков и препятствий в существующих механизмах </w:t>
      </w:r>
      <w:r w:rsidRPr="00195757">
        <w:lastRenderedPageBreak/>
        <w:t>управления</w:t>
      </w:r>
      <w:r w:rsidRPr="00CD635B">
        <w:rPr>
          <w:rFonts w:eastAsia="MyriadPro-Regular"/>
          <w:vertAlign w:val="superscript"/>
        </w:rPr>
        <w:footnoteReference w:id="45"/>
      </w:r>
      <w:bookmarkEnd w:id="9"/>
      <w:r>
        <w:t>.</w:t>
      </w:r>
      <w:r w:rsidRPr="00832B47">
        <w:rPr>
          <w:rFonts w:eastAsia="MyriadPro-Regular"/>
        </w:rPr>
        <w:t xml:space="preserve"> </w:t>
      </w:r>
      <w:r w:rsidRPr="00195757">
        <w:t xml:space="preserve">Это иллюстрирует </w:t>
      </w:r>
      <w:r>
        <w:t xml:space="preserve">тот </w:t>
      </w:r>
      <w:r w:rsidRPr="00195757">
        <w:t xml:space="preserve">случай, когда стратегическая экологическая оценка помогла изучить контекст принятия решений и способствовала </w:t>
      </w:r>
      <w:r>
        <w:t xml:space="preserve">обеспечению </w:t>
      </w:r>
      <w:r w:rsidRPr="00195757">
        <w:t>согласованности различных</w:t>
      </w:r>
      <w:r>
        <w:t xml:space="preserve"> </w:t>
      </w:r>
      <w:r w:rsidRPr="003763F2">
        <w:t>управленческих и институциональных механизмов</w:t>
      </w:r>
      <w:r w:rsidRPr="00195757">
        <w:t xml:space="preserve"> (что может </w:t>
      </w:r>
      <w:r>
        <w:t>поощрять</w:t>
      </w:r>
      <w:r w:rsidRPr="00195757">
        <w:t xml:space="preserve"> включени</w:t>
      </w:r>
      <w:r>
        <w:t>е</w:t>
      </w:r>
      <w:r w:rsidRPr="00195757">
        <w:t xml:space="preserve"> обязательств по зеленому финансированию и экономике</w:t>
      </w:r>
      <w:r>
        <w:t xml:space="preserve"> замкнутого цикла</w:t>
      </w:r>
      <w:r w:rsidRPr="00195757">
        <w:t xml:space="preserve"> в процесс принятия решений). Это позволяет предположить, что Протокол мо</w:t>
      </w:r>
      <w:r>
        <w:t>г бы</w:t>
      </w:r>
      <w:r w:rsidRPr="00195757">
        <w:t xml:space="preserve"> </w:t>
      </w:r>
      <w:r>
        <w:t>и</w:t>
      </w:r>
      <w:r w:rsidRPr="00195757">
        <w:t xml:space="preserve">грать важную роль в надзоре за многочисленными планами </w:t>
      </w:r>
      <w:r>
        <w:t xml:space="preserve">энергетического </w:t>
      </w:r>
      <w:r w:rsidRPr="00195757">
        <w:t xml:space="preserve">перехода в различных секторах, в том числе в случае </w:t>
      </w:r>
      <w:r>
        <w:t xml:space="preserve">его </w:t>
      </w:r>
      <w:r w:rsidRPr="00195757">
        <w:t xml:space="preserve">применения </w:t>
      </w:r>
      <w:r>
        <w:t>в отношении</w:t>
      </w:r>
      <w:r w:rsidRPr="00195757">
        <w:t xml:space="preserve"> политик</w:t>
      </w:r>
      <w:r>
        <w:t>и</w:t>
      </w:r>
      <w:r w:rsidRPr="00195757">
        <w:t xml:space="preserve">, </w:t>
      </w:r>
      <w:r>
        <w:t>с возможностью выявления</w:t>
      </w:r>
      <w:r w:rsidRPr="00195757">
        <w:t xml:space="preserve"> кумулятивны</w:t>
      </w:r>
      <w:r>
        <w:t>х</w:t>
      </w:r>
      <w:r w:rsidRPr="00195757">
        <w:t xml:space="preserve"> эффект</w:t>
      </w:r>
      <w:r>
        <w:t>ов</w:t>
      </w:r>
      <w:r w:rsidRPr="00195757">
        <w:t xml:space="preserve">, </w:t>
      </w:r>
      <w:r>
        <w:t xml:space="preserve">проблем, вызывающих </w:t>
      </w:r>
      <w:r w:rsidRPr="00195757">
        <w:t xml:space="preserve">озабоченность общественности, </w:t>
      </w:r>
      <w:r>
        <w:t xml:space="preserve">и </w:t>
      </w:r>
      <w:r w:rsidRPr="00195757">
        <w:t>потенциальны</w:t>
      </w:r>
      <w:r>
        <w:t>х</w:t>
      </w:r>
      <w:r w:rsidRPr="00195757">
        <w:t xml:space="preserve"> </w:t>
      </w:r>
      <w:r>
        <w:t>областей</w:t>
      </w:r>
      <w:r w:rsidRPr="00195757">
        <w:t xml:space="preserve"> конфликт</w:t>
      </w:r>
      <w:r>
        <w:t>ов</w:t>
      </w:r>
      <w:r w:rsidRPr="00195757">
        <w:t xml:space="preserve"> и </w:t>
      </w:r>
      <w:r>
        <w:t>в содействии управленческой координации и модификации</w:t>
      </w:r>
      <w:r w:rsidRPr="00195757">
        <w:t xml:space="preserve"> проект</w:t>
      </w:r>
      <w:r>
        <w:t>ов</w:t>
      </w:r>
      <w:r w:rsidRPr="00195757">
        <w:t xml:space="preserve">, которые затем </w:t>
      </w:r>
      <w:r>
        <w:t>будут подлежать</w:t>
      </w:r>
      <w:r w:rsidRPr="00195757">
        <w:t xml:space="preserve"> оценк</w:t>
      </w:r>
      <w:r>
        <w:t>е</w:t>
      </w:r>
      <w:r w:rsidRPr="00195757">
        <w:t xml:space="preserve"> воздействия на окружающую среду.</w:t>
      </w:r>
    </w:p>
    <w:p w14:paraId="69E53A30" w14:textId="77777777" w:rsidR="000C3BBC" w:rsidRPr="00BF278E" w:rsidRDefault="000C3BBC" w:rsidP="000C3BBC">
      <w:pPr>
        <w:pStyle w:val="H1G"/>
        <w:rPr>
          <w:lang w:eastAsia="en-US"/>
        </w:rPr>
      </w:pPr>
      <w:r w:rsidRPr="00195757">
        <w:rPr>
          <w:szCs w:val="24"/>
          <w:lang w:eastAsia="en-US"/>
        </w:rPr>
        <w:tab/>
      </w:r>
      <w:r w:rsidRPr="005D6122">
        <w:rPr>
          <w:szCs w:val="24"/>
          <w:lang w:eastAsia="en-US"/>
        </w:rPr>
        <w:t>D</w:t>
      </w:r>
      <w:r w:rsidRPr="00BF278E">
        <w:rPr>
          <w:lang w:eastAsia="en-US"/>
        </w:rPr>
        <w:t>.</w:t>
      </w:r>
      <w:r w:rsidRPr="00BF278E">
        <w:rPr>
          <w:lang w:eastAsia="en-US"/>
        </w:rPr>
        <w:tab/>
      </w:r>
      <w:r>
        <w:rPr>
          <w:lang w:eastAsia="en-US"/>
        </w:rPr>
        <w:t>Области для</w:t>
      </w:r>
      <w:r w:rsidRPr="00BF278E">
        <w:rPr>
          <w:lang w:eastAsia="en-US"/>
        </w:rPr>
        <w:t xml:space="preserve"> дальнейшего изучения роли Конвенции и Протокола в содействии энергетическому переходу</w:t>
      </w:r>
    </w:p>
    <w:p w14:paraId="19F641FE" w14:textId="77777777" w:rsidR="000C3BBC" w:rsidRPr="008533C2" w:rsidRDefault="000C3BBC" w:rsidP="000C3BBC">
      <w:pPr>
        <w:pStyle w:val="SingleTxtG"/>
      </w:pPr>
      <w:r w:rsidRPr="00456AE9">
        <w:t>27.</w:t>
      </w:r>
      <w:r w:rsidRPr="00456AE9">
        <w:tab/>
      </w:r>
      <w:r w:rsidRPr="008533C2">
        <w:t xml:space="preserve">Хотя </w:t>
      </w:r>
      <w:r>
        <w:t>как</w:t>
      </w:r>
      <w:r w:rsidRPr="008533C2">
        <w:t xml:space="preserve"> Конвенция,</w:t>
      </w:r>
      <w:r>
        <w:t xml:space="preserve"> так</w:t>
      </w:r>
      <w:r w:rsidRPr="008533C2">
        <w:t xml:space="preserve"> и Протокол требуют </w:t>
      </w:r>
      <w:r>
        <w:t xml:space="preserve">обеспечивать </w:t>
      </w:r>
      <w:r w:rsidRPr="008533C2">
        <w:t>учет климатическ</w:t>
      </w:r>
      <w:r>
        <w:t>ого</w:t>
      </w:r>
      <w:r w:rsidRPr="008533C2">
        <w:t xml:space="preserve"> воздействи</w:t>
      </w:r>
      <w:r>
        <w:t>я</w:t>
      </w:r>
      <w:r w:rsidRPr="008533C2">
        <w:t>, они были разработаны до того, как адаптация, в частности, стала важным фактором политики. Таким образом, сфера применения климатической проблематики в них не так четко определена, как, например, в измененной в 2014 г</w:t>
      </w:r>
      <w:r>
        <w:t>оду</w:t>
      </w:r>
      <w:r w:rsidRPr="008533C2">
        <w:t xml:space="preserve"> Директиве Европейского союза об оценке воздействия на окружающую среду, где говорится о необходимости учитывать климат среди факторов, на которые </w:t>
      </w:r>
      <w:r>
        <w:t xml:space="preserve">конкретный </w:t>
      </w:r>
      <w:r w:rsidRPr="008533C2">
        <w:t xml:space="preserve">проект может оказать существенное влияние (например, </w:t>
      </w:r>
      <w:r>
        <w:t xml:space="preserve">на </w:t>
      </w:r>
      <w:r w:rsidRPr="008533C2">
        <w:t>величин</w:t>
      </w:r>
      <w:r>
        <w:t>у</w:t>
      </w:r>
      <w:r w:rsidRPr="008533C2">
        <w:t xml:space="preserve"> выбросов парниковых газов и воздействи</w:t>
      </w:r>
      <w:r>
        <w:t>е</w:t>
      </w:r>
      <w:r w:rsidRPr="008533C2">
        <w:t>, имеющ</w:t>
      </w:r>
      <w:r>
        <w:t>е</w:t>
      </w:r>
      <w:r w:rsidRPr="008533C2">
        <w:t>е отношение к адаптации</w:t>
      </w:r>
      <w:r w:rsidRPr="00456AE9">
        <w:t>)</w:t>
      </w:r>
      <w:r w:rsidRPr="005D6122">
        <w:rPr>
          <w:vertAlign w:val="superscript"/>
        </w:rPr>
        <w:footnoteReference w:id="46"/>
      </w:r>
      <w:r>
        <w:t>.</w:t>
      </w:r>
      <w:r w:rsidRPr="00456AE9">
        <w:t xml:space="preserve"> </w:t>
      </w:r>
      <w:bookmarkStart w:id="10" w:name="_Ref138165252"/>
      <w:r w:rsidRPr="008533C2">
        <w:t xml:space="preserve">Парижское соглашение </w:t>
      </w:r>
      <w:r>
        <w:t>непосредственно обязывает</w:t>
      </w:r>
      <w:r w:rsidRPr="008533C2">
        <w:t xml:space="preserve"> Сторон</w:t>
      </w:r>
      <w:r>
        <w:t>ы</w:t>
      </w:r>
      <w:r w:rsidRPr="008533C2">
        <w:t xml:space="preserve"> учитывать </w:t>
      </w:r>
      <w:r w:rsidRPr="000F765D">
        <w:t>адаптаци</w:t>
      </w:r>
      <w:r>
        <w:t>ю</w:t>
      </w:r>
      <w:r w:rsidRPr="000F765D">
        <w:t xml:space="preserve"> к изменению</w:t>
      </w:r>
      <w:r>
        <w:t xml:space="preserve"> </w:t>
      </w:r>
      <w:r w:rsidRPr="000F765D">
        <w:t>климата</w:t>
      </w:r>
      <w:r>
        <w:t xml:space="preserve">, а также </w:t>
      </w:r>
      <w:r w:rsidRPr="000F765D">
        <w:t>смягчени</w:t>
      </w:r>
      <w:r>
        <w:t>е</w:t>
      </w:r>
      <w:r w:rsidRPr="000F765D">
        <w:t xml:space="preserve"> его последстви</w:t>
      </w:r>
      <w:r>
        <w:t>й</w:t>
      </w:r>
      <w:r w:rsidRPr="008533C2">
        <w:t xml:space="preserve"> в своих </w:t>
      </w:r>
      <w:r w:rsidRPr="00086353">
        <w:t>определяемых на национальном уровне</w:t>
      </w:r>
      <w:r>
        <w:t xml:space="preserve"> </w:t>
      </w:r>
      <w:r w:rsidRPr="00086353">
        <w:t>вклад</w:t>
      </w:r>
      <w:r>
        <w:t>ах</w:t>
      </w:r>
      <w:r w:rsidRPr="005D6122">
        <w:rPr>
          <w:vertAlign w:val="superscript"/>
        </w:rPr>
        <w:footnoteReference w:id="47"/>
      </w:r>
      <w:bookmarkEnd w:id="10"/>
      <w:r>
        <w:t>.</w:t>
      </w:r>
    </w:p>
    <w:p w14:paraId="174E7F19" w14:textId="268FBF0A" w:rsidR="000C3BBC" w:rsidRPr="00DE7F70" w:rsidRDefault="000C3BBC" w:rsidP="000C3BBC">
      <w:pPr>
        <w:pStyle w:val="SingleTxtG"/>
      </w:pPr>
      <w:r w:rsidRPr="00FF78EC">
        <w:t>28.</w:t>
      </w:r>
      <w:r w:rsidRPr="00FF78EC">
        <w:tab/>
      </w:r>
      <w:r w:rsidRPr="00DE7F70">
        <w:t>Многие</w:t>
      </w:r>
      <w:r w:rsidRPr="00FF78EC">
        <w:t xml:space="preserve"> </w:t>
      </w:r>
      <w:r w:rsidRPr="00DE7F70">
        <w:t>предприятия</w:t>
      </w:r>
      <w:r w:rsidRPr="00FF78EC">
        <w:t xml:space="preserve"> </w:t>
      </w:r>
      <w:r>
        <w:t>во</w:t>
      </w:r>
      <w:r w:rsidRPr="00FF78EC">
        <w:t xml:space="preserve"> </w:t>
      </w:r>
      <w:r w:rsidRPr="00DE7F70">
        <w:t>всем</w:t>
      </w:r>
      <w:r w:rsidRPr="00FF78EC">
        <w:t xml:space="preserve"> </w:t>
      </w:r>
      <w:r w:rsidRPr="00DE7F70">
        <w:t>мир</w:t>
      </w:r>
      <w:r>
        <w:t>е</w:t>
      </w:r>
      <w:r w:rsidRPr="00FF78EC">
        <w:t xml:space="preserve"> </w:t>
      </w:r>
      <w:r w:rsidRPr="00DE7F70">
        <w:t>используют</w:t>
      </w:r>
      <w:r w:rsidRPr="00FF78EC">
        <w:t xml:space="preserve"> </w:t>
      </w:r>
      <w:r w:rsidRPr="00DE7F70">
        <w:t>Протокол</w:t>
      </w:r>
      <w:r w:rsidRPr="00FF78EC">
        <w:t xml:space="preserve"> </w:t>
      </w:r>
      <w:r w:rsidRPr="00DE7F70">
        <w:t>по</w:t>
      </w:r>
      <w:r w:rsidRPr="00FF78EC">
        <w:t xml:space="preserve"> </w:t>
      </w:r>
      <w:r w:rsidRPr="00DE7F70">
        <w:t>парниковым</w:t>
      </w:r>
      <w:r w:rsidRPr="00FF78EC">
        <w:t xml:space="preserve"> </w:t>
      </w:r>
      <w:r w:rsidRPr="00DE7F70">
        <w:t>газам</w:t>
      </w:r>
      <w:r w:rsidRPr="005D6122">
        <w:rPr>
          <w:vertAlign w:val="superscript"/>
        </w:rPr>
        <w:footnoteReference w:id="48"/>
      </w:r>
      <w:r w:rsidRPr="00FF78EC">
        <w:t xml:space="preserve"> </w:t>
      </w:r>
      <w:r w:rsidRPr="00DE7F70">
        <w:t xml:space="preserve">для </w:t>
      </w:r>
      <w:r>
        <w:t xml:space="preserve">содействия </w:t>
      </w:r>
      <w:r w:rsidRPr="00DE7F70">
        <w:t>учет</w:t>
      </w:r>
      <w:r>
        <w:t>у</w:t>
      </w:r>
      <w:r w:rsidRPr="00DE7F70">
        <w:t xml:space="preserve"> и </w:t>
      </w:r>
      <w:r>
        <w:t>регулированию своих</w:t>
      </w:r>
      <w:r w:rsidRPr="00DE7F70">
        <w:t xml:space="preserve"> выброс</w:t>
      </w:r>
      <w:r>
        <w:t>ов</w:t>
      </w:r>
      <w:r w:rsidRPr="00DE7F70">
        <w:t xml:space="preserve"> </w:t>
      </w:r>
      <w:r>
        <w:t>на основе классификации</w:t>
      </w:r>
      <w:r w:rsidRPr="00DE7F70">
        <w:t xml:space="preserve"> </w:t>
      </w:r>
      <w:r>
        <w:t xml:space="preserve">выбросов </w:t>
      </w:r>
      <w:r w:rsidRPr="00DE7F70">
        <w:t xml:space="preserve">по трем категориям: </w:t>
      </w:r>
      <w:r>
        <w:t>выбросы со сферой охвата 1</w:t>
      </w:r>
      <w:r w:rsidRPr="00DE7F70">
        <w:t xml:space="preserve"> </w:t>
      </w:r>
      <w:r>
        <w:t>—</w:t>
      </w:r>
      <w:r w:rsidRPr="00DE7F70">
        <w:t xml:space="preserve"> это прямые выбросы</w:t>
      </w:r>
      <w:r>
        <w:t>, возникающие</w:t>
      </w:r>
      <w:r w:rsidRPr="00DE7F70">
        <w:t xml:space="preserve"> </w:t>
      </w:r>
      <w:r>
        <w:t>в ходе</w:t>
      </w:r>
      <w:r w:rsidRPr="00DE7F70">
        <w:t xml:space="preserve"> операционной деятельности предприятия (включая транспортный парк и выбросы от производственных процессов); </w:t>
      </w:r>
      <w:r>
        <w:t>выбросы со сферой охвата</w:t>
      </w:r>
      <w:r w:rsidRPr="00DE7F70">
        <w:t xml:space="preserve"> 2 </w:t>
      </w:r>
      <w:r>
        <w:t>—</w:t>
      </w:r>
      <w:r w:rsidRPr="00DE7F70">
        <w:t xml:space="preserve"> это</w:t>
      </w:r>
      <w:r>
        <w:t xml:space="preserve"> </w:t>
      </w:r>
      <w:r w:rsidRPr="00DE7F70">
        <w:t>косвенные выбросы (включая люб</w:t>
      </w:r>
      <w:r>
        <w:t>ую</w:t>
      </w:r>
      <w:r w:rsidRPr="00DE7F70">
        <w:t xml:space="preserve"> приобретенн</w:t>
      </w:r>
      <w:r>
        <w:t xml:space="preserve">ую </w:t>
      </w:r>
      <w:r w:rsidRPr="00866909">
        <w:t>электрическ</w:t>
      </w:r>
      <w:r>
        <w:t>ую/</w:t>
      </w:r>
      <w:r w:rsidRPr="00866909">
        <w:t>теплов</w:t>
      </w:r>
      <w:r>
        <w:t>ую/</w:t>
      </w:r>
      <w:r w:rsidRPr="00866909">
        <w:t>охладительн</w:t>
      </w:r>
      <w:r>
        <w:t>ую</w:t>
      </w:r>
      <w:r w:rsidRPr="00866909">
        <w:t> энерги</w:t>
      </w:r>
      <w:r>
        <w:t>ю</w:t>
      </w:r>
      <w:r w:rsidRPr="00DE7F70">
        <w:t>);</w:t>
      </w:r>
      <w:r>
        <w:t xml:space="preserve"> и</w:t>
      </w:r>
      <w:r w:rsidRPr="00DE7F70">
        <w:t xml:space="preserve"> </w:t>
      </w:r>
      <w:r>
        <w:t>выбросы со сферой охвата</w:t>
      </w:r>
      <w:r w:rsidRPr="00DE7F70">
        <w:t xml:space="preserve"> 3 </w:t>
      </w:r>
      <w:r>
        <w:t>—</w:t>
      </w:r>
      <w:r w:rsidRPr="00DE7F70">
        <w:t xml:space="preserve"> это также косвенные выбросы, но от </w:t>
      </w:r>
      <w:r>
        <w:t>клиентов</w:t>
      </w:r>
      <w:r w:rsidRPr="00DE7F70">
        <w:t xml:space="preserve"> и поставщиков (включая вс</w:t>
      </w:r>
      <w:r w:rsidR="008C45C0">
        <w:t>е</w:t>
      </w:r>
      <w:r w:rsidRPr="00DE7F70">
        <w:t>, что выбрасывается поставщиками и клиентами в рамках цепочки создания стоимости</w:t>
      </w:r>
      <w:r>
        <w:t xml:space="preserve"> — этот </w:t>
      </w:r>
      <w:r w:rsidRPr="00DE7F70">
        <w:t xml:space="preserve">термин </w:t>
      </w:r>
      <w:r>
        <w:t>распространяется</w:t>
      </w:r>
      <w:r w:rsidRPr="00DE7F70">
        <w:t xml:space="preserve"> как </w:t>
      </w:r>
      <w:r>
        <w:t xml:space="preserve">на </w:t>
      </w:r>
      <w:r w:rsidRPr="00DE7F70">
        <w:t xml:space="preserve">поставщиков в цепочке поставок, так и </w:t>
      </w:r>
      <w:r>
        <w:t xml:space="preserve">на </w:t>
      </w:r>
      <w:r w:rsidRPr="00DE7F70">
        <w:t xml:space="preserve">розничных продавцов и </w:t>
      </w:r>
      <w:r>
        <w:t>клиентов</w:t>
      </w:r>
      <w:r w:rsidRPr="00DE7F70">
        <w:t xml:space="preserve"> после точки продажи). Достижение </w:t>
      </w:r>
      <w:r w:rsidR="008C45C0">
        <w:t>Ц</w:t>
      </w:r>
      <w:r w:rsidR="008C45C0" w:rsidRPr="00DE7F70">
        <w:t xml:space="preserve">ели </w:t>
      </w:r>
      <w:r w:rsidRPr="00DE7F70">
        <w:t xml:space="preserve">13 в области устойчивого развития предполагает учет выбросов </w:t>
      </w:r>
      <w:r>
        <w:t>со сферой охвата</w:t>
      </w:r>
      <w:r w:rsidRPr="00DE7F70">
        <w:t xml:space="preserve"> 1, 2 и 3, однако выбросы </w:t>
      </w:r>
      <w:r>
        <w:t>со сферой охвата</w:t>
      </w:r>
      <w:r w:rsidRPr="00DE7F70">
        <w:t xml:space="preserve"> 3 </w:t>
      </w:r>
      <w:r>
        <w:t xml:space="preserve">четко не </w:t>
      </w:r>
      <w:r w:rsidRPr="00DE7F70">
        <w:t xml:space="preserve">указаны в Конвенции или Протоколе в качестве </w:t>
      </w:r>
      <w:r>
        <w:t xml:space="preserve">выбросов, оказывающих </w:t>
      </w:r>
      <w:r w:rsidRPr="00DE7F70">
        <w:t>экологическ</w:t>
      </w:r>
      <w:r>
        <w:t>ое</w:t>
      </w:r>
      <w:r w:rsidRPr="00DE7F70">
        <w:t xml:space="preserve"> воздействи</w:t>
      </w:r>
      <w:r>
        <w:t>е</w:t>
      </w:r>
      <w:r w:rsidRPr="00DE7F70">
        <w:t>, подлежащ</w:t>
      </w:r>
      <w:r>
        <w:t>ее</w:t>
      </w:r>
      <w:r w:rsidRPr="00DE7F70">
        <w:t xml:space="preserve"> учету. Значительные косвенные воздействия предлагаемого проекта обычно должны рассматриваться в рамках другого законодательства об оценке воздействия на окружающую среду, например в соответствии со статьей 3 первоначальной </w:t>
      </w:r>
      <w:r w:rsidRPr="008533C2">
        <w:t>Директив</w:t>
      </w:r>
      <w:r>
        <w:t>ы</w:t>
      </w:r>
      <w:r w:rsidRPr="008533C2">
        <w:t xml:space="preserve"> Европейского союза об оценке воздействия на окружающую среду</w:t>
      </w:r>
      <w:r w:rsidRPr="00DE7F70">
        <w:t xml:space="preserve"> 2011 года</w:t>
      </w:r>
      <w:r w:rsidRPr="005D6122">
        <w:rPr>
          <w:spacing w:val="-3"/>
          <w:shd w:val="clear" w:color="auto" w:fill="FFFFFF"/>
          <w:vertAlign w:val="superscript"/>
        </w:rPr>
        <w:footnoteReference w:id="49"/>
      </w:r>
      <w:r>
        <w:t xml:space="preserve">. </w:t>
      </w:r>
      <w:r w:rsidRPr="00DE7F70">
        <w:t xml:space="preserve">Отсутствие в Конвенции и Протоколе конкретного акцента на выбросы </w:t>
      </w:r>
      <w:r>
        <w:t>со сферой охвата</w:t>
      </w:r>
      <w:r w:rsidRPr="00DE7F70">
        <w:t xml:space="preserve"> </w:t>
      </w:r>
      <w:r>
        <w:t xml:space="preserve">3 </w:t>
      </w:r>
      <w:r w:rsidRPr="00DE7F70">
        <w:t xml:space="preserve">может ограничить возможности оценки с целью получения наибольших выгод </w:t>
      </w:r>
      <w:r>
        <w:t>в плане</w:t>
      </w:r>
      <w:r w:rsidRPr="00DE7F70">
        <w:t xml:space="preserve"> сокращения выбросов и стать источником напряженности в </w:t>
      </w:r>
      <w:r>
        <w:t xml:space="preserve">тех </w:t>
      </w:r>
      <w:r w:rsidRPr="00DE7F70">
        <w:t xml:space="preserve">случаях оценки трансграничного воздействия на окружающую среду, когда Стороны </w:t>
      </w:r>
      <w:r w:rsidR="008C45C0">
        <w:br/>
      </w:r>
      <w:r w:rsidRPr="00DE7F70">
        <w:t>по-разному подходят к их учету</w:t>
      </w:r>
      <w:r w:rsidRPr="00FF78EC">
        <w:t>.</w:t>
      </w:r>
    </w:p>
    <w:p w14:paraId="396EA30C" w14:textId="77777777" w:rsidR="000C3BBC" w:rsidRPr="00FF3DE2" w:rsidRDefault="000C3BBC" w:rsidP="000C3BBC">
      <w:pPr>
        <w:pStyle w:val="SingleTxtG"/>
        <w:rPr>
          <w:spacing w:val="-3"/>
          <w:shd w:val="clear" w:color="auto" w:fill="FFFFFF"/>
        </w:rPr>
      </w:pPr>
      <w:r w:rsidRPr="002B3A9F">
        <w:lastRenderedPageBreak/>
        <w:t>29.</w:t>
      </w:r>
      <w:r w:rsidRPr="002B3A9F">
        <w:tab/>
      </w:r>
      <w:r w:rsidRPr="00FF3DE2">
        <w:rPr>
          <w:spacing w:val="-3"/>
          <w:shd w:val="clear" w:color="auto" w:fill="FFFFFF"/>
        </w:rPr>
        <w:t>Удаление углерода</w:t>
      </w:r>
      <w:r>
        <w:rPr>
          <w:spacing w:val="-3"/>
          <w:shd w:val="clear" w:color="auto" w:fill="FFFFFF"/>
        </w:rPr>
        <w:t xml:space="preserve"> </w:t>
      </w:r>
      <w:r w:rsidRPr="00FF3DE2">
        <w:rPr>
          <w:spacing w:val="-3"/>
          <w:shd w:val="clear" w:color="auto" w:fill="FFFFFF"/>
        </w:rPr>
        <w:t>путем, например</w:t>
      </w:r>
      <w:r>
        <w:rPr>
          <w:spacing w:val="-3"/>
          <w:shd w:val="clear" w:color="auto" w:fill="FFFFFF"/>
        </w:rPr>
        <w:t>,</w:t>
      </w:r>
      <w:r w:rsidRPr="00FF3DE2">
        <w:rPr>
          <w:spacing w:val="-3"/>
          <w:shd w:val="clear" w:color="auto" w:fill="FFFFFF"/>
        </w:rPr>
        <w:t xml:space="preserve"> посадки деревьев классифицируется как компенсация</w:t>
      </w:r>
      <w:r>
        <w:rPr>
          <w:spacing w:val="-3"/>
          <w:shd w:val="clear" w:color="auto" w:fill="FFFFFF"/>
        </w:rPr>
        <w:t>,</w:t>
      </w:r>
      <w:r w:rsidRPr="00FF3DE2">
        <w:rPr>
          <w:spacing w:val="-3"/>
          <w:shd w:val="clear" w:color="auto" w:fill="FFFFFF"/>
        </w:rPr>
        <w:t xml:space="preserve"> или </w:t>
      </w:r>
      <w:r>
        <w:rPr>
          <w:spacing w:val="-3"/>
          <w:shd w:val="clear" w:color="auto" w:fill="FFFFFF"/>
        </w:rPr>
        <w:t>офсет</w:t>
      </w:r>
      <w:r w:rsidRPr="00FF3DE2">
        <w:rPr>
          <w:spacing w:val="-3"/>
          <w:shd w:val="clear" w:color="auto" w:fill="FFFFFF"/>
        </w:rPr>
        <w:t xml:space="preserve">. Статья 6 Парижского соглашения позволяет странам торговать выбросами в рамках их определяемых на национальном уровне </w:t>
      </w:r>
      <w:r>
        <w:rPr>
          <w:spacing w:val="-3"/>
          <w:shd w:val="clear" w:color="auto" w:fill="FFFFFF"/>
        </w:rPr>
        <w:t>вкладов, что является</w:t>
      </w:r>
      <w:r w:rsidRPr="00FF3DE2">
        <w:rPr>
          <w:spacing w:val="-3"/>
          <w:shd w:val="clear" w:color="auto" w:fill="FFFFFF"/>
        </w:rPr>
        <w:t xml:space="preserve"> еще одн</w:t>
      </w:r>
      <w:r>
        <w:rPr>
          <w:spacing w:val="-3"/>
          <w:shd w:val="clear" w:color="auto" w:fill="FFFFFF"/>
        </w:rPr>
        <w:t>ой</w:t>
      </w:r>
      <w:r w:rsidRPr="00FF3DE2">
        <w:rPr>
          <w:spacing w:val="-3"/>
          <w:shd w:val="clear" w:color="auto" w:fill="FFFFFF"/>
        </w:rPr>
        <w:t xml:space="preserve"> форм</w:t>
      </w:r>
      <w:r>
        <w:rPr>
          <w:spacing w:val="-3"/>
          <w:shd w:val="clear" w:color="auto" w:fill="FFFFFF"/>
        </w:rPr>
        <w:t>ой</w:t>
      </w:r>
      <w:r w:rsidRPr="00FF3DE2">
        <w:rPr>
          <w:spacing w:val="-3"/>
          <w:shd w:val="clear" w:color="auto" w:fill="FFFFFF"/>
        </w:rPr>
        <w:t xml:space="preserve"> </w:t>
      </w:r>
      <w:r>
        <w:rPr>
          <w:spacing w:val="-3"/>
          <w:shd w:val="clear" w:color="auto" w:fill="FFFFFF"/>
        </w:rPr>
        <w:t>офсетов</w:t>
      </w:r>
      <w:r w:rsidRPr="00FF3DE2">
        <w:rPr>
          <w:spacing w:val="-3"/>
          <w:shd w:val="clear" w:color="auto" w:fill="FFFFFF"/>
        </w:rPr>
        <w:t xml:space="preserve">. </w:t>
      </w:r>
      <w:r>
        <w:rPr>
          <w:spacing w:val="-3"/>
          <w:shd w:val="clear" w:color="auto" w:fill="FFFFFF"/>
        </w:rPr>
        <w:t>Хотя</w:t>
      </w:r>
      <w:r w:rsidRPr="00FF3DE2">
        <w:rPr>
          <w:spacing w:val="-3"/>
          <w:shd w:val="clear" w:color="auto" w:fill="FFFFFF"/>
        </w:rPr>
        <w:t xml:space="preserve"> некоторые организации гражданского общества (например,</w:t>
      </w:r>
      <w:r>
        <w:rPr>
          <w:spacing w:val="-3"/>
          <w:shd w:val="clear" w:color="auto" w:fill="FFFFFF"/>
        </w:rPr>
        <w:t xml:space="preserve"> </w:t>
      </w:r>
      <w:r w:rsidRPr="0065284F">
        <w:rPr>
          <w:spacing w:val="-3"/>
          <w:shd w:val="clear" w:color="auto" w:fill="FFFFFF"/>
        </w:rPr>
        <w:t>организация «Международная амнистия»</w:t>
      </w:r>
      <w:r w:rsidRPr="00FF3DE2">
        <w:rPr>
          <w:spacing w:val="-3"/>
          <w:shd w:val="clear" w:color="auto" w:fill="FFFFFF"/>
        </w:rPr>
        <w:t xml:space="preserve">, </w:t>
      </w:r>
      <w:r w:rsidRPr="0065284F">
        <w:rPr>
          <w:spacing w:val="-3"/>
          <w:shd w:val="clear" w:color="auto" w:fill="FFFFFF"/>
        </w:rPr>
        <w:t>Центр международного права окружающей среды (СИЕЛ)</w:t>
      </w:r>
      <w:r w:rsidRPr="00FF3DE2">
        <w:rPr>
          <w:spacing w:val="-3"/>
          <w:shd w:val="clear" w:color="auto" w:fill="FFFFFF"/>
        </w:rPr>
        <w:t xml:space="preserve">, </w:t>
      </w:r>
      <w:r>
        <w:rPr>
          <w:spacing w:val="-3"/>
          <w:shd w:val="clear" w:color="auto" w:fill="FFFFFF"/>
        </w:rPr>
        <w:t>С</w:t>
      </w:r>
      <w:r w:rsidRPr="0065284F">
        <w:rPr>
          <w:spacing w:val="-3"/>
          <w:shd w:val="clear" w:color="auto" w:fill="FFFFFF"/>
        </w:rPr>
        <w:t>еть для действий в защиту климата</w:t>
      </w:r>
      <w:r>
        <w:rPr>
          <w:spacing w:val="-3"/>
          <w:shd w:val="clear" w:color="auto" w:fill="FFFFFF"/>
        </w:rPr>
        <w:t xml:space="preserve"> — Европа</w:t>
      </w:r>
      <w:r w:rsidRPr="00FF3DE2">
        <w:rPr>
          <w:spacing w:val="-3"/>
          <w:shd w:val="clear" w:color="auto" w:fill="FFFFFF"/>
        </w:rPr>
        <w:t xml:space="preserve"> (</w:t>
      </w:r>
      <w:r>
        <w:rPr>
          <w:spacing w:val="-3"/>
          <w:shd w:val="clear" w:color="auto" w:fill="FFFFFF"/>
        </w:rPr>
        <w:t>СДК</w:t>
      </w:r>
      <w:r w:rsidRPr="00FF3DE2">
        <w:rPr>
          <w:spacing w:val="-3"/>
          <w:shd w:val="clear" w:color="auto" w:fill="FFFFFF"/>
        </w:rPr>
        <w:t>-</w:t>
      </w:r>
      <w:r>
        <w:rPr>
          <w:spacing w:val="-3"/>
          <w:shd w:val="clear" w:color="auto" w:fill="FFFFFF"/>
        </w:rPr>
        <w:t>Е</w:t>
      </w:r>
      <w:r w:rsidRPr="00FF3DE2">
        <w:rPr>
          <w:spacing w:val="-3"/>
          <w:shd w:val="clear" w:color="auto" w:fill="FFFFFF"/>
        </w:rPr>
        <w:t xml:space="preserve">), </w:t>
      </w:r>
      <w:r w:rsidRPr="0065284F">
        <w:rPr>
          <w:spacing w:val="-3"/>
          <w:shd w:val="clear" w:color="auto" w:fill="FFFFFF"/>
        </w:rPr>
        <w:t>Фонд правовой защиты «Эрсджастис»</w:t>
      </w:r>
      <w:r w:rsidRPr="00FF3DE2">
        <w:rPr>
          <w:spacing w:val="-3"/>
          <w:shd w:val="clear" w:color="auto" w:fill="FFFFFF"/>
        </w:rPr>
        <w:t>, Европейское экологическое бюро (</w:t>
      </w:r>
      <w:r>
        <w:rPr>
          <w:spacing w:val="-3"/>
          <w:shd w:val="clear" w:color="auto" w:fill="FFFFFF"/>
        </w:rPr>
        <w:t>ЕЭБ</w:t>
      </w:r>
      <w:r w:rsidRPr="00FF3DE2">
        <w:rPr>
          <w:spacing w:val="-3"/>
          <w:shd w:val="clear" w:color="auto" w:fill="FFFFFF"/>
        </w:rPr>
        <w:t xml:space="preserve">), </w:t>
      </w:r>
      <w:r w:rsidRPr="0065284F">
        <w:rPr>
          <w:spacing w:val="-3"/>
          <w:shd w:val="clear" w:color="auto" w:fill="FFFFFF"/>
        </w:rPr>
        <w:t>организация</w:t>
      </w:r>
      <w:r w:rsidRPr="000960E1">
        <w:rPr>
          <w:spacing w:val="-3"/>
          <w:shd w:val="clear" w:color="auto" w:fill="FFFFFF"/>
        </w:rPr>
        <w:t xml:space="preserve"> </w:t>
      </w:r>
      <w:r w:rsidRPr="0065284F">
        <w:rPr>
          <w:spacing w:val="-3"/>
          <w:shd w:val="clear" w:color="auto" w:fill="FFFFFF"/>
        </w:rPr>
        <w:t>«Хьюман райтс уотч»</w:t>
      </w:r>
      <w:r>
        <w:rPr>
          <w:spacing w:val="-3"/>
          <w:shd w:val="clear" w:color="auto" w:fill="FFFFFF"/>
        </w:rPr>
        <w:t xml:space="preserve"> </w:t>
      </w:r>
      <w:r w:rsidRPr="00491F86">
        <w:rPr>
          <w:spacing w:val="-3"/>
          <w:shd w:val="clear" w:color="auto" w:fill="FFFFFF"/>
        </w:rPr>
        <w:t>(ХРУ)</w:t>
      </w:r>
      <w:r w:rsidRPr="00FF3DE2">
        <w:rPr>
          <w:spacing w:val="-3"/>
          <w:shd w:val="clear" w:color="auto" w:fill="FFFFFF"/>
        </w:rPr>
        <w:t xml:space="preserve"> и </w:t>
      </w:r>
      <w:r>
        <w:rPr>
          <w:spacing w:val="-3"/>
          <w:shd w:val="clear" w:color="auto" w:fill="FFFFFF"/>
        </w:rPr>
        <w:t>а</w:t>
      </w:r>
      <w:r w:rsidRPr="00FF3DE2">
        <w:rPr>
          <w:spacing w:val="-3"/>
          <w:shd w:val="clear" w:color="auto" w:fill="FFFFFF"/>
        </w:rPr>
        <w:t xml:space="preserve">ссоциация </w:t>
      </w:r>
      <w:r>
        <w:rPr>
          <w:spacing w:val="-3"/>
          <w:shd w:val="clear" w:color="auto" w:fill="FFFFFF"/>
        </w:rPr>
        <w:t>«</w:t>
      </w:r>
      <w:r w:rsidRPr="00FF3DE2">
        <w:rPr>
          <w:spacing w:val="-3"/>
          <w:shd w:val="clear" w:color="auto" w:fill="FFFFFF"/>
        </w:rPr>
        <w:t>Правосудие и окружающая среда</w:t>
      </w:r>
      <w:r>
        <w:rPr>
          <w:spacing w:val="-3"/>
          <w:shd w:val="clear" w:color="auto" w:fill="FFFFFF"/>
        </w:rPr>
        <w:t>»</w:t>
      </w:r>
      <w:r w:rsidRPr="00FF3DE2">
        <w:rPr>
          <w:spacing w:val="-3"/>
          <w:shd w:val="clear" w:color="auto" w:fill="FFFFFF"/>
        </w:rPr>
        <w:t xml:space="preserve">) </w:t>
      </w:r>
      <w:r w:rsidRPr="000960E1">
        <w:rPr>
          <w:spacing w:val="-3"/>
          <w:shd w:val="clear" w:color="auto" w:fill="FFFFFF"/>
        </w:rPr>
        <w:t>оспаривают ценность торговли выбросами для продвижения климатоустойчивого развития, если в нее не включены соответствующие гарантии</w:t>
      </w:r>
      <w:r w:rsidRPr="005D6122">
        <w:rPr>
          <w:vertAlign w:val="superscript"/>
        </w:rPr>
        <w:footnoteReference w:id="50"/>
      </w:r>
      <w:r>
        <w:rPr>
          <w:spacing w:val="-3"/>
          <w:shd w:val="clear" w:color="auto" w:fill="FFFFFF"/>
        </w:rPr>
        <w:t>,</w:t>
      </w:r>
      <w:r w:rsidRPr="002B3A9F">
        <w:t xml:space="preserve"> </w:t>
      </w:r>
      <w:r w:rsidRPr="000960E1">
        <w:rPr>
          <w:spacing w:val="-3"/>
          <w:shd w:val="clear" w:color="auto" w:fill="FFFFFF"/>
        </w:rPr>
        <w:t xml:space="preserve">такой акцент на </w:t>
      </w:r>
      <w:r>
        <w:rPr>
          <w:spacing w:val="-3"/>
          <w:shd w:val="clear" w:color="auto" w:fill="FFFFFF"/>
        </w:rPr>
        <w:t>офсетах</w:t>
      </w:r>
      <w:r w:rsidRPr="000960E1">
        <w:rPr>
          <w:spacing w:val="-3"/>
          <w:shd w:val="clear" w:color="auto" w:fill="FFFFFF"/>
        </w:rPr>
        <w:t xml:space="preserve"> не предусмотрен ни Конвенцией, ни Протоколом. Это может ограничить возможности мер, которые могут быть предложены в рамках этих договоров, с точки зрения обеспечения согласованности с другими стратегиями сокращения выбросов углерода (см. вставку 2 ниже для предлагаемых </w:t>
      </w:r>
      <w:r>
        <w:rPr>
          <w:spacing w:val="-3"/>
          <w:shd w:val="clear" w:color="auto" w:fill="FFFFFF"/>
        </w:rPr>
        <w:t>тем</w:t>
      </w:r>
      <w:r w:rsidRPr="000960E1">
        <w:rPr>
          <w:spacing w:val="-3"/>
          <w:shd w:val="clear" w:color="auto" w:fill="FFFFFF"/>
        </w:rPr>
        <w:t xml:space="preserve"> </w:t>
      </w:r>
      <w:r>
        <w:rPr>
          <w:spacing w:val="-3"/>
          <w:shd w:val="clear" w:color="auto" w:fill="FFFFFF"/>
        </w:rPr>
        <w:t xml:space="preserve">для </w:t>
      </w:r>
      <w:r w:rsidRPr="000960E1">
        <w:rPr>
          <w:spacing w:val="-3"/>
          <w:shd w:val="clear" w:color="auto" w:fill="FFFFFF"/>
        </w:rPr>
        <w:t xml:space="preserve">обсуждения/ключевых </w:t>
      </w:r>
      <w:r>
        <w:rPr>
          <w:spacing w:val="-3"/>
          <w:shd w:val="clear" w:color="auto" w:fill="FFFFFF"/>
        </w:rPr>
        <w:t>руководящих</w:t>
      </w:r>
      <w:r w:rsidRPr="000960E1">
        <w:rPr>
          <w:spacing w:val="-3"/>
          <w:shd w:val="clear" w:color="auto" w:fill="FFFFFF"/>
        </w:rPr>
        <w:t xml:space="preserve"> вопросов)</w:t>
      </w:r>
      <w:r>
        <w:rPr>
          <w:spacing w:val="-3"/>
          <w:shd w:val="clear" w:color="auto" w:fill="FFFFFF"/>
        </w:rPr>
        <w:t>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0C3BBC" w:rsidRPr="00F67271" w14:paraId="78F7F497" w14:textId="77777777" w:rsidTr="00F715CE">
        <w:trPr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24B343E5" w14:textId="682FE510" w:rsidR="000C3BBC" w:rsidRPr="00590E30" w:rsidRDefault="00F715CE" w:rsidP="003A1B51">
            <w:pPr>
              <w:spacing w:before="120" w:after="120"/>
              <w:rPr>
                <w:b/>
                <w:bCs/>
              </w:rPr>
            </w:pPr>
            <w:r>
              <w:t>Вставка</w:t>
            </w:r>
            <w:r w:rsidRPr="005D6122">
              <w:t xml:space="preserve"> 2</w:t>
            </w:r>
            <w:r>
              <w:br/>
            </w:r>
            <w:r w:rsidR="000C3BBC" w:rsidRPr="00590E30">
              <w:rPr>
                <w:b/>
                <w:bCs/>
                <w:spacing w:val="-3"/>
                <w:shd w:val="clear" w:color="auto" w:fill="FFFFFF"/>
              </w:rPr>
              <w:t>Предлагаемые темы для обсуждения/ключевые руководящие вопросы</w:t>
            </w:r>
          </w:p>
          <w:p w14:paraId="0C405FDE" w14:textId="77777777" w:rsidR="000C3BBC" w:rsidRPr="00415EC4" w:rsidRDefault="000C3BBC" w:rsidP="00BC7C9F">
            <w:pPr>
              <w:spacing w:after="120"/>
              <w:ind w:left="397" w:hanging="397"/>
              <w:jc w:val="both"/>
            </w:pPr>
            <w:r w:rsidRPr="00415EC4">
              <w:t>1.</w:t>
            </w:r>
            <w:r w:rsidRPr="00415EC4">
              <w:tab/>
              <w:t>Каким образом можно продемонстрировать ценность Конвенции и Протокола для содействия социальной приемлемости энергетического перехода</w:t>
            </w:r>
            <w:r>
              <w:t>?</w:t>
            </w:r>
          </w:p>
          <w:p w14:paraId="1CAA798E" w14:textId="0CE3D0A9" w:rsidR="000C3BBC" w:rsidRPr="00D75BD3" w:rsidRDefault="000C3BBC" w:rsidP="00BC7C9F">
            <w:pPr>
              <w:spacing w:after="120"/>
              <w:ind w:left="397" w:hanging="397"/>
              <w:jc w:val="both"/>
            </w:pPr>
            <w:r w:rsidRPr="009368EA">
              <w:t>2.</w:t>
            </w:r>
            <w:r w:rsidRPr="009368EA">
              <w:tab/>
            </w:r>
            <w:r w:rsidRPr="00D75BD3">
              <w:t xml:space="preserve">Следует ли более четко включить в сферу применения Конвенции и Протокола </w:t>
            </w:r>
            <w:r>
              <w:t xml:space="preserve">понятие </w:t>
            </w:r>
            <w:r w:rsidRPr="00D75BD3">
              <w:t>воздействи</w:t>
            </w:r>
            <w:r>
              <w:t>я</w:t>
            </w:r>
            <w:r w:rsidRPr="00D75BD3">
              <w:t xml:space="preserve"> в течение всего жизненного цикла, в</w:t>
            </w:r>
            <w:r>
              <w:t xml:space="preserve"> том числе</w:t>
            </w:r>
            <w:r w:rsidRPr="00D75BD3">
              <w:t xml:space="preserve"> косвенно</w:t>
            </w:r>
            <w:r>
              <w:t>го</w:t>
            </w:r>
            <w:r w:rsidRPr="00D75BD3">
              <w:t xml:space="preserve"> воздействи</w:t>
            </w:r>
            <w:r>
              <w:t>я</w:t>
            </w:r>
            <w:r w:rsidRPr="00D75BD3">
              <w:t xml:space="preserve"> (и конкретно выбросы), чтобы полностью охватить выбросы, которые происходят за пределами Стороны происхождения, но зависят от плана, программы или проекта и, в соответствующих случаях, политики и законодательства </w:t>
            </w:r>
            <w:r>
              <w:t xml:space="preserve">в </w:t>
            </w:r>
            <w:r w:rsidRPr="00D75BD3">
              <w:t>Сторон</w:t>
            </w:r>
            <w:r>
              <w:t>е</w:t>
            </w:r>
            <w:r w:rsidRPr="00D75BD3">
              <w:t xml:space="preserve"> происхождения (для предотвращения экспорта выбросов </w:t>
            </w:r>
            <w:r>
              <w:t>со сферой охвата</w:t>
            </w:r>
            <w:r w:rsidRPr="00DE7F70">
              <w:t xml:space="preserve"> </w:t>
            </w:r>
            <w:r w:rsidRPr="00D75BD3">
              <w:t>3 в другие Стороны)</w:t>
            </w:r>
            <w:r w:rsidRPr="009368EA">
              <w:t>?</w:t>
            </w:r>
            <w:r w:rsidR="006C6943">
              <w:t xml:space="preserve"> </w:t>
            </w:r>
          </w:p>
          <w:p w14:paraId="5305EF03" w14:textId="77777777" w:rsidR="000C3BBC" w:rsidRPr="00C86F6B" w:rsidRDefault="000C3BBC" w:rsidP="00BC7C9F">
            <w:pPr>
              <w:spacing w:after="120"/>
              <w:ind w:left="397" w:hanging="397"/>
              <w:jc w:val="both"/>
            </w:pPr>
            <w:r w:rsidRPr="00383B66">
              <w:t>3.</w:t>
            </w:r>
            <w:r w:rsidRPr="00383B66">
              <w:tab/>
            </w:r>
            <w:r>
              <w:t>Требуется ли уточнить вопросы о</w:t>
            </w:r>
            <w:r w:rsidRPr="00C86F6B">
              <w:t xml:space="preserve"> рассмотрени</w:t>
            </w:r>
            <w:r>
              <w:t>и</w:t>
            </w:r>
            <w:r w:rsidRPr="00C86F6B">
              <w:t xml:space="preserve"> </w:t>
            </w:r>
            <w:r>
              <w:t>климатических воздействий</w:t>
            </w:r>
            <w:r w:rsidRPr="00C86F6B">
              <w:t xml:space="preserve"> в рамках Конвенции и Протокола, например путем достижения Сторонами договоренности </w:t>
            </w:r>
            <w:r>
              <w:t xml:space="preserve">об обеспечении более тесной увязки с акцентом, который отражен в </w:t>
            </w:r>
            <w:r w:rsidRPr="00C86F6B">
              <w:t>Парижск</w:t>
            </w:r>
            <w:r>
              <w:t>ом</w:t>
            </w:r>
            <w:r w:rsidRPr="00C86F6B">
              <w:t xml:space="preserve"> соглашени</w:t>
            </w:r>
            <w:r>
              <w:t>и</w:t>
            </w:r>
            <w:r w:rsidRPr="00C86F6B">
              <w:t xml:space="preserve"> </w:t>
            </w:r>
            <w:r>
              <w:t>в отношении</w:t>
            </w:r>
            <w:r w:rsidRPr="00C86F6B">
              <w:t xml:space="preserve"> смягчени</w:t>
            </w:r>
            <w:r>
              <w:t>я</w:t>
            </w:r>
            <w:r w:rsidRPr="00C86F6B">
              <w:t xml:space="preserve"> последствий изменения климата и, </w:t>
            </w:r>
            <w:r>
              <w:t>в случае необходимости</w:t>
            </w:r>
            <w:r w:rsidRPr="00C86F6B">
              <w:t>, адаптации</w:t>
            </w:r>
            <w:r>
              <w:t xml:space="preserve"> к нему</w:t>
            </w:r>
            <w:r w:rsidRPr="00383B66">
              <w:t>?</w:t>
            </w:r>
          </w:p>
          <w:p w14:paraId="25AF294C" w14:textId="1F503828" w:rsidR="000C3BBC" w:rsidRPr="006E1673" w:rsidRDefault="000C3BBC" w:rsidP="00BC7C9F">
            <w:pPr>
              <w:spacing w:after="120"/>
              <w:ind w:left="397" w:hanging="397"/>
              <w:jc w:val="both"/>
            </w:pPr>
            <w:r w:rsidRPr="00383B66">
              <w:t>4.</w:t>
            </w:r>
            <w:r w:rsidRPr="00383B66">
              <w:tab/>
              <w:t xml:space="preserve">Должны ли Конвенция и Протокол также способствовать рассмотрению </w:t>
            </w:r>
            <w:r>
              <w:t>офсетов</w:t>
            </w:r>
            <w:r w:rsidRPr="00383B66">
              <w:t xml:space="preserve"> в качестве допустимых мер по </w:t>
            </w:r>
            <w:r w:rsidRPr="00C86F6B">
              <w:t>смягчении последствий изменения климата</w:t>
            </w:r>
            <w:r w:rsidRPr="00383B66">
              <w:t>? Если</w:t>
            </w:r>
            <w:r w:rsidRPr="006E1673">
              <w:t xml:space="preserve"> </w:t>
            </w:r>
            <w:r w:rsidRPr="00383B66">
              <w:t>да</w:t>
            </w:r>
            <w:r w:rsidRPr="006E1673">
              <w:t xml:space="preserve">, </w:t>
            </w:r>
            <w:r w:rsidRPr="00383B66">
              <w:t>то</w:t>
            </w:r>
            <w:r w:rsidRPr="006E1673">
              <w:t xml:space="preserve"> </w:t>
            </w:r>
            <w:r w:rsidRPr="00383B66">
              <w:t>как</w:t>
            </w:r>
            <w:r w:rsidRPr="006E1673">
              <w:t xml:space="preserve"> </w:t>
            </w:r>
            <w:r w:rsidRPr="00383B66">
              <w:t>это</w:t>
            </w:r>
            <w:r w:rsidRPr="006E1673">
              <w:t xml:space="preserve"> </w:t>
            </w:r>
            <w:r w:rsidRPr="00383B66">
              <w:t>должно</w:t>
            </w:r>
            <w:r w:rsidRPr="006E1673">
              <w:t xml:space="preserve"> </w:t>
            </w:r>
            <w:r w:rsidRPr="00383B66">
              <w:t>быть</w:t>
            </w:r>
            <w:r w:rsidRPr="006E1673">
              <w:t xml:space="preserve"> </w:t>
            </w:r>
            <w:r w:rsidRPr="00383B66">
              <w:t>сделано</w:t>
            </w:r>
            <w:r w:rsidRPr="006E1673">
              <w:t>?</w:t>
            </w:r>
            <w:r w:rsidR="006C6943">
              <w:t xml:space="preserve"> </w:t>
            </w:r>
          </w:p>
          <w:p w14:paraId="4BD00EF7" w14:textId="77777777" w:rsidR="000C3BBC" w:rsidRPr="00996D18" w:rsidRDefault="000C3BBC" w:rsidP="00BC7C9F">
            <w:pPr>
              <w:spacing w:after="120"/>
              <w:ind w:left="397" w:hanging="397"/>
              <w:jc w:val="both"/>
            </w:pPr>
            <w:r w:rsidRPr="00996D18">
              <w:t>5.</w:t>
            </w:r>
            <w:r w:rsidRPr="00996D18">
              <w:tab/>
              <w:t xml:space="preserve">Каким </w:t>
            </w:r>
            <w:r>
              <w:t xml:space="preserve">наилучшим </w:t>
            </w:r>
            <w:r w:rsidRPr="00996D18">
              <w:t xml:space="preserve">образом можно стимулировать Стороны к выполнению рекомендации </w:t>
            </w:r>
            <w:r>
              <w:t xml:space="preserve">в рамках </w:t>
            </w:r>
            <w:r w:rsidRPr="00996D18">
              <w:t>Протокола о</w:t>
            </w:r>
            <w:r>
              <w:t>тносительно</w:t>
            </w:r>
            <w:r w:rsidRPr="00996D18">
              <w:t xml:space="preserve"> проведени</w:t>
            </w:r>
            <w:r>
              <w:t>я</w:t>
            </w:r>
            <w:r w:rsidRPr="00996D18">
              <w:t xml:space="preserve"> стратегической экологической оценки на уровне политики для обеспечения согласованности между отраслевыми планами, имеющими отношение к энергетическому переходу</w:t>
            </w:r>
            <w:r>
              <w:t>?</w:t>
            </w:r>
          </w:p>
          <w:p w14:paraId="07DB0914" w14:textId="77777777" w:rsidR="000C3BBC" w:rsidRPr="00E63C9C" w:rsidRDefault="000C3BBC" w:rsidP="00BC7C9F">
            <w:pPr>
              <w:spacing w:after="120"/>
              <w:ind w:left="397" w:hanging="397"/>
              <w:jc w:val="both"/>
            </w:pPr>
            <w:r w:rsidRPr="00E63C9C">
              <w:t>6.</w:t>
            </w:r>
            <w:r w:rsidRPr="00E63C9C">
              <w:tab/>
              <w:t xml:space="preserve">Какие примеры наилучшей практики существуют </w:t>
            </w:r>
            <w:r>
              <w:t>применительно к</w:t>
            </w:r>
            <w:r w:rsidRPr="00E63C9C">
              <w:t xml:space="preserve"> использовани</w:t>
            </w:r>
            <w:r>
              <w:t>ю</w:t>
            </w:r>
            <w:r w:rsidRPr="00E63C9C">
              <w:t xml:space="preserve"> стратегической экологической оценки и оценки трансграничного воздействия на окружающую среду </w:t>
            </w:r>
            <w:r>
              <w:t>в интересах</w:t>
            </w:r>
            <w:r w:rsidRPr="00E63C9C">
              <w:t xml:space="preserve"> содействи</w:t>
            </w:r>
            <w:r>
              <w:t>я</w:t>
            </w:r>
            <w:r w:rsidRPr="00E63C9C">
              <w:t xml:space="preserve"> </w:t>
            </w:r>
            <w:r>
              <w:t xml:space="preserve">энергетическому </w:t>
            </w:r>
            <w:r w:rsidRPr="00E63C9C">
              <w:t>переходу</w:t>
            </w:r>
            <w:r>
              <w:t>?</w:t>
            </w:r>
          </w:p>
        </w:tc>
      </w:tr>
      <w:tr w:rsidR="000C3BBC" w:rsidRPr="00F67271" w14:paraId="57A1F7A5" w14:textId="77777777" w:rsidTr="00B04E6B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5B6F4B20" w14:textId="77777777" w:rsidR="000C3BBC" w:rsidRPr="00E63C9C" w:rsidRDefault="000C3BBC" w:rsidP="00B04E6B">
            <w:pPr>
              <w:spacing w:line="240" w:lineRule="auto"/>
            </w:pPr>
          </w:p>
        </w:tc>
      </w:tr>
    </w:tbl>
    <w:p w14:paraId="37CFAD51" w14:textId="77777777" w:rsidR="000C3BBC" w:rsidRPr="00955394" w:rsidRDefault="000C3BBC" w:rsidP="00F715CE">
      <w:pPr>
        <w:pStyle w:val="H1G"/>
        <w:pageBreakBefore/>
        <w:rPr>
          <w:lang w:eastAsia="en-US"/>
        </w:rPr>
      </w:pPr>
      <w:r w:rsidRPr="00E63C9C">
        <w:rPr>
          <w:szCs w:val="24"/>
          <w:lang w:eastAsia="en-US"/>
        </w:rPr>
        <w:lastRenderedPageBreak/>
        <w:tab/>
      </w:r>
      <w:r w:rsidRPr="005D6122">
        <w:rPr>
          <w:szCs w:val="24"/>
          <w:lang w:eastAsia="en-US"/>
        </w:rPr>
        <w:t>E</w:t>
      </w:r>
      <w:r w:rsidRPr="00955394">
        <w:rPr>
          <w:szCs w:val="24"/>
          <w:lang w:eastAsia="en-US"/>
        </w:rPr>
        <w:t>.</w:t>
      </w:r>
      <w:r w:rsidRPr="00955394">
        <w:rPr>
          <w:szCs w:val="24"/>
          <w:lang w:eastAsia="en-US"/>
        </w:rPr>
        <w:tab/>
      </w:r>
      <w:r w:rsidRPr="00955394">
        <w:rPr>
          <w:lang w:eastAsia="en-US"/>
        </w:rPr>
        <w:tab/>
        <w:t>Анализ Конвенции и Протокол</w:t>
      </w:r>
      <w:r>
        <w:rPr>
          <w:lang w:eastAsia="en-US"/>
        </w:rPr>
        <w:t>а на основе параметров</w:t>
      </w:r>
      <w:r>
        <w:rPr>
          <w:rFonts w:cs="Segoe UI"/>
          <w:szCs w:val="18"/>
          <w:lang w:eastAsia="en-US"/>
        </w:rPr>
        <w:t xml:space="preserve"> «с</w:t>
      </w:r>
      <w:r w:rsidRPr="00632622">
        <w:rPr>
          <w:rFonts w:cs="Segoe UI"/>
          <w:szCs w:val="18"/>
          <w:lang w:eastAsia="en-US"/>
        </w:rPr>
        <w:t xml:space="preserve">ильные стороны </w:t>
      </w:r>
      <w:r>
        <w:rPr>
          <w:rFonts w:cs="Segoe UI"/>
          <w:szCs w:val="18"/>
          <w:lang w:eastAsia="en-US"/>
        </w:rPr>
        <w:t>—</w:t>
      </w:r>
      <w:r w:rsidRPr="00632622">
        <w:rPr>
          <w:rFonts w:cs="Segoe UI"/>
          <w:szCs w:val="18"/>
          <w:lang w:eastAsia="en-US"/>
        </w:rPr>
        <w:t xml:space="preserve"> </w:t>
      </w:r>
      <w:r>
        <w:rPr>
          <w:rFonts w:cs="Segoe UI"/>
          <w:szCs w:val="18"/>
          <w:lang w:eastAsia="en-US"/>
        </w:rPr>
        <w:t>у</w:t>
      </w:r>
      <w:r w:rsidRPr="00632622">
        <w:rPr>
          <w:rFonts w:cs="Segoe UI"/>
          <w:szCs w:val="18"/>
          <w:lang w:eastAsia="en-US"/>
        </w:rPr>
        <w:t xml:space="preserve">стремления </w:t>
      </w:r>
      <w:r>
        <w:rPr>
          <w:rFonts w:cs="Segoe UI"/>
          <w:szCs w:val="18"/>
          <w:lang w:eastAsia="en-US"/>
        </w:rPr>
        <w:t>—</w:t>
      </w:r>
      <w:r w:rsidRPr="00632622">
        <w:rPr>
          <w:rFonts w:cs="Segoe UI"/>
          <w:szCs w:val="18"/>
          <w:lang w:eastAsia="en-US"/>
        </w:rPr>
        <w:t xml:space="preserve"> возможности </w:t>
      </w:r>
      <w:r>
        <w:rPr>
          <w:rFonts w:cs="Segoe UI"/>
          <w:szCs w:val="18"/>
          <w:lang w:eastAsia="en-US"/>
        </w:rPr>
        <w:t>—</w:t>
      </w:r>
      <w:r w:rsidRPr="00632622">
        <w:rPr>
          <w:rFonts w:cs="Segoe UI"/>
          <w:szCs w:val="18"/>
          <w:lang w:eastAsia="en-US"/>
        </w:rPr>
        <w:t xml:space="preserve"> варианты</w:t>
      </w:r>
      <w:r>
        <w:rPr>
          <w:rFonts w:cs="Segoe UI"/>
          <w:szCs w:val="18"/>
          <w:lang w:eastAsia="en-US"/>
        </w:rPr>
        <w:t>»</w:t>
      </w:r>
      <w:r w:rsidRPr="00955394">
        <w:rPr>
          <w:lang w:eastAsia="en-US"/>
        </w:rPr>
        <w:t xml:space="preserve"> </w:t>
      </w:r>
      <w:r>
        <w:rPr>
          <w:lang w:eastAsia="en-US"/>
        </w:rPr>
        <w:t>применительно к</w:t>
      </w:r>
      <w:r w:rsidRPr="00955394">
        <w:rPr>
          <w:lang w:eastAsia="en-US"/>
        </w:rPr>
        <w:t xml:space="preserve"> энергетическ</w:t>
      </w:r>
      <w:r>
        <w:rPr>
          <w:lang w:eastAsia="en-US"/>
        </w:rPr>
        <w:t>ому</w:t>
      </w:r>
      <w:r w:rsidRPr="00955394">
        <w:rPr>
          <w:lang w:eastAsia="en-US"/>
        </w:rPr>
        <w:t xml:space="preserve"> переход</w:t>
      </w:r>
      <w:r>
        <w:rPr>
          <w:lang w:eastAsia="en-US"/>
        </w:rPr>
        <w:t>у</w:t>
      </w:r>
    </w:p>
    <w:tbl>
      <w:tblPr>
        <w:tblStyle w:val="ac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437"/>
        <w:gridCol w:w="2381"/>
        <w:gridCol w:w="2381"/>
      </w:tblGrid>
      <w:tr w:rsidR="000C3BBC" w:rsidRPr="00815FD3" w14:paraId="608667D9" w14:textId="77777777" w:rsidTr="00B04E6B">
        <w:trPr>
          <w:tblHeader/>
          <w:jc w:val="center"/>
        </w:trPr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8DDE9" w14:textId="77777777" w:rsidR="000C3BBC" w:rsidRPr="00DF0E54" w:rsidRDefault="000C3BBC" w:rsidP="00B04E6B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>
              <w:rPr>
                <w:rFonts w:cs="Segoe UI"/>
                <w:i/>
                <w:iCs/>
                <w:sz w:val="16"/>
                <w:szCs w:val="16"/>
              </w:rPr>
              <w:t>С</w:t>
            </w:r>
            <w:r w:rsidRPr="00DF0E54">
              <w:rPr>
                <w:rFonts w:cs="Segoe UI"/>
                <w:i/>
                <w:iCs/>
                <w:sz w:val="16"/>
                <w:szCs w:val="16"/>
              </w:rPr>
              <w:t>ильные стороны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5F32F" w14:textId="77777777" w:rsidR="000C3BBC" w:rsidRPr="00DF0E54" w:rsidRDefault="000C3BBC" w:rsidP="00B04E6B">
            <w:pPr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</w:rPr>
            </w:pPr>
            <w:r>
              <w:rPr>
                <w:rFonts w:cs="Segoe UI"/>
                <w:i/>
                <w:iCs/>
                <w:sz w:val="16"/>
                <w:szCs w:val="16"/>
              </w:rPr>
              <w:t>У</w:t>
            </w:r>
            <w:r w:rsidRPr="00DF0E54">
              <w:rPr>
                <w:rFonts w:cs="Segoe UI"/>
                <w:i/>
                <w:iCs/>
                <w:sz w:val="16"/>
                <w:szCs w:val="16"/>
              </w:rPr>
              <w:t>стремления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6F2D1D" w14:textId="77777777" w:rsidR="000C3BBC" w:rsidRPr="00815FD3" w:rsidRDefault="000C3BBC" w:rsidP="00B04E6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DF0E54">
              <w:rPr>
                <w:i/>
                <w:sz w:val="16"/>
              </w:rPr>
              <w:t>Возможности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227F9C" w14:textId="77777777" w:rsidR="000C3BBC" w:rsidRPr="00DF0E54" w:rsidRDefault="000C3BBC" w:rsidP="00B04E6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Варианты</w:t>
            </w:r>
          </w:p>
        </w:tc>
      </w:tr>
      <w:tr w:rsidR="000C3BBC" w:rsidRPr="00815FD3" w14:paraId="3F96CC5F" w14:textId="77777777" w:rsidTr="00B04E6B">
        <w:trPr>
          <w:trHeight w:hRule="exact" w:val="113"/>
          <w:jc w:val="center"/>
        </w:trPr>
        <w:tc>
          <w:tcPr>
            <w:tcW w:w="2438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AEA6B" w14:textId="77777777" w:rsidR="000C3BBC" w:rsidRPr="00815FD3" w:rsidRDefault="000C3BBC" w:rsidP="00B04E6B">
            <w:pPr>
              <w:spacing w:before="40" w:after="120"/>
              <w:ind w:right="113"/>
            </w:pP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0FC4A5" w14:textId="77777777" w:rsidR="000C3BBC" w:rsidRPr="00815FD3" w:rsidRDefault="000C3BBC" w:rsidP="00B04E6B">
            <w:pPr>
              <w:spacing w:before="40" w:after="120"/>
              <w:ind w:right="113"/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</w:tcPr>
          <w:p w14:paraId="2FF7A324" w14:textId="77777777" w:rsidR="000C3BBC" w:rsidRPr="00815FD3" w:rsidRDefault="000C3BBC" w:rsidP="00B04E6B">
            <w:pPr>
              <w:spacing w:before="40" w:after="120"/>
              <w:ind w:right="113"/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</w:tcPr>
          <w:p w14:paraId="4A3A7491" w14:textId="77777777" w:rsidR="000C3BBC" w:rsidRPr="00815FD3" w:rsidRDefault="000C3BBC" w:rsidP="00B04E6B">
            <w:pPr>
              <w:spacing w:before="40" w:after="120"/>
              <w:ind w:right="113"/>
            </w:pPr>
          </w:p>
        </w:tc>
      </w:tr>
      <w:tr w:rsidR="000C3BBC" w:rsidRPr="00F67271" w14:paraId="2A20C97E" w14:textId="77777777" w:rsidTr="00B04E6B">
        <w:trPr>
          <w:jc w:val="center"/>
        </w:trPr>
        <w:tc>
          <w:tcPr>
            <w:tcW w:w="2438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2B2F5B" w14:textId="7E7717D9" w:rsidR="000C3BBC" w:rsidRPr="00DF0E54" w:rsidRDefault="000C3BBC" w:rsidP="00F715CE">
            <w:pPr>
              <w:pStyle w:val="Bullet2G"/>
              <w:ind w:left="170" w:right="17"/>
              <w:jc w:val="left"/>
            </w:pPr>
            <w:r w:rsidRPr="00F715CE">
              <w:rPr>
                <w:rFonts w:eastAsiaTheme="minorHAnsi"/>
              </w:rPr>
              <w:t>Операционные</w:t>
            </w:r>
            <w:r w:rsidRPr="00DF0E54">
              <w:t xml:space="preserve"> рамки, охватывающие планы, программы и проекты энергетического перехода: данные свидетельствуют о том, что Конвенция играет активную роль в обеспечении трансграничных консультаций по проектам в области возобновляемой энергетики (сильная сторона Конвенции и Протокола)</w:t>
            </w:r>
          </w:p>
          <w:p w14:paraId="6EC47D8A" w14:textId="7113ED41" w:rsidR="000C3BBC" w:rsidRPr="00DF0E54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DF0E54">
              <w:rPr>
                <w:lang w:eastAsia="en-US"/>
              </w:rPr>
              <w:t xml:space="preserve">Существуют </w:t>
            </w:r>
            <w:r w:rsidRPr="00DF0E54">
              <w:t>всеобъемлющие</w:t>
            </w:r>
            <w:r w:rsidRPr="00DF0E54">
              <w:rPr>
                <w:lang w:eastAsia="en-US"/>
              </w:rPr>
              <w:t xml:space="preserve"> </w:t>
            </w:r>
            <w:r w:rsidRPr="00DF0E54">
              <w:t>положения</w:t>
            </w:r>
            <w:r w:rsidRPr="00DF0E54">
              <w:rPr>
                <w:lang w:eastAsia="en-US"/>
              </w:rPr>
              <w:t xml:space="preserve"> о проведении </w:t>
            </w:r>
            <w:r w:rsidRPr="00DF0E54">
              <w:t>консультаций</w:t>
            </w:r>
            <w:r w:rsidRPr="00DF0E54">
              <w:rPr>
                <w:lang w:eastAsia="en-US"/>
              </w:rPr>
              <w:t xml:space="preserve"> и участии общественности, а также соответствующ</w:t>
            </w:r>
            <w:r>
              <w:rPr>
                <w:lang w:eastAsia="en-US"/>
              </w:rPr>
              <w:t>е</w:t>
            </w:r>
            <w:r w:rsidRPr="00DF0E54">
              <w:rPr>
                <w:lang w:eastAsia="en-US"/>
              </w:rPr>
              <w:t>е руководств</w:t>
            </w:r>
            <w:r>
              <w:rPr>
                <w:lang w:eastAsia="en-US"/>
              </w:rPr>
              <w:t>о</w:t>
            </w:r>
            <w:r w:rsidRPr="00DF0E54">
              <w:rPr>
                <w:lang w:eastAsia="en-US"/>
              </w:rPr>
              <w:t xml:space="preserve"> (сильн</w:t>
            </w:r>
            <w:r>
              <w:rPr>
                <w:lang w:eastAsia="en-US"/>
              </w:rPr>
              <w:t>ая</w:t>
            </w:r>
            <w:r w:rsidRPr="00DF0E54">
              <w:rPr>
                <w:lang w:eastAsia="en-US"/>
              </w:rPr>
              <w:t xml:space="preserve"> сторон</w:t>
            </w:r>
            <w:r>
              <w:rPr>
                <w:lang w:eastAsia="en-US"/>
              </w:rPr>
              <w:t>а</w:t>
            </w:r>
            <w:r w:rsidRPr="00DF0E54">
              <w:rPr>
                <w:lang w:eastAsia="en-US"/>
              </w:rPr>
              <w:t xml:space="preserve"> как Конвенции, так и Протокола</w:t>
            </w:r>
            <w:r>
              <w:rPr>
                <w:lang w:eastAsia="en-US"/>
              </w:rPr>
              <w:t>)</w:t>
            </w:r>
          </w:p>
          <w:p w14:paraId="0310FBEA" w14:textId="1FAE1F06" w:rsidR="000C3BBC" w:rsidRPr="00DF0E54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DF0E54">
              <w:rPr>
                <w:lang w:eastAsia="en-US"/>
              </w:rPr>
              <w:t xml:space="preserve">Сильный акцент на здоровье </w:t>
            </w:r>
            <w:r>
              <w:rPr>
                <w:lang w:eastAsia="en-US"/>
              </w:rPr>
              <w:t xml:space="preserve">человека </w:t>
            </w:r>
            <w:r w:rsidRPr="00DF0E54">
              <w:rPr>
                <w:lang w:eastAsia="en-US"/>
              </w:rPr>
              <w:t>(особенно в Протоколе)</w:t>
            </w: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9CFF53" w14:textId="255A409F" w:rsidR="000C3BBC" w:rsidRPr="00500111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500111">
              <w:rPr>
                <w:lang w:eastAsia="en-US"/>
              </w:rPr>
              <w:t xml:space="preserve">Более детальный учет изменения климата будет способствовать </w:t>
            </w:r>
            <w:r>
              <w:rPr>
                <w:lang w:eastAsia="en-US"/>
              </w:rPr>
              <w:t xml:space="preserve">проведению процессов </w:t>
            </w:r>
            <w:r w:rsidRPr="00500111">
              <w:rPr>
                <w:lang w:eastAsia="en-US"/>
              </w:rPr>
              <w:t>приняти</w:t>
            </w:r>
            <w:r>
              <w:rPr>
                <w:lang w:eastAsia="en-US"/>
              </w:rPr>
              <w:t>я</w:t>
            </w:r>
            <w:r w:rsidRPr="00500111">
              <w:rPr>
                <w:lang w:eastAsia="en-US"/>
              </w:rPr>
              <w:t xml:space="preserve"> решений: например, требование </w:t>
            </w:r>
            <w:r>
              <w:rPr>
                <w:lang w:eastAsia="en-US"/>
              </w:rPr>
              <w:t xml:space="preserve">о рассмотрении вопросов, </w:t>
            </w:r>
            <w:r>
              <w:t>связанных</w:t>
            </w:r>
            <w:r>
              <w:rPr>
                <w:lang w:eastAsia="en-US"/>
              </w:rPr>
              <w:t xml:space="preserve"> с</w:t>
            </w:r>
            <w:r w:rsidRPr="00500111">
              <w:rPr>
                <w:lang w:eastAsia="en-US"/>
              </w:rPr>
              <w:t> климатической жизнестойкост</w:t>
            </w:r>
            <w:r>
              <w:rPr>
                <w:lang w:eastAsia="en-US"/>
              </w:rPr>
              <w:t xml:space="preserve">ью </w:t>
            </w:r>
            <w:r w:rsidRPr="00500111">
              <w:rPr>
                <w:lang w:eastAsia="en-US"/>
              </w:rPr>
              <w:t xml:space="preserve">(включая адаптацию </w:t>
            </w:r>
            <w:r w:rsidR="00123B38">
              <w:rPr>
                <w:lang w:eastAsia="en-US"/>
              </w:rPr>
              <w:br/>
            </w:r>
            <w:r w:rsidRPr="00500111">
              <w:rPr>
                <w:lang w:eastAsia="en-US"/>
              </w:rPr>
              <w:t>и уязвимость к изменению климата) (</w:t>
            </w:r>
            <w:r>
              <w:rPr>
                <w:lang w:eastAsia="en-US"/>
              </w:rPr>
              <w:t>у</w:t>
            </w:r>
            <w:r w:rsidRPr="00500111">
              <w:rPr>
                <w:lang w:eastAsia="en-US"/>
              </w:rPr>
              <w:t>стремление</w:t>
            </w:r>
            <w:r>
              <w:rPr>
                <w:lang w:eastAsia="en-US"/>
              </w:rPr>
              <w:t xml:space="preserve"> по</w:t>
            </w:r>
            <w:r w:rsidRPr="00500111">
              <w:rPr>
                <w:lang w:eastAsia="en-US"/>
              </w:rPr>
              <w:t xml:space="preserve"> Конвенции и Протокол</w:t>
            </w:r>
            <w:r>
              <w:rPr>
                <w:lang w:eastAsia="en-US"/>
              </w:rPr>
              <w:t>у</w:t>
            </w:r>
            <w:r w:rsidRPr="00500111">
              <w:rPr>
                <w:lang w:eastAsia="en-US"/>
              </w:rPr>
              <w:t>)</w:t>
            </w:r>
          </w:p>
          <w:p w14:paraId="4AFBD94A" w14:textId="538B86D9" w:rsidR="000C3BBC" w:rsidRPr="00500111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Рост</w:t>
            </w:r>
            <w:r w:rsidRPr="00500111">
              <w:rPr>
                <w:lang w:eastAsia="en-US"/>
              </w:rPr>
              <w:t xml:space="preserve"> ожидани</w:t>
            </w:r>
            <w:r>
              <w:rPr>
                <w:lang w:eastAsia="en-US"/>
              </w:rPr>
              <w:t>й</w:t>
            </w:r>
            <w:r w:rsidRPr="00500111">
              <w:rPr>
                <w:lang w:eastAsia="en-US"/>
              </w:rPr>
              <w:t xml:space="preserve"> в отношении количественной оценки прямых и косвенных трансграничных </w:t>
            </w:r>
            <w:r w:rsidRPr="00500111">
              <w:t>выбросов</w:t>
            </w:r>
            <w:r w:rsidRPr="00500111">
              <w:rPr>
                <w:lang w:eastAsia="en-US"/>
              </w:rPr>
              <w:t xml:space="preserve"> углерода (включая, в частности, выбросы </w:t>
            </w:r>
            <w:r>
              <w:rPr>
                <w:lang w:eastAsia="en-US"/>
              </w:rPr>
              <w:t>со сферой охвата</w:t>
            </w:r>
            <w:r w:rsidRPr="00DE7F70">
              <w:rPr>
                <w:lang w:eastAsia="en-US"/>
              </w:rPr>
              <w:t xml:space="preserve"> 3</w:t>
            </w:r>
            <w:r w:rsidRPr="00500111">
              <w:rPr>
                <w:lang w:eastAsia="en-US"/>
              </w:rPr>
              <w:t>) (</w:t>
            </w:r>
            <w:r>
              <w:rPr>
                <w:lang w:eastAsia="en-US"/>
              </w:rPr>
              <w:t>у</w:t>
            </w:r>
            <w:r w:rsidRPr="00500111">
              <w:rPr>
                <w:lang w:eastAsia="en-US"/>
              </w:rPr>
              <w:t xml:space="preserve">стремление </w:t>
            </w:r>
            <w:r>
              <w:rPr>
                <w:lang w:eastAsia="en-US"/>
              </w:rPr>
              <w:t>по</w:t>
            </w:r>
            <w:r w:rsidRPr="00500111">
              <w:rPr>
                <w:lang w:eastAsia="en-US"/>
              </w:rPr>
              <w:t xml:space="preserve"> Конвенции и </w:t>
            </w:r>
            <w:r>
              <w:rPr>
                <w:lang w:eastAsia="en-US"/>
              </w:rPr>
              <w:t>П</w:t>
            </w:r>
            <w:r w:rsidRPr="00500111">
              <w:rPr>
                <w:lang w:eastAsia="en-US"/>
              </w:rPr>
              <w:t>ротокол</w:t>
            </w:r>
            <w:r>
              <w:rPr>
                <w:lang w:eastAsia="en-US"/>
              </w:rPr>
              <w:t>у</w:t>
            </w:r>
            <w:r w:rsidRPr="00500111">
              <w:rPr>
                <w:lang w:eastAsia="en-US"/>
              </w:rPr>
              <w:t>)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</w:tcPr>
          <w:p w14:paraId="3ACBB6F6" w14:textId="126DE630" w:rsidR="000C3BBC" w:rsidRPr="00453D96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453D96">
              <w:rPr>
                <w:lang w:eastAsia="en-US"/>
              </w:rPr>
              <w:t xml:space="preserve">Наличие двусторонних </w:t>
            </w:r>
            <w:r w:rsidR="00123B38">
              <w:rPr>
                <w:lang w:eastAsia="en-US"/>
              </w:rPr>
              <w:br/>
            </w:r>
            <w:r w:rsidRPr="00453D96">
              <w:rPr>
                <w:lang w:eastAsia="en-US"/>
              </w:rPr>
              <w:t xml:space="preserve">и многосторонних имплементационных соглашений </w:t>
            </w:r>
            <w:r w:rsidRPr="00453D96">
              <w:t>предоставляет</w:t>
            </w:r>
            <w:r w:rsidRPr="00453D96">
              <w:rPr>
                <w:lang w:eastAsia="en-US"/>
              </w:rPr>
              <w:t xml:space="preserve"> возможность для эффективного </w:t>
            </w:r>
            <w:r>
              <w:rPr>
                <w:lang w:eastAsia="en-US"/>
              </w:rPr>
              <w:t xml:space="preserve">и действенного </w:t>
            </w:r>
            <w:r w:rsidRPr="00453D96">
              <w:rPr>
                <w:lang w:eastAsia="en-US"/>
              </w:rPr>
              <w:t xml:space="preserve">внедрения передовой практики (возможность для Конвенции и </w:t>
            </w:r>
            <w:r>
              <w:rPr>
                <w:lang w:eastAsia="en-US"/>
              </w:rPr>
              <w:t>П</w:t>
            </w:r>
            <w:r w:rsidRPr="00453D96">
              <w:rPr>
                <w:lang w:eastAsia="en-US"/>
              </w:rPr>
              <w:t>ротокола)</w:t>
            </w:r>
          </w:p>
          <w:p w14:paraId="3436D55B" w14:textId="1939D99D" w:rsidR="000C3BBC" w:rsidRPr="00667A99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667A99">
              <w:rPr>
                <w:lang w:eastAsia="en-US"/>
              </w:rPr>
              <w:t xml:space="preserve">Включение компенсационных и </w:t>
            </w:r>
            <w:r>
              <w:rPr>
                <w:lang w:eastAsia="en-US"/>
              </w:rPr>
              <w:t>офсетных</w:t>
            </w:r>
            <w:r w:rsidRPr="00667A99">
              <w:rPr>
                <w:lang w:eastAsia="en-US"/>
              </w:rPr>
              <w:t xml:space="preserve"> мер наряду с мерами по смягчению </w:t>
            </w:r>
            <w:r w:rsidRPr="00667A99">
              <w:t>последствий</w:t>
            </w:r>
            <w:r>
              <w:rPr>
                <w:lang w:eastAsia="en-US"/>
              </w:rPr>
              <w:t xml:space="preserve"> изменения климата</w:t>
            </w:r>
            <w:r w:rsidRPr="00667A99">
              <w:rPr>
                <w:lang w:eastAsia="en-US"/>
              </w:rPr>
              <w:t xml:space="preserve"> (например, </w:t>
            </w:r>
            <w:r w:rsidR="00123B38">
              <w:rPr>
                <w:lang w:eastAsia="en-US"/>
              </w:rPr>
              <w:br/>
            </w:r>
            <w:r w:rsidRPr="00667A99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Добавления</w:t>
            </w:r>
            <w:r w:rsidRPr="00667A99">
              <w:rPr>
                <w:lang w:eastAsia="en-US"/>
              </w:rPr>
              <w:t xml:space="preserve"> II и IV </w:t>
            </w:r>
            <w:r w:rsidR="00123B38">
              <w:rPr>
                <w:lang w:eastAsia="en-US"/>
              </w:rPr>
              <w:br/>
            </w:r>
            <w:r w:rsidRPr="00667A99">
              <w:rPr>
                <w:lang w:eastAsia="en-US"/>
              </w:rPr>
              <w:t>к Конвенции)</w:t>
            </w:r>
          </w:p>
          <w:p w14:paraId="36A3E3AB" w14:textId="49EDA138" w:rsidR="000C3BBC" w:rsidRPr="007622E1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7622E1">
              <w:rPr>
                <w:lang w:eastAsia="en-US"/>
              </w:rPr>
              <w:t xml:space="preserve">Более быстрые и ориентированные на </w:t>
            </w:r>
            <w:r>
              <w:t>энергетический</w:t>
            </w:r>
            <w:r>
              <w:rPr>
                <w:lang w:eastAsia="en-US"/>
              </w:rPr>
              <w:t xml:space="preserve"> переход</w:t>
            </w:r>
            <w:r w:rsidRPr="007622E1">
              <w:rPr>
                <w:lang w:eastAsia="en-US"/>
              </w:rPr>
              <w:t xml:space="preserve"> оценки для содействия более своевременному планированию и принятию решений (возможность для Протокола)</w:t>
            </w:r>
          </w:p>
          <w:p w14:paraId="4861E845" w14:textId="59980CFE" w:rsidR="000C3BBC" w:rsidRPr="00BA7CAD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BA7CAD">
              <w:rPr>
                <w:lang w:eastAsia="en-US"/>
              </w:rPr>
              <w:t xml:space="preserve">Прямая ссылка на задачи и показатели </w:t>
            </w:r>
            <w:r w:rsidR="00123B38">
              <w:rPr>
                <w:lang w:eastAsia="en-US"/>
              </w:rPr>
              <w:t>Ц</w:t>
            </w:r>
            <w:r w:rsidR="00123B38" w:rsidRPr="00BA7CAD">
              <w:rPr>
                <w:lang w:eastAsia="en-US"/>
              </w:rPr>
              <w:t xml:space="preserve">ели </w:t>
            </w:r>
            <w:r w:rsidRPr="00BA7CAD">
              <w:rPr>
                <w:lang w:eastAsia="en-US"/>
              </w:rPr>
              <w:t xml:space="preserve">7 в области устойчивого развития </w:t>
            </w:r>
            <w:r>
              <w:rPr>
                <w:lang w:eastAsia="en-US"/>
              </w:rPr>
              <w:t xml:space="preserve">в ходе </w:t>
            </w:r>
            <w:r w:rsidRPr="00BA7CAD">
              <w:rPr>
                <w:lang w:eastAsia="en-US"/>
              </w:rPr>
              <w:t>рассмотрени</w:t>
            </w:r>
            <w:r>
              <w:rPr>
                <w:lang w:eastAsia="en-US"/>
              </w:rPr>
              <w:t>я</w:t>
            </w:r>
            <w:r w:rsidRPr="00BA7CAD">
              <w:rPr>
                <w:lang w:eastAsia="en-US"/>
              </w:rPr>
              <w:t xml:space="preserve"> воздействия при применении Конвенции и Протокола могла бы укрепить</w:t>
            </w:r>
            <w:r>
              <w:rPr>
                <w:lang w:eastAsia="en-US"/>
              </w:rPr>
              <w:t xml:space="preserve"> существующую</w:t>
            </w:r>
            <w:r w:rsidRPr="00BA7CAD">
              <w:rPr>
                <w:lang w:eastAsia="en-US"/>
              </w:rPr>
              <w:t xml:space="preserve"> практику (возможность для Конвенции и Протокола)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</w:tcPr>
          <w:p w14:paraId="6F186E0A" w14:textId="0276F5AA" w:rsidR="000C3BBC" w:rsidRPr="00A61B6E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A61B6E">
              <w:rPr>
                <w:lang w:eastAsia="en-US"/>
              </w:rPr>
              <w:t>Согласов</w:t>
            </w:r>
            <w:r>
              <w:rPr>
                <w:lang w:eastAsia="en-US"/>
              </w:rPr>
              <w:t>ание</w:t>
            </w:r>
            <w:r w:rsidRPr="00A61B6E">
              <w:rPr>
                <w:lang w:eastAsia="en-US"/>
              </w:rPr>
              <w:t xml:space="preserve"> наилучш</w:t>
            </w:r>
            <w:r>
              <w:rPr>
                <w:lang w:eastAsia="en-US"/>
              </w:rPr>
              <w:t>его</w:t>
            </w:r>
            <w:r w:rsidRPr="00A61B6E">
              <w:rPr>
                <w:lang w:eastAsia="en-US"/>
              </w:rPr>
              <w:t xml:space="preserve"> способ</w:t>
            </w:r>
            <w:r>
              <w:rPr>
                <w:lang w:eastAsia="en-US"/>
              </w:rPr>
              <w:t xml:space="preserve">а </w:t>
            </w:r>
            <w:r w:rsidRPr="00A61B6E">
              <w:rPr>
                <w:lang w:eastAsia="en-US"/>
              </w:rPr>
              <w:t xml:space="preserve">расширения </w:t>
            </w:r>
            <w:r>
              <w:rPr>
                <w:lang w:eastAsia="en-US"/>
              </w:rPr>
              <w:t xml:space="preserve">числа </w:t>
            </w:r>
            <w:r w:rsidRPr="00A61B6E">
              <w:t>факторов</w:t>
            </w:r>
            <w:r w:rsidRPr="00A61B6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подлежащих рассмотрению</w:t>
            </w:r>
            <w:r w:rsidRPr="00A61B6E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рамках </w:t>
            </w:r>
            <w:r w:rsidRPr="00A61B6E">
              <w:rPr>
                <w:lang w:eastAsia="en-US"/>
              </w:rPr>
              <w:t>Конвенции и Протокол</w:t>
            </w:r>
            <w:r>
              <w:rPr>
                <w:lang w:eastAsia="en-US"/>
              </w:rPr>
              <w:t>а</w:t>
            </w:r>
            <w:r w:rsidRPr="00A61B6E">
              <w:rPr>
                <w:lang w:eastAsia="en-US"/>
              </w:rPr>
              <w:t>, с учетом возможного политического сопротивления (вариант для Конвенции и Протокола)</w:t>
            </w:r>
          </w:p>
          <w:p w14:paraId="174260B5" w14:textId="313789A2" w:rsidR="000C3BBC" w:rsidRPr="00A61B6E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A61B6E">
              <w:rPr>
                <w:lang w:eastAsia="en-US"/>
              </w:rPr>
              <w:t xml:space="preserve">Проведение исследований для </w:t>
            </w:r>
            <w:r>
              <w:rPr>
                <w:lang w:eastAsia="en-US"/>
              </w:rPr>
              <w:t>решения</w:t>
            </w:r>
            <w:r w:rsidRPr="00A61B6E">
              <w:rPr>
                <w:lang w:eastAsia="en-US"/>
              </w:rPr>
              <w:t xml:space="preserve"> методологических </w:t>
            </w:r>
            <w:r w:rsidRPr="00A61B6E">
              <w:t>проблем</w:t>
            </w:r>
            <w:r w:rsidRPr="00A61B6E">
              <w:rPr>
                <w:lang w:eastAsia="en-US"/>
              </w:rPr>
              <w:t>, связанных с количественной оценкой косвенных выбросов (вариант для Конвенции и Протокола)</w:t>
            </w:r>
          </w:p>
          <w:p w14:paraId="6884C8F5" w14:textId="3281367B" w:rsidR="000C3BBC" w:rsidRPr="00A61B6E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A61B6E">
              <w:rPr>
                <w:lang w:eastAsia="en-US"/>
              </w:rPr>
              <w:t xml:space="preserve">Содействие развитию потенциала для </w:t>
            </w:r>
            <w:r w:rsidRPr="00A61B6E">
              <w:t>обеспечения</w:t>
            </w:r>
            <w:r w:rsidRPr="00A61B6E">
              <w:rPr>
                <w:lang w:eastAsia="en-US"/>
              </w:rPr>
              <w:t xml:space="preserve"> реализации возможностей и устремлений (вариант для Конвенции и Протокола, при условии наличия ресурсов)</w:t>
            </w:r>
          </w:p>
          <w:p w14:paraId="491E4A9A" w14:textId="33801248" w:rsidR="000C3BBC" w:rsidRPr="00A61B6E" w:rsidRDefault="000C3BBC" w:rsidP="00F715CE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A61B6E">
              <w:rPr>
                <w:lang w:eastAsia="en-US"/>
              </w:rPr>
              <w:t>Использов</w:t>
            </w:r>
            <w:r>
              <w:rPr>
                <w:lang w:eastAsia="en-US"/>
              </w:rPr>
              <w:t>ание</w:t>
            </w:r>
            <w:r w:rsidRPr="00A61B6E">
              <w:rPr>
                <w:lang w:eastAsia="en-US"/>
              </w:rPr>
              <w:t xml:space="preserve"> Конвенци</w:t>
            </w:r>
            <w:r>
              <w:rPr>
                <w:lang w:eastAsia="en-US"/>
              </w:rPr>
              <w:t>и</w:t>
            </w:r>
            <w:r w:rsidRPr="00A61B6E">
              <w:rPr>
                <w:lang w:eastAsia="en-US"/>
              </w:rPr>
              <w:t xml:space="preserve"> и Протокол</w:t>
            </w:r>
            <w:r>
              <w:rPr>
                <w:lang w:eastAsia="en-US"/>
              </w:rPr>
              <w:t>а</w:t>
            </w:r>
            <w:r w:rsidRPr="00A61B6E">
              <w:rPr>
                <w:lang w:eastAsia="en-US"/>
              </w:rPr>
              <w:t xml:space="preserve"> в качестве </w:t>
            </w:r>
            <w:r>
              <w:rPr>
                <w:lang w:eastAsia="en-US"/>
              </w:rPr>
              <w:t xml:space="preserve">предпочтительных </w:t>
            </w:r>
            <w:r w:rsidRPr="00A61B6E">
              <w:rPr>
                <w:lang w:eastAsia="en-US"/>
              </w:rPr>
              <w:t xml:space="preserve">инструментов для предотвращения и </w:t>
            </w:r>
            <w:r>
              <w:rPr>
                <w:lang w:eastAsia="en-US"/>
              </w:rPr>
              <w:t>сведения к минимуму</w:t>
            </w:r>
            <w:r w:rsidRPr="00A61B6E">
              <w:rPr>
                <w:lang w:eastAsia="en-US"/>
              </w:rPr>
              <w:t xml:space="preserve"> дублирования требований к зеленому финансированию, экономике</w:t>
            </w:r>
            <w:r>
              <w:rPr>
                <w:lang w:eastAsia="en-US"/>
              </w:rPr>
              <w:t xml:space="preserve"> замкнутого цикла</w:t>
            </w:r>
            <w:r w:rsidRPr="00A61B6E">
              <w:rPr>
                <w:lang w:eastAsia="en-US"/>
              </w:rPr>
              <w:t xml:space="preserve"> и действи</w:t>
            </w:r>
            <w:r>
              <w:rPr>
                <w:lang w:eastAsia="en-US"/>
              </w:rPr>
              <w:t>ям</w:t>
            </w:r>
            <w:r w:rsidRPr="00A61B6E">
              <w:rPr>
                <w:lang w:eastAsia="en-US"/>
              </w:rPr>
              <w:t>, направленны</w:t>
            </w:r>
            <w:r>
              <w:rPr>
                <w:lang w:eastAsia="en-US"/>
              </w:rPr>
              <w:t>м</w:t>
            </w:r>
            <w:r w:rsidRPr="00A61B6E">
              <w:rPr>
                <w:lang w:eastAsia="en-US"/>
              </w:rPr>
              <w:t xml:space="preserve"> на устранение последствий Киотского протокола к РКИКООН для стран </w:t>
            </w:r>
          </w:p>
        </w:tc>
      </w:tr>
    </w:tbl>
    <w:p w14:paraId="46DEAE8E" w14:textId="77777777" w:rsidR="000C3BBC" w:rsidRPr="00293106" w:rsidRDefault="000C3BBC" w:rsidP="000C3BBC">
      <w:pPr>
        <w:pStyle w:val="HChG"/>
        <w:rPr>
          <w:lang w:eastAsia="en-US"/>
        </w:rPr>
      </w:pPr>
      <w:r w:rsidRPr="00A61B6E">
        <w:lastRenderedPageBreak/>
        <w:tab/>
      </w:r>
      <w:r w:rsidRPr="00633CCB">
        <w:t>III</w:t>
      </w:r>
      <w:r w:rsidRPr="00293106">
        <w:rPr>
          <w:lang w:eastAsia="en-US"/>
        </w:rPr>
        <w:t>.</w:t>
      </w:r>
      <w:r w:rsidRPr="00293106">
        <w:rPr>
          <w:lang w:eastAsia="en-US"/>
        </w:rPr>
        <w:tab/>
        <w:t>Экономика замкнутого цикла</w:t>
      </w:r>
    </w:p>
    <w:p w14:paraId="67DB57DF" w14:textId="77777777" w:rsidR="000C3BBC" w:rsidRPr="006E1673" w:rsidRDefault="000C3BBC" w:rsidP="000C3BBC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 w:rsidRPr="00293106">
        <w:rPr>
          <w:b/>
        </w:rPr>
        <w:tab/>
      </w:r>
      <w:r w:rsidRPr="00ED1F68">
        <w:rPr>
          <w:b/>
          <w:sz w:val="24"/>
          <w:szCs w:val="24"/>
        </w:rPr>
        <w:t>A</w:t>
      </w:r>
      <w:r w:rsidRPr="00293106">
        <w:rPr>
          <w:b/>
          <w:sz w:val="24"/>
          <w:szCs w:val="24"/>
        </w:rPr>
        <w:t>.</w:t>
      </w:r>
      <w:r w:rsidRPr="00293106">
        <w:rPr>
          <w:b/>
          <w:sz w:val="24"/>
          <w:szCs w:val="24"/>
        </w:rPr>
        <w:tab/>
        <w:t xml:space="preserve">Что такое экономика замкнутого цикла? </w:t>
      </w:r>
      <w:r w:rsidRPr="006E1673">
        <w:rPr>
          <w:b/>
          <w:sz w:val="24"/>
          <w:szCs w:val="24"/>
        </w:rPr>
        <w:t>Введение в концепцию</w:t>
      </w:r>
    </w:p>
    <w:p w14:paraId="64C7017E" w14:textId="3A4ECE24" w:rsidR="000C3BBC" w:rsidRPr="00293106" w:rsidRDefault="000C3BBC" w:rsidP="000C3BBC">
      <w:pPr>
        <w:pStyle w:val="SingleTxtG"/>
      </w:pPr>
      <w:r w:rsidRPr="006E1673">
        <w:t>30.</w:t>
      </w:r>
      <w:r w:rsidRPr="006E1673">
        <w:tab/>
      </w:r>
      <w:bookmarkStart w:id="11" w:name="_Ref132974315"/>
      <w:r>
        <w:t>«</w:t>
      </w:r>
      <w:r w:rsidRPr="00293106">
        <w:t>Концепция [экономики замкнутого цикла] обычно понимается как переход от линейной модели (</w:t>
      </w:r>
      <w:r w:rsidRPr="002E0F7F">
        <w:t>брать</w:t>
      </w:r>
      <w:r>
        <w:t xml:space="preserve">, </w:t>
      </w:r>
      <w:r w:rsidRPr="002E0F7F">
        <w:t>делать, использовать, удалять в</w:t>
      </w:r>
      <w:r>
        <w:t xml:space="preserve"> </w:t>
      </w:r>
      <w:r w:rsidRPr="002E0F7F">
        <w:t>отходы</w:t>
      </w:r>
      <w:r w:rsidRPr="00293106">
        <w:t xml:space="preserve">) к </w:t>
      </w:r>
      <w:r>
        <w:t>м</w:t>
      </w:r>
      <w:r w:rsidRPr="002E0F7F">
        <w:t>одел</w:t>
      </w:r>
      <w:r>
        <w:t>и</w:t>
      </w:r>
      <w:r w:rsidRPr="002E0F7F">
        <w:t xml:space="preserve"> замкнутого цикла</w:t>
      </w:r>
      <w:r w:rsidRPr="00293106">
        <w:t xml:space="preserve"> (восстанов</w:t>
      </w:r>
      <w:r>
        <w:t>ление</w:t>
      </w:r>
      <w:r w:rsidRPr="00293106">
        <w:t xml:space="preserve"> и реге</w:t>
      </w:r>
      <w:r>
        <w:t>нерация</w:t>
      </w:r>
      <w:r w:rsidRPr="00293106">
        <w:t>)</w:t>
      </w:r>
      <w:r>
        <w:t>»</w:t>
      </w:r>
      <w:bookmarkStart w:id="12" w:name="_Ref146721044"/>
      <w:r w:rsidRPr="00ED1F68">
        <w:rPr>
          <w:vertAlign w:val="superscript"/>
        </w:rPr>
        <w:footnoteReference w:id="51"/>
      </w:r>
      <w:bookmarkEnd w:id="11"/>
      <w:bookmarkEnd w:id="12"/>
      <w:r>
        <w:t>.</w:t>
      </w:r>
      <w:r w:rsidRPr="006E1673">
        <w:t xml:space="preserve"> </w:t>
      </w:r>
      <w:r w:rsidRPr="007845A4">
        <w:t>В 2018 году, по данным Всемирного банка, было произведено 2,01 млрд т</w:t>
      </w:r>
      <w:r>
        <w:t>онн</w:t>
      </w:r>
      <w:r w:rsidRPr="007845A4">
        <w:t xml:space="preserve"> твердых бытовых отходов, причем к 2050 году прогнозируется увеличение этого объема до 3,4 млрд т</w:t>
      </w:r>
      <w:r>
        <w:t>онн</w:t>
      </w:r>
      <w:r w:rsidRPr="007845A4">
        <w:t xml:space="preserve"> в год</w:t>
      </w:r>
      <w:r w:rsidRPr="00ED1F68">
        <w:rPr>
          <w:vertAlign w:val="superscript"/>
        </w:rPr>
        <w:footnoteReference w:id="52"/>
      </w:r>
      <w:r>
        <w:t>.</w:t>
      </w:r>
      <w:r w:rsidRPr="006E1673">
        <w:t xml:space="preserve"> </w:t>
      </w:r>
      <w:r w:rsidRPr="007845A4">
        <w:t>Ранее Конференци</w:t>
      </w:r>
      <w:r>
        <w:t>я</w:t>
      </w:r>
      <w:r w:rsidRPr="007845A4">
        <w:t xml:space="preserve"> Организации Объединенных Наций по торговле и развитию указала, что в глобальном масштабе </w:t>
      </w:r>
      <w:r>
        <w:t>образование</w:t>
      </w:r>
      <w:r w:rsidRPr="007845A4">
        <w:t xml:space="preserve"> отходов </w:t>
      </w:r>
      <w:r>
        <w:t xml:space="preserve">в </w:t>
      </w:r>
      <w:r w:rsidRPr="007845A4">
        <w:t>основно</w:t>
      </w:r>
      <w:r>
        <w:t>м связано с</w:t>
      </w:r>
      <w:r w:rsidRPr="007845A4">
        <w:t xml:space="preserve"> производственны</w:t>
      </w:r>
      <w:r>
        <w:t>ми</w:t>
      </w:r>
      <w:r w:rsidRPr="007845A4">
        <w:t xml:space="preserve"> процесса</w:t>
      </w:r>
      <w:r>
        <w:t>ми</w:t>
      </w:r>
      <w:r w:rsidRPr="007845A4">
        <w:t xml:space="preserve">, </w:t>
      </w:r>
      <w:r>
        <w:t>на долю которых приходится</w:t>
      </w:r>
      <w:r w:rsidRPr="007845A4">
        <w:t xml:space="preserve"> 54</w:t>
      </w:r>
      <w:r>
        <w:t xml:space="preserve"> </w:t>
      </w:r>
      <w:r w:rsidRPr="007845A4">
        <w:t xml:space="preserve">% мирового </w:t>
      </w:r>
      <w:r>
        <w:t xml:space="preserve">объема </w:t>
      </w:r>
      <w:r w:rsidRPr="007845A4">
        <w:t>энергопотребления</w:t>
      </w:r>
      <w:r w:rsidRPr="00ED1F68">
        <w:rPr>
          <w:vertAlign w:val="superscript"/>
        </w:rPr>
        <w:footnoteReference w:id="53"/>
      </w:r>
      <w:r>
        <w:t>.</w:t>
      </w:r>
      <w:r w:rsidRPr="006E1673">
        <w:t xml:space="preserve"> </w:t>
      </w:r>
      <w:r w:rsidRPr="007845A4">
        <w:t xml:space="preserve">Таким образом, линейные производственные системы выступают в качестве барьера на пути энергетического перехода, основанного на снижении спроса на энергию. В том же докладе указывается на </w:t>
      </w:r>
      <w:r>
        <w:t xml:space="preserve">наличие </w:t>
      </w:r>
      <w:r w:rsidRPr="007845A4">
        <w:t>дисбаланс</w:t>
      </w:r>
      <w:r>
        <w:t>а</w:t>
      </w:r>
      <w:r w:rsidRPr="007845A4">
        <w:t xml:space="preserve"> между странами в производстве и/или использовании товаров, причем переход к большей </w:t>
      </w:r>
      <w:r>
        <w:t>цикличности</w:t>
      </w:r>
      <w:r w:rsidRPr="007845A4">
        <w:t xml:space="preserve"> </w:t>
      </w:r>
      <w:r>
        <w:t>приводит</w:t>
      </w:r>
      <w:r w:rsidRPr="007845A4">
        <w:t xml:space="preserve"> к </w:t>
      </w:r>
      <w:r>
        <w:t xml:space="preserve">возникновению </w:t>
      </w:r>
      <w:r w:rsidRPr="007845A4">
        <w:t>дальнейши</w:t>
      </w:r>
      <w:r>
        <w:t>х</w:t>
      </w:r>
      <w:r w:rsidRPr="007845A4">
        <w:t xml:space="preserve"> трансграничны</w:t>
      </w:r>
      <w:r>
        <w:t>х</w:t>
      </w:r>
      <w:r w:rsidRPr="007845A4">
        <w:t xml:space="preserve"> последстви</w:t>
      </w:r>
      <w:r>
        <w:t>й</w:t>
      </w:r>
      <w:r w:rsidRPr="007845A4">
        <w:t xml:space="preserve"> для торговли. </w:t>
      </w:r>
      <w:r>
        <w:t>Формирование</w:t>
      </w:r>
      <w:r w:rsidRPr="007845A4">
        <w:t xml:space="preserve"> </w:t>
      </w:r>
      <w:r w:rsidRPr="00293106">
        <w:t>экономики замкнутого цикла</w:t>
      </w:r>
      <w:r w:rsidRPr="007845A4">
        <w:t xml:space="preserve"> включает в себя переход к использованию возобновляемых источников </w:t>
      </w:r>
      <w:r>
        <w:t>энергии</w:t>
      </w:r>
      <w:r w:rsidRPr="00ED1F68">
        <w:rPr>
          <w:vertAlign w:val="superscript"/>
        </w:rPr>
        <w:fldChar w:fldCharType="begin"/>
      </w:r>
      <w:r w:rsidRPr="006E1673">
        <w:rPr>
          <w:vertAlign w:val="superscript"/>
        </w:rPr>
        <w:instrText xml:space="preserve"> </w:instrText>
      </w:r>
      <w:r w:rsidRPr="00ED1F68">
        <w:rPr>
          <w:vertAlign w:val="superscript"/>
        </w:rPr>
        <w:instrText>NOTEREF</w:instrText>
      </w:r>
      <w:r w:rsidRPr="006E1673">
        <w:rPr>
          <w:vertAlign w:val="superscript"/>
        </w:rPr>
        <w:instrText xml:space="preserve"> _</w:instrText>
      </w:r>
      <w:r w:rsidRPr="00ED1F68">
        <w:rPr>
          <w:vertAlign w:val="superscript"/>
        </w:rPr>
        <w:instrText>Ref</w:instrText>
      </w:r>
      <w:r w:rsidRPr="006E1673">
        <w:rPr>
          <w:vertAlign w:val="superscript"/>
        </w:rPr>
        <w:instrText>146721044 \</w:instrText>
      </w:r>
      <w:r w:rsidRPr="00ED1F68">
        <w:rPr>
          <w:vertAlign w:val="superscript"/>
        </w:rPr>
        <w:instrText>h</w:instrText>
      </w:r>
      <w:r w:rsidRPr="006E1673">
        <w:rPr>
          <w:vertAlign w:val="superscript"/>
        </w:rPr>
        <w:instrText xml:space="preserve">  \* </w:instrText>
      </w:r>
      <w:r w:rsidRPr="00ED1F68">
        <w:rPr>
          <w:vertAlign w:val="superscript"/>
        </w:rPr>
        <w:instrText>MERGEFORMAT</w:instrText>
      </w:r>
      <w:r w:rsidRPr="006E1673">
        <w:rPr>
          <w:vertAlign w:val="superscript"/>
        </w:rPr>
        <w:instrText xml:space="preserve"> </w:instrText>
      </w:r>
      <w:r w:rsidRPr="00ED1F68">
        <w:rPr>
          <w:vertAlign w:val="superscript"/>
        </w:rPr>
      </w:r>
      <w:r w:rsidRPr="00ED1F68">
        <w:rPr>
          <w:vertAlign w:val="superscript"/>
        </w:rPr>
        <w:fldChar w:fldCharType="separate"/>
      </w:r>
      <w:r w:rsidR="00563772">
        <w:rPr>
          <w:vertAlign w:val="superscript"/>
        </w:rPr>
        <w:t>51</w:t>
      </w:r>
      <w:r w:rsidRPr="00ED1F68">
        <w:rPr>
          <w:vertAlign w:val="superscript"/>
        </w:rPr>
        <w:fldChar w:fldCharType="end"/>
      </w:r>
      <w:r>
        <w:t xml:space="preserve">. </w:t>
      </w:r>
      <w:r w:rsidRPr="007845A4">
        <w:t>Всемирный экономический форум выделяет три основны</w:t>
      </w:r>
      <w:r>
        <w:t>е</w:t>
      </w:r>
      <w:r w:rsidRPr="007845A4">
        <w:t xml:space="preserve"> </w:t>
      </w:r>
      <w:r>
        <w:t>области</w:t>
      </w:r>
      <w:r w:rsidRPr="007845A4">
        <w:t xml:space="preserve">, </w:t>
      </w:r>
      <w:r>
        <w:t xml:space="preserve">в </w:t>
      </w:r>
      <w:r w:rsidRPr="007845A4">
        <w:t>которы</w:t>
      </w:r>
      <w:r>
        <w:t>х</w:t>
      </w:r>
      <w:r w:rsidRPr="007845A4">
        <w:t xml:space="preserve"> экономика</w:t>
      </w:r>
      <w:r>
        <w:t xml:space="preserve"> </w:t>
      </w:r>
      <w:r w:rsidRPr="00293106">
        <w:t>замкнутого цикла</w:t>
      </w:r>
      <w:r w:rsidRPr="007845A4">
        <w:t xml:space="preserve"> </w:t>
      </w:r>
      <w:r>
        <w:t>имеет</w:t>
      </w:r>
      <w:r w:rsidRPr="007845A4">
        <w:t xml:space="preserve"> жизненно важное значение для</w:t>
      </w:r>
      <w:r>
        <w:t xml:space="preserve"> </w:t>
      </w:r>
      <w:r w:rsidRPr="007845A4">
        <w:t>энергетического перехода</w:t>
      </w:r>
      <w:r w:rsidRPr="00ED1F68">
        <w:rPr>
          <w:vertAlign w:val="superscript"/>
        </w:rPr>
        <w:footnoteReference w:id="54"/>
      </w:r>
      <w:r>
        <w:t>:</w:t>
      </w:r>
      <w:r w:rsidRPr="006E1673">
        <w:t xml:space="preserve"> </w:t>
      </w:r>
    </w:p>
    <w:p w14:paraId="419125CD" w14:textId="77777777" w:rsidR="000C3BBC" w:rsidRPr="0015251D" w:rsidRDefault="000C3BBC" w:rsidP="000C3BBC">
      <w:pPr>
        <w:pStyle w:val="SingleTxtG"/>
        <w:ind w:firstLine="567"/>
      </w:pPr>
      <w:r w:rsidRPr="00ED1F68">
        <w:t>a</w:t>
      </w:r>
      <w:r w:rsidRPr="00397CCE">
        <w:t>)</w:t>
      </w:r>
      <w:r w:rsidRPr="00397CCE">
        <w:tab/>
      </w:r>
      <w:r w:rsidRPr="0015251D">
        <w:t>переработка отходов</w:t>
      </w:r>
      <w:r w:rsidRPr="00397CCE">
        <w:t xml:space="preserve"> может </w:t>
      </w:r>
      <w:r>
        <w:t xml:space="preserve">обеспечить </w:t>
      </w:r>
      <w:r w:rsidRPr="00397CCE">
        <w:t>сбере</w:t>
      </w:r>
      <w:r>
        <w:t>жение</w:t>
      </w:r>
      <w:r w:rsidRPr="00397CCE">
        <w:t xml:space="preserve"> критически важны</w:t>
      </w:r>
      <w:r>
        <w:t>х</w:t>
      </w:r>
      <w:r w:rsidRPr="00397CCE">
        <w:t xml:space="preserve"> материал</w:t>
      </w:r>
      <w:r>
        <w:t>ов</w:t>
      </w:r>
      <w:r w:rsidRPr="00397CCE">
        <w:t xml:space="preserve"> </w:t>
      </w:r>
      <w:r>
        <w:t>—</w:t>
      </w:r>
      <w:r w:rsidRPr="00397CCE">
        <w:t xml:space="preserve"> Международное</w:t>
      </w:r>
      <w:r w:rsidRPr="0015251D">
        <w:t xml:space="preserve"> энергетическое агентство подсчитало, что переход к углеродной нейтральности к 2040 году потребует шестикратного увеличения </w:t>
      </w:r>
      <w:r>
        <w:t xml:space="preserve">объема </w:t>
      </w:r>
      <w:r w:rsidRPr="0015251D">
        <w:t xml:space="preserve">потребления </w:t>
      </w:r>
      <w:r>
        <w:t>минерального сырья</w:t>
      </w:r>
      <w:r w:rsidRPr="00ED1F68">
        <w:rPr>
          <w:vertAlign w:val="superscript"/>
        </w:rPr>
        <w:footnoteReference w:id="55"/>
      </w:r>
      <w:r>
        <w:t xml:space="preserve">. </w:t>
      </w:r>
      <w:r w:rsidRPr="0015251D">
        <w:t>В этом контексте переработка отходов будет иметь ключевое значение для управления спросом на вновь добываемые полезные ископаемые;</w:t>
      </w:r>
    </w:p>
    <w:p w14:paraId="7863F9F1" w14:textId="77777777" w:rsidR="000C3BBC" w:rsidRPr="00807DE0" w:rsidRDefault="000C3BBC" w:rsidP="000C3BBC">
      <w:pPr>
        <w:pStyle w:val="SingleTxtG"/>
        <w:ind w:firstLine="567"/>
      </w:pPr>
      <w:r w:rsidRPr="00ED1F68">
        <w:t>b</w:t>
      </w:r>
      <w:r w:rsidRPr="00807DE0">
        <w:t>)</w:t>
      </w:r>
      <w:r w:rsidRPr="00807DE0">
        <w:tab/>
      </w:r>
      <w:r>
        <w:t>и</w:t>
      </w:r>
      <w:r w:rsidRPr="00807DE0">
        <w:t>спользование низкоуглеродных рециркулируемы</w:t>
      </w:r>
      <w:r>
        <w:t>х</w:t>
      </w:r>
      <w:r w:rsidRPr="00807DE0">
        <w:t xml:space="preserve"> материалов </w:t>
      </w:r>
      <w:r>
        <w:t>—</w:t>
      </w:r>
      <w:r w:rsidRPr="00807DE0">
        <w:t xml:space="preserve"> за последние 20 лет </w:t>
      </w:r>
      <w:r>
        <w:t xml:space="preserve">объем </w:t>
      </w:r>
      <w:r w:rsidRPr="00807DE0">
        <w:t>выброс</w:t>
      </w:r>
      <w:r>
        <w:t>ов</w:t>
      </w:r>
      <w:r w:rsidRPr="00807DE0">
        <w:t xml:space="preserve"> при производстве всех материалов в мире увеличил</w:t>
      </w:r>
      <w:r>
        <w:t>ся</w:t>
      </w:r>
      <w:r w:rsidRPr="00807DE0">
        <w:t xml:space="preserve"> более чем в два раза, однако, например, </w:t>
      </w:r>
      <w:r>
        <w:t>при использования рециркулированного</w:t>
      </w:r>
      <w:r w:rsidRPr="00807DE0">
        <w:t xml:space="preserve"> алюмини</w:t>
      </w:r>
      <w:r>
        <w:t>я</w:t>
      </w:r>
      <w:r w:rsidRPr="00807DE0">
        <w:t xml:space="preserve"> выделяет</w:t>
      </w:r>
      <w:r>
        <w:t>ся</w:t>
      </w:r>
      <w:r w:rsidRPr="00807DE0">
        <w:t xml:space="preserve"> на 95</w:t>
      </w:r>
      <w:r>
        <w:t xml:space="preserve"> </w:t>
      </w:r>
      <w:r w:rsidRPr="00807DE0">
        <w:t xml:space="preserve">% меньше </w:t>
      </w:r>
      <w:r w:rsidRPr="00807DE0">
        <w:rPr>
          <w:lang w:val="en-US"/>
        </w:rPr>
        <w:t>CO</w:t>
      </w:r>
      <w:r w:rsidRPr="00807DE0">
        <w:rPr>
          <w:vertAlign w:val="subscript"/>
        </w:rPr>
        <w:t>2</w:t>
      </w:r>
      <w:r w:rsidRPr="00807DE0">
        <w:t xml:space="preserve">, чем </w:t>
      </w:r>
      <w:r>
        <w:t xml:space="preserve">в случае </w:t>
      </w:r>
      <w:r w:rsidRPr="00807DE0">
        <w:t>алюмини</w:t>
      </w:r>
      <w:r>
        <w:t>я</w:t>
      </w:r>
      <w:r w:rsidRPr="00807DE0">
        <w:t>, произведенн</w:t>
      </w:r>
      <w:r>
        <w:t>ого</w:t>
      </w:r>
      <w:r w:rsidRPr="00807DE0">
        <w:t xml:space="preserve"> из добыт</w:t>
      </w:r>
      <w:r>
        <w:t>ого</w:t>
      </w:r>
      <w:r w:rsidRPr="00807DE0">
        <w:t xml:space="preserve"> </w:t>
      </w:r>
      <w:r>
        <w:t>минерального сырья</w:t>
      </w:r>
      <w:r w:rsidRPr="00807DE0">
        <w:t>;</w:t>
      </w:r>
    </w:p>
    <w:p w14:paraId="2E7895E7" w14:textId="77777777" w:rsidR="000C3BBC" w:rsidRPr="0045308D" w:rsidRDefault="000C3BBC" w:rsidP="000C3BBC">
      <w:pPr>
        <w:pStyle w:val="SingleTxtG"/>
        <w:ind w:firstLine="567"/>
      </w:pPr>
      <w:r w:rsidRPr="00ED1F68">
        <w:t>c</w:t>
      </w:r>
      <w:r w:rsidRPr="0045308D">
        <w:t>)</w:t>
      </w:r>
      <w:r w:rsidRPr="0045308D">
        <w:tab/>
      </w:r>
      <w:r>
        <w:t>п</w:t>
      </w:r>
      <w:r w:rsidRPr="0045308D">
        <w:t>роектирование систем</w:t>
      </w:r>
      <w:r>
        <w:t xml:space="preserve"> замкнутого цикла</w:t>
      </w:r>
      <w:r w:rsidRPr="0045308D">
        <w:t xml:space="preserve"> </w:t>
      </w:r>
      <w:r>
        <w:t>—</w:t>
      </w:r>
      <w:r w:rsidRPr="0045308D">
        <w:t xml:space="preserve"> системы возобновляемой энергетики первого поколения (ветряные турбины и солнечные батареи) необходимо будет вывести из эксплуатации в 2030-х годах, что приведет к образованию до 121 м</w:t>
      </w:r>
      <w:r>
        <w:t>лн</w:t>
      </w:r>
      <w:r w:rsidRPr="0045308D">
        <w:t xml:space="preserve"> тонн отходов во всем мире; следовательно, новые системы должны быть рассчитаны на более длительный срок службы и простоту повторного использования и рециркуляции.</w:t>
      </w:r>
    </w:p>
    <w:p w14:paraId="631B826D" w14:textId="77777777" w:rsidR="000C3BBC" w:rsidRPr="00C240FA" w:rsidRDefault="000C3BBC" w:rsidP="000C3BBC">
      <w:pPr>
        <w:pStyle w:val="SingleTxtG"/>
      </w:pPr>
      <w:r w:rsidRPr="00C240FA">
        <w:t>31.</w:t>
      </w:r>
      <w:r w:rsidRPr="00C240FA">
        <w:tab/>
      </w:r>
      <w:r>
        <w:t>Как у</w:t>
      </w:r>
      <w:r w:rsidRPr="00765E91">
        <w:t>твержда</w:t>
      </w:r>
      <w:r>
        <w:t>ется</w:t>
      </w:r>
      <w:r w:rsidRPr="00765E91">
        <w:t xml:space="preserve">, экономика замкнутого цикла </w:t>
      </w:r>
      <w:r>
        <w:t>базируется</w:t>
      </w:r>
      <w:r w:rsidRPr="00765E91">
        <w:t xml:space="preserve"> на трех ключевых принципах</w:t>
      </w:r>
      <w:r w:rsidRPr="00ED1F68">
        <w:rPr>
          <w:vertAlign w:val="superscript"/>
        </w:rPr>
        <w:footnoteReference w:id="56"/>
      </w:r>
      <w:r>
        <w:t>:</w:t>
      </w:r>
      <w:r w:rsidRPr="00C240FA">
        <w:t xml:space="preserve"> </w:t>
      </w:r>
      <w:r w:rsidRPr="00765E91">
        <w:t xml:space="preserve">устранение отходов и загрязнения окружающей среды; циркуляция продуктов и материалов; и восстановление природы. </w:t>
      </w:r>
      <w:r>
        <w:t>Что касается климатических выгод, то</w:t>
      </w:r>
      <w:r w:rsidRPr="00765E91">
        <w:t xml:space="preserve"> ликвидация отходов сокращает выбросы по всей цепочке создания стоимости; циркулирующие продукты и материалы сохраняют свою воплощенную энергию; </w:t>
      </w:r>
      <w:r>
        <w:t>и</w:t>
      </w:r>
      <w:r w:rsidRPr="00765E91">
        <w:t xml:space="preserve"> регенерирующая природа поглощает углерод</w:t>
      </w:r>
      <w:r w:rsidRPr="00C240FA">
        <w:t>.</w:t>
      </w:r>
    </w:p>
    <w:p w14:paraId="316782B0" w14:textId="393751A7" w:rsidR="000C3BBC" w:rsidRPr="00B11ADF" w:rsidRDefault="000C3BBC" w:rsidP="000C3BBC">
      <w:pPr>
        <w:pStyle w:val="H1G"/>
        <w:rPr>
          <w:lang w:eastAsia="en-US"/>
        </w:rPr>
      </w:pPr>
      <w:r w:rsidRPr="00765E91">
        <w:rPr>
          <w:lang w:eastAsia="en-US"/>
        </w:rPr>
        <w:lastRenderedPageBreak/>
        <w:tab/>
      </w:r>
      <w:r w:rsidRPr="00ED1F68">
        <w:rPr>
          <w:lang w:eastAsia="en-US"/>
        </w:rPr>
        <w:t>B</w:t>
      </w:r>
      <w:r w:rsidRPr="00B11ADF">
        <w:rPr>
          <w:lang w:eastAsia="en-US"/>
        </w:rPr>
        <w:t>.</w:t>
      </w:r>
      <w:r w:rsidRPr="00B11ADF">
        <w:rPr>
          <w:lang w:eastAsia="en-US"/>
        </w:rPr>
        <w:tab/>
      </w:r>
      <w:r>
        <w:rPr>
          <w:lang w:eastAsia="en-US"/>
        </w:rPr>
        <w:t>Политические рамки</w:t>
      </w:r>
      <w:r w:rsidRPr="00B11ADF">
        <w:rPr>
          <w:lang w:eastAsia="en-US"/>
        </w:rPr>
        <w:t xml:space="preserve"> для экономики замкнутого цикла и ход</w:t>
      </w:r>
      <w:r>
        <w:rPr>
          <w:lang w:eastAsia="en-US"/>
        </w:rPr>
        <w:t xml:space="preserve"> </w:t>
      </w:r>
      <w:r w:rsidR="00123B38">
        <w:rPr>
          <w:lang w:eastAsia="en-US"/>
        </w:rPr>
        <w:br/>
      </w:r>
      <w:r>
        <w:rPr>
          <w:lang w:eastAsia="en-US"/>
        </w:rPr>
        <w:t>ее</w:t>
      </w:r>
      <w:r w:rsidRPr="00B11ADF">
        <w:rPr>
          <w:lang w:eastAsia="en-US"/>
        </w:rPr>
        <w:t xml:space="preserve"> формирования</w:t>
      </w:r>
    </w:p>
    <w:p w14:paraId="6B0D73C6" w14:textId="4A797564" w:rsidR="000C3BBC" w:rsidRPr="009B55C4" w:rsidRDefault="000C3BBC" w:rsidP="000C3BBC">
      <w:pPr>
        <w:pStyle w:val="SingleTxtG"/>
      </w:pPr>
      <w:r w:rsidRPr="00683A98">
        <w:t>32.</w:t>
      </w:r>
      <w:r w:rsidRPr="00683A98">
        <w:tab/>
      </w:r>
      <w:r>
        <w:t>В настоящее время у</w:t>
      </w:r>
      <w:r w:rsidRPr="00580C99">
        <w:t>же ведется планирование перехода к экономике замкнутого цикла. Например</w:t>
      </w:r>
      <w:r w:rsidRPr="00683A98">
        <w:t xml:space="preserve">, </w:t>
      </w:r>
      <w:r w:rsidRPr="00580C99">
        <w:t>Европейский</w:t>
      </w:r>
      <w:r w:rsidRPr="00683A98">
        <w:t xml:space="preserve"> </w:t>
      </w:r>
      <w:r w:rsidRPr="00580C99">
        <w:t>союз</w:t>
      </w:r>
      <w:r w:rsidRPr="00683A98">
        <w:t xml:space="preserve"> </w:t>
      </w:r>
      <w:r w:rsidRPr="00580C99">
        <w:t>принял</w:t>
      </w:r>
      <w:r w:rsidRPr="00683A98">
        <w:t xml:space="preserve"> </w:t>
      </w:r>
      <w:r w:rsidRPr="00580C99">
        <w:t>План</w:t>
      </w:r>
      <w:r w:rsidRPr="00683A98">
        <w:t xml:space="preserve"> </w:t>
      </w:r>
      <w:r w:rsidRPr="00580C99">
        <w:t>действий</w:t>
      </w:r>
      <w:r w:rsidRPr="00683A98">
        <w:t xml:space="preserve"> </w:t>
      </w:r>
      <w:r>
        <w:t>в</w:t>
      </w:r>
      <w:r w:rsidRPr="00683A98">
        <w:t xml:space="preserve"> </w:t>
      </w:r>
      <w:r>
        <w:t>области</w:t>
      </w:r>
      <w:r w:rsidRPr="00683A98">
        <w:t xml:space="preserve"> </w:t>
      </w:r>
      <w:r w:rsidRPr="00580C99">
        <w:t>экономик</w:t>
      </w:r>
      <w:r>
        <w:t>и</w:t>
      </w:r>
      <w:r w:rsidRPr="00683A98">
        <w:t xml:space="preserve"> </w:t>
      </w:r>
      <w:r w:rsidRPr="00580C99">
        <w:t>замкнутого</w:t>
      </w:r>
      <w:r w:rsidRPr="00683A98">
        <w:t xml:space="preserve"> </w:t>
      </w:r>
      <w:r w:rsidRPr="00580C99">
        <w:t>цикла</w:t>
      </w:r>
      <w:r w:rsidRPr="00ED1F68">
        <w:rPr>
          <w:vertAlign w:val="superscript"/>
        </w:rPr>
        <w:fldChar w:fldCharType="begin"/>
      </w:r>
      <w:r w:rsidRPr="00683A98">
        <w:rPr>
          <w:vertAlign w:val="superscript"/>
        </w:rPr>
        <w:instrText xml:space="preserve"> </w:instrText>
      </w:r>
      <w:r w:rsidRPr="00ED1F68">
        <w:rPr>
          <w:vertAlign w:val="superscript"/>
        </w:rPr>
        <w:instrText>NOTEREF</w:instrText>
      </w:r>
      <w:r w:rsidRPr="00683A98">
        <w:rPr>
          <w:vertAlign w:val="superscript"/>
        </w:rPr>
        <w:instrText xml:space="preserve"> _</w:instrText>
      </w:r>
      <w:r w:rsidRPr="00ED1F68">
        <w:rPr>
          <w:vertAlign w:val="superscript"/>
        </w:rPr>
        <w:instrText>Ref</w:instrText>
      </w:r>
      <w:r w:rsidRPr="00683A98">
        <w:rPr>
          <w:vertAlign w:val="superscript"/>
        </w:rPr>
        <w:instrText>146720977 \</w:instrText>
      </w:r>
      <w:r w:rsidRPr="00ED1F68">
        <w:rPr>
          <w:vertAlign w:val="superscript"/>
        </w:rPr>
        <w:instrText>h</w:instrText>
      </w:r>
      <w:r w:rsidRPr="00683A98">
        <w:rPr>
          <w:vertAlign w:val="superscript"/>
        </w:rPr>
        <w:instrText xml:space="preserve">  \* </w:instrText>
      </w:r>
      <w:r w:rsidRPr="00ED1F68">
        <w:rPr>
          <w:vertAlign w:val="superscript"/>
        </w:rPr>
        <w:instrText>MERGEFORMAT</w:instrText>
      </w:r>
      <w:r w:rsidRPr="00683A98">
        <w:rPr>
          <w:vertAlign w:val="superscript"/>
        </w:rPr>
        <w:instrText xml:space="preserve"> </w:instrText>
      </w:r>
      <w:r w:rsidRPr="00ED1F68">
        <w:rPr>
          <w:vertAlign w:val="superscript"/>
        </w:rPr>
      </w:r>
      <w:r w:rsidRPr="00ED1F68">
        <w:rPr>
          <w:vertAlign w:val="superscript"/>
        </w:rPr>
        <w:fldChar w:fldCharType="separate"/>
      </w:r>
      <w:r w:rsidR="00563772">
        <w:rPr>
          <w:vertAlign w:val="superscript"/>
        </w:rPr>
        <w:t>23</w:t>
      </w:r>
      <w:r w:rsidRPr="00ED1F68">
        <w:rPr>
          <w:vertAlign w:val="superscript"/>
        </w:rPr>
        <w:fldChar w:fldCharType="end"/>
      </w:r>
      <w:r>
        <w:t xml:space="preserve">, </w:t>
      </w:r>
      <w:r w:rsidRPr="00580C99">
        <w:t>который включает е</w:t>
      </w:r>
      <w:r>
        <w:t>е</w:t>
      </w:r>
      <w:r w:rsidRPr="00580C99">
        <w:t xml:space="preserve"> в качестве всеобъемлющей модели для реализации</w:t>
      </w:r>
      <w:r>
        <w:t xml:space="preserve"> </w:t>
      </w:r>
      <w:r w:rsidRPr="00580C99">
        <w:t xml:space="preserve">ключевых элементов </w:t>
      </w:r>
      <w:r>
        <w:t>инициативы «Европейский зеленый курс»</w:t>
      </w:r>
      <w:r w:rsidRPr="00580C99">
        <w:t xml:space="preserve"> </w:t>
      </w:r>
      <w:r>
        <w:t>—</w:t>
      </w:r>
      <w:r w:rsidRPr="00580C99">
        <w:t xml:space="preserve"> новой промышленной стратегии для Европы, ведущей к </w:t>
      </w:r>
      <w:r>
        <w:t>«</w:t>
      </w:r>
      <w:r w:rsidRPr="00580C99">
        <w:t>зеленому</w:t>
      </w:r>
      <w:r>
        <w:t>»</w:t>
      </w:r>
      <w:r w:rsidRPr="00580C99">
        <w:t xml:space="preserve"> росту и цифровому переходу</w:t>
      </w:r>
      <w:r w:rsidRPr="00ED1F68">
        <w:rPr>
          <w:vertAlign w:val="superscript"/>
        </w:rPr>
        <w:footnoteReference w:id="57"/>
      </w:r>
      <w:r>
        <w:t>;</w:t>
      </w:r>
      <w:r w:rsidRPr="00683A98">
        <w:t xml:space="preserve"> </w:t>
      </w:r>
      <w:r w:rsidRPr="00580C99">
        <w:t xml:space="preserve">и </w:t>
      </w:r>
      <w:r>
        <w:t>«</w:t>
      </w:r>
      <w:r w:rsidRPr="00580C99">
        <w:t>голубой</w:t>
      </w:r>
      <w:r>
        <w:t>»</w:t>
      </w:r>
      <w:r w:rsidRPr="00580C99">
        <w:t xml:space="preserve"> экономики (примеры экономики замкнутого цикла включают</w:t>
      </w:r>
      <w:r>
        <w:t xml:space="preserve"> в себя </w:t>
      </w:r>
      <w:r w:rsidRPr="00580C99">
        <w:t>обновление стандартов для проектировани</w:t>
      </w:r>
      <w:r>
        <w:t>я</w:t>
      </w:r>
      <w:r w:rsidRPr="00580C99">
        <w:t xml:space="preserve"> орудий лова, утилизаци</w:t>
      </w:r>
      <w:r>
        <w:t>ю</w:t>
      </w:r>
      <w:r w:rsidRPr="00580C99">
        <w:t xml:space="preserve"> судов и вывод из эксплуатации морских платформ)</w:t>
      </w:r>
      <w:r w:rsidRPr="00ED1F68">
        <w:rPr>
          <w:vertAlign w:val="superscript"/>
        </w:rPr>
        <w:footnoteReference w:id="58"/>
      </w:r>
      <w:r>
        <w:t>.</w:t>
      </w:r>
      <w:r w:rsidRPr="00683A98">
        <w:t xml:space="preserve"> </w:t>
      </w:r>
      <w:r w:rsidRPr="00580C99">
        <w:t xml:space="preserve">Кроме того, предложение </w:t>
      </w:r>
      <w:r>
        <w:t>для</w:t>
      </w:r>
      <w:r w:rsidRPr="00580C99">
        <w:t xml:space="preserve"> </w:t>
      </w:r>
      <w:r>
        <w:t>Р</w:t>
      </w:r>
      <w:r w:rsidRPr="00580C99">
        <w:t>егламент</w:t>
      </w:r>
      <w:r>
        <w:t>а</w:t>
      </w:r>
      <w:r w:rsidRPr="00580C99">
        <w:t xml:space="preserve"> Европейского парламента и Совета</w:t>
      </w:r>
      <w:r>
        <w:t xml:space="preserve"> о</w:t>
      </w:r>
      <w:r w:rsidRPr="00580C99">
        <w:t xml:space="preserve"> </w:t>
      </w:r>
      <w:r>
        <w:t>создании</w:t>
      </w:r>
      <w:r w:rsidRPr="00580C99">
        <w:t xml:space="preserve"> рам</w:t>
      </w:r>
      <w:r>
        <w:t>ок</w:t>
      </w:r>
      <w:r w:rsidRPr="00580C99">
        <w:t xml:space="preserve"> для обеспечения надежных и устойчивых поставок важн</w:t>
      </w:r>
      <w:r>
        <w:t>ейшего</w:t>
      </w:r>
      <w:r w:rsidRPr="00580C99">
        <w:t xml:space="preserve"> сырья</w:t>
      </w:r>
      <w:r w:rsidRPr="00ED1F68">
        <w:rPr>
          <w:vertAlign w:val="superscript"/>
        </w:rPr>
        <w:footnoteReference w:id="59"/>
      </w:r>
      <w:r w:rsidRPr="00683A98">
        <w:t xml:space="preserve"> </w:t>
      </w:r>
      <w:r w:rsidRPr="00580C99">
        <w:t xml:space="preserve">содержит раздел о цикличности, </w:t>
      </w:r>
      <w:r>
        <w:t>направленной на сокращение</w:t>
      </w:r>
      <w:r w:rsidRPr="00580C99">
        <w:t xml:space="preserve"> зависимост</w:t>
      </w:r>
      <w:r>
        <w:t>и</w:t>
      </w:r>
      <w:r w:rsidRPr="00580C99">
        <w:t xml:space="preserve"> от первичного сырья, </w:t>
      </w:r>
      <w:r>
        <w:t>в частности</w:t>
      </w:r>
      <w:r w:rsidRPr="00580C99">
        <w:t>, в секторе возобновляемых источников энергии</w:t>
      </w:r>
      <w:r w:rsidRPr="00683A98">
        <w:t>.</w:t>
      </w:r>
    </w:p>
    <w:p w14:paraId="7E1F6AF6" w14:textId="77777777" w:rsidR="000C3BBC" w:rsidRPr="00E765E4" w:rsidRDefault="000C3BBC" w:rsidP="000C3BBC">
      <w:pPr>
        <w:pStyle w:val="SingleTxtG"/>
      </w:pPr>
      <w:r w:rsidRPr="00C47A91">
        <w:t>33.</w:t>
      </w:r>
      <w:r w:rsidRPr="00C47A91">
        <w:tab/>
      </w:r>
      <w:r w:rsidRPr="00E765E4">
        <w:t xml:space="preserve">Стратегии </w:t>
      </w:r>
      <w:r>
        <w:t>формирования</w:t>
      </w:r>
      <w:r w:rsidRPr="00E765E4">
        <w:t xml:space="preserve"> экономики</w:t>
      </w:r>
      <w:r>
        <w:t xml:space="preserve"> замкнутого цикла</w:t>
      </w:r>
      <w:r w:rsidRPr="00E765E4">
        <w:t xml:space="preserve"> были разработаны, в частности, в Соединенных Штатах Америки, Китае и Японии</w:t>
      </w:r>
      <w:r w:rsidRPr="00ED1F68">
        <w:rPr>
          <w:vertAlign w:val="superscript"/>
        </w:rPr>
        <w:footnoteReference w:id="60"/>
      </w:r>
      <w:r>
        <w:t>,</w:t>
      </w:r>
      <w:r w:rsidRPr="00C47A91">
        <w:t xml:space="preserve"> </w:t>
      </w:r>
      <w:r>
        <w:t>и</w:t>
      </w:r>
      <w:r w:rsidRPr="00E765E4">
        <w:t xml:space="preserve"> созданы бизнес-сети, такие как Фонд Эллен Макартур (Соединенное Королевство Великобритании и Северной Ирландии), </w:t>
      </w:r>
      <w:r>
        <w:t>«</w:t>
      </w:r>
      <w:r w:rsidRPr="00E765E4">
        <w:t>Circle Economy</w:t>
      </w:r>
      <w:r>
        <w:t>»</w:t>
      </w:r>
      <w:r w:rsidRPr="00E765E4">
        <w:t xml:space="preserve"> (Нидерланды) и </w:t>
      </w:r>
      <w:r>
        <w:t>«</w:t>
      </w:r>
      <w:r w:rsidRPr="00E765E4">
        <w:t>Circular Change</w:t>
      </w:r>
      <w:r>
        <w:t>»</w:t>
      </w:r>
      <w:r w:rsidRPr="00E765E4">
        <w:t xml:space="preserve"> (Словения). </w:t>
      </w:r>
      <w:r w:rsidRPr="00C47A91">
        <w:t>Все большее число инициатив в области экономики замкнутого цикла также реализуется на региональном и городском уровнях (например, Руководство по финансированию циркулярны</w:t>
      </w:r>
      <w:r>
        <w:t>х</w:t>
      </w:r>
      <w:r w:rsidRPr="00C47A91">
        <w:t xml:space="preserve"> город</w:t>
      </w:r>
      <w:r>
        <w:t>ов</w:t>
      </w:r>
      <w:r w:rsidRPr="00C47A91">
        <w:t>)</w:t>
      </w:r>
      <w:r w:rsidRPr="00ED1F68">
        <w:rPr>
          <w:vertAlign w:val="superscript"/>
        </w:rPr>
        <w:footnoteReference w:id="61"/>
      </w:r>
      <w:r>
        <w:t>. И н</w:t>
      </w:r>
      <w:r w:rsidRPr="00C47A91">
        <w:t>аконец</w:t>
      </w:r>
      <w:r w:rsidRPr="00874B7A">
        <w:t xml:space="preserve">, </w:t>
      </w:r>
      <w:r>
        <w:t>в</w:t>
      </w:r>
      <w:r w:rsidRPr="00874B7A">
        <w:t xml:space="preserve"> </w:t>
      </w:r>
      <w:r>
        <w:t>настоящее</w:t>
      </w:r>
      <w:r w:rsidRPr="00874B7A">
        <w:t xml:space="preserve"> </w:t>
      </w:r>
      <w:r>
        <w:t>время</w:t>
      </w:r>
      <w:r w:rsidRPr="00874B7A">
        <w:t xml:space="preserve"> </w:t>
      </w:r>
      <w:r w:rsidRPr="00C47A91">
        <w:t>разрабатываются</w:t>
      </w:r>
      <w:r w:rsidRPr="00874B7A">
        <w:t xml:space="preserve"> </w:t>
      </w:r>
      <w:r>
        <w:t>различные</w:t>
      </w:r>
      <w:r w:rsidRPr="00874B7A">
        <w:t xml:space="preserve"> </w:t>
      </w:r>
      <w:r w:rsidRPr="00C47A91">
        <w:t>стандарты</w:t>
      </w:r>
      <w:r w:rsidRPr="00874B7A">
        <w:t xml:space="preserve"> (</w:t>
      </w:r>
      <w:r w:rsidRPr="00C47A91">
        <w:t>включая</w:t>
      </w:r>
      <w:r w:rsidRPr="00874B7A">
        <w:t xml:space="preserve"> </w:t>
      </w:r>
      <w:r w:rsidRPr="00874B7A">
        <w:rPr>
          <w:lang w:val="en-US"/>
        </w:rPr>
        <w:t>BS</w:t>
      </w:r>
      <w:r w:rsidRPr="00874B7A">
        <w:t xml:space="preserve"> 8001</w:t>
      </w:r>
      <w:r w:rsidRPr="00ED1F68">
        <w:rPr>
          <w:vertAlign w:val="superscript"/>
        </w:rPr>
        <w:footnoteReference w:id="62"/>
      </w:r>
      <w:r w:rsidRPr="00874B7A">
        <w:t xml:space="preserve"> </w:t>
      </w:r>
      <w:r w:rsidRPr="00C47A91">
        <w:t>(Соединенное Королевство Великобритании и Северной Ирландии) и XP X30-901</w:t>
      </w:r>
      <w:r w:rsidRPr="00ED1F68">
        <w:rPr>
          <w:vertAlign w:val="superscript"/>
        </w:rPr>
        <w:footnoteReference w:id="63"/>
      </w:r>
      <w:r w:rsidRPr="00874B7A">
        <w:t xml:space="preserve"> </w:t>
      </w:r>
      <w:r>
        <w:t>(</w:t>
      </w:r>
      <w:r w:rsidRPr="00C47A91">
        <w:t>Франция)) для гармонизации концепций, терминологии, подходов и показателей, используемых в отношении экономики замкнутого цикла</w:t>
      </w:r>
      <w:r w:rsidRPr="00874B7A">
        <w:t>.</w:t>
      </w:r>
    </w:p>
    <w:p w14:paraId="16575F46" w14:textId="55C1EA79" w:rsidR="000C3BBC" w:rsidRPr="00874B7A" w:rsidRDefault="000C3BBC" w:rsidP="000C3BBC">
      <w:pPr>
        <w:pStyle w:val="H1G"/>
        <w:rPr>
          <w:lang w:eastAsia="en-US"/>
        </w:rPr>
      </w:pPr>
      <w:r w:rsidRPr="00E765E4">
        <w:rPr>
          <w:lang w:eastAsia="en-US"/>
        </w:rPr>
        <w:tab/>
      </w:r>
      <w:r w:rsidRPr="00ED1F68">
        <w:rPr>
          <w:lang w:eastAsia="en-US"/>
        </w:rPr>
        <w:t>C</w:t>
      </w:r>
      <w:r w:rsidRPr="00874B7A">
        <w:rPr>
          <w:lang w:eastAsia="en-US"/>
        </w:rPr>
        <w:t>.</w:t>
      </w:r>
      <w:r w:rsidRPr="00874B7A">
        <w:rPr>
          <w:lang w:eastAsia="en-US"/>
        </w:rPr>
        <w:tab/>
        <w:t xml:space="preserve">Роль, </w:t>
      </w:r>
      <w:r w:rsidRPr="00A26C73">
        <w:rPr>
          <w:lang w:eastAsia="en-US"/>
        </w:rPr>
        <w:t>преимущества</w:t>
      </w:r>
      <w:r w:rsidRPr="00874B7A">
        <w:rPr>
          <w:lang w:eastAsia="en-US"/>
        </w:rPr>
        <w:t xml:space="preserve"> и дальнейший потенциал Конвенции и</w:t>
      </w:r>
      <w:r w:rsidR="0079622C">
        <w:rPr>
          <w:lang w:val="en-US" w:eastAsia="en-US"/>
        </w:rPr>
        <w:t> </w:t>
      </w:r>
      <w:r w:rsidRPr="00874B7A">
        <w:rPr>
          <w:lang w:eastAsia="en-US"/>
        </w:rPr>
        <w:t>Протокола в</w:t>
      </w:r>
      <w:r>
        <w:rPr>
          <w:lang w:eastAsia="en-US"/>
        </w:rPr>
        <w:t xml:space="preserve"> </w:t>
      </w:r>
      <w:r w:rsidRPr="00874B7A">
        <w:rPr>
          <w:lang w:eastAsia="en-US"/>
        </w:rPr>
        <w:t>продвижении экономики замкнутого цикла</w:t>
      </w:r>
    </w:p>
    <w:p w14:paraId="30EEB64E" w14:textId="47FCB5CE" w:rsidR="000C3BBC" w:rsidRPr="00874B7A" w:rsidRDefault="000C3BBC" w:rsidP="000C3BBC">
      <w:pPr>
        <w:pStyle w:val="SingleTxtG"/>
      </w:pPr>
      <w:r w:rsidRPr="0089520E">
        <w:t>34.</w:t>
      </w:r>
      <w:r w:rsidRPr="0089520E">
        <w:tab/>
      </w:r>
      <w:r w:rsidRPr="00874B7A">
        <w:t>Экономика замкнутого цикла указана в качестве экологической цели в</w:t>
      </w:r>
      <w:r>
        <w:t xml:space="preserve"> </w:t>
      </w:r>
      <w:r w:rsidRPr="00874B7A">
        <w:t>Таксономи</w:t>
      </w:r>
      <w:r w:rsidR="00123B38">
        <w:t>и</w:t>
      </w:r>
      <w:r w:rsidRPr="00874B7A">
        <w:t xml:space="preserve"> Европейского союза для устойчивой деятельности (см. раздел IV ниже). </w:t>
      </w:r>
      <w:r w:rsidRPr="0089520E">
        <w:t xml:space="preserve">Кроме того, предусматривается разработка планов развития </w:t>
      </w:r>
      <w:r w:rsidRPr="00874B7A">
        <w:t xml:space="preserve">экономики замкнутого цикла на национальном уровне и, в идеале, на региональном и местном уровнях. </w:t>
      </w:r>
      <w:r w:rsidRPr="0089520E">
        <w:t xml:space="preserve">Протокол идеально подходит для всесторонней оценки последствий реализации этих планов, причем последующие проекты могут потребовать проведения оценки трансграничного воздействия на окружающую среду. </w:t>
      </w:r>
      <w:r>
        <w:t>Поэтому</w:t>
      </w:r>
      <w:r w:rsidRPr="0089520E">
        <w:t xml:space="preserve"> Конвенция и Протокол открывают возможности для обеспечения справедливого перехода к экономике</w:t>
      </w:r>
      <w:r>
        <w:t xml:space="preserve"> </w:t>
      </w:r>
      <w:r w:rsidRPr="00874B7A">
        <w:t>замкнутого цикла</w:t>
      </w:r>
      <w:r>
        <w:t xml:space="preserve"> </w:t>
      </w:r>
      <w:r w:rsidRPr="0089520E">
        <w:t>с</w:t>
      </w:r>
      <w:r>
        <w:t xml:space="preserve"> </w:t>
      </w:r>
      <w:r w:rsidRPr="0089520E">
        <w:t>выявлением и</w:t>
      </w:r>
      <w:r>
        <w:t xml:space="preserve"> </w:t>
      </w:r>
      <w:r w:rsidRPr="0089520E">
        <w:t>при необходимости смягчением экологических последствий.</w:t>
      </w:r>
    </w:p>
    <w:p w14:paraId="50D498D0" w14:textId="7E3B3416" w:rsidR="000C3BBC" w:rsidRPr="00B22B77" w:rsidRDefault="000C3BBC" w:rsidP="000C3BBC">
      <w:pPr>
        <w:pStyle w:val="SingleTxtG"/>
      </w:pPr>
      <w:r w:rsidRPr="00963A54">
        <w:t>35.</w:t>
      </w:r>
      <w:r w:rsidRPr="00963A54">
        <w:tab/>
      </w:r>
      <w:r>
        <w:t>Развитие э</w:t>
      </w:r>
      <w:r w:rsidRPr="00B22B77">
        <w:t>кономик</w:t>
      </w:r>
      <w:r>
        <w:t>и замкнутого цикла</w:t>
      </w:r>
      <w:r w:rsidRPr="00B22B77">
        <w:t xml:space="preserve"> требует</w:t>
      </w:r>
      <w:r>
        <w:t>ся осуществлять</w:t>
      </w:r>
      <w:r w:rsidRPr="00B22B77">
        <w:t xml:space="preserve"> как </w:t>
      </w:r>
      <w:r>
        <w:t xml:space="preserve">в </w:t>
      </w:r>
      <w:r w:rsidRPr="00B22B77">
        <w:t>вертикально</w:t>
      </w:r>
      <w:r>
        <w:t>м</w:t>
      </w:r>
      <w:r w:rsidRPr="00B22B77">
        <w:t xml:space="preserve"> (</w:t>
      </w:r>
      <w:r>
        <w:t xml:space="preserve">по нисходящей </w:t>
      </w:r>
      <w:r w:rsidRPr="00B22B77">
        <w:t>от политики до проектов), так и горизонтально</w:t>
      </w:r>
      <w:r>
        <w:t>м</w:t>
      </w:r>
      <w:r w:rsidRPr="00B22B77">
        <w:t xml:space="preserve"> </w:t>
      </w:r>
      <w:r w:rsidR="000817F0">
        <w:br/>
      </w:r>
      <w:r w:rsidRPr="00B22B77">
        <w:t>(</w:t>
      </w:r>
      <w:r>
        <w:t>от сектора к сектору</w:t>
      </w:r>
      <w:r w:rsidRPr="00B22B77">
        <w:t xml:space="preserve">) </w:t>
      </w:r>
      <w:r>
        <w:t>направлении</w:t>
      </w:r>
      <w:r w:rsidRPr="00B22B77">
        <w:t xml:space="preserve">. Требование о применении стратегической экологической оценки в соответствии с Протоколом, рекомендация о применении стратегической экологической оценки </w:t>
      </w:r>
      <w:r>
        <w:t>в отношении</w:t>
      </w:r>
      <w:r w:rsidRPr="00B22B77">
        <w:t xml:space="preserve"> политик</w:t>
      </w:r>
      <w:r>
        <w:t>и</w:t>
      </w:r>
      <w:r w:rsidRPr="00B22B77">
        <w:t xml:space="preserve"> и </w:t>
      </w:r>
      <w:r>
        <w:t>содержащееся в Конвенции</w:t>
      </w:r>
      <w:r w:rsidRPr="00B22B77">
        <w:t xml:space="preserve"> требование о применении оценки трансграничного воздействия на</w:t>
      </w:r>
      <w:r>
        <w:t xml:space="preserve"> </w:t>
      </w:r>
      <w:r w:rsidRPr="00B22B77">
        <w:t xml:space="preserve">окружающую среду при определенных обстоятельствах </w:t>
      </w:r>
      <w:r>
        <w:t>во всей своей совокупности</w:t>
      </w:r>
      <w:r w:rsidRPr="00B22B77">
        <w:t xml:space="preserve"> </w:t>
      </w:r>
      <w:r w:rsidRPr="00B22B77">
        <w:lastRenderedPageBreak/>
        <w:t>способству</w:t>
      </w:r>
      <w:r>
        <w:t>ю</w:t>
      </w:r>
      <w:r w:rsidRPr="00B22B77">
        <w:t>т тщательно</w:t>
      </w:r>
      <w:r>
        <w:t>му</w:t>
      </w:r>
      <w:r w:rsidRPr="00B22B77">
        <w:t xml:space="preserve"> </w:t>
      </w:r>
      <w:r>
        <w:t>анализу</w:t>
      </w:r>
      <w:r w:rsidRPr="00B22B77">
        <w:t xml:space="preserve"> вертикально</w:t>
      </w:r>
      <w:r>
        <w:t>й</w:t>
      </w:r>
      <w:r w:rsidRPr="00B22B77">
        <w:t xml:space="preserve"> </w:t>
      </w:r>
      <w:r>
        <w:t>составляющей</w:t>
      </w:r>
      <w:r w:rsidRPr="00B22B77">
        <w:t xml:space="preserve">. Такая вертикальная </w:t>
      </w:r>
      <w:r>
        <w:t>составляющая</w:t>
      </w:r>
      <w:r w:rsidRPr="00B22B77">
        <w:t xml:space="preserve"> может быть усилена за счет </w:t>
      </w:r>
      <w:r>
        <w:t xml:space="preserve">формирования </w:t>
      </w:r>
      <w:r w:rsidRPr="00C62199">
        <w:t>ярусност</w:t>
      </w:r>
      <w:r>
        <w:t xml:space="preserve">и этих различных </w:t>
      </w:r>
      <w:r w:rsidRPr="00B22B77">
        <w:t>уровней экологической оценки, обеспечивающе</w:t>
      </w:r>
      <w:r>
        <w:t>й</w:t>
      </w:r>
      <w:r w:rsidRPr="00B22B77">
        <w:t xml:space="preserve"> передачу знаний от политики к планам и</w:t>
      </w:r>
      <w:r>
        <w:t xml:space="preserve"> далее</w:t>
      </w:r>
      <w:r w:rsidRPr="00B22B77">
        <w:t xml:space="preserve"> </w:t>
      </w:r>
      <w:r>
        <w:t xml:space="preserve">к </w:t>
      </w:r>
      <w:r w:rsidRPr="00B22B77">
        <w:t xml:space="preserve">проектам. Исследования, проведенные в Ирландии, помогли </w:t>
      </w:r>
      <w:r>
        <w:t>более ясно понять</w:t>
      </w:r>
      <w:r w:rsidRPr="00B22B77">
        <w:t>, как</w:t>
      </w:r>
      <w:r>
        <w:t>им образом</w:t>
      </w:r>
      <w:r w:rsidRPr="00B22B77">
        <w:t xml:space="preserve"> более стратегические уровни оценок могут влиять на оценки на уровне проектов, хотя на практике такие </w:t>
      </w:r>
      <w:r>
        <w:t>системы ярусности</w:t>
      </w:r>
      <w:r w:rsidRPr="00B22B77">
        <w:t xml:space="preserve"> по-прежнему встречаются редко</w:t>
      </w:r>
      <w:r w:rsidRPr="00ED1F68">
        <w:rPr>
          <w:sz w:val="18"/>
          <w:vertAlign w:val="superscript"/>
        </w:rPr>
        <w:footnoteReference w:id="64"/>
      </w:r>
      <w:r>
        <w:t>.</w:t>
      </w:r>
      <w:r w:rsidRPr="00963A54">
        <w:t xml:space="preserve"> </w:t>
      </w:r>
      <w:r w:rsidRPr="00B22B77">
        <w:t xml:space="preserve">Кроме того, </w:t>
      </w:r>
      <w:r w:rsidRPr="00963A54">
        <w:t>применение Конвенции и Протокола</w:t>
      </w:r>
      <w:r>
        <w:t xml:space="preserve"> во многочисленных секторах</w:t>
      </w:r>
      <w:r w:rsidRPr="00963A54">
        <w:t xml:space="preserve"> означает, что они идеально подходят для содействия горизонтальному </w:t>
      </w:r>
      <w:r>
        <w:t>формированию</w:t>
      </w:r>
      <w:r w:rsidRPr="00963A54">
        <w:t xml:space="preserve"> экономики замкнутого цикла, </w:t>
      </w:r>
      <w:r>
        <w:t>обеспечивая</w:t>
      </w:r>
      <w:r w:rsidRPr="00963A54">
        <w:t>, что воздействие на окружающую среду в полной мере учитывается при принятии решений</w:t>
      </w:r>
      <w:r w:rsidRPr="00B22B77">
        <w:t>.</w:t>
      </w:r>
    </w:p>
    <w:p w14:paraId="06F75289" w14:textId="77777777" w:rsidR="000C3BBC" w:rsidRPr="007B520E" w:rsidRDefault="000C3BBC" w:rsidP="000C3BBC">
      <w:pPr>
        <w:pStyle w:val="SingleTxtG"/>
      </w:pPr>
      <w:r w:rsidRPr="007B520E">
        <w:t>36.</w:t>
      </w:r>
      <w:r w:rsidRPr="007B520E">
        <w:tab/>
        <w:t>Европейский экономический и социальный комитет вынес рекомендации, основанные на исследовани</w:t>
      </w:r>
      <w:r>
        <w:t>и</w:t>
      </w:r>
      <w:r w:rsidRPr="007B520E">
        <w:t xml:space="preserve"> формирующихся стратегий </w:t>
      </w:r>
      <w:r>
        <w:t xml:space="preserve">перехода к </w:t>
      </w:r>
      <w:r w:rsidRPr="007B520E">
        <w:t>экономик</w:t>
      </w:r>
      <w:r>
        <w:t>е</w:t>
      </w:r>
      <w:r w:rsidRPr="007B520E">
        <w:t xml:space="preserve"> замкнутого цикла </w:t>
      </w:r>
      <w:r>
        <w:t>во всей</w:t>
      </w:r>
      <w:r w:rsidRPr="007B520E">
        <w:t xml:space="preserve"> Европе (государства </w:t>
      </w:r>
      <w:r>
        <w:t>—</w:t>
      </w:r>
      <w:r w:rsidRPr="007B520E">
        <w:t xml:space="preserve"> члены Европейского союза, а также Норвегия и Соединенное Королевство Великобритании и Северной Ирландии), и высказался за </w:t>
      </w:r>
      <w:r>
        <w:t>«</w:t>
      </w:r>
      <w:r w:rsidRPr="007B520E">
        <w:t>более активное вовлечение организаций гражданского общества на ранних этапах разработки стратеги</w:t>
      </w:r>
      <w:r>
        <w:t>й»</w:t>
      </w:r>
      <w:r w:rsidRPr="00ED1F68">
        <w:rPr>
          <w:vertAlign w:val="superscript"/>
        </w:rPr>
        <w:footnoteReference w:id="65"/>
      </w:r>
      <w:r>
        <w:t>.</w:t>
      </w:r>
      <w:r w:rsidRPr="007B520E">
        <w:t xml:space="preserve"> Поскольку </w:t>
      </w:r>
      <w:r>
        <w:t>как</w:t>
      </w:r>
      <w:r w:rsidRPr="007B520E">
        <w:t xml:space="preserve"> Конвенция, </w:t>
      </w:r>
      <w:r>
        <w:t xml:space="preserve">так </w:t>
      </w:r>
      <w:r w:rsidRPr="007B520E">
        <w:t>и</w:t>
      </w:r>
      <w:r>
        <w:t xml:space="preserve"> </w:t>
      </w:r>
      <w:r w:rsidRPr="007B520E">
        <w:t xml:space="preserve">Протокол применяются во многих секторах и </w:t>
      </w:r>
      <w:r>
        <w:t>содержат</w:t>
      </w:r>
      <w:r w:rsidRPr="007B520E">
        <w:t xml:space="preserve"> всеобъемлющие требования </w:t>
      </w:r>
      <w:r>
        <w:t>об</w:t>
      </w:r>
      <w:r w:rsidRPr="007B520E">
        <w:t xml:space="preserve"> участи</w:t>
      </w:r>
      <w:r>
        <w:t>и</w:t>
      </w:r>
      <w:r w:rsidRPr="007B520E">
        <w:t xml:space="preserve"> общественности, они идеально подходят для оказания помощи в </w:t>
      </w:r>
      <w:r>
        <w:t>формировании</w:t>
      </w:r>
      <w:r w:rsidRPr="007B520E">
        <w:t xml:space="preserve"> экономики замкнутого цикла </w:t>
      </w:r>
      <w:r>
        <w:t>в интересах</w:t>
      </w:r>
      <w:r w:rsidRPr="007B520E">
        <w:t xml:space="preserve"> обеспечения социальной приемлемости.</w:t>
      </w:r>
    </w:p>
    <w:p w14:paraId="5926059E" w14:textId="77777777" w:rsidR="000C3BBC" w:rsidRPr="00D26FBC" w:rsidRDefault="000C3BBC" w:rsidP="000C3BBC">
      <w:pPr>
        <w:pStyle w:val="SingleTxtG"/>
      </w:pPr>
      <w:r w:rsidRPr="00D26FBC">
        <w:t>37.</w:t>
      </w:r>
      <w:r w:rsidRPr="00D26FBC">
        <w:tab/>
        <w:t xml:space="preserve">Европейская комиссия признала вспомогательную роль оценки воздействия на окружающую среду в </w:t>
      </w:r>
      <w:r>
        <w:t>формировании</w:t>
      </w:r>
      <w:r w:rsidRPr="00D26FBC">
        <w:t xml:space="preserve"> экономики замкнутого цикла</w:t>
      </w:r>
      <w:r w:rsidRPr="00386CD3">
        <w:rPr>
          <w:vertAlign w:val="superscript"/>
        </w:rPr>
        <w:footnoteReference w:id="66"/>
      </w:r>
      <w:r>
        <w:t>.</w:t>
      </w:r>
      <w:r w:rsidRPr="00D26FBC">
        <w:t xml:space="preserve"> Кроме того, Европейско</w:t>
      </w:r>
      <w:r>
        <w:t>е</w:t>
      </w:r>
      <w:r w:rsidRPr="00D26FBC">
        <w:t xml:space="preserve"> регионально</w:t>
      </w:r>
      <w:r>
        <w:t>е</w:t>
      </w:r>
      <w:r w:rsidRPr="00D26FBC">
        <w:t xml:space="preserve"> бюро Всемирной организации здравоохранения (ВОЗ/Европа) признает роль, которую стратегическая экологическая оценка и оценка воздействия на окружающую среду могут играть при рассмотрении последствий перехода к экономике замкнутого цикла для здоровья человека</w:t>
      </w:r>
      <w:r w:rsidRPr="00386CD3">
        <w:rPr>
          <w:vertAlign w:val="superscript"/>
        </w:rPr>
        <w:footnoteReference w:id="67"/>
      </w:r>
      <w:r>
        <w:t>.</w:t>
      </w:r>
    </w:p>
    <w:p w14:paraId="22B272EA" w14:textId="77777777" w:rsidR="000C3BBC" w:rsidRPr="00F84158" w:rsidRDefault="000C3BBC" w:rsidP="000C3BBC">
      <w:pPr>
        <w:pStyle w:val="H1G"/>
        <w:rPr>
          <w:lang w:eastAsia="en-US"/>
        </w:rPr>
      </w:pPr>
      <w:r w:rsidRPr="00D26FBC">
        <w:rPr>
          <w:lang w:eastAsia="en-US"/>
        </w:rPr>
        <w:tab/>
      </w:r>
      <w:r w:rsidRPr="00386CD3">
        <w:rPr>
          <w:lang w:eastAsia="en-US"/>
        </w:rPr>
        <w:t>D</w:t>
      </w:r>
      <w:r w:rsidRPr="000C7805">
        <w:rPr>
          <w:lang w:eastAsia="en-US"/>
        </w:rPr>
        <w:t>.</w:t>
      </w:r>
      <w:r w:rsidRPr="000C7805">
        <w:rPr>
          <w:lang w:eastAsia="en-US"/>
        </w:rPr>
        <w:tab/>
      </w:r>
      <w:r w:rsidRPr="000C7805">
        <w:rPr>
          <w:lang w:eastAsia="en-US"/>
        </w:rPr>
        <w:tab/>
      </w:r>
      <w:r w:rsidRPr="00F84158">
        <w:rPr>
          <w:lang w:eastAsia="en-US"/>
        </w:rPr>
        <w:t xml:space="preserve">Области для дальнейшего изучения роли Конвенции и Протокола в </w:t>
      </w:r>
      <w:r>
        <w:rPr>
          <w:lang w:eastAsia="en-US"/>
        </w:rPr>
        <w:t>формировании</w:t>
      </w:r>
      <w:r w:rsidRPr="00F84158">
        <w:rPr>
          <w:lang w:eastAsia="en-US"/>
        </w:rPr>
        <w:t xml:space="preserve"> экономики замкнутого цикла</w:t>
      </w:r>
    </w:p>
    <w:p w14:paraId="32EF3FCB" w14:textId="77777777" w:rsidR="000C3BBC" w:rsidRPr="00AF705F" w:rsidRDefault="000C3BBC" w:rsidP="000C3BBC">
      <w:pPr>
        <w:pStyle w:val="SingleTxtG"/>
      </w:pPr>
      <w:r w:rsidRPr="006615E1">
        <w:t>38.</w:t>
      </w:r>
      <w:r w:rsidRPr="006615E1">
        <w:tab/>
      </w:r>
      <w:r w:rsidRPr="00AF705F">
        <w:t>Конвенция и Протокол идеально подходят для облегчения изучения воздействия предлагаемых мероприятий по широкому спектру компонентов окружающей среды и здоровья</w:t>
      </w:r>
      <w:r>
        <w:t xml:space="preserve"> человека</w:t>
      </w:r>
      <w:r w:rsidRPr="00AF705F">
        <w:t xml:space="preserve">. Однако они были </w:t>
      </w:r>
      <w:r>
        <w:t>разработаны</w:t>
      </w:r>
      <w:r w:rsidRPr="00AF705F">
        <w:t xml:space="preserve"> до того, как цикличность стала важной концепцией проектирования, и </w:t>
      </w:r>
      <w:r>
        <w:t>содержащиеся в н</w:t>
      </w:r>
      <w:r w:rsidRPr="00AF705F">
        <w:t xml:space="preserve">их требования сообщать о значимости потенциальных воздействий разумных альтернатив и предлагать меры по смягчению любого существенного воздействия </w:t>
      </w:r>
      <w:r>
        <w:t xml:space="preserve">недостаточны для того, чтобы </w:t>
      </w:r>
      <w:r w:rsidRPr="006615E1">
        <w:t>внедр</w:t>
      </w:r>
      <w:r>
        <w:t>я</w:t>
      </w:r>
      <w:r w:rsidRPr="006615E1">
        <w:t xml:space="preserve">ть принципы </w:t>
      </w:r>
      <w:r>
        <w:t>замкнутого цикла</w:t>
      </w:r>
      <w:r w:rsidRPr="006615E1">
        <w:t xml:space="preserve"> в оценку</w:t>
      </w:r>
      <w:r w:rsidRPr="00AF705F">
        <w:t xml:space="preserve">. </w:t>
      </w:r>
      <w:r>
        <w:t>В силу этого</w:t>
      </w:r>
      <w:r w:rsidRPr="00AF705F">
        <w:t xml:space="preserve"> Международная ассоциация по оценке воздействия признает необходимо</w:t>
      </w:r>
      <w:r>
        <w:t>сть</w:t>
      </w:r>
      <w:r w:rsidRPr="00AF705F">
        <w:t xml:space="preserve"> определенно</w:t>
      </w:r>
      <w:r>
        <w:t>го</w:t>
      </w:r>
      <w:r w:rsidRPr="00AF705F">
        <w:t xml:space="preserve"> согласовани</w:t>
      </w:r>
      <w:r>
        <w:t>я</w:t>
      </w:r>
      <w:r w:rsidRPr="00AF705F">
        <w:t xml:space="preserve"> подходов к оценке воздействия и </w:t>
      </w:r>
      <w:r>
        <w:t xml:space="preserve">к </w:t>
      </w:r>
      <w:r w:rsidRPr="00AF705F">
        <w:t>экономике замкнутого цикла</w:t>
      </w:r>
      <w:r w:rsidRPr="00386CD3">
        <w:rPr>
          <w:vertAlign w:val="superscript"/>
        </w:rPr>
        <w:footnoteReference w:id="68"/>
      </w:r>
      <w:r>
        <w:t>.</w:t>
      </w:r>
    </w:p>
    <w:p w14:paraId="1F6F1ED9" w14:textId="77777777" w:rsidR="000C3BBC" w:rsidRPr="002A1582" w:rsidRDefault="000C3BBC" w:rsidP="000C3BBC">
      <w:pPr>
        <w:pStyle w:val="SingleTxtG"/>
      </w:pPr>
      <w:r w:rsidRPr="00EB5A48">
        <w:t>39.</w:t>
      </w:r>
      <w:r w:rsidRPr="00EB5A48">
        <w:tab/>
      </w:r>
      <w:r w:rsidRPr="002A1582">
        <w:t>Исследования показывают, что прогресс в развитии экономики замкнутого цикла в странах Европейского союза неодинаков</w:t>
      </w:r>
      <w:r>
        <w:t>:</w:t>
      </w:r>
      <w:r w:rsidRPr="002A1582">
        <w:t xml:space="preserve"> </w:t>
      </w:r>
      <w:r>
        <w:t>это</w:t>
      </w:r>
      <w:r w:rsidRPr="002A1582">
        <w:t xml:space="preserve"> приводит к существованию </w:t>
      </w:r>
      <w:r>
        <w:t>«</w:t>
      </w:r>
      <w:r w:rsidRPr="002A1582">
        <w:t>двухскоростной</w:t>
      </w:r>
      <w:r>
        <w:t>»</w:t>
      </w:r>
      <w:r w:rsidRPr="002A1582">
        <w:t xml:space="preserve"> Европы в </w:t>
      </w:r>
      <w:r>
        <w:t>данном</w:t>
      </w:r>
      <w:r w:rsidRPr="002A1582">
        <w:t xml:space="preserve"> отношении</w:t>
      </w:r>
      <w:r w:rsidRPr="00386CD3">
        <w:rPr>
          <w:vertAlign w:val="superscript"/>
        </w:rPr>
        <w:footnoteReference w:id="69"/>
      </w:r>
      <w:r>
        <w:t>.</w:t>
      </w:r>
      <w:r w:rsidRPr="00EB5A48">
        <w:t xml:space="preserve"> </w:t>
      </w:r>
      <w:r>
        <w:t>По этой причине</w:t>
      </w:r>
      <w:r w:rsidRPr="002A1582">
        <w:t xml:space="preserve"> возможности подчеркнуть потенциальную роль Конвенции и/или Протокола в </w:t>
      </w:r>
      <w:r>
        <w:t>формировании</w:t>
      </w:r>
      <w:r w:rsidRPr="002A1582">
        <w:t xml:space="preserve"> экономики замкнутого цикла в регионе ЕЭК и за его пределами могли бы способствовать согласованию прогресса и предотвращению возникновения экономических дисбалансов </w:t>
      </w:r>
      <w:r w:rsidRPr="000960E1">
        <w:rPr>
          <w:spacing w:val="-3"/>
          <w:shd w:val="clear" w:color="auto" w:fill="FFFFFF"/>
        </w:rPr>
        <w:t xml:space="preserve">(см. вставку </w:t>
      </w:r>
      <w:r>
        <w:rPr>
          <w:spacing w:val="-3"/>
          <w:shd w:val="clear" w:color="auto" w:fill="FFFFFF"/>
        </w:rPr>
        <w:t>3</w:t>
      </w:r>
      <w:r w:rsidRPr="000960E1">
        <w:rPr>
          <w:spacing w:val="-3"/>
          <w:shd w:val="clear" w:color="auto" w:fill="FFFFFF"/>
        </w:rPr>
        <w:t xml:space="preserve"> ниже для предлагаемых </w:t>
      </w:r>
      <w:r>
        <w:rPr>
          <w:spacing w:val="-3"/>
          <w:shd w:val="clear" w:color="auto" w:fill="FFFFFF"/>
        </w:rPr>
        <w:t>тем</w:t>
      </w:r>
      <w:r w:rsidRPr="000960E1">
        <w:rPr>
          <w:spacing w:val="-3"/>
          <w:shd w:val="clear" w:color="auto" w:fill="FFFFFF"/>
        </w:rPr>
        <w:t xml:space="preserve"> </w:t>
      </w:r>
      <w:r>
        <w:rPr>
          <w:spacing w:val="-3"/>
          <w:shd w:val="clear" w:color="auto" w:fill="FFFFFF"/>
        </w:rPr>
        <w:t xml:space="preserve">для </w:t>
      </w:r>
      <w:r w:rsidRPr="000960E1">
        <w:rPr>
          <w:spacing w:val="-3"/>
          <w:shd w:val="clear" w:color="auto" w:fill="FFFFFF"/>
        </w:rPr>
        <w:t xml:space="preserve">обсуждения/ключевых </w:t>
      </w:r>
      <w:r>
        <w:rPr>
          <w:spacing w:val="-3"/>
          <w:shd w:val="clear" w:color="auto" w:fill="FFFFFF"/>
        </w:rPr>
        <w:t>руководящих</w:t>
      </w:r>
      <w:r w:rsidRPr="000960E1">
        <w:rPr>
          <w:spacing w:val="-3"/>
          <w:shd w:val="clear" w:color="auto" w:fill="FFFFFF"/>
        </w:rPr>
        <w:t xml:space="preserve"> вопросов)</w:t>
      </w:r>
      <w:r w:rsidRPr="002A1582">
        <w:t>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0C3BBC" w:rsidRPr="00F67271" w14:paraId="4EFAED95" w14:textId="77777777" w:rsidTr="0079622C">
        <w:trPr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19EF7C2C" w14:textId="2DA11AC1" w:rsidR="000C3BBC" w:rsidRPr="00EB5A48" w:rsidRDefault="0079622C" w:rsidP="003A1B51">
            <w:pPr>
              <w:spacing w:before="120" w:after="120"/>
              <w:ind w:hanging="10"/>
              <w:rPr>
                <w:b/>
                <w:bCs/>
              </w:rPr>
            </w:pPr>
            <w:r>
              <w:lastRenderedPageBreak/>
              <w:t>Вставка</w:t>
            </w:r>
            <w:r w:rsidRPr="00386CD3">
              <w:t xml:space="preserve"> 3</w:t>
            </w:r>
            <w:r>
              <w:rPr>
                <w:b/>
                <w:bCs/>
                <w:spacing w:val="-3"/>
                <w:shd w:val="clear" w:color="auto" w:fill="FFFFFF"/>
              </w:rPr>
              <w:br/>
            </w:r>
            <w:r w:rsidR="000C3BBC" w:rsidRPr="00EB5A48">
              <w:rPr>
                <w:b/>
                <w:bCs/>
                <w:spacing w:val="-3"/>
                <w:shd w:val="clear" w:color="auto" w:fill="FFFFFF"/>
              </w:rPr>
              <w:t>Предлагаемые темы для обсуждения/ключевые руководящие вопросы</w:t>
            </w:r>
          </w:p>
          <w:p w14:paraId="137B6D31" w14:textId="77777777" w:rsidR="000C3BBC" w:rsidRPr="000C7805" w:rsidRDefault="000C3BBC" w:rsidP="000817F0">
            <w:pPr>
              <w:spacing w:after="120"/>
              <w:ind w:left="397" w:hanging="397"/>
              <w:jc w:val="both"/>
            </w:pPr>
            <w:r w:rsidRPr="000C7805">
              <w:t>1.</w:t>
            </w:r>
            <w:r w:rsidRPr="000C7805">
              <w:tab/>
              <w:t>Как</w:t>
            </w:r>
            <w:r>
              <w:t>им образом</w:t>
            </w:r>
            <w:r w:rsidRPr="000C7805">
              <w:t xml:space="preserve"> можно использовать Конвенцию и Протокол для стимулирования</w:t>
            </w:r>
            <w:r>
              <w:t xml:space="preserve"> </w:t>
            </w:r>
            <w:r w:rsidRPr="000C7805">
              <w:t>основанных на передовой</w:t>
            </w:r>
            <w:r>
              <w:t xml:space="preserve"> </w:t>
            </w:r>
            <w:r w:rsidRPr="000C7805">
              <w:t>практике</w:t>
            </w:r>
            <w:r>
              <w:t xml:space="preserve"> </w:t>
            </w:r>
            <w:r w:rsidRPr="000C7805">
              <w:t xml:space="preserve">подходов к </w:t>
            </w:r>
            <w:r>
              <w:t xml:space="preserve">формированию </w:t>
            </w:r>
            <w:r w:rsidRPr="000C7805">
              <w:t>экономик</w:t>
            </w:r>
            <w:r>
              <w:t>и</w:t>
            </w:r>
            <w:r w:rsidRPr="000C7805">
              <w:t xml:space="preserve"> замкнутого цикла, охватывающих как вертикальную, так и горизонтальную интеграцию и </w:t>
            </w:r>
            <w:r>
              <w:t>участие</w:t>
            </w:r>
            <w:r w:rsidRPr="000C7805">
              <w:t xml:space="preserve"> гражданского общества</w:t>
            </w:r>
            <w:r>
              <w:t>?</w:t>
            </w:r>
          </w:p>
          <w:p w14:paraId="0118B60A" w14:textId="77777777" w:rsidR="000C3BBC" w:rsidRPr="00386CD3" w:rsidRDefault="000C3BBC" w:rsidP="000817F0">
            <w:pPr>
              <w:spacing w:after="120"/>
              <w:ind w:left="397" w:hanging="397"/>
              <w:jc w:val="both"/>
              <w:rPr>
                <w:sz w:val="22"/>
                <w:lang w:val="nb-NO"/>
              </w:rPr>
            </w:pPr>
            <w:r w:rsidRPr="00386CD3">
              <w:rPr>
                <w:sz w:val="22"/>
                <w:lang w:val="nb-NO"/>
              </w:rPr>
              <w:t>2.</w:t>
            </w:r>
            <w:r w:rsidRPr="00386CD3">
              <w:rPr>
                <w:sz w:val="22"/>
                <w:lang w:val="nb-NO"/>
              </w:rPr>
              <w:tab/>
            </w:r>
            <w:r w:rsidRPr="000C7805">
              <w:t xml:space="preserve">Каким </w:t>
            </w:r>
            <w:r>
              <w:t xml:space="preserve">наилучшим </w:t>
            </w:r>
            <w:r w:rsidRPr="000C7805">
              <w:t xml:space="preserve">образом оценка трансграничного воздействия на окружающую среду в рамках Конвенции может быть использована для выявления и </w:t>
            </w:r>
            <w:r>
              <w:t>расширения</w:t>
            </w:r>
            <w:r w:rsidRPr="000C7805">
              <w:t xml:space="preserve"> возможностей экономик</w:t>
            </w:r>
            <w:r>
              <w:t>и</w:t>
            </w:r>
            <w:r w:rsidRPr="000C7805">
              <w:t xml:space="preserve"> замкнутого цикла (например, </w:t>
            </w:r>
            <w:r>
              <w:t xml:space="preserve">в тех случаях, </w:t>
            </w:r>
            <w:r w:rsidRPr="000C7805">
              <w:t xml:space="preserve">когда отходы, образующиеся в </w:t>
            </w:r>
            <w:r>
              <w:t>Стороне</w:t>
            </w:r>
            <w:r w:rsidRPr="000C7805">
              <w:t xml:space="preserve"> происхождения, могут быть использованы в качестве сырья любой из заинтересованных </w:t>
            </w:r>
            <w:r>
              <w:t>С</w:t>
            </w:r>
            <w:r w:rsidRPr="000C7805">
              <w:t>торон)</w:t>
            </w:r>
            <w:r>
              <w:t>?</w:t>
            </w:r>
          </w:p>
          <w:p w14:paraId="2C0C4AD1" w14:textId="77777777" w:rsidR="000C3BBC" w:rsidRPr="00205EC7" w:rsidRDefault="000C3BBC" w:rsidP="000817F0">
            <w:pPr>
              <w:spacing w:after="120"/>
              <w:ind w:left="397" w:hanging="397"/>
              <w:jc w:val="both"/>
            </w:pPr>
            <w:r w:rsidRPr="003E2275">
              <w:t>3.</w:t>
            </w:r>
            <w:r w:rsidRPr="003E2275">
              <w:rPr>
                <w:rFonts w:ascii="Calibri" w:hAnsi="Calibri" w:cs="Arial"/>
                <w:sz w:val="22"/>
              </w:rPr>
              <w:tab/>
            </w:r>
            <w:r w:rsidRPr="00205EC7">
              <w:t xml:space="preserve">Каким образом в рамках Протокола и/или Конвенции может быть обеспечено рассмотрение вопроса о том, будет ли </w:t>
            </w:r>
            <w:r>
              <w:t xml:space="preserve">то или иное </w:t>
            </w:r>
            <w:r w:rsidRPr="00205EC7">
              <w:t xml:space="preserve">предлагаемое действие способствовать/препятствовать </w:t>
            </w:r>
            <w:r w:rsidRPr="00813A03">
              <w:t>прогресс</w:t>
            </w:r>
            <w:r>
              <w:t>у</w:t>
            </w:r>
            <w:r w:rsidRPr="00813A03">
              <w:t xml:space="preserve"> в направлении </w:t>
            </w:r>
            <w:r>
              <w:t xml:space="preserve">использования принципов </w:t>
            </w:r>
            <w:r w:rsidRPr="00813A03">
              <w:t>цикличности</w:t>
            </w:r>
            <w:r w:rsidRPr="00205EC7">
              <w:t xml:space="preserve">? </w:t>
            </w:r>
            <w:r w:rsidRPr="00813A03">
              <w:t>Следует ли, например, на основании решения Совещания Сторон</w:t>
            </w:r>
            <w:r>
              <w:t xml:space="preserve"> </w:t>
            </w:r>
            <w:r w:rsidRPr="00813A03">
              <w:t xml:space="preserve">рекомендовать </w:t>
            </w:r>
            <w:r>
              <w:t>учитывать</w:t>
            </w:r>
            <w:r w:rsidRPr="00813A03">
              <w:t xml:space="preserve"> </w:t>
            </w:r>
            <w:r>
              <w:t xml:space="preserve">принципы </w:t>
            </w:r>
            <w:r w:rsidRPr="00813A03">
              <w:t xml:space="preserve">цикличности в качестве надлежащей практики </w:t>
            </w:r>
            <w:r>
              <w:t xml:space="preserve">при </w:t>
            </w:r>
            <w:r w:rsidRPr="00813A03">
              <w:t>применени</w:t>
            </w:r>
            <w:r>
              <w:t>и</w:t>
            </w:r>
            <w:r w:rsidRPr="00813A03">
              <w:t xml:space="preserve"> Конвенции и/или Протокола Сторонами</w:t>
            </w:r>
            <w:r w:rsidRPr="00205EC7">
              <w:t>?</w:t>
            </w:r>
          </w:p>
          <w:p w14:paraId="6E9EFBB5" w14:textId="6DC19B7B" w:rsidR="000C3BBC" w:rsidRPr="00F27935" w:rsidRDefault="000C3BBC" w:rsidP="000817F0">
            <w:pPr>
              <w:spacing w:after="120"/>
              <w:ind w:left="397" w:hanging="397"/>
              <w:jc w:val="both"/>
            </w:pPr>
            <w:r w:rsidRPr="00F27935">
              <w:t>4.</w:t>
            </w:r>
            <w:r w:rsidRPr="00F27935">
              <w:rPr>
                <w:sz w:val="24"/>
                <w:szCs w:val="24"/>
              </w:rPr>
              <w:tab/>
            </w:r>
            <w:r w:rsidRPr="00F27935">
              <w:t xml:space="preserve">Каким наилучшим образом </w:t>
            </w:r>
            <w:r>
              <w:t xml:space="preserve">можно </w:t>
            </w:r>
            <w:r w:rsidRPr="00F27935">
              <w:t>использовать Конвенцию и/или Протокол для предотвращения краткосрочных и среднесрочных экономических дисбалансов, которые могут возник</w:t>
            </w:r>
            <w:r>
              <w:t>ать</w:t>
            </w:r>
            <w:r w:rsidRPr="00F27935">
              <w:t xml:space="preserve"> в результате неравномерного развития </w:t>
            </w:r>
            <w:r w:rsidRPr="000C7805">
              <w:t>экономик</w:t>
            </w:r>
            <w:r>
              <w:t>и</w:t>
            </w:r>
            <w:r w:rsidRPr="000C7805">
              <w:t xml:space="preserve"> замкнутого цикла </w:t>
            </w:r>
            <w:r w:rsidRPr="00F27935">
              <w:t>в разных Сторонах?</w:t>
            </w:r>
            <w:r w:rsidR="006C6943">
              <w:t xml:space="preserve"> </w:t>
            </w:r>
          </w:p>
          <w:p w14:paraId="642B348B" w14:textId="77777777" w:rsidR="000C3BBC" w:rsidRPr="004762F1" w:rsidRDefault="000C3BBC" w:rsidP="000817F0">
            <w:pPr>
              <w:spacing w:after="120"/>
              <w:ind w:left="397" w:hanging="397"/>
              <w:jc w:val="both"/>
            </w:pPr>
            <w:r w:rsidRPr="00816E2D">
              <w:t>5.</w:t>
            </w:r>
            <w:r w:rsidRPr="00816E2D">
              <w:tab/>
            </w:r>
            <w:r w:rsidRPr="004762F1">
              <w:t xml:space="preserve">Следует ли требовать, чтобы экологические </w:t>
            </w:r>
            <w:r>
              <w:t>доклады</w:t>
            </w:r>
            <w:r w:rsidRPr="004762F1">
              <w:t xml:space="preserve"> (в соответствии с Протоколом) и документация </w:t>
            </w:r>
            <w:r>
              <w:t>об</w:t>
            </w:r>
            <w:r w:rsidRPr="004762F1">
              <w:t xml:space="preserve"> оценке воздействия на окружающую среду (в соответствии с Конвенцией) включали </w:t>
            </w:r>
            <w:r>
              <w:t xml:space="preserve">в себя </w:t>
            </w:r>
            <w:r w:rsidRPr="004762F1">
              <w:t xml:space="preserve">альтернативы </w:t>
            </w:r>
            <w:r w:rsidRPr="000C7805">
              <w:t>экономик</w:t>
            </w:r>
            <w:r>
              <w:t>е</w:t>
            </w:r>
            <w:r w:rsidRPr="000C7805">
              <w:t xml:space="preserve"> замкнутого цикла</w:t>
            </w:r>
            <w:r w:rsidRPr="004762F1">
              <w:t xml:space="preserve"> в рамках</w:t>
            </w:r>
            <w:r>
              <w:t xml:space="preserve"> </w:t>
            </w:r>
            <w:r w:rsidRPr="004762F1">
              <w:t xml:space="preserve">рассмотрения разумных альтернатив? </w:t>
            </w:r>
            <w:r w:rsidRPr="00816E2D">
              <w:t>Как</w:t>
            </w:r>
            <w:r>
              <w:t>им образом</w:t>
            </w:r>
            <w:r w:rsidRPr="00816E2D">
              <w:t xml:space="preserve"> такое требование может быть определено, кодифицировано и реализовано?</w:t>
            </w:r>
          </w:p>
          <w:p w14:paraId="688B9C60" w14:textId="77777777" w:rsidR="000C3BBC" w:rsidRPr="00893D8F" w:rsidRDefault="000C3BBC" w:rsidP="000817F0">
            <w:pPr>
              <w:spacing w:after="120"/>
              <w:ind w:left="397" w:hanging="397"/>
              <w:jc w:val="both"/>
            </w:pPr>
            <w:r w:rsidRPr="00893D8F">
              <w:t>6.</w:t>
            </w:r>
            <w:r w:rsidRPr="00893D8F">
              <w:tab/>
              <w:t>Как</w:t>
            </w:r>
            <w:r>
              <w:t>им</w:t>
            </w:r>
            <w:r w:rsidRPr="00893D8F">
              <w:t xml:space="preserve"> наилучшим образом </w:t>
            </w:r>
            <w:r>
              <w:t xml:space="preserve">в рамках Протокола </w:t>
            </w:r>
            <w:r w:rsidRPr="00893D8F">
              <w:t>можно оцени</w:t>
            </w:r>
            <w:r>
              <w:t>ва</w:t>
            </w:r>
            <w:r w:rsidRPr="00893D8F">
              <w:t xml:space="preserve">ть планы </w:t>
            </w:r>
            <w:r>
              <w:t xml:space="preserve">развития </w:t>
            </w:r>
            <w:r w:rsidRPr="00893D8F">
              <w:t>экономики замкнутого цикла, разработанные Сторонами?</w:t>
            </w:r>
          </w:p>
        </w:tc>
      </w:tr>
      <w:tr w:rsidR="000C3BBC" w:rsidRPr="00F67271" w14:paraId="4A0E4273" w14:textId="77777777" w:rsidTr="00B04E6B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0B795DC0" w14:textId="77777777" w:rsidR="000C3BBC" w:rsidRPr="00893D8F" w:rsidRDefault="000C3BBC" w:rsidP="00B04E6B">
            <w:pPr>
              <w:spacing w:line="240" w:lineRule="auto"/>
            </w:pPr>
          </w:p>
        </w:tc>
      </w:tr>
    </w:tbl>
    <w:p w14:paraId="20181C5B" w14:textId="77777777" w:rsidR="000C3BBC" w:rsidRPr="00772DDD" w:rsidRDefault="000C3BBC" w:rsidP="000C3BBC">
      <w:pPr>
        <w:pStyle w:val="H1G"/>
        <w:rPr>
          <w:lang w:eastAsia="en-US"/>
        </w:rPr>
      </w:pPr>
      <w:r w:rsidRPr="00893D8F">
        <w:rPr>
          <w:lang w:eastAsia="en-US"/>
        </w:rPr>
        <w:tab/>
      </w:r>
      <w:r w:rsidRPr="00386CD3">
        <w:rPr>
          <w:lang w:eastAsia="en-US"/>
        </w:rPr>
        <w:t>E</w:t>
      </w:r>
      <w:r w:rsidRPr="00772DDD">
        <w:rPr>
          <w:lang w:eastAsia="en-US"/>
        </w:rPr>
        <w:t>.</w:t>
      </w:r>
      <w:r w:rsidRPr="00772DDD">
        <w:rPr>
          <w:lang w:eastAsia="en-US"/>
        </w:rPr>
        <w:tab/>
      </w:r>
      <w:r w:rsidRPr="00955394">
        <w:rPr>
          <w:lang w:eastAsia="en-US"/>
        </w:rPr>
        <w:t>Анализ Конвенции и Протокол</w:t>
      </w:r>
      <w:r>
        <w:rPr>
          <w:lang w:eastAsia="en-US"/>
        </w:rPr>
        <w:t xml:space="preserve">а на основе параметров </w:t>
      </w:r>
      <w:r>
        <w:rPr>
          <w:rFonts w:cs="Segoe UI"/>
          <w:szCs w:val="18"/>
          <w:lang w:eastAsia="en-US"/>
        </w:rPr>
        <w:t>«с</w:t>
      </w:r>
      <w:r w:rsidRPr="00632622">
        <w:rPr>
          <w:rFonts w:cs="Segoe UI"/>
          <w:szCs w:val="18"/>
          <w:lang w:eastAsia="en-US"/>
        </w:rPr>
        <w:t xml:space="preserve">ильные стороны </w:t>
      </w:r>
      <w:r>
        <w:rPr>
          <w:rFonts w:cs="Segoe UI"/>
          <w:szCs w:val="18"/>
          <w:lang w:eastAsia="en-US"/>
        </w:rPr>
        <w:t>—</w:t>
      </w:r>
      <w:r w:rsidRPr="00632622">
        <w:rPr>
          <w:rFonts w:cs="Segoe UI"/>
          <w:szCs w:val="18"/>
          <w:lang w:eastAsia="en-US"/>
        </w:rPr>
        <w:t xml:space="preserve"> </w:t>
      </w:r>
      <w:r>
        <w:rPr>
          <w:rFonts w:cs="Segoe UI"/>
          <w:szCs w:val="18"/>
          <w:lang w:eastAsia="en-US"/>
        </w:rPr>
        <w:t>у</w:t>
      </w:r>
      <w:r w:rsidRPr="00632622">
        <w:rPr>
          <w:rFonts w:cs="Segoe UI"/>
          <w:szCs w:val="18"/>
          <w:lang w:eastAsia="en-US"/>
        </w:rPr>
        <w:t xml:space="preserve">стремления </w:t>
      </w:r>
      <w:r>
        <w:rPr>
          <w:rFonts w:cs="Segoe UI"/>
          <w:szCs w:val="18"/>
          <w:lang w:eastAsia="en-US"/>
        </w:rPr>
        <w:t>—</w:t>
      </w:r>
      <w:r w:rsidRPr="00632622">
        <w:rPr>
          <w:rFonts w:cs="Segoe UI"/>
          <w:szCs w:val="18"/>
          <w:lang w:eastAsia="en-US"/>
        </w:rPr>
        <w:t xml:space="preserve"> возможности </w:t>
      </w:r>
      <w:r>
        <w:rPr>
          <w:rFonts w:cs="Segoe UI"/>
          <w:szCs w:val="18"/>
          <w:lang w:eastAsia="en-US"/>
        </w:rPr>
        <w:t>—</w:t>
      </w:r>
      <w:r w:rsidRPr="00632622">
        <w:rPr>
          <w:rFonts w:cs="Segoe UI"/>
          <w:szCs w:val="18"/>
          <w:lang w:eastAsia="en-US"/>
        </w:rPr>
        <w:t xml:space="preserve"> варианты</w:t>
      </w:r>
      <w:r>
        <w:rPr>
          <w:rFonts w:cs="Segoe UI"/>
          <w:szCs w:val="18"/>
          <w:lang w:eastAsia="en-US"/>
        </w:rPr>
        <w:t>»</w:t>
      </w:r>
      <w:r w:rsidRPr="00955394">
        <w:rPr>
          <w:lang w:eastAsia="en-US"/>
        </w:rPr>
        <w:t xml:space="preserve"> </w:t>
      </w:r>
      <w:r>
        <w:rPr>
          <w:lang w:eastAsia="en-US"/>
        </w:rPr>
        <w:t>применительно к</w:t>
      </w:r>
      <w:r w:rsidRPr="00772DDD">
        <w:rPr>
          <w:lang w:eastAsia="en-US"/>
        </w:rPr>
        <w:t xml:space="preserve"> </w:t>
      </w:r>
      <w:r w:rsidRPr="00893D8F">
        <w:rPr>
          <w:lang w:eastAsia="en-US"/>
        </w:rPr>
        <w:t>экономик</w:t>
      </w:r>
      <w:r>
        <w:rPr>
          <w:lang w:eastAsia="en-US"/>
        </w:rPr>
        <w:t>е</w:t>
      </w:r>
      <w:r w:rsidRPr="00893D8F">
        <w:rPr>
          <w:lang w:eastAsia="en-US"/>
        </w:rPr>
        <w:t xml:space="preserve"> замкнутого цикла</w:t>
      </w:r>
    </w:p>
    <w:tbl>
      <w:tblPr>
        <w:tblStyle w:val="TableGrid1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2350"/>
        <w:gridCol w:w="2216"/>
        <w:gridCol w:w="2490"/>
      </w:tblGrid>
      <w:tr w:rsidR="000C3BBC" w:rsidRPr="00D3620F" w14:paraId="0E66E060" w14:textId="77777777" w:rsidTr="00B04E6B">
        <w:trPr>
          <w:tblHeader/>
        </w:trPr>
        <w:tc>
          <w:tcPr>
            <w:tcW w:w="1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049C15" w14:textId="77777777" w:rsidR="000C3BBC" w:rsidRPr="00772DDD" w:rsidRDefault="000C3BBC" w:rsidP="00B04E6B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kern w:val="0"/>
                <w:sz w:val="16"/>
              </w:rPr>
            </w:pPr>
            <w:r>
              <w:rPr>
                <w:rFonts w:ascii="Times New Roman" w:hAnsi="Times New Roman" w:cs="Times New Roman"/>
                <w:i/>
                <w:kern w:val="0"/>
                <w:sz w:val="16"/>
              </w:rPr>
              <w:t>Сильные стороны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E4C757" w14:textId="77777777" w:rsidR="000C3BBC" w:rsidRPr="008C34FF" w:rsidRDefault="000C3BBC" w:rsidP="00B04E6B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kern w:val="0"/>
                <w:sz w:val="16"/>
              </w:rPr>
            </w:pPr>
            <w:r>
              <w:rPr>
                <w:rFonts w:ascii="Times New Roman" w:hAnsi="Times New Roman" w:cs="Times New Roman"/>
                <w:i/>
                <w:kern w:val="0"/>
                <w:sz w:val="16"/>
              </w:rPr>
              <w:t>Устремления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03C28" w14:textId="77777777" w:rsidR="000C3BBC" w:rsidRPr="008C34FF" w:rsidRDefault="000C3BBC" w:rsidP="00B04E6B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kern w:val="0"/>
                <w:sz w:val="16"/>
              </w:rPr>
            </w:pPr>
            <w:r>
              <w:rPr>
                <w:rFonts w:ascii="Times New Roman" w:hAnsi="Times New Roman" w:cs="Times New Roman"/>
                <w:i/>
                <w:kern w:val="0"/>
                <w:sz w:val="16"/>
              </w:rPr>
              <w:t>Возможности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D0A56A" w14:textId="77777777" w:rsidR="000C3BBC" w:rsidRPr="008C34FF" w:rsidRDefault="000C3BBC" w:rsidP="00B04E6B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kern w:val="0"/>
                <w:sz w:val="16"/>
              </w:rPr>
            </w:pPr>
            <w:r>
              <w:rPr>
                <w:rFonts w:ascii="Times New Roman" w:hAnsi="Times New Roman" w:cs="Times New Roman"/>
                <w:i/>
                <w:kern w:val="0"/>
                <w:sz w:val="16"/>
              </w:rPr>
              <w:t>Варианты</w:t>
            </w:r>
          </w:p>
        </w:tc>
      </w:tr>
      <w:tr w:rsidR="000C3BBC" w:rsidRPr="00D3620F" w14:paraId="1D3DC7B0" w14:textId="77777777" w:rsidTr="00B941FC">
        <w:trPr>
          <w:trHeight w:hRule="exact" w:val="113"/>
        </w:trPr>
        <w:tc>
          <w:tcPr>
            <w:tcW w:w="1974" w:type="dxa"/>
            <w:tcBorders>
              <w:top w:val="single" w:sz="12" w:space="0" w:color="auto"/>
            </w:tcBorders>
            <w:shd w:val="clear" w:color="auto" w:fill="auto"/>
          </w:tcPr>
          <w:p w14:paraId="1BBA88EF" w14:textId="77777777" w:rsidR="000C3BBC" w:rsidRPr="00D3620F" w:rsidRDefault="000C3BBC" w:rsidP="00B04E6B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lang w:val="nb-NO"/>
              </w:rPr>
            </w:pPr>
          </w:p>
        </w:tc>
        <w:tc>
          <w:tcPr>
            <w:tcW w:w="1797" w:type="dxa"/>
            <w:tcBorders>
              <w:top w:val="single" w:sz="12" w:space="0" w:color="auto"/>
            </w:tcBorders>
            <w:shd w:val="clear" w:color="auto" w:fill="auto"/>
          </w:tcPr>
          <w:p w14:paraId="5E240C4B" w14:textId="77777777" w:rsidR="000C3BBC" w:rsidRPr="00D3620F" w:rsidRDefault="000C3BBC" w:rsidP="00B04E6B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lang w:val="nb-NO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</w:tcPr>
          <w:p w14:paraId="27F8806D" w14:textId="77777777" w:rsidR="000C3BBC" w:rsidRPr="00D3620F" w:rsidRDefault="000C3BBC" w:rsidP="00B04E6B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lang w:val="nb-NO"/>
              </w:rPr>
            </w:pPr>
          </w:p>
        </w:tc>
        <w:tc>
          <w:tcPr>
            <w:tcW w:w="1904" w:type="dxa"/>
            <w:tcBorders>
              <w:top w:val="single" w:sz="12" w:space="0" w:color="auto"/>
            </w:tcBorders>
            <w:shd w:val="clear" w:color="auto" w:fill="auto"/>
          </w:tcPr>
          <w:p w14:paraId="03638DA6" w14:textId="77777777" w:rsidR="000C3BBC" w:rsidRPr="00D3620F" w:rsidRDefault="000C3BBC" w:rsidP="00B04E6B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lang w:val="nb-NO"/>
              </w:rPr>
            </w:pPr>
          </w:p>
        </w:tc>
      </w:tr>
      <w:tr w:rsidR="000C3BBC" w:rsidRPr="00F67271" w14:paraId="7ABC9C09" w14:textId="77777777" w:rsidTr="008D548B">
        <w:tc>
          <w:tcPr>
            <w:tcW w:w="1974" w:type="dxa"/>
            <w:shd w:val="clear" w:color="auto" w:fill="auto"/>
          </w:tcPr>
          <w:p w14:paraId="66226F1F" w14:textId="72186B57" w:rsidR="000C3BBC" w:rsidRPr="00236F53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236F53">
              <w:rPr>
                <w:rFonts w:ascii="Times New Roman" w:hAnsi="Times New Roman"/>
                <w:kern w:val="0"/>
                <w:sz w:val="20"/>
              </w:rPr>
              <w:t>Конвенция и Протокол обеспечивают прочную институциональную основу, которая уже внедрена Сторонами в вертикальном и горизонтальном направлении (</w:t>
            </w:r>
            <w:r>
              <w:rPr>
                <w:rFonts w:ascii="Times New Roman" w:hAnsi="Times New Roman"/>
                <w:kern w:val="0"/>
                <w:sz w:val="20"/>
              </w:rPr>
              <w:t>сильная сторона</w:t>
            </w:r>
            <w:r w:rsidRPr="00236F53">
              <w:rPr>
                <w:rFonts w:ascii="Times New Roman" w:hAnsi="Times New Roman"/>
                <w:kern w:val="0"/>
                <w:sz w:val="20"/>
              </w:rPr>
              <w:t xml:space="preserve"> Конвенции и Протокола)</w:t>
            </w:r>
          </w:p>
          <w:p w14:paraId="520DDD57" w14:textId="45B5264F" w:rsidR="000C3BBC" w:rsidRPr="00236F53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236F53">
              <w:rPr>
                <w:rFonts w:ascii="Times New Roman" w:hAnsi="Times New Roman"/>
                <w:kern w:val="0"/>
                <w:sz w:val="20"/>
              </w:rPr>
              <w:t xml:space="preserve">Всеобъемлющие положения о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проведении </w:t>
            </w:r>
            <w:r w:rsidRPr="00236F53">
              <w:rPr>
                <w:rFonts w:ascii="Times New Roman" w:hAnsi="Times New Roman"/>
                <w:kern w:val="0"/>
                <w:sz w:val="20"/>
                <w:lang w:eastAsia="en-US"/>
              </w:rPr>
              <w:t>консультаци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>й</w:t>
            </w:r>
            <w:r w:rsidRPr="00236F53">
              <w:rPr>
                <w:rFonts w:ascii="Times New Roman" w:hAnsi="Times New Roman"/>
                <w:kern w:val="0"/>
                <w:sz w:val="20"/>
              </w:rPr>
              <w:t xml:space="preserve"> и участии общественности </w:t>
            </w:r>
            <w:r>
              <w:rPr>
                <w:rFonts w:ascii="Times New Roman" w:hAnsi="Times New Roman"/>
                <w:kern w:val="0"/>
                <w:sz w:val="20"/>
              </w:rPr>
              <w:t>и</w:t>
            </w:r>
            <w:r w:rsidRPr="00236F53">
              <w:rPr>
                <w:rFonts w:ascii="Times New Roman" w:hAnsi="Times New Roman"/>
                <w:kern w:val="0"/>
                <w:sz w:val="20"/>
              </w:rPr>
              <w:t xml:space="preserve"> соответствующ</w:t>
            </w:r>
            <w:r>
              <w:rPr>
                <w:rFonts w:ascii="Times New Roman" w:hAnsi="Times New Roman"/>
                <w:kern w:val="0"/>
                <w:sz w:val="20"/>
              </w:rPr>
              <w:t>е</w:t>
            </w:r>
            <w:r w:rsidRPr="00236F53">
              <w:rPr>
                <w:rFonts w:ascii="Times New Roman" w:hAnsi="Times New Roman"/>
                <w:kern w:val="0"/>
                <w:sz w:val="20"/>
              </w:rPr>
              <w:t>е руководств</w:t>
            </w:r>
            <w:r>
              <w:rPr>
                <w:rFonts w:ascii="Times New Roman" w:hAnsi="Times New Roman"/>
                <w:kern w:val="0"/>
                <w:sz w:val="20"/>
              </w:rPr>
              <w:t>о</w:t>
            </w:r>
            <w:r w:rsidRPr="00236F53"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во всей своей совокупности </w:t>
            </w:r>
            <w:r w:rsidRPr="00236F53">
              <w:rPr>
                <w:rFonts w:ascii="Times New Roman" w:hAnsi="Times New Roman"/>
                <w:kern w:val="0"/>
                <w:sz w:val="20"/>
              </w:rPr>
              <w:t xml:space="preserve">помогают обеспечить своевременное </w:t>
            </w:r>
            <w:r w:rsidRPr="00236F53">
              <w:rPr>
                <w:rFonts w:ascii="Times New Roman" w:hAnsi="Times New Roman"/>
                <w:kern w:val="0"/>
                <w:sz w:val="20"/>
              </w:rPr>
              <w:lastRenderedPageBreak/>
              <w:t xml:space="preserve">и значимое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вовлечение </w:t>
            </w:r>
            <w:r w:rsidRPr="00236F53">
              <w:rPr>
                <w:rFonts w:ascii="Times New Roman" w:hAnsi="Times New Roman"/>
                <w:kern w:val="0"/>
                <w:sz w:val="20"/>
              </w:rPr>
              <w:t>гражданского общества (сильн</w:t>
            </w:r>
            <w:r>
              <w:rPr>
                <w:rFonts w:ascii="Times New Roman" w:hAnsi="Times New Roman"/>
                <w:kern w:val="0"/>
                <w:sz w:val="20"/>
              </w:rPr>
              <w:t>ая</w:t>
            </w:r>
            <w:r w:rsidRPr="00236F53">
              <w:rPr>
                <w:rFonts w:ascii="Times New Roman" w:hAnsi="Times New Roman"/>
                <w:kern w:val="0"/>
                <w:sz w:val="20"/>
              </w:rPr>
              <w:t xml:space="preserve"> сторон</w:t>
            </w:r>
            <w:r>
              <w:rPr>
                <w:rFonts w:ascii="Times New Roman" w:hAnsi="Times New Roman"/>
                <w:kern w:val="0"/>
                <w:sz w:val="20"/>
              </w:rPr>
              <w:t>а</w:t>
            </w:r>
            <w:r w:rsidRPr="00236F53">
              <w:rPr>
                <w:rFonts w:ascii="Times New Roman" w:hAnsi="Times New Roman"/>
                <w:kern w:val="0"/>
                <w:sz w:val="20"/>
              </w:rPr>
              <w:t xml:space="preserve"> Конвенции и Протокола)</w:t>
            </w:r>
          </w:p>
          <w:p w14:paraId="78F12DB7" w14:textId="6AF1DE02" w:rsidR="000C3BBC" w:rsidRPr="008861BA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861BA">
              <w:rPr>
                <w:rFonts w:ascii="Times New Roman" w:hAnsi="Times New Roman"/>
                <w:kern w:val="0"/>
                <w:sz w:val="20"/>
              </w:rPr>
              <w:t xml:space="preserve">ВОЗ признает роль оценки воздействия на </w:t>
            </w:r>
            <w:r w:rsidRPr="008861BA">
              <w:rPr>
                <w:rFonts w:ascii="Times New Roman" w:hAnsi="Times New Roman"/>
                <w:kern w:val="0"/>
                <w:sz w:val="20"/>
                <w:lang w:eastAsia="en-US"/>
              </w:rPr>
              <w:t>окружающую</w:t>
            </w:r>
            <w:r w:rsidRPr="008861BA">
              <w:rPr>
                <w:rFonts w:ascii="Times New Roman" w:hAnsi="Times New Roman"/>
                <w:kern w:val="0"/>
                <w:sz w:val="20"/>
              </w:rPr>
              <w:t xml:space="preserve"> среду и стратегической экологической оценки в обеспечении возможностей для охраны здоровья в рамках экономики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замкнутого цикла</w:t>
            </w:r>
            <w:r w:rsidRPr="008861BA">
              <w:rPr>
                <w:rFonts w:ascii="Times New Roman" w:hAnsi="Times New Roman"/>
                <w:kern w:val="0"/>
                <w:sz w:val="20"/>
              </w:rPr>
              <w:t xml:space="preserve"> (сильная сторона Конвенции и Протокола)</w:t>
            </w:r>
          </w:p>
          <w:p w14:paraId="5773C0E3" w14:textId="364E2CEF" w:rsidR="000C3BBC" w:rsidRPr="008861BA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861BA">
              <w:rPr>
                <w:rFonts w:ascii="Times New Roman" w:hAnsi="Times New Roman"/>
                <w:kern w:val="0"/>
                <w:sz w:val="20"/>
              </w:rPr>
              <w:t xml:space="preserve">Конвенция и Протокол уже </w:t>
            </w:r>
            <w:r>
              <w:rPr>
                <w:rFonts w:ascii="Times New Roman" w:hAnsi="Times New Roman"/>
                <w:kern w:val="0"/>
                <w:sz w:val="20"/>
              </w:rPr>
              <w:t>обязывают проводить</w:t>
            </w:r>
            <w:r w:rsidRPr="008861BA">
              <w:rPr>
                <w:rFonts w:ascii="Times New Roman" w:hAnsi="Times New Roman"/>
                <w:kern w:val="0"/>
                <w:sz w:val="20"/>
              </w:rPr>
              <w:t xml:space="preserve"> оценки воздействия на широкий спектр компонентов окружающей среды и здоровье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человека</w:t>
            </w:r>
            <w:r w:rsidRPr="008861BA">
              <w:rPr>
                <w:rFonts w:ascii="Times New Roman" w:hAnsi="Times New Roman"/>
                <w:kern w:val="0"/>
                <w:sz w:val="20"/>
              </w:rPr>
              <w:t>, которые имеют основополагающее значение для реализации трех ключевых принципов экономики замкнутого цикла (сильная сторона Конвенции и Протокола)</w:t>
            </w:r>
          </w:p>
          <w:p w14:paraId="0EBBA49A" w14:textId="77777777" w:rsidR="000C3BBC" w:rsidRPr="008861BA" w:rsidRDefault="000C3BBC" w:rsidP="00B04E6B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lang w:eastAsia="en-GB"/>
              </w:rPr>
            </w:pPr>
          </w:p>
        </w:tc>
        <w:tc>
          <w:tcPr>
            <w:tcW w:w="1797" w:type="dxa"/>
            <w:shd w:val="clear" w:color="auto" w:fill="auto"/>
          </w:tcPr>
          <w:p w14:paraId="4FA65D25" w14:textId="4205603D" w:rsidR="000C3BBC" w:rsidRPr="002D586C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2D586C">
              <w:rPr>
                <w:rFonts w:ascii="Times New Roman" w:hAnsi="Times New Roman"/>
                <w:kern w:val="0"/>
                <w:sz w:val="20"/>
              </w:rPr>
              <w:lastRenderedPageBreak/>
              <w:t xml:space="preserve">Накопление опыта по внедрению принципов экономики замкнутого </w:t>
            </w:r>
            <w:r w:rsidRPr="002D586C">
              <w:rPr>
                <w:rFonts w:ascii="Times New Roman" w:hAnsi="Times New Roman"/>
                <w:kern w:val="0"/>
                <w:sz w:val="20"/>
                <w:lang w:eastAsia="en-US"/>
              </w:rPr>
              <w:t>цикла</w:t>
            </w:r>
            <w:r w:rsidRPr="002D586C">
              <w:rPr>
                <w:rFonts w:ascii="Times New Roman" w:hAnsi="Times New Roman"/>
                <w:kern w:val="0"/>
                <w:sz w:val="20"/>
              </w:rPr>
              <w:t xml:space="preserve"> в оценку воздействия на окружающую среду и стратегическую экологическую оценку (</w:t>
            </w:r>
            <w:r>
              <w:rPr>
                <w:rFonts w:ascii="Times New Roman" w:hAnsi="Times New Roman"/>
                <w:kern w:val="0"/>
                <w:sz w:val="20"/>
              </w:rPr>
              <w:t>у</w:t>
            </w:r>
            <w:r w:rsidRPr="002D586C">
              <w:rPr>
                <w:rFonts w:ascii="Times New Roman" w:hAnsi="Times New Roman"/>
                <w:kern w:val="0"/>
                <w:sz w:val="20"/>
              </w:rPr>
              <w:t xml:space="preserve">стремление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по </w:t>
            </w:r>
            <w:r w:rsidRPr="002D586C">
              <w:rPr>
                <w:rFonts w:ascii="Times New Roman" w:hAnsi="Times New Roman"/>
                <w:kern w:val="0"/>
                <w:sz w:val="20"/>
              </w:rPr>
              <w:t xml:space="preserve">Конвенции и </w:t>
            </w:r>
            <w:r>
              <w:rPr>
                <w:rFonts w:ascii="Times New Roman" w:hAnsi="Times New Roman"/>
                <w:kern w:val="0"/>
                <w:sz w:val="20"/>
              </w:rPr>
              <w:t>П</w:t>
            </w:r>
            <w:r w:rsidRPr="002D586C">
              <w:rPr>
                <w:rFonts w:ascii="Times New Roman" w:hAnsi="Times New Roman"/>
                <w:kern w:val="0"/>
                <w:sz w:val="20"/>
              </w:rPr>
              <w:t>ротокол</w:t>
            </w:r>
            <w:r>
              <w:rPr>
                <w:rFonts w:ascii="Times New Roman" w:hAnsi="Times New Roman"/>
                <w:kern w:val="0"/>
                <w:sz w:val="20"/>
              </w:rPr>
              <w:t>у</w:t>
            </w:r>
            <w:r w:rsidRPr="002D586C">
              <w:rPr>
                <w:rFonts w:ascii="Times New Roman" w:hAnsi="Times New Roman"/>
                <w:kern w:val="0"/>
                <w:sz w:val="20"/>
              </w:rPr>
              <w:t>)</w:t>
            </w:r>
          </w:p>
          <w:p w14:paraId="3C502CEF" w14:textId="7128D2CB" w:rsidR="000C3BBC" w:rsidRPr="002D586C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  <w:lang w:eastAsia="en-GB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Включение</w:t>
            </w:r>
            <w:r w:rsidRPr="002D586C">
              <w:rPr>
                <w:rFonts w:ascii="Times New Roman" w:hAnsi="Times New Roman"/>
                <w:kern w:val="0"/>
                <w:sz w:val="20"/>
              </w:rPr>
              <w:t xml:space="preserve"> обязательства учитывать </w:t>
            </w:r>
            <w:r>
              <w:rPr>
                <w:rFonts w:ascii="Times New Roman" w:hAnsi="Times New Roman"/>
                <w:kern w:val="0"/>
                <w:sz w:val="20"/>
              </w:rPr>
              <w:t>принципы цикличности</w:t>
            </w:r>
            <w:r w:rsidRPr="002D586C">
              <w:rPr>
                <w:rFonts w:ascii="Times New Roman" w:hAnsi="Times New Roman"/>
                <w:kern w:val="0"/>
                <w:sz w:val="20"/>
              </w:rPr>
              <w:t xml:space="preserve"> в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рамках</w:t>
            </w:r>
            <w:r w:rsidRPr="002D586C">
              <w:rPr>
                <w:rFonts w:ascii="Times New Roman" w:hAnsi="Times New Roman"/>
                <w:kern w:val="0"/>
                <w:sz w:val="20"/>
              </w:rPr>
              <w:t xml:space="preserve"> стратегической экологической оценк</w:t>
            </w:r>
            <w:r>
              <w:rPr>
                <w:rFonts w:ascii="Times New Roman" w:hAnsi="Times New Roman"/>
                <w:kern w:val="0"/>
                <w:sz w:val="20"/>
              </w:rPr>
              <w:t>и</w:t>
            </w:r>
            <w:r w:rsidRPr="002D586C">
              <w:rPr>
                <w:rFonts w:ascii="Times New Roman" w:hAnsi="Times New Roman"/>
                <w:kern w:val="0"/>
                <w:sz w:val="20"/>
              </w:rPr>
              <w:t xml:space="preserve"> или оценк</w:t>
            </w:r>
            <w:r>
              <w:rPr>
                <w:rFonts w:ascii="Times New Roman" w:hAnsi="Times New Roman"/>
                <w:kern w:val="0"/>
                <w:sz w:val="20"/>
              </w:rPr>
              <w:t>и</w:t>
            </w:r>
            <w:r w:rsidRPr="002D586C">
              <w:rPr>
                <w:rFonts w:ascii="Times New Roman" w:hAnsi="Times New Roman"/>
                <w:kern w:val="0"/>
                <w:sz w:val="20"/>
              </w:rPr>
              <w:t xml:space="preserve"> трансграничного воздействия на </w:t>
            </w:r>
            <w:r w:rsidRPr="002D586C">
              <w:rPr>
                <w:rFonts w:ascii="Times New Roman" w:hAnsi="Times New Roman"/>
                <w:kern w:val="0"/>
                <w:sz w:val="20"/>
              </w:rPr>
              <w:lastRenderedPageBreak/>
              <w:t>окружающую среду (</w:t>
            </w:r>
            <w:r>
              <w:rPr>
                <w:rFonts w:ascii="Times New Roman" w:hAnsi="Times New Roman"/>
                <w:kern w:val="0"/>
                <w:sz w:val="20"/>
              </w:rPr>
              <w:t>у</w:t>
            </w:r>
            <w:r w:rsidRPr="002D586C">
              <w:rPr>
                <w:rFonts w:ascii="Times New Roman" w:hAnsi="Times New Roman"/>
                <w:kern w:val="0"/>
                <w:sz w:val="20"/>
              </w:rPr>
              <w:t xml:space="preserve">стремление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по </w:t>
            </w:r>
            <w:r w:rsidRPr="002D586C">
              <w:rPr>
                <w:rFonts w:ascii="Times New Roman" w:hAnsi="Times New Roman"/>
                <w:kern w:val="0"/>
                <w:sz w:val="20"/>
              </w:rPr>
              <w:t>Конвенции и Протокол</w:t>
            </w:r>
            <w:r>
              <w:rPr>
                <w:rFonts w:ascii="Times New Roman" w:hAnsi="Times New Roman"/>
                <w:kern w:val="0"/>
                <w:sz w:val="20"/>
              </w:rPr>
              <w:t>у</w:t>
            </w:r>
            <w:r w:rsidRPr="002D586C">
              <w:rPr>
                <w:rFonts w:ascii="Times New Roman" w:hAnsi="Times New Roman"/>
                <w:kern w:val="0"/>
                <w:sz w:val="20"/>
              </w:rPr>
              <w:t>)</w:t>
            </w:r>
          </w:p>
        </w:tc>
        <w:tc>
          <w:tcPr>
            <w:tcW w:w="1695" w:type="dxa"/>
            <w:shd w:val="clear" w:color="auto" w:fill="auto"/>
          </w:tcPr>
          <w:p w14:paraId="6AD89427" w14:textId="253DC782" w:rsidR="000C3BBC" w:rsidRPr="00122622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122622">
              <w:rPr>
                <w:rFonts w:ascii="Times New Roman" w:hAnsi="Times New Roman"/>
                <w:kern w:val="0"/>
                <w:sz w:val="20"/>
              </w:rPr>
              <w:lastRenderedPageBreak/>
              <w:t xml:space="preserve">Возможность обеспечить более последовательное и </w:t>
            </w:r>
            <w:r w:rsidRPr="00122622">
              <w:rPr>
                <w:rFonts w:ascii="Times New Roman" w:hAnsi="Times New Roman"/>
                <w:kern w:val="0"/>
                <w:sz w:val="20"/>
                <w:lang w:eastAsia="en-US"/>
              </w:rPr>
              <w:t>своевременное</w:t>
            </w:r>
            <w:r w:rsidRPr="00122622"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</w:rPr>
              <w:t>принятие</w:t>
            </w:r>
            <w:r w:rsidRPr="00122622">
              <w:rPr>
                <w:rFonts w:ascii="Times New Roman" w:hAnsi="Times New Roman"/>
                <w:kern w:val="0"/>
                <w:sz w:val="20"/>
              </w:rPr>
              <w:t xml:space="preserve"> принципов экономики замкнутого цикла всеми Сторонами и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применение </w:t>
            </w:r>
            <w:r w:rsidRPr="00122622">
              <w:rPr>
                <w:rFonts w:ascii="Times New Roman" w:hAnsi="Times New Roman"/>
                <w:kern w:val="0"/>
                <w:sz w:val="20"/>
              </w:rPr>
              <w:t>трансграничн</w:t>
            </w:r>
            <w:r>
              <w:rPr>
                <w:rFonts w:ascii="Times New Roman" w:hAnsi="Times New Roman"/>
                <w:kern w:val="0"/>
                <w:sz w:val="20"/>
              </w:rPr>
              <w:t>ого</w:t>
            </w:r>
            <w:r w:rsidRPr="00122622"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</w:rPr>
              <w:t>потенциала</w:t>
            </w:r>
            <w:r w:rsidRPr="00122622"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</w:rPr>
              <w:t>принципов цикличности</w:t>
            </w:r>
            <w:r w:rsidRPr="00122622">
              <w:rPr>
                <w:rFonts w:ascii="Times New Roman" w:hAnsi="Times New Roman"/>
                <w:kern w:val="0"/>
                <w:sz w:val="20"/>
              </w:rPr>
              <w:t xml:space="preserve"> (особенно с </w:t>
            </w:r>
            <w:r w:rsidRPr="00122622">
              <w:rPr>
                <w:rFonts w:ascii="Times New Roman" w:hAnsi="Times New Roman"/>
                <w:kern w:val="0"/>
                <w:sz w:val="20"/>
                <w:lang w:eastAsia="en-US"/>
              </w:rPr>
              <w:t>использованием</w:t>
            </w:r>
            <w:r w:rsidRPr="00122622">
              <w:rPr>
                <w:rFonts w:ascii="Times New Roman" w:hAnsi="Times New Roman"/>
                <w:kern w:val="0"/>
                <w:sz w:val="20"/>
              </w:rPr>
              <w:t xml:space="preserve"> положений Конвенции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, касающихся </w:t>
            </w:r>
            <w:r w:rsidRPr="00122622">
              <w:rPr>
                <w:rFonts w:ascii="Times New Roman" w:hAnsi="Times New Roman"/>
                <w:kern w:val="0"/>
                <w:sz w:val="20"/>
              </w:rPr>
              <w:t xml:space="preserve">вопросов трансграничного характера) (возможность для </w:t>
            </w:r>
            <w:r w:rsidRPr="00122622">
              <w:rPr>
                <w:rFonts w:ascii="Times New Roman" w:hAnsi="Times New Roman"/>
                <w:kern w:val="0"/>
                <w:sz w:val="20"/>
              </w:rPr>
              <w:lastRenderedPageBreak/>
              <w:t>Конвенции и Протокола)</w:t>
            </w:r>
          </w:p>
          <w:p w14:paraId="11B89960" w14:textId="0F6E706D" w:rsidR="000C3BBC" w:rsidRPr="0053297C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3297C">
              <w:rPr>
                <w:rFonts w:ascii="Times New Roman" w:hAnsi="Times New Roman"/>
                <w:kern w:val="0"/>
                <w:sz w:val="20"/>
              </w:rPr>
              <w:t xml:space="preserve">Оценка цикличности предлагаемых планов, программ и/или проектов может обеспечить </w:t>
            </w:r>
            <w:r w:rsidRPr="0053297C">
              <w:rPr>
                <w:rFonts w:ascii="Times New Roman" w:hAnsi="Times New Roman"/>
                <w:kern w:val="0"/>
                <w:sz w:val="20"/>
                <w:lang w:eastAsia="en-US"/>
              </w:rPr>
              <w:t>максимальное</w:t>
            </w:r>
            <w:r w:rsidRPr="0053297C">
              <w:rPr>
                <w:rFonts w:ascii="Times New Roman" w:hAnsi="Times New Roman"/>
                <w:kern w:val="0"/>
                <w:sz w:val="20"/>
              </w:rPr>
              <w:t xml:space="preserve"> сокращение выбросов углерода (возможность для Конвенции и </w:t>
            </w:r>
            <w:r>
              <w:rPr>
                <w:rFonts w:ascii="Times New Roman" w:hAnsi="Times New Roman"/>
                <w:kern w:val="0"/>
                <w:sz w:val="20"/>
              </w:rPr>
              <w:t>П</w:t>
            </w:r>
            <w:r w:rsidRPr="0053297C">
              <w:rPr>
                <w:rFonts w:ascii="Times New Roman" w:hAnsi="Times New Roman"/>
                <w:kern w:val="0"/>
                <w:sz w:val="20"/>
              </w:rPr>
              <w:t>ротокола)</w:t>
            </w:r>
          </w:p>
          <w:p w14:paraId="71E0BF6E" w14:textId="642BC213" w:rsidR="000C3BBC" w:rsidRPr="0053297C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3297C">
              <w:rPr>
                <w:rFonts w:ascii="Times New Roman" w:hAnsi="Times New Roman"/>
                <w:kern w:val="0"/>
                <w:sz w:val="20"/>
              </w:rPr>
              <w:t xml:space="preserve">Потенциал изменения мышления в отношении линейных моделей развития </w:t>
            </w:r>
            <w:r>
              <w:rPr>
                <w:rFonts w:ascii="Times New Roman" w:hAnsi="Times New Roman"/>
                <w:kern w:val="0"/>
                <w:sz w:val="20"/>
              </w:rPr>
              <w:t>таким образом</w:t>
            </w:r>
            <w:r w:rsidRPr="0053297C">
              <w:rPr>
                <w:rFonts w:ascii="Times New Roman" w:hAnsi="Times New Roman"/>
                <w:kern w:val="0"/>
                <w:sz w:val="20"/>
              </w:rPr>
              <w:t xml:space="preserve">, </w:t>
            </w:r>
            <w:r w:rsidRPr="0053297C">
              <w:rPr>
                <w:rFonts w:ascii="Times New Roman" w:hAnsi="Times New Roman"/>
                <w:kern w:val="0"/>
                <w:sz w:val="20"/>
                <w:lang w:eastAsia="en-US"/>
              </w:rPr>
              <w:t>что</w:t>
            </w:r>
            <w:r>
              <w:rPr>
                <w:rFonts w:ascii="Times New Roman" w:hAnsi="Times New Roman"/>
                <w:kern w:val="0"/>
                <w:sz w:val="20"/>
                <w:lang w:eastAsia="en-US"/>
              </w:rPr>
              <w:t>бы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к ним обращались только в крайних случаях</w:t>
            </w:r>
            <w:r w:rsidRPr="0053297C">
              <w:rPr>
                <w:rFonts w:ascii="Times New Roman" w:hAnsi="Times New Roman"/>
                <w:kern w:val="0"/>
                <w:sz w:val="20"/>
              </w:rPr>
              <w:t xml:space="preserve"> (возможность для Конвенции и Протокола)</w:t>
            </w:r>
          </w:p>
          <w:p w14:paraId="561CCAB5" w14:textId="5A77CE07" w:rsidR="000C3BBC" w:rsidRPr="0097296D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Т</w:t>
            </w:r>
            <w:r w:rsidRPr="0097296D">
              <w:rPr>
                <w:rFonts w:ascii="Times New Roman" w:hAnsi="Times New Roman"/>
                <w:kern w:val="0"/>
                <w:sz w:val="20"/>
              </w:rPr>
              <w:t xml:space="preserve">ребования </w:t>
            </w:r>
            <w:r>
              <w:rPr>
                <w:rFonts w:ascii="Times New Roman" w:hAnsi="Times New Roman"/>
                <w:kern w:val="0"/>
                <w:sz w:val="20"/>
              </w:rPr>
              <w:t>о</w:t>
            </w:r>
            <w:r w:rsidRPr="0097296D"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двойной </w:t>
            </w:r>
            <w:r w:rsidRPr="0097296D">
              <w:rPr>
                <w:rFonts w:ascii="Times New Roman" w:hAnsi="Times New Roman"/>
                <w:kern w:val="0"/>
                <w:sz w:val="20"/>
              </w:rPr>
              <w:t xml:space="preserve">существенности стандартов </w:t>
            </w:r>
            <w:r w:rsidRPr="009E232B">
              <w:rPr>
                <w:rFonts w:ascii="Times New Roman" w:hAnsi="Times New Roman"/>
                <w:kern w:val="0"/>
                <w:sz w:val="20"/>
              </w:rPr>
              <w:t>отчетности</w:t>
            </w:r>
            <w:r w:rsidRPr="009E232B">
              <w:rPr>
                <w:rFonts w:ascii="Roboto" w:hAnsi="Roboto"/>
                <w:color w:val="212529"/>
                <w:sz w:val="18"/>
                <w:szCs w:val="18"/>
                <w:shd w:val="clear" w:color="auto" w:fill="F8F7F7"/>
              </w:rPr>
              <w:t xml:space="preserve"> </w:t>
            </w:r>
            <w:r w:rsidRPr="009E232B">
              <w:rPr>
                <w:rFonts w:ascii="Times New Roman" w:hAnsi="Times New Roman"/>
                <w:kern w:val="0"/>
                <w:sz w:val="20"/>
              </w:rPr>
              <w:t>по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 w:rsidRPr="009E232B">
              <w:rPr>
                <w:rFonts w:ascii="Times New Roman" w:hAnsi="Times New Roman"/>
                <w:kern w:val="0"/>
                <w:sz w:val="20"/>
              </w:rPr>
              <w:t>вопросам устойчивости</w:t>
            </w:r>
            <w:r w:rsidRPr="0097296D"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 w:rsidR="000817F0">
              <w:rPr>
                <w:rFonts w:ascii="Times New Roman" w:hAnsi="Times New Roman"/>
                <w:kern w:val="0"/>
                <w:sz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 w:rsidRPr="0097296D">
              <w:rPr>
                <w:rFonts w:ascii="Times New Roman" w:hAnsi="Times New Roman"/>
                <w:kern w:val="0"/>
                <w:sz w:val="20"/>
              </w:rPr>
              <w:t xml:space="preserve">см.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раздел </w:t>
            </w:r>
            <w:r w:rsidRPr="00D3620F">
              <w:rPr>
                <w:rFonts w:ascii="Times New Roman" w:hAnsi="Times New Roman"/>
                <w:kern w:val="0"/>
                <w:sz w:val="20"/>
              </w:rPr>
              <w:t>IV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«З</w:t>
            </w:r>
            <w:r w:rsidRPr="0097296D">
              <w:rPr>
                <w:rFonts w:ascii="Times New Roman" w:hAnsi="Times New Roman"/>
                <w:kern w:val="0"/>
                <w:sz w:val="20"/>
              </w:rPr>
              <w:t>еленое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 w:rsidRPr="0097296D">
              <w:rPr>
                <w:rFonts w:ascii="Times New Roman" w:hAnsi="Times New Roman"/>
                <w:kern w:val="0"/>
                <w:sz w:val="20"/>
              </w:rPr>
              <w:t>финансирование</w:t>
            </w:r>
            <w:r>
              <w:rPr>
                <w:rFonts w:ascii="Times New Roman" w:hAnsi="Times New Roman"/>
                <w:kern w:val="0"/>
                <w:sz w:val="20"/>
              </w:rPr>
              <w:t>»</w:t>
            </w:r>
            <w:r w:rsidRPr="0097296D">
              <w:rPr>
                <w:rFonts w:ascii="Times New Roman" w:hAnsi="Times New Roman"/>
                <w:kern w:val="0"/>
                <w:sz w:val="20"/>
              </w:rPr>
              <w:t xml:space="preserve"> ниже) потенциально позволяют выяв</w:t>
            </w:r>
            <w:r>
              <w:rPr>
                <w:rFonts w:ascii="Times New Roman" w:hAnsi="Times New Roman"/>
                <w:kern w:val="0"/>
                <w:sz w:val="20"/>
              </w:rPr>
              <w:t>лять</w:t>
            </w:r>
            <w:r w:rsidRPr="0097296D">
              <w:rPr>
                <w:rFonts w:ascii="Times New Roman" w:hAnsi="Times New Roman"/>
                <w:kern w:val="0"/>
                <w:sz w:val="20"/>
              </w:rPr>
              <w:t xml:space="preserve"> возможности цикличности, связанные с финансовыми рисками для </w:t>
            </w:r>
            <w:r>
              <w:rPr>
                <w:rFonts w:ascii="Times New Roman" w:hAnsi="Times New Roman"/>
                <w:kern w:val="0"/>
                <w:sz w:val="20"/>
              </w:rPr>
              <w:t>предприятий</w:t>
            </w:r>
            <w:r w:rsidRPr="0097296D">
              <w:rPr>
                <w:rFonts w:ascii="Times New Roman" w:hAnsi="Times New Roman"/>
                <w:kern w:val="0"/>
                <w:sz w:val="20"/>
              </w:rPr>
              <w:t xml:space="preserve"> (возможность для Конвенции и </w:t>
            </w:r>
            <w:r>
              <w:rPr>
                <w:rFonts w:ascii="Times New Roman" w:hAnsi="Times New Roman"/>
                <w:kern w:val="0"/>
                <w:sz w:val="20"/>
              </w:rPr>
              <w:t>П</w:t>
            </w:r>
            <w:r w:rsidRPr="0097296D">
              <w:rPr>
                <w:rFonts w:ascii="Times New Roman" w:hAnsi="Times New Roman"/>
                <w:kern w:val="0"/>
                <w:sz w:val="20"/>
              </w:rPr>
              <w:t>ротокола)</w:t>
            </w:r>
          </w:p>
        </w:tc>
        <w:tc>
          <w:tcPr>
            <w:tcW w:w="1904" w:type="dxa"/>
            <w:shd w:val="clear" w:color="auto" w:fill="auto"/>
          </w:tcPr>
          <w:p w14:paraId="29996363" w14:textId="1251BAF3" w:rsidR="000C3BBC" w:rsidRPr="009038B1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6A2CA7">
              <w:rPr>
                <w:rFonts w:ascii="Times New Roman" w:hAnsi="Times New Roman"/>
                <w:kern w:val="0"/>
                <w:sz w:val="20"/>
              </w:rPr>
              <w:lastRenderedPageBreak/>
              <w:t>Согласование наилучшего способа</w:t>
            </w:r>
            <w:r w:rsidRPr="009038B1">
              <w:rPr>
                <w:rFonts w:ascii="Times New Roman" w:hAnsi="Times New Roman"/>
                <w:kern w:val="0"/>
                <w:sz w:val="20"/>
              </w:rPr>
              <w:t xml:space="preserve"> включ</w:t>
            </w:r>
            <w:r>
              <w:rPr>
                <w:rFonts w:ascii="Times New Roman" w:hAnsi="Times New Roman"/>
                <w:kern w:val="0"/>
                <w:sz w:val="20"/>
              </w:rPr>
              <w:t>ения вопроса об учете</w:t>
            </w:r>
            <w:r w:rsidRPr="009038B1">
              <w:rPr>
                <w:rFonts w:ascii="Times New Roman" w:hAnsi="Times New Roman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принципов </w:t>
            </w:r>
            <w:r w:rsidRPr="009038B1">
              <w:rPr>
                <w:rFonts w:ascii="Times New Roman" w:hAnsi="Times New Roman"/>
                <w:kern w:val="0"/>
                <w:sz w:val="20"/>
                <w:lang w:eastAsia="en-US"/>
              </w:rPr>
              <w:t>цикличности</w:t>
            </w:r>
            <w:r w:rsidRPr="009038B1">
              <w:rPr>
                <w:rFonts w:ascii="Times New Roman" w:hAnsi="Times New Roman"/>
                <w:kern w:val="0"/>
                <w:sz w:val="20"/>
              </w:rPr>
              <w:t xml:space="preserve"> в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рамках</w:t>
            </w:r>
            <w:r w:rsidRPr="009038B1">
              <w:rPr>
                <w:rFonts w:ascii="Times New Roman" w:hAnsi="Times New Roman"/>
                <w:kern w:val="0"/>
                <w:sz w:val="20"/>
              </w:rPr>
              <w:t xml:space="preserve"> Конвенци</w:t>
            </w:r>
            <w:r>
              <w:rPr>
                <w:rFonts w:ascii="Times New Roman" w:hAnsi="Times New Roman"/>
                <w:kern w:val="0"/>
                <w:sz w:val="20"/>
              </w:rPr>
              <w:t>и</w:t>
            </w:r>
            <w:r w:rsidRPr="009038B1">
              <w:rPr>
                <w:rFonts w:ascii="Times New Roman" w:hAnsi="Times New Roman"/>
                <w:kern w:val="0"/>
                <w:sz w:val="20"/>
              </w:rPr>
              <w:t xml:space="preserve"> и Протокол</w:t>
            </w:r>
            <w:r>
              <w:rPr>
                <w:rFonts w:ascii="Times New Roman" w:hAnsi="Times New Roman"/>
                <w:kern w:val="0"/>
                <w:sz w:val="20"/>
              </w:rPr>
              <w:t>а в контексте возможного</w:t>
            </w:r>
            <w:r w:rsidRPr="009038B1">
              <w:rPr>
                <w:rFonts w:ascii="Times New Roman" w:hAnsi="Times New Roman"/>
                <w:kern w:val="0"/>
                <w:sz w:val="20"/>
              </w:rPr>
              <w:t xml:space="preserve"> политическо</w:t>
            </w:r>
            <w:r>
              <w:rPr>
                <w:rFonts w:ascii="Times New Roman" w:hAnsi="Times New Roman"/>
                <w:kern w:val="0"/>
                <w:sz w:val="20"/>
              </w:rPr>
              <w:t>го</w:t>
            </w:r>
            <w:r w:rsidRPr="009038B1">
              <w:rPr>
                <w:rFonts w:ascii="Times New Roman" w:hAnsi="Times New Roman"/>
                <w:kern w:val="0"/>
                <w:sz w:val="20"/>
              </w:rPr>
              <w:t xml:space="preserve"> сопротивлени</w:t>
            </w:r>
            <w:r>
              <w:rPr>
                <w:rFonts w:ascii="Times New Roman" w:hAnsi="Times New Roman"/>
                <w:kern w:val="0"/>
                <w:sz w:val="20"/>
              </w:rPr>
              <w:t>я</w:t>
            </w:r>
            <w:r w:rsidRPr="009038B1">
              <w:rPr>
                <w:rFonts w:ascii="Times New Roman" w:hAnsi="Times New Roman"/>
                <w:kern w:val="0"/>
                <w:sz w:val="20"/>
              </w:rPr>
              <w:t xml:space="preserve"> (вариант для Конвенции и </w:t>
            </w:r>
            <w:r>
              <w:rPr>
                <w:rFonts w:ascii="Times New Roman" w:hAnsi="Times New Roman"/>
                <w:kern w:val="0"/>
                <w:sz w:val="20"/>
              </w:rPr>
              <w:t>П</w:t>
            </w:r>
            <w:r w:rsidRPr="009038B1">
              <w:rPr>
                <w:rFonts w:ascii="Times New Roman" w:hAnsi="Times New Roman"/>
                <w:kern w:val="0"/>
                <w:sz w:val="20"/>
              </w:rPr>
              <w:t>ротокола)</w:t>
            </w:r>
          </w:p>
          <w:p w14:paraId="7C869A70" w14:textId="1152921B" w:rsidR="000C3BBC" w:rsidRPr="00870B36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70B36">
              <w:rPr>
                <w:rFonts w:ascii="Times New Roman" w:hAnsi="Times New Roman"/>
                <w:kern w:val="0"/>
                <w:sz w:val="20"/>
                <w:lang w:eastAsia="en-US"/>
              </w:rPr>
              <w:t>Согласование</w:t>
            </w:r>
            <w:r w:rsidRPr="00870B36">
              <w:rPr>
                <w:rFonts w:ascii="Times New Roman" w:hAnsi="Times New Roman"/>
                <w:kern w:val="0"/>
                <w:sz w:val="20"/>
              </w:rPr>
              <w:t xml:space="preserve"> прогресса в развитии экономики замкнутого цикла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нынешними</w:t>
            </w:r>
            <w:r w:rsidRPr="00870B36">
              <w:rPr>
                <w:rFonts w:ascii="Times New Roman" w:hAnsi="Times New Roman"/>
                <w:kern w:val="0"/>
                <w:sz w:val="20"/>
              </w:rPr>
              <w:t xml:space="preserve"> и будущими Сторонами для обеспечения равных экономических условий </w:t>
            </w:r>
            <w:r w:rsidRPr="00870B36">
              <w:rPr>
                <w:rFonts w:ascii="Times New Roman" w:hAnsi="Times New Roman"/>
                <w:kern w:val="0"/>
                <w:sz w:val="20"/>
              </w:rPr>
              <w:lastRenderedPageBreak/>
              <w:t>(вариант для Конвенции и Протокола)</w:t>
            </w:r>
          </w:p>
          <w:p w14:paraId="52DFB3D9" w14:textId="7B0177F1" w:rsidR="000C3BBC" w:rsidRPr="00870B36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70B36">
              <w:rPr>
                <w:rFonts w:ascii="Times New Roman" w:hAnsi="Times New Roman"/>
                <w:kern w:val="0"/>
                <w:sz w:val="20"/>
              </w:rPr>
              <w:t>Разработка системы сертификации выбросов со сферой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охвата</w:t>
            </w:r>
            <w:r w:rsidRPr="00870B36">
              <w:rPr>
                <w:rFonts w:ascii="Times New Roman" w:hAnsi="Times New Roman"/>
                <w:kern w:val="0"/>
                <w:sz w:val="20"/>
              </w:rPr>
              <w:t xml:space="preserve"> 3 для облегчения включения 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таких </w:t>
            </w:r>
            <w:r w:rsidRPr="00870B36">
              <w:rPr>
                <w:rFonts w:ascii="Times New Roman" w:hAnsi="Times New Roman"/>
                <w:kern w:val="0"/>
                <w:sz w:val="20"/>
                <w:lang w:eastAsia="en-US"/>
              </w:rPr>
              <w:t>выбросов</w:t>
            </w:r>
            <w:r w:rsidRPr="00870B36">
              <w:rPr>
                <w:rFonts w:ascii="Times New Roman" w:hAnsi="Times New Roman"/>
                <w:kern w:val="0"/>
                <w:sz w:val="20"/>
              </w:rPr>
              <w:t xml:space="preserve"> в экологические оценки (вариант для Конвенции и </w:t>
            </w:r>
            <w:r>
              <w:rPr>
                <w:rFonts w:ascii="Times New Roman" w:hAnsi="Times New Roman"/>
                <w:kern w:val="0"/>
                <w:sz w:val="20"/>
              </w:rPr>
              <w:t>П</w:t>
            </w:r>
            <w:r w:rsidRPr="00870B36">
              <w:rPr>
                <w:rFonts w:ascii="Times New Roman" w:hAnsi="Times New Roman"/>
                <w:kern w:val="0"/>
                <w:sz w:val="20"/>
              </w:rPr>
              <w:t>ротокола)</w:t>
            </w:r>
          </w:p>
          <w:p w14:paraId="6B035ABB" w14:textId="7BA10FDC" w:rsidR="000C3BBC" w:rsidRPr="00351618" w:rsidRDefault="000C3BBC" w:rsidP="00340A9D">
            <w:pPr>
              <w:pStyle w:val="Bullet2G"/>
              <w:ind w:left="170" w:right="17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351618">
              <w:rPr>
                <w:rFonts w:ascii="Times New Roman" w:hAnsi="Times New Roman"/>
                <w:kern w:val="0"/>
                <w:sz w:val="20"/>
              </w:rPr>
              <w:t xml:space="preserve">Обязательства по внедрению экономики </w:t>
            </w:r>
            <w:r w:rsidRPr="00351618">
              <w:rPr>
                <w:rFonts w:ascii="Times New Roman" w:hAnsi="Times New Roman"/>
                <w:kern w:val="0"/>
                <w:sz w:val="20"/>
                <w:lang w:eastAsia="en-US"/>
              </w:rPr>
              <w:t>замкнутого</w:t>
            </w:r>
            <w:r w:rsidRPr="00351618">
              <w:rPr>
                <w:rFonts w:ascii="Times New Roman" w:hAnsi="Times New Roman"/>
                <w:kern w:val="0"/>
                <w:sz w:val="20"/>
              </w:rPr>
              <w:t xml:space="preserve"> цикла для преодоления сдержанности, связанной с краткосрочными финансовыми последствиями (вариант для Конвенции и </w:t>
            </w:r>
            <w:r>
              <w:rPr>
                <w:rFonts w:ascii="Times New Roman" w:hAnsi="Times New Roman"/>
                <w:kern w:val="0"/>
                <w:sz w:val="20"/>
              </w:rPr>
              <w:t>П</w:t>
            </w:r>
            <w:r w:rsidRPr="00351618">
              <w:rPr>
                <w:rFonts w:ascii="Times New Roman" w:hAnsi="Times New Roman"/>
                <w:kern w:val="0"/>
                <w:sz w:val="20"/>
              </w:rPr>
              <w:t>ротокола)</w:t>
            </w:r>
          </w:p>
        </w:tc>
      </w:tr>
      <w:tr w:rsidR="00B941FC" w:rsidRPr="00B941FC" w14:paraId="33499169" w14:textId="77777777" w:rsidTr="00B941FC">
        <w:tc>
          <w:tcPr>
            <w:tcW w:w="1974" w:type="dxa"/>
            <w:tcBorders>
              <w:bottom w:val="single" w:sz="12" w:space="0" w:color="auto"/>
            </w:tcBorders>
            <w:shd w:val="clear" w:color="auto" w:fill="auto"/>
          </w:tcPr>
          <w:p w14:paraId="159FA76C" w14:textId="77777777" w:rsidR="00B941FC" w:rsidRPr="00B941FC" w:rsidRDefault="00B941FC" w:rsidP="00B941FC">
            <w:pPr>
              <w:spacing w:line="40" w:lineRule="exact"/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shd w:val="clear" w:color="auto" w:fill="auto"/>
          </w:tcPr>
          <w:p w14:paraId="28E69A00" w14:textId="77777777" w:rsidR="00B941FC" w:rsidRPr="00B941FC" w:rsidRDefault="00B941FC" w:rsidP="00B941FC">
            <w:pPr>
              <w:spacing w:line="40" w:lineRule="exact"/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</w:tcPr>
          <w:p w14:paraId="31AEBB95" w14:textId="77777777" w:rsidR="00B941FC" w:rsidRPr="00B941FC" w:rsidRDefault="00B941FC" w:rsidP="00B941FC">
            <w:pPr>
              <w:spacing w:line="40" w:lineRule="exact"/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shd w:val="clear" w:color="auto" w:fill="auto"/>
          </w:tcPr>
          <w:p w14:paraId="175F04D8" w14:textId="77777777" w:rsidR="00B941FC" w:rsidRPr="00B941FC" w:rsidRDefault="00B941FC" w:rsidP="00B941FC">
            <w:pPr>
              <w:spacing w:line="40" w:lineRule="exact"/>
            </w:pPr>
          </w:p>
        </w:tc>
      </w:tr>
    </w:tbl>
    <w:p w14:paraId="30BAF8E3" w14:textId="77777777" w:rsidR="000C3BBC" w:rsidRPr="004D4CF4" w:rsidRDefault="000C3BBC" w:rsidP="000C3BBC">
      <w:pPr>
        <w:pStyle w:val="HChG"/>
        <w:rPr>
          <w:sz w:val="24"/>
          <w:lang w:eastAsia="en-US"/>
        </w:rPr>
      </w:pPr>
      <w:r w:rsidRPr="00351618">
        <w:rPr>
          <w:lang w:eastAsia="en-US"/>
        </w:rPr>
        <w:tab/>
      </w:r>
      <w:r w:rsidRPr="00092723">
        <w:rPr>
          <w:lang w:eastAsia="en-US"/>
        </w:rPr>
        <w:t>IV</w:t>
      </w:r>
      <w:r w:rsidRPr="004D4CF4">
        <w:rPr>
          <w:lang w:eastAsia="en-US"/>
        </w:rPr>
        <w:t>.</w:t>
      </w:r>
      <w:r w:rsidRPr="004D4CF4">
        <w:rPr>
          <w:lang w:eastAsia="en-US"/>
        </w:rPr>
        <w:tab/>
        <w:t>Зеленое финансирование</w:t>
      </w:r>
    </w:p>
    <w:p w14:paraId="0FEADA6F" w14:textId="77777777" w:rsidR="000C3BBC" w:rsidRPr="00457E6E" w:rsidRDefault="000C3BBC" w:rsidP="000C3BBC">
      <w:pPr>
        <w:pStyle w:val="H1G"/>
        <w:rPr>
          <w:lang w:eastAsia="en-US"/>
        </w:rPr>
      </w:pPr>
      <w:r w:rsidRPr="004D4CF4">
        <w:rPr>
          <w:lang w:eastAsia="en-US"/>
        </w:rPr>
        <w:tab/>
      </w:r>
      <w:r w:rsidRPr="00092723">
        <w:rPr>
          <w:lang w:eastAsia="en-US"/>
        </w:rPr>
        <w:t>A</w:t>
      </w:r>
      <w:r w:rsidRPr="004D4CF4">
        <w:rPr>
          <w:lang w:eastAsia="en-US"/>
        </w:rPr>
        <w:t>.</w:t>
      </w:r>
      <w:r w:rsidRPr="004D4CF4">
        <w:rPr>
          <w:lang w:eastAsia="en-US"/>
        </w:rPr>
        <w:tab/>
        <w:t>Что такое зелено</w:t>
      </w:r>
      <w:r>
        <w:rPr>
          <w:lang w:eastAsia="en-US"/>
        </w:rPr>
        <w:t>е</w:t>
      </w:r>
      <w:r w:rsidRPr="004D4CF4">
        <w:rPr>
          <w:lang w:eastAsia="en-US"/>
        </w:rPr>
        <w:t xml:space="preserve"> финансирование? </w:t>
      </w:r>
      <w:r w:rsidRPr="00457E6E">
        <w:rPr>
          <w:lang w:eastAsia="en-US"/>
        </w:rPr>
        <w:t xml:space="preserve">Введение в концепцию </w:t>
      </w:r>
    </w:p>
    <w:p w14:paraId="3FCA901E" w14:textId="62CCB92A" w:rsidR="000C3BBC" w:rsidRPr="005838EA" w:rsidRDefault="000C3BBC" w:rsidP="000C3BBC">
      <w:pPr>
        <w:pStyle w:val="SingleTxtG"/>
      </w:pPr>
      <w:r w:rsidRPr="005838EA">
        <w:t>40.</w:t>
      </w:r>
      <w:r w:rsidRPr="005838EA">
        <w:tab/>
        <w:t xml:space="preserve">Зеленое финансирование предполагает приведение финансовых инвестиций в соответствие с целями в области климата и </w:t>
      </w:r>
      <w:r>
        <w:t>устойчивости</w:t>
      </w:r>
      <w:r w:rsidRPr="005838EA">
        <w:t>. Такое финансирование может осуществляться в соответствии с добровольными принципами высокого уровня, такими как те, которые были согласованы Рабочей групп</w:t>
      </w:r>
      <w:r>
        <w:t>ой</w:t>
      </w:r>
      <w:r w:rsidRPr="005838EA">
        <w:t xml:space="preserve"> Г-20 по устойчивому финансированию:</w:t>
      </w:r>
      <w:r w:rsidR="006C6943">
        <w:t xml:space="preserve"> </w:t>
      </w:r>
    </w:p>
    <w:p w14:paraId="5907A6CA" w14:textId="77777777" w:rsidR="000C3BBC" w:rsidRPr="005838EA" w:rsidRDefault="000C3BBC" w:rsidP="000C3BBC">
      <w:pPr>
        <w:pStyle w:val="SingleTxtG"/>
        <w:ind w:firstLine="567"/>
      </w:pPr>
      <w:r w:rsidRPr="00092723">
        <w:t>a</w:t>
      </w:r>
      <w:r w:rsidRPr="005838EA">
        <w:t>)</w:t>
      </w:r>
      <w:r w:rsidRPr="005838EA">
        <w:tab/>
        <w:t xml:space="preserve">Принцип 1: </w:t>
      </w:r>
      <w:r>
        <w:t>о</w:t>
      </w:r>
      <w:r w:rsidRPr="005838EA">
        <w:t xml:space="preserve">беспечение существенного </w:t>
      </w:r>
      <w:r>
        <w:t>позитивного</w:t>
      </w:r>
      <w:r w:rsidRPr="005838EA">
        <w:t xml:space="preserve"> вклада в достижение целей</w:t>
      </w:r>
      <w:r>
        <w:t>, касающихся устойчивости,</w:t>
      </w:r>
      <w:r w:rsidRPr="005838EA">
        <w:t xml:space="preserve"> и ориентация на конечные результаты;</w:t>
      </w:r>
    </w:p>
    <w:p w14:paraId="15966FB3" w14:textId="1B89F8DA" w:rsidR="000C3BBC" w:rsidRPr="00775886" w:rsidRDefault="000C3BBC" w:rsidP="000C3BBC">
      <w:pPr>
        <w:pStyle w:val="SingleTxtG"/>
        <w:ind w:firstLine="567"/>
      </w:pPr>
      <w:r w:rsidRPr="00092723">
        <w:lastRenderedPageBreak/>
        <w:t>b</w:t>
      </w:r>
      <w:r w:rsidRPr="00775886">
        <w:t>)</w:t>
      </w:r>
      <w:r w:rsidRPr="00775886">
        <w:tab/>
        <w:t xml:space="preserve">Принцип 2: </w:t>
      </w:r>
      <w:r>
        <w:t>недопущение</w:t>
      </w:r>
      <w:r w:rsidRPr="00775886">
        <w:t xml:space="preserve"> негативного вклада в достижение других целей</w:t>
      </w:r>
      <w:r>
        <w:t>,</w:t>
      </w:r>
      <w:r w:rsidRPr="00775886">
        <w:t xml:space="preserve"> </w:t>
      </w:r>
      <w:r>
        <w:t>касающихся устойчивости</w:t>
      </w:r>
      <w:r w:rsidRPr="00775886">
        <w:t xml:space="preserve"> (например, </w:t>
      </w:r>
      <w:r>
        <w:t>путем «</w:t>
      </w:r>
      <w:r w:rsidRPr="00775886">
        <w:t>непричинения существенного ущерба</w:t>
      </w:r>
      <w:r>
        <w:t>»</w:t>
      </w:r>
      <w:r w:rsidRPr="00775886">
        <w:t xml:space="preserve"> любым императив</w:t>
      </w:r>
      <w:r>
        <w:t>ам</w:t>
      </w:r>
      <w:r w:rsidRPr="00775886">
        <w:t xml:space="preserve"> </w:t>
      </w:r>
      <w:r w:rsidR="00B541F5" w:rsidRPr="00775886">
        <w:t xml:space="preserve">Целей </w:t>
      </w:r>
      <w:r w:rsidRPr="00775886">
        <w:t>в области устойчивого развития);</w:t>
      </w:r>
    </w:p>
    <w:p w14:paraId="4747D11C" w14:textId="77777777" w:rsidR="000C3BBC" w:rsidRPr="00603EAA" w:rsidRDefault="000C3BBC" w:rsidP="000C3BBC">
      <w:pPr>
        <w:pStyle w:val="SingleTxtG"/>
        <w:ind w:firstLine="567"/>
      </w:pPr>
      <w:r w:rsidRPr="00092723">
        <w:t>c</w:t>
      </w:r>
      <w:r w:rsidRPr="00603EAA">
        <w:t>)</w:t>
      </w:r>
      <w:r w:rsidRPr="00603EAA">
        <w:tab/>
        <w:t xml:space="preserve">Принцип 3: </w:t>
      </w:r>
      <w:r>
        <w:t>обеспечение динамики</w:t>
      </w:r>
      <w:r w:rsidRPr="00603EAA">
        <w:t xml:space="preserve"> в корректировках, отражающих изменения в политике, технологиях и состоянии переходного периода;</w:t>
      </w:r>
    </w:p>
    <w:p w14:paraId="292E0A05" w14:textId="77777777" w:rsidR="000C3BBC" w:rsidRPr="00BF43A8" w:rsidRDefault="000C3BBC" w:rsidP="000C3BBC">
      <w:pPr>
        <w:pStyle w:val="SingleTxtG"/>
        <w:ind w:firstLine="567"/>
      </w:pPr>
      <w:r w:rsidRPr="00092723">
        <w:t>d</w:t>
      </w:r>
      <w:r w:rsidRPr="00BF43A8">
        <w:t>)</w:t>
      </w:r>
      <w:r w:rsidRPr="00BF43A8">
        <w:tab/>
        <w:t xml:space="preserve">Принцип 4: </w:t>
      </w:r>
      <w:r>
        <w:t>о</w:t>
      </w:r>
      <w:r w:rsidRPr="00BF43A8">
        <w:t xml:space="preserve">тражение </w:t>
      </w:r>
      <w:r>
        <w:t>стандартов</w:t>
      </w:r>
      <w:r w:rsidRPr="00BF43A8">
        <w:t xml:space="preserve"> эффективного управления и прозрачности;</w:t>
      </w:r>
    </w:p>
    <w:p w14:paraId="66433C67" w14:textId="77777777" w:rsidR="000C3BBC" w:rsidRPr="00BF43A8" w:rsidRDefault="000C3BBC" w:rsidP="000C3BBC">
      <w:pPr>
        <w:pStyle w:val="SingleTxtG"/>
        <w:ind w:firstLine="567"/>
      </w:pPr>
      <w:r w:rsidRPr="00092723">
        <w:t>e</w:t>
      </w:r>
      <w:r w:rsidRPr="00BF43A8">
        <w:t>)</w:t>
      </w:r>
      <w:r w:rsidRPr="00BF43A8">
        <w:tab/>
        <w:t xml:space="preserve">Принцип 5: </w:t>
      </w:r>
      <w:r>
        <w:t>использование научных достижений при реализации</w:t>
      </w:r>
      <w:r w:rsidRPr="00BF43A8">
        <w:t xml:space="preserve"> экологических целей и научно</w:t>
      </w:r>
      <w:r>
        <w:t xml:space="preserve"> </w:t>
      </w:r>
      <w:r w:rsidRPr="00BF43A8">
        <w:t>обоснованн</w:t>
      </w:r>
      <w:r>
        <w:t>ых или аргументированных подходов при решении</w:t>
      </w:r>
      <w:r w:rsidRPr="00BF43A8">
        <w:t xml:space="preserve"> других вопросов</w:t>
      </w:r>
      <w:r>
        <w:t>, касающихся</w:t>
      </w:r>
      <w:r w:rsidRPr="00BF43A8">
        <w:t xml:space="preserve"> устойчиво</w:t>
      </w:r>
      <w:r>
        <w:t>сти</w:t>
      </w:r>
      <w:r w:rsidRPr="00BF43A8">
        <w:t>;</w:t>
      </w:r>
    </w:p>
    <w:p w14:paraId="3C712C69" w14:textId="77777777" w:rsidR="000C3BBC" w:rsidRPr="007611DE" w:rsidRDefault="000C3BBC" w:rsidP="000C3BBC">
      <w:pPr>
        <w:pStyle w:val="SingleTxtG"/>
        <w:ind w:firstLine="567"/>
      </w:pPr>
      <w:r w:rsidRPr="00092723">
        <w:t>f</w:t>
      </w:r>
      <w:r w:rsidRPr="007611DE">
        <w:t>)</w:t>
      </w:r>
      <w:r w:rsidRPr="007611DE">
        <w:tab/>
        <w:t xml:space="preserve">Принцип 6: </w:t>
      </w:r>
      <w:r>
        <w:t>обеспечение у</w:t>
      </w:r>
      <w:r w:rsidRPr="007611DE">
        <w:t>чет</w:t>
      </w:r>
      <w:r>
        <w:t>а</w:t>
      </w:r>
      <w:r w:rsidRPr="007611DE">
        <w:t xml:space="preserve"> соображений переходного периода</w:t>
      </w:r>
      <w:r w:rsidRPr="00092723">
        <w:rPr>
          <w:color w:val="000000"/>
          <w:vertAlign w:val="superscript"/>
        </w:rPr>
        <w:footnoteReference w:id="70"/>
      </w:r>
      <w:r>
        <w:t>.</w:t>
      </w:r>
    </w:p>
    <w:p w14:paraId="5CC18EAF" w14:textId="171C8A28" w:rsidR="000C3BBC" w:rsidRPr="00813BB6" w:rsidRDefault="000C3BBC" w:rsidP="000C3BBC">
      <w:pPr>
        <w:pStyle w:val="SingleTxtG"/>
      </w:pPr>
      <w:r w:rsidRPr="00762352">
        <w:t>41.</w:t>
      </w:r>
      <w:r w:rsidRPr="00762352">
        <w:tab/>
      </w:r>
      <w:r w:rsidRPr="00813BB6">
        <w:t>Известно, что во всем мире было разработано или находится в стадии разработки более 20 различных таксономий</w:t>
      </w:r>
      <w:r>
        <w:t>, т.</w:t>
      </w:r>
      <w:r w:rsidR="00B541F5">
        <w:rPr>
          <w:lang w:val="en-US"/>
        </w:rPr>
        <w:t> </w:t>
      </w:r>
      <w:r>
        <w:t xml:space="preserve">е. </w:t>
      </w:r>
      <w:r w:rsidRPr="00813BB6">
        <w:t>классификаций того, что считается зеленым</w:t>
      </w:r>
      <w:r>
        <w:t>,</w:t>
      </w:r>
      <w:r w:rsidRPr="00813BB6">
        <w:t xml:space="preserve"> или устойчивым финансированием (включая одну для Европейского союза, которая применяется к </w:t>
      </w:r>
      <w:r>
        <w:t xml:space="preserve">его </w:t>
      </w:r>
      <w:r w:rsidRPr="00813BB6">
        <w:t xml:space="preserve">27 государствам–членам, и одну для 11 государств </w:t>
      </w:r>
      <w:r>
        <w:t>—</w:t>
      </w:r>
      <w:r w:rsidRPr="00813BB6">
        <w:t xml:space="preserve"> членов Ассоциации государств Юго-Восточной Азии), </w:t>
      </w:r>
      <w:r>
        <w:t>которые охватывают</w:t>
      </w:r>
      <w:r w:rsidRPr="00813BB6">
        <w:t xml:space="preserve"> более чем 50 стран. </w:t>
      </w:r>
      <w:r>
        <w:t>Хотя</w:t>
      </w:r>
      <w:r w:rsidRPr="00813BB6">
        <w:t xml:space="preserve"> в каждо</w:t>
      </w:r>
      <w:r>
        <w:t>й</w:t>
      </w:r>
      <w:r w:rsidRPr="00813BB6">
        <w:t xml:space="preserve"> из них даются различные определения того, что является или не является </w:t>
      </w:r>
      <w:r>
        <w:t>«</w:t>
      </w:r>
      <w:r w:rsidRPr="00813BB6">
        <w:t>зелеными</w:t>
      </w:r>
      <w:r>
        <w:t>»</w:t>
      </w:r>
      <w:r w:rsidRPr="00813BB6">
        <w:t xml:space="preserve"> инвестициями, большинство из них включает в себя меры</w:t>
      </w:r>
      <w:r>
        <w:t>, основанные на принципе</w:t>
      </w:r>
      <w:r w:rsidRPr="00813BB6">
        <w:t xml:space="preserve"> </w:t>
      </w:r>
      <w:r>
        <w:t>«</w:t>
      </w:r>
      <w:r w:rsidRPr="00775886">
        <w:t>непричинения существенного ущерба</w:t>
      </w:r>
      <w:r>
        <w:t>»</w:t>
      </w:r>
      <w:r w:rsidRPr="00092723">
        <w:rPr>
          <w:vertAlign w:val="superscript"/>
        </w:rPr>
        <w:footnoteReference w:id="71"/>
      </w:r>
      <w:r>
        <w:t>.</w:t>
      </w:r>
      <w:r w:rsidR="006C6943">
        <w:t xml:space="preserve"> </w:t>
      </w:r>
    </w:p>
    <w:p w14:paraId="088BC7EA" w14:textId="77777777" w:rsidR="000C3BBC" w:rsidRPr="0074424C" w:rsidRDefault="000C3BBC" w:rsidP="000C3BBC">
      <w:pPr>
        <w:pStyle w:val="H1G"/>
        <w:rPr>
          <w:color w:val="000000"/>
          <w:lang w:eastAsia="en-US"/>
        </w:rPr>
      </w:pPr>
      <w:r w:rsidRPr="00813BB6">
        <w:rPr>
          <w:color w:val="000000"/>
          <w:lang w:eastAsia="en-US"/>
        </w:rPr>
        <w:tab/>
      </w:r>
      <w:r w:rsidRPr="00092723">
        <w:rPr>
          <w:color w:val="000000"/>
          <w:lang w:eastAsia="en-US"/>
        </w:rPr>
        <w:t>B</w:t>
      </w:r>
      <w:r w:rsidRPr="0074424C">
        <w:rPr>
          <w:color w:val="000000"/>
          <w:lang w:eastAsia="en-US"/>
        </w:rPr>
        <w:t>.</w:t>
      </w:r>
      <w:r w:rsidRPr="0074424C">
        <w:rPr>
          <w:color w:val="000000"/>
          <w:lang w:eastAsia="en-US"/>
        </w:rPr>
        <w:tab/>
      </w:r>
      <w:r w:rsidRPr="0074424C">
        <w:rPr>
          <w:lang w:eastAsia="en-US"/>
        </w:rPr>
        <w:t xml:space="preserve">Политические </w:t>
      </w:r>
      <w:r>
        <w:rPr>
          <w:lang w:eastAsia="en-US"/>
        </w:rPr>
        <w:t>рамки для</w:t>
      </w:r>
      <w:r w:rsidRPr="0074424C">
        <w:rPr>
          <w:lang w:eastAsia="en-US"/>
        </w:rPr>
        <w:t xml:space="preserve"> зеленого финансирования и ход </w:t>
      </w:r>
      <w:r>
        <w:rPr>
          <w:lang w:eastAsia="en-US"/>
        </w:rPr>
        <w:t>его</w:t>
      </w:r>
      <w:r w:rsidRPr="0074424C">
        <w:rPr>
          <w:lang w:eastAsia="en-US"/>
        </w:rPr>
        <w:t xml:space="preserve"> </w:t>
      </w:r>
      <w:r>
        <w:rPr>
          <w:lang w:eastAsia="en-US"/>
        </w:rPr>
        <w:t>осуществления</w:t>
      </w:r>
    </w:p>
    <w:p w14:paraId="7581048B" w14:textId="77777777" w:rsidR="000C3BBC" w:rsidRPr="0099410C" w:rsidRDefault="000C3BBC" w:rsidP="000C3BBC">
      <w:pPr>
        <w:pStyle w:val="SingleTxtG"/>
        <w:rPr>
          <w:rFonts w:eastAsia="MyriadPro-Regular"/>
        </w:rPr>
      </w:pPr>
      <w:r w:rsidRPr="002C65CF">
        <w:rPr>
          <w:rFonts w:eastAsia="MyriadPro-Regular"/>
        </w:rPr>
        <w:t>42.</w:t>
      </w:r>
      <w:r w:rsidRPr="002C65CF">
        <w:rPr>
          <w:rFonts w:eastAsia="MyriadPro-Regular"/>
        </w:rPr>
        <w:tab/>
      </w:r>
      <w:bookmarkStart w:id="13" w:name="_Ref133325422"/>
      <w:bookmarkStart w:id="14" w:name="_Ref140149671"/>
      <w:r>
        <w:rPr>
          <w:rFonts w:eastAsia="MyriadPro-Regular"/>
        </w:rPr>
        <w:t>Одним из п</w:t>
      </w:r>
      <w:r w:rsidRPr="0099410C">
        <w:rPr>
          <w:rFonts w:eastAsia="MyriadPro-Regular"/>
        </w:rPr>
        <w:t>римеро</w:t>
      </w:r>
      <w:r>
        <w:rPr>
          <w:rFonts w:eastAsia="MyriadPro-Regular"/>
        </w:rPr>
        <w:t>в</w:t>
      </w:r>
      <w:r w:rsidRPr="0099410C">
        <w:rPr>
          <w:rFonts w:eastAsia="MyriadPro-Regular"/>
        </w:rPr>
        <w:t xml:space="preserve"> многочисленных разрабатываемых </w:t>
      </w:r>
      <w:r>
        <w:rPr>
          <w:rFonts w:eastAsia="MyriadPro-Regular"/>
        </w:rPr>
        <w:t>«</w:t>
      </w:r>
      <w:r w:rsidRPr="0099410C">
        <w:rPr>
          <w:rFonts w:eastAsia="MyriadPro-Regular"/>
        </w:rPr>
        <w:t>зеленых</w:t>
      </w:r>
      <w:r>
        <w:rPr>
          <w:rFonts w:eastAsia="MyriadPro-Regular"/>
        </w:rPr>
        <w:t>»</w:t>
      </w:r>
      <w:r w:rsidRPr="0099410C">
        <w:rPr>
          <w:rFonts w:eastAsia="MyriadPro-Regular"/>
        </w:rPr>
        <w:t xml:space="preserve"> таксономий является </w:t>
      </w:r>
      <w:r w:rsidRPr="00874B7A">
        <w:t>Таксономия Европейского союза для устойчивой деятельности</w:t>
      </w:r>
      <w:r w:rsidRPr="00092723">
        <w:rPr>
          <w:rFonts w:eastAsia="MyriadPro-Regular"/>
          <w:vertAlign w:val="superscript"/>
        </w:rPr>
        <w:footnoteReference w:id="72"/>
      </w:r>
      <w:bookmarkEnd w:id="13"/>
      <w:bookmarkEnd w:id="14"/>
      <w:r>
        <w:t>,</w:t>
      </w:r>
      <w:r w:rsidRPr="002C65CF">
        <w:rPr>
          <w:rFonts w:eastAsia="MyriadPro-Regular"/>
        </w:rPr>
        <w:t xml:space="preserve"> </w:t>
      </w:r>
      <w:r>
        <w:rPr>
          <w:rFonts w:eastAsia="MyriadPro-Regular"/>
        </w:rPr>
        <w:t xml:space="preserve">в </w:t>
      </w:r>
      <w:r w:rsidRPr="0099410C">
        <w:rPr>
          <w:rFonts w:eastAsia="MyriadPro-Regular"/>
        </w:rPr>
        <w:t>котор</w:t>
      </w:r>
      <w:r>
        <w:rPr>
          <w:rFonts w:eastAsia="MyriadPro-Regular"/>
        </w:rPr>
        <w:t>ой</w:t>
      </w:r>
      <w:r w:rsidRPr="0099410C">
        <w:rPr>
          <w:rFonts w:eastAsia="MyriadPro-Regular"/>
        </w:rPr>
        <w:t xml:space="preserve"> </w:t>
      </w:r>
      <w:r>
        <w:rPr>
          <w:rFonts w:eastAsia="MyriadPro-Regular"/>
        </w:rPr>
        <w:t>указываются</w:t>
      </w:r>
      <w:r w:rsidRPr="0099410C">
        <w:rPr>
          <w:rFonts w:eastAsia="MyriadPro-Regular"/>
        </w:rPr>
        <w:t xml:space="preserve"> следующие шесть политических целей: смягчение последствий изменения климата; адаптация к изменению климата; устойчивое использование и охрана водных и морских ресурсов; переход к экономике</w:t>
      </w:r>
      <w:r>
        <w:rPr>
          <w:rFonts w:eastAsia="MyriadPro-Regular"/>
        </w:rPr>
        <w:t xml:space="preserve"> замкнутого цикла</w:t>
      </w:r>
      <w:r w:rsidRPr="0099410C">
        <w:rPr>
          <w:rFonts w:eastAsia="MyriadPro-Regular"/>
        </w:rPr>
        <w:t xml:space="preserve">; предотвращение и </w:t>
      </w:r>
      <w:r>
        <w:rPr>
          <w:rFonts w:eastAsia="MyriadPro-Regular"/>
        </w:rPr>
        <w:t>ограничение</w:t>
      </w:r>
      <w:r w:rsidRPr="0099410C">
        <w:rPr>
          <w:rFonts w:eastAsia="MyriadPro-Regular"/>
        </w:rPr>
        <w:t xml:space="preserve"> загрязнения; </w:t>
      </w:r>
      <w:r>
        <w:rPr>
          <w:rFonts w:eastAsia="MyriadPro-Regular"/>
        </w:rPr>
        <w:t xml:space="preserve">и </w:t>
      </w:r>
      <w:r w:rsidRPr="0099410C">
        <w:rPr>
          <w:rFonts w:eastAsia="MyriadPro-Regular"/>
        </w:rPr>
        <w:t>защита и восстановление биоразнообразия и экосистем. В не</w:t>
      </w:r>
      <w:r>
        <w:rPr>
          <w:rFonts w:eastAsia="MyriadPro-Regular"/>
        </w:rPr>
        <w:t>й</w:t>
      </w:r>
      <w:r w:rsidRPr="0099410C">
        <w:rPr>
          <w:rFonts w:eastAsia="MyriadPro-Regular"/>
        </w:rPr>
        <w:t xml:space="preserve"> экономическая деятельность определяется как устойчивая только в том случае, если она</w:t>
      </w:r>
      <w:r w:rsidRPr="002C65CF">
        <w:rPr>
          <w:rFonts w:eastAsia="MyriadPro-Regular"/>
        </w:rPr>
        <w:t>:</w:t>
      </w:r>
    </w:p>
    <w:p w14:paraId="71982C99" w14:textId="77777777" w:rsidR="000C3BBC" w:rsidRPr="00A96A09" w:rsidRDefault="000C3BBC" w:rsidP="000C3BBC">
      <w:pPr>
        <w:pStyle w:val="SingleTxtG"/>
        <w:ind w:firstLine="567"/>
      </w:pPr>
      <w:r w:rsidRPr="00092723">
        <w:t>a</w:t>
      </w:r>
      <w:r w:rsidRPr="00A96A09">
        <w:t>)</w:t>
      </w:r>
      <w:r w:rsidRPr="00A96A09">
        <w:tab/>
      </w:r>
      <w:r>
        <w:t>в</w:t>
      </w:r>
      <w:r w:rsidRPr="00A96A09">
        <w:t xml:space="preserve">носит </w:t>
      </w:r>
      <w:r>
        <w:t>значительный</w:t>
      </w:r>
      <w:r w:rsidRPr="00A96A09">
        <w:t xml:space="preserve"> вклад в достижение хотя бы одной из этих экологических целей; </w:t>
      </w:r>
    </w:p>
    <w:p w14:paraId="75F3DD32" w14:textId="77777777" w:rsidR="000C3BBC" w:rsidRPr="00A96A09" w:rsidRDefault="000C3BBC" w:rsidP="000C3BBC">
      <w:pPr>
        <w:pStyle w:val="SingleTxtG"/>
        <w:ind w:firstLine="567"/>
      </w:pPr>
      <w:r w:rsidRPr="00092723">
        <w:t>b</w:t>
      </w:r>
      <w:r w:rsidRPr="00A96A09">
        <w:t>)</w:t>
      </w:r>
      <w:r w:rsidRPr="00A96A09">
        <w:tab/>
      </w:r>
      <w:r>
        <w:t>н</w:t>
      </w:r>
      <w:r w:rsidRPr="00A96A09">
        <w:t>е наносит</w:t>
      </w:r>
      <w:r>
        <w:t xml:space="preserve"> </w:t>
      </w:r>
      <w:r w:rsidRPr="00A96A09">
        <w:t xml:space="preserve">существенного ущерба другим экологическим целям; </w:t>
      </w:r>
    </w:p>
    <w:p w14:paraId="2779AB7F" w14:textId="77777777" w:rsidR="000C3BBC" w:rsidRPr="00A96A09" w:rsidRDefault="000C3BBC" w:rsidP="000C3BBC">
      <w:pPr>
        <w:pStyle w:val="SingleTxtG"/>
        <w:ind w:firstLine="567"/>
      </w:pPr>
      <w:r w:rsidRPr="00092723">
        <w:t>c</w:t>
      </w:r>
      <w:r w:rsidRPr="00A96A09">
        <w:t>)</w:t>
      </w:r>
      <w:r w:rsidRPr="00A96A09">
        <w:tab/>
      </w:r>
      <w:r>
        <w:t xml:space="preserve">обеспечивает соблюдение </w:t>
      </w:r>
      <w:r w:rsidRPr="00A96A09">
        <w:t>минимальны</w:t>
      </w:r>
      <w:r>
        <w:t>х</w:t>
      </w:r>
      <w:r w:rsidRPr="00A96A09">
        <w:t xml:space="preserve"> социальны</w:t>
      </w:r>
      <w:r>
        <w:t>х</w:t>
      </w:r>
      <w:r w:rsidRPr="00A96A09">
        <w:t xml:space="preserve"> гаранти</w:t>
      </w:r>
      <w:r>
        <w:t>й</w:t>
      </w:r>
      <w:r w:rsidRPr="00A96A09">
        <w:t>;</w:t>
      </w:r>
    </w:p>
    <w:p w14:paraId="01B4E302" w14:textId="77777777" w:rsidR="000C3BBC" w:rsidRPr="00A96A09" w:rsidRDefault="000C3BBC" w:rsidP="000C3BBC">
      <w:pPr>
        <w:pStyle w:val="SingleTxtG"/>
        <w:ind w:firstLine="567"/>
      </w:pPr>
      <w:r w:rsidRPr="00092723">
        <w:t>d</w:t>
      </w:r>
      <w:r w:rsidRPr="00A96A09">
        <w:t>)</w:t>
      </w:r>
      <w:r w:rsidRPr="00A96A09">
        <w:tab/>
      </w:r>
      <w:r>
        <w:t>с</w:t>
      </w:r>
      <w:r w:rsidRPr="00A96A09">
        <w:t xml:space="preserve">оответствует техническим критериям отбора, установленным Европейской комиссией </w:t>
      </w:r>
      <w:r>
        <w:t>в</w:t>
      </w:r>
      <w:r w:rsidRPr="00A96A09">
        <w:t xml:space="preserve"> делегированных акт</w:t>
      </w:r>
      <w:r>
        <w:t>ах</w:t>
      </w:r>
      <w:r w:rsidRPr="00A96A09">
        <w:t>.</w:t>
      </w:r>
    </w:p>
    <w:p w14:paraId="13757C3A" w14:textId="77777777" w:rsidR="000C3BBC" w:rsidRPr="00487077" w:rsidRDefault="000C3BBC" w:rsidP="000C3BBC">
      <w:pPr>
        <w:pStyle w:val="SingleTxtG"/>
        <w:rPr>
          <w:rFonts w:eastAsia="MyriadPro-Regular"/>
        </w:rPr>
      </w:pPr>
      <w:r w:rsidRPr="00487077">
        <w:t>43.</w:t>
      </w:r>
      <w:r w:rsidRPr="00487077">
        <w:tab/>
      </w:r>
      <w:r w:rsidRPr="00E90677">
        <w:rPr>
          <w:color w:val="000000"/>
        </w:rPr>
        <w:t>Таксономия Европейского союза подкрепляется делегированными актами, устанавлива</w:t>
      </w:r>
      <w:r>
        <w:rPr>
          <w:color w:val="000000"/>
        </w:rPr>
        <w:t>ющими</w:t>
      </w:r>
      <w:r w:rsidRPr="00E90677">
        <w:rPr>
          <w:color w:val="000000"/>
        </w:rPr>
        <w:t xml:space="preserve"> технические критерии отбора, которым должна удовлетворять та или иная экономическая деятельность, чтобы считаться устойчивой</w:t>
      </w:r>
      <w:r w:rsidRPr="00092723">
        <w:rPr>
          <w:rFonts w:eastAsia="MyriadPro-Regular"/>
          <w:vertAlign w:val="superscript"/>
        </w:rPr>
        <w:footnoteReference w:id="73"/>
      </w:r>
      <w:r>
        <w:rPr>
          <w:color w:val="000000"/>
        </w:rPr>
        <w:t>.</w:t>
      </w:r>
      <w:r w:rsidRPr="00487077">
        <w:rPr>
          <w:rFonts w:eastAsia="MyriadPro-Regular"/>
        </w:rPr>
        <w:t xml:space="preserve"> </w:t>
      </w:r>
      <w:r>
        <w:rPr>
          <w:color w:val="000000"/>
        </w:rPr>
        <w:t>Поэтому</w:t>
      </w:r>
      <w:r w:rsidRPr="00E90677">
        <w:rPr>
          <w:color w:val="000000"/>
        </w:rPr>
        <w:t xml:space="preserve"> подобные таксономии начнут оказывать влияние на инвестиции со стороны банков</w:t>
      </w:r>
      <w:r w:rsidRPr="00487077">
        <w:rPr>
          <w:rFonts w:eastAsia="MyriadPro-Regular"/>
        </w:rPr>
        <w:t>.</w:t>
      </w:r>
    </w:p>
    <w:p w14:paraId="1D2B6EE7" w14:textId="77777777" w:rsidR="000C3BBC" w:rsidRPr="009C35F3" w:rsidRDefault="000C3BBC" w:rsidP="000C3BBC">
      <w:pPr>
        <w:pStyle w:val="SingleTxtG"/>
        <w:rPr>
          <w:shd w:val="clear" w:color="auto" w:fill="FFFFFF"/>
        </w:rPr>
      </w:pPr>
      <w:r w:rsidRPr="00633E4B">
        <w:rPr>
          <w:color w:val="000000"/>
        </w:rPr>
        <w:t>44.</w:t>
      </w:r>
      <w:r w:rsidRPr="00633E4B">
        <w:rPr>
          <w:color w:val="000000"/>
        </w:rPr>
        <w:tab/>
      </w:r>
      <w:r w:rsidRPr="009C35F3">
        <w:rPr>
          <w:shd w:val="clear" w:color="auto" w:fill="FFFFFF"/>
        </w:rPr>
        <w:t>В январе 2023 года вступила в силу Директива Европейского союза о корпоративно</w:t>
      </w:r>
      <w:r>
        <w:rPr>
          <w:shd w:val="clear" w:color="auto" w:fill="FFFFFF"/>
        </w:rPr>
        <w:t>й</w:t>
      </w:r>
      <w:r w:rsidRPr="009C35F3">
        <w:rPr>
          <w:shd w:val="clear" w:color="auto" w:fill="FFFFFF"/>
        </w:rPr>
        <w:t xml:space="preserve"> устойчиво</w:t>
      </w:r>
      <w:r>
        <w:rPr>
          <w:shd w:val="clear" w:color="auto" w:fill="FFFFFF"/>
        </w:rPr>
        <w:t>сти</w:t>
      </w:r>
      <w:r w:rsidRPr="00092723">
        <w:rPr>
          <w:rFonts w:eastAsia="MyriadPro-Regular"/>
          <w:vertAlign w:val="superscript"/>
        </w:rPr>
        <w:footnoteReference w:id="74"/>
      </w:r>
      <w:r>
        <w:rPr>
          <w:shd w:val="clear" w:color="auto" w:fill="FFFFFF"/>
        </w:rPr>
        <w:t>,</w:t>
      </w:r>
      <w:r w:rsidRPr="00633E4B">
        <w:rPr>
          <w:rFonts w:eastAsia="MyriadPro-Regular"/>
        </w:rPr>
        <w:t xml:space="preserve"> </w:t>
      </w:r>
      <w:r w:rsidRPr="009C35F3">
        <w:rPr>
          <w:shd w:val="clear" w:color="auto" w:fill="FFFFFF"/>
        </w:rPr>
        <w:t xml:space="preserve">которая обязывает предприятия определенного размера представлять отчетность </w:t>
      </w:r>
      <w:r>
        <w:rPr>
          <w:shd w:val="clear" w:color="auto" w:fill="FFFFFF"/>
        </w:rPr>
        <w:t>по этой теме</w:t>
      </w:r>
      <w:r w:rsidRPr="009C35F3">
        <w:rPr>
          <w:shd w:val="clear" w:color="auto" w:fill="FFFFFF"/>
        </w:rPr>
        <w:t xml:space="preserve">. </w:t>
      </w:r>
      <w:r>
        <w:rPr>
          <w:shd w:val="clear" w:color="auto" w:fill="FFFFFF"/>
        </w:rPr>
        <w:t>Процедуры</w:t>
      </w:r>
      <w:r w:rsidRPr="00633E4B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представления</w:t>
      </w:r>
      <w:r w:rsidRPr="00633E4B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Pr="009C35F3">
        <w:rPr>
          <w:shd w:val="clear" w:color="auto" w:fill="FFFFFF"/>
        </w:rPr>
        <w:t>тчетност</w:t>
      </w:r>
      <w:r>
        <w:rPr>
          <w:shd w:val="clear" w:color="auto" w:fill="FFFFFF"/>
        </w:rPr>
        <w:t>и</w:t>
      </w:r>
      <w:r w:rsidRPr="00633E4B">
        <w:rPr>
          <w:shd w:val="clear" w:color="auto" w:fill="FFFFFF"/>
        </w:rPr>
        <w:t xml:space="preserve"> </w:t>
      </w:r>
      <w:r w:rsidRPr="009C35F3">
        <w:rPr>
          <w:shd w:val="clear" w:color="auto" w:fill="FFFFFF"/>
        </w:rPr>
        <w:lastRenderedPageBreak/>
        <w:t>буд</w:t>
      </w:r>
      <w:r>
        <w:rPr>
          <w:shd w:val="clear" w:color="auto" w:fill="FFFFFF"/>
        </w:rPr>
        <w:t>у</w:t>
      </w:r>
      <w:r w:rsidRPr="009C35F3">
        <w:rPr>
          <w:shd w:val="clear" w:color="auto" w:fill="FFFFFF"/>
        </w:rPr>
        <w:t>т</w:t>
      </w:r>
      <w:r w:rsidRPr="00633E4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регламентироваться</w:t>
      </w:r>
      <w:r w:rsidRPr="00633E4B">
        <w:rPr>
          <w:shd w:val="clear" w:color="auto" w:fill="FFFFFF"/>
        </w:rPr>
        <w:t xml:space="preserve"> </w:t>
      </w:r>
      <w:r>
        <w:rPr>
          <w:shd w:val="clear" w:color="auto" w:fill="FFFFFF"/>
        </w:rPr>
        <w:t>е</w:t>
      </w:r>
      <w:r w:rsidRPr="009C35F3">
        <w:rPr>
          <w:shd w:val="clear" w:color="auto" w:fill="FFFFFF"/>
        </w:rPr>
        <w:t>вропейски</w:t>
      </w:r>
      <w:r>
        <w:rPr>
          <w:shd w:val="clear" w:color="auto" w:fill="FFFFFF"/>
        </w:rPr>
        <w:t>ми</w:t>
      </w:r>
      <w:r w:rsidRPr="00633E4B">
        <w:rPr>
          <w:shd w:val="clear" w:color="auto" w:fill="FFFFFF"/>
        </w:rPr>
        <w:t xml:space="preserve"> </w:t>
      </w:r>
      <w:r w:rsidRPr="009C35F3">
        <w:rPr>
          <w:shd w:val="clear" w:color="auto" w:fill="FFFFFF"/>
        </w:rPr>
        <w:t>стандарт</w:t>
      </w:r>
      <w:r>
        <w:rPr>
          <w:shd w:val="clear" w:color="auto" w:fill="FFFFFF"/>
        </w:rPr>
        <w:t>ами</w:t>
      </w:r>
      <w:r w:rsidRPr="00633E4B">
        <w:rPr>
          <w:shd w:val="clear" w:color="auto" w:fill="FFFFFF"/>
        </w:rPr>
        <w:t xml:space="preserve"> </w:t>
      </w:r>
      <w:r w:rsidRPr="009C35F3">
        <w:rPr>
          <w:shd w:val="clear" w:color="auto" w:fill="FFFFFF"/>
        </w:rPr>
        <w:t>отчетности</w:t>
      </w:r>
      <w:r w:rsidRPr="00633E4B">
        <w:rPr>
          <w:shd w:val="clear" w:color="auto" w:fill="FFFFFF"/>
        </w:rPr>
        <w:t xml:space="preserve"> </w:t>
      </w:r>
      <w:r w:rsidRPr="009C35F3">
        <w:rPr>
          <w:shd w:val="clear" w:color="auto" w:fill="FFFFFF"/>
        </w:rPr>
        <w:t>по</w:t>
      </w:r>
      <w:r w:rsidRPr="00633E4B">
        <w:rPr>
          <w:shd w:val="clear" w:color="auto" w:fill="FFFFFF"/>
        </w:rPr>
        <w:t xml:space="preserve"> </w:t>
      </w:r>
      <w:r w:rsidRPr="009C35F3">
        <w:rPr>
          <w:shd w:val="clear" w:color="auto" w:fill="FFFFFF"/>
        </w:rPr>
        <w:t>вопросам</w:t>
      </w:r>
      <w:r w:rsidRPr="00633E4B">
        <w:rPr>
          <w:shd w:val="clear" w:color="auto" w:fill="FFFFFF"/>
        </w:rPr>
        <w:t xml:space="preserve"> </w:t>
      </w:r>
      <w:r w:rsidRPr="009C35F3">
        <w:rPr>
          <w:shd w:val="clear" w:color="auto" w:fill="FFFFFF"/>
        </w:rPr>
        <w:t>устойчивости</w:t>
      </w:r>
      <w:r w:rsidRPr="00633E4B">
        <w:rPr>
          <w:shd w:val="clear" w:color="auto" w:fill="FFFFFF"/>
        </w:rPr>
        <w:t xml:space="preserve"> (</w:t>
      </w:r>
      <w:r>
        <w:rPr>
          <w:shd w:val="clear" w:color="auto" w:fill="FFFFFF"/>
        </w:rPr>
        <w:t>первый</w:t>
      </w:r>
      <w:r w:rsidRPr="00633E4B">
        <w:rPr>
          <w:shd w:val="clear" w:color="auto" w:fill="FFFFFF"/>
        </w:rPr>
        <w:t xml:space="preserve"> </w:t>
      </w:r>
      <w:r w:rsidRPr="009C35F3">
        <w:rPr>
          <w:shd w:val="clear" w:color="auto" w:fill="FFFFFF"/>
        </w:rPr>
        <w:t>проект</w:t>
      </w:r>
      <w:r w:rsidRPr="00633E4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ряда</w:t>
      </w:r>
      <w:r w:rsidRPr="00633E4B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стандартов</w:t>
      </w:r>
      <w:r w:rsidRPr="00633E4B">
        <w:rPr>
          <w:shd w:val="clear" w:color="auto" w:fill="FFFFFF"/>
        </w:rPr>
        <w:t xml:space="preserve"> </w:t>
      </w:r>
      <w:r w:rsidRPr="009C35F3">
        <w:rPr>
          <w:shd w:val="clear" w:color="auto" w:fill="FFFFFF"/>
        </w:rPr>
        <w:t>уже</w:t>
      </w:r>
      <w:r w:rsidRPr="00633E4B">
        <w:rPr>
          <w:shd w:val="clear" w:color="auto" w:fill="FFFFFF"/>
        </w:rPr>
        <w:t xml:space="preserve"> </w:t>
      </w:r>
      <w:r w:rsidRPr="009C35F3">
        <w:rPr>
          <w:shd w:val="clear" w:color="auto" w:fill="FFFFFF"/>
        </w:rPr>
        <w:t>опубликован</w:t>
      </w:r>
      <w:r w:rsidRPr="00633E4B">
        <w:rPr>
          <w:shd w:val="clear" w:color="auto" w:fill="FFFFFF"/>
        </w:rPr>
        <w:t>)</w:t>
      </w:r>
      <w:r w:rsidRPr="00092723">
        <w:rPr>
          <w:rFonts w:eastAsia="MyriadPro-Regular"/>
          <w:vertAlign w:val="superscript"/>
        </w:rPr>
        <w:footnoteReference w:id="75"/>
      </w:r>
      <w:r>
        <w:rPr>
          <w:shd w:val="clear" w:color="auto" w:fill="FFFFFF"/>
        </w:rPr>
        <w:t>,</w:t>
      </w:r>
      <w:r w:rsidRPr="00633E4B">
        <w:rPr>
          <w:rFonts w:eastAsia="MyriadPro-Regular"/>
        </w:rPr>
        <w:t xml:space="preserve"> </w:t>
      </w:r>
      <w:r>
        <w:rPr>
          <w:shd w:val="clear" w:color="auto" w:fill="FFFFFF"/>
        </w:rPr>
        <w:t>подготовленными</w:t>
      </w:r>
      <w:r w:rsidRPr="009C35F3">
        <w:rPr>
          <w:shd w:val="clear" w:color="auto" w:fill="FFFFFF"/>
        </w:rPr>
        <w:t xml:space="preserve"> Европейской консультативной группой по финансовой отчетности </w:t>
      </w:r>
      <w:r>
        <w:rPr>
          <w:shd w:val="clear" w:color="auto" w:fill="FFFFFF"/>
        </w:rPr>
        <w:t>—</w:t>
      </w:r>
      <w:r w:rsidRPr="009C35F3">
        <w:rPr>
          <w:shd w:val="clear" w:color="auto" w:fill="FFFFFF"/>
        </w:rPr>
        <w:t xml:space="preserve"> независимым органом, который также опирается на международные стандарты отчетности по вопросам устойчивости, разрабатываемые Международным советом по стандартам устойчиво</w:t>
      </w:r>
      <w:r>
        <w:rPr>
          <w:shd w:val="clear" w:color="auto" w:fill="FFFFFF"/>
        </w:rPr>
        <w:t>сти</w:t>
      </w:r>
      <w:r w:rsidRPr="009C35F3">
        <w:rPr>
          <w:shd w:val="clear" w:color="auto" w:fill="FFFFFF"/>
        </w:rPr>
        <w:t xml:space="preserve"> (</w:t>
      </w:r>
      <w:r>
        <w:rPr>
          <w:shd w:val="clear" w:color="auto" w:fill="FFFFFF"/>
        </w:rPr>
        <w:t>созданным</w:t>
      </w:r>
      <w:r w:rsidRPr="009C35F3">
        <w:rPr>
          <w:shd w:val="clear" w:color="auto" w:fill="FFFFFF"/>
        </w:rPr>
        <w:t xml:space="preserve"> 3 ноября 2021 г</w:t>
      </w:r>
      <w:r>
        <w:rPr>
          <w:shd w:val="clear" w:color="auto" w:fill="FFFFFF"/>
        </w:rPr>
        <w:t>ода</w:t>
      </w:r>
      <w:r w:rsidRPr="009C35F3">
        <w:rPr>
          <w:shd w:val="clear" w:color="auto" w:fill="FFFFFF"/>
        </w:rPr>
        <w:t xml:space="preserve"> на двадцать шестой сессии Конференции </w:t>
      </w:r>
      <w:r>
        <w:rPr>
          <w:shd w:val="clear" w:color="auto" w:fill="FFFFFF"/>
        </w:rPr>
        <w:t>С</w:t>
      </w:r>
      <w:r w:rsidRPr="009C35F3">
        <w:rPr>
          <w:shd w:val="clear" w:color="auto" w:fill="FFFFFF"/>
        </w:rPr>
        <w:t>торон РКИКООН), и вносит свой вклад</w:t>
      </w:r>
      <w:r>
        <w:rPr>
          <w:shd w:val="clear" w:color="auto" w:fill="FFFFFF"/>
        </w:rPr>
        <w:t xml:space="preserve"> в их развитие</w:t>
      </w:r>
      <w:r w:rsidRPr="009C35F3">
        <w:rPr>
          <w:shd w:val="clear" w:color="auto" w:fill="FFFFFF"/>
        </w:rPr>
        <w:t xml:space="preserve">. Эти стандарты отчетности </w:t>
      </w:r>
      <w:r>
        <w:rPr>
          <w:shd w:val="clear" w:color="auto" w:fill="FFFFFF"/>
        </w:rPr>
        <w:t>основываются на</w:t>
      </w:r>
      <w:r w:rsidRPr="009C35F3">
        <w:rPr>
          <w:shd w:val="clear" w:color="auto" w:fill="FFFFFF"/>
        </w:rPr>
        <w:t xml:space="preserve"> концепци</w:t>
      </w:r>
      <w:r>
        <w:rPr>
          <w:shd w:val="clear" w:color="auto" w:fill="FFFFFF"/>
        </w:rPr>
        <w:t>и</w:t>
      </w:r>
      <w:r w:rsidRPr="009C35F3">
        <w:rPr>
          <w:shd w:val="clear" w:color="auto" w:fill="FFFFFF"/>
        </w:rPr>
        <w:t xml:space="preserve"> двойной существенности, </w:t>
      </w:r>
      <w:r>
        <w:rPr>
          <w:shd w:val="clear" w:color="auto" w:fill="FFFFFF"/>
        </w:rPr>
        <w:t>предусматривающей</w:t>
      </w:r>
      <w:r w:rsidRPr="009C35F3">
        <w:rPr>
          <w:shd w:val="clear" w:color="auto" w:fill="FFFFFF"/>
        </w:rPr>
        <w:t xml:space="preserve"> необходимо</w:t>
      </w:r>
      <w:r>
        <w:rPr>
          <w:shd w:val="clear" w:color="auto" w:fill="FFFFFF"/>
        </w:rPr>
        <w:t>сть</w:t>
      </w:r>
      <w:r w:rsidRPr="009C35F3">
        <w:rPr>
          <w:shd w:val="clear" w:color="auto" w:fill="FFFFFF"/>
        </w:rPr>
        <w:t xml:space="preserve"> уч</w:t>
      </w:r>
      <w:r>
        <w:rPr>
          <w:shd w:val="clear" w:color="auto" w:fill="FFFFFF"/>
        </w:rPr>
        <w:t>ета</w:t>
      </w:r>
      <w:r w:rsidRPr="009C35F3">
        <w:rPr>
          <w:shd w:val="clear" w:color="auto" w:fill="FFFFFF"/>
        </w:rPr>
        <w:t xml:space="preserve"> влияни</w:t>
      </w:r>
      <w:r>
        <w:rPr>
          <w:shd w:val="clear" w:color="auto" w:fill="FFFFFF"/>
        </w:rPr>
        <w:t>я</w:t>
      </w:r>
      <w:r w:rsidRPr="009C35F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предприятия</w:t>
      </w:r>
      <w:r w:rsidRPr="009C35F3">
        <w:rPr>
          <w:shd w:val="clear" w:color="auto" w:fill="FFFFFF"/>
        </w:rPr>
        <w:t xml:space="preserve"> (и его деятельности) на вопросы устойчиво</w:t>
      </w:r>
      <w:r>
        <w:rPr>
          <w:shd w:val="clear" w:color="auto" w:fill="FFFFFF"/>
        </w:rPr>
        <w:t xml:space="preserve">сти </w:t>
      </w:r>
      <w:r w:rsidRPr="009C35F3">
        <w:rPr>
          <w:shd w:val="clear" w:color="auto" w:fill="FFFFFF"/>
        </w:rPr>
        <w:t>(</w:t>
      </w:r>
      <w:r>
        <w:rPr>
          <w:shd w:val="clear" w:color="auto" w:fill="FFFFFF"/>
        </w:rPr>
        <w:t>«</w:t>
      </w:r>
      <w:r w:rsidRPr="009C35F3">
        <w:rPr>
          <w:shd w:val="clear" w:color="auto" w:fill="FFFFFF"/>
        </w:rPr>
        <w:t>существенность влияния</w:t>
      </w:r>
      <w:r>
        <w:rPr>
          <w:shd w:val="clear" w:color="auto" w:fill="FFFFFF"/>
        </w:rPr>
        <w:t>»</w:t>
      </w:r>
      <w:r w:rsidRPr="009C35F3">
        <w:rPr>
          <w:shd w:val="clear" w:color="auto" w:fill="FFFFFF"/>
        </w:rPr>
        <w:t xml:space="preserve">), а также </w:t>
      </w:r>
      <w:r>
        <w:rPr>
          <w:shd w:val="clear" w:color="auto" w:fill="FFFFFF"/>
        </w:rPr>
        <w:t xml:space="preserve">характера воздействия последних на само предприятие </w:t>
      </w:r>
      <w:r w:rsidRPr="009C35F3">
        <w:rPr>
          <w:shd w:val="clear" w:color="auto" w:fill="FFFFFF"/>
        </w:rPr>
        <w:t>и его деятельность (</w:t>
      </w:r>
      <w:r>
        <w:rPr>
          <w:shd w:val="clear" w:color="auto" w:fill="FFFFFF"/>
        </w:rPr>
        <w:t>«</w:t>
      </w:r>
      <w:r w:rsidRPr="009C35F3">
        <w:rPr>
          <w:shd w:val="clear" w:color="auto" w:fill="FFFFFF"/>
        </w:rPr>
        <w:t>финансовая существенность</w:t>
      </w:r>
      <w:r>
        <w:rPr>
          <w:shd w:val="clear" w:color="auto" w:fill="FFFFFF"/>
        </w:rPr>
        <w:t>»</w:t>
      </w:r>
      <w:r w:rsidRPr="009C35F3">
        <w:rPr>
          <w:shd w:val="clear" w:color="auto" w:fill="FFFFFF"/>
        </w:rPr>
        <w:t xml:space="preserve">). Несмотря на то, что стандарты отчетности не оказывают прямого </w:t>
      </w:r>
      <w:r>
        <w:rPr>
          <w:shd w:val="clear" w:color="auto" w:fill="FFFFFF"/>
        </w:rPr>
        <w:t>воздействия</w:t>
      </w:r>
      <w:r w:rsidRPr="009C35F3">
        <w:rPr>
          <w:shd w:val="clear" w:color="auto" w:fill="FFFFFF"/>
        </w:rPr>
        <w:t xml:space="preserve"> на зеленое финансирование, предприятия неизбежно будут стремиться обеспечить</w:t>
      </w:r>
      <w:r>
        <w:rPr>
          <w:shd w:val="clear" w:color="auto" w:fill="FFFFFF"/>
        </w:rPr>
        <w:t>, чтобы в отчетности использованные инвестиции</w:t>
      </w:r>
      <w:r w:rsidRPr="009C35F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могли быть отражены в благоприятном свете, </w:t>
      </w:r>
      <w:r w:rsidRPr="009C35F3">
        <w:rPr>
          <w:shd w:val="clear" w:color="auto" w:fill="FFFFFF"/>
        </w:rPr>
        <w:t xml:space="preserve">если впоследствии </w:t>
      </w:r>
      <w:r>
        <w:rPr>
          <w:shd w:val="clear" w:color="auto" w:fill="FFFFFF"/>
        </w:rPr>
        <w:t>и потребуется направлять</w:t>
      </w:r>
      <w:r w:rsidRPr="009C35F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сведения по ним</w:t>
      </w:r>
      <w:r w:rsidRPr="00633E4B">
        <w:rPr>
          <w:shd w:val="clear" w:color="auto" w:fill="FFFFFF"/>
        </w:rPr>
        <w:t>.</w:t>
      </w:r>
    </w:p>
    <w:p w14:paraId="264A5662" w14:textId="77777777" w:rsidR="000C3BBC" w:rsidRPr="00807CBF" w:rsidRDefault="000C3BBC" w:rsidP="000C3BBC">
      <w:pPr>
        <w:pStyle w:val="SingleTxtG"/>
        <w:rPr>
          <w:shd w:val="clear" w:color="auto" w:fill="FFFFFF"/>
        </w:rPr>
      </w:pPr>
      <w:r w:rsidRPr="00807CBF">
        <w:rPr>
          <w:shd w:val="clear" w:color="auto" w:fill="FFFFFF"/>
        </w:rPr>
        <w:t>45.</w:t>
      </w:r>
      <w:r w:rsidRPr="00807CBF">
        <w:rPr>
          <w:shd w:val="clear" w:color="auto" w:fill="FFFFFF"/>
        </w:rPr>
        <w:tab/>
      </w:r>
      <w:r w:rsidRPr="000B3184">
        <w:rPr>
          <w:color w:val="000000"/>
        </w:rPr>
        <w:t xml:space="preserve">Таким образом, зеленое финансирование будет </w:t>
      </w:r>
      <w:r>
        <w:rPr>
          <w:color w:val="000000"/>
        </w:rPr>
        <w:t xml:space="preserve">во </w:t>
      </w:r>
      <w:r w:rsidRPr="000B3184">
        <w:rPr>
          <w:color w:val="000000"/>
        </w:rPr>
        <w:t>все больше</w:t>
      </w:r>
      <w:r>
        <w:rPr>
          <w:color w:val="000000"/>
        </w:rPr>
        <w:t>й степени предусматривать необходимость</w:t>
      </w:r>
      <w:r w:rsidRPr="000B3184">
        <w:rPr>
          <w:color w:val="000000"/>
        </w:rPr>
        <w:t xml:space="preserve"> учета экологических, социальных и управленческих аспектов в инвестициях, которые могут быть осуществлены банками (</w:t>
      </w:r>
      <w:r>
        <w:rPr>
          <w:color w:val="000000"/>
        </w:rPr>
        <w:t>после</w:t>
      </w:r>
      <w:r w:rsidRPr="000B3184">
        <w:rPr>
          <w:color w:val="000000"/>
        </w:rPr>
        <w:t xml:space="preserve"> оценки их устойчивости), и влиять на инвестиционные решения, принимаемые предприятиями, поскольку впоследствии они должны будут отчитываться об устойчивости </w:t>
      </w:r>
      <w:r>
        <w:rPr>
          <w:color w:val="000000"/>
        </w:rPr>
        <w:t>осуществляемой в этом контексте</w:t>
      </w:r>
      <w:r w:rsidRPr="000B3184">
        <w:rPr>
          <w:color w:val="000000"/>
        </w:rPr>
        <w:t xml:space="preserve"> деятельности (</w:t>
      </w:r>
      <w:r>
        <w:rPr>
          <w:color w:val="000000"/>
        </w:rPr>
        <w:t xml:space="preserve">подвергаясь при этом </w:t>
      </w:r>
      <w:r w:rsidRPr="000B3184">
        <w:rPr>
          <w:color w:val="000000"/>
        </w:rPr>
        <w:t xml:space="preserve">риску вызвать недовольство акционеров в случае </w:t>
      </w:r>
      <w:r>
        <w:rPr>
          <w:color w:val="000000"/>
        </w:rPr>
        <w:t xml:space="preserve">ее </w:t>
      </w:r>
      <w:r w:rsidRPr="000B3184">
        <w:rPr>
          <w:color w:val="000000"/>
        </w:rPr>
        <w:t>недостаточной устойчивости)</w:t>
      </w:r>
      <w:r w:rsidRPr="00807CBF">
        <w:rPr>
          <w:shd w:val="clear" w:color="auto" w:fill="FFFFFF"/>
        </w:rPr>
        <w:t>.</w:t>
      </w:r>
    </w:p>
    <w:p w14:paraId="0CE0A580" w14:textId="16F9269C" w:rsidR="000C3BBC" w:rsidRPr="00807CBF" w:rsidRDefault="000C3BBC" w:rsidP="000C3BBC">
      <w:pPr>
        <w:pStyle w:val="H1G"/>
        <w:rPr>
          <w:color w:val="000000"/>
          <w:lang w:eastAsia="en-US"/>
        </w:rPr>
      </w:pPr>
      <w:r w:rsidRPr="000B3184">
        <w:rPr>
          <w:color w:val="000000"/>
          <w:lang w:eastAsia="en-US"/>
        </w:rPr>
        <w:tab/>
      </w:r>
      <w:r w:rsidRPr="00092723">
        <w:rPr>
          <w:color w:val="000000"/>
          <w:lang w:eastAsia="en-US"/>
        </w:rPr>
        <w:t>C</w:t>
      </w:r>
      <w:r w:rsidRPr="00807CBF">
        <w:rPr>
          <w:color w:val="000000"/>
          <w:lang w:eastAsia="en-US"/>
        </w:rPr>
        <w:t>.</w:t>
      </w:r>
      <w:r w:rsidRPr="00807CBF">
        <w:rPr>
          <w:color w:val="000000"/>
          <w:lang w:eastAsia="en-US"/>
        </w:rPr>
        <w:tab/>
      </w:r>
      <w:r w:rsidRPr="00807CBF">
        <w:rPr>
          <w:lang w:eastAsia="en-US"/>
        </w:rPr>
        <w:t>Роль, преимущества и дальнейший потенциал Конвенции и</w:t>
      </w:r>
      <w:r w:rsidR="00340A9D">
        <w:rPr>
          <w:lang w:val="en-US" w:eastAsia="en-US"/>
        </w:rPr>
        <w:t> </w:t>
      </w:r>
      <w:r w:rsidRPr="00807CBF">
        <w:rPr>
          <w:lang w:eastAsia="en-US"/>
        </w:rPr>
        <w:t xml:space="preserve">Протокола в </w:t>
      </w:r>
      <w:r>
        <w:rPr>
          <w:lang w:eastAsia="en-US"/>
        </w:rPr>
        <w:t>поощрении</w:t>
      </w:r>
      <w:r w:rsidRPr="00807CBF">
        <w:rPr>
          <w:lang w:eastAsia="en-US"/>
        </w:rPr>
        <w:t xml:space="preserve"> зеленого финансирования</w:t>
      </w:r>
    </w:p>
    <w:p w14:paraId="2139E64F" w14:textId="64A2417E" w:rsidR="000C3BBC" w:rsidRPr="00B13851" w:rsidRDefault="000C3BBC" w:rsidP="000C3BBC">
      <w:pPr>
        <w:pStyle w:val="SingleTxtG"/>
      </w:pPr>
      <w:r w:rsidRPr="00355F52">
        <w:t>46.</w:t>
      </w:r>
      <w:r w:rsidRPr="00355F52">
        <w:tab/>
      </w:r>
      <w:r>
        <w:t>Согласно</w:t>
      </w:r>
      <w:r w:rsidRPr="00B13851">
        <w:t xml:space="preserve"> определению</w:t>
      </w:r>
      <w:r>
        <w:t>, разработанному</w:t>
      </w:r>
      <w:r w:rsidRPr="00B13851">
        <w:t xml:space="preserve"> тре</w:t>
      </w:r>
      <w:r>
        <w:t>мя</w:t>
      </w:r>
      <w:r w:rsidRPr="00B13851">
        <w:t xml:space="preserve"> надзорны</w:t>
      </w:r>
      <w:r>
        <w:t>ми</w:t>
      </w:r>
      <w:r w:rsidRPr="00B13851">
        <w:t xml:space="preserve"> орган</w:t>
      </w:r>
      <w:r>
        <w:t>ами</w:t>
      </w:r>
      <w:r w:rsidRPr="00B13851">
        <w:t xml:space="preserve"> Европейского союза (Европейск</w:t>
      </w:r>
      <w:r>
        <w:t>им</w:t>
      </w:r>
      <w:r w:rsidRPr="00B13851">
        <w:t xml:space="preserve"> управлени</w:t>
      </w:r>
      <w:r>
        <w:t>ем</w:t>
      </w:r>
      <w:r w:rsidRPr="00B13851">
        <w:t xml:space="preserve"> по страхованию и профессиональным пенсиям, Европейск</w:t>
      </w:r>
      <w:r>
        <w:t>им</w:t>
      </w:r>
      <w:r w:rsidRPr="00B13851">
        <w:t xml:space="preserve"> банковск</w:t>
      </w:r>
      <w:r>
        <w:t>им</w:t>
      </w:r>
      <w:r w:rsidRPr="00B13851">
        <w:t xml:space="preserve"> управлени</w:t>
      </w:r>
      <w:r>
        <w:t>ем</w:t>
      </w:r>
      <w:r w:rsidRPr="00B13851">
        <w:t>, Европейск</w:t>
      </w:r>
      <w:r>
        <w:t>им</w:t>
      </w:r>
      <w:r w:rsidRPr="00B13851">
        <w:t xml:space="preserve"> управлени</w:t>
      </w:r>
      <w:r>
        <w:t>ем</w:t>
      </w:r>
      <w:r w:rsidRPr="00B13851">
        <w:t xml:space="preserve"> по ценным бумагам и рынкам), </w:t>
      </w:r>
      <w:r>
        <w:t>«</w:t>
      </w:r>
      <w:r w:rsidRPr="001C7831">
        <w:t>"</w:t>
      </w:r>
      <w:r w:rsidRPr="00B13851">
        <w:t>зелены</w:t>
      </w:r>
      <w:r>
        <w:t>й</w:t>
      </w:r>
      <w:r w:rsidRPr="00B13851">
        <w:t xml:space="preserve"> камуфляж"</w:t>
      </w:r>
      <w:r>
        <w:t>»</w:t>
      </w:r>
      <w:r w:rsidRPr="00B13851">
        <w:t xml:space="preserve"> </w:t>
      </w:r>
      <w:r>
        <w:t>—</w:t>
      </w:r>
      <w:r w:rsidRPr="00B13851">
        <w:t xml:space="preserve"> это </w:t>
      </w:r>
      <w:r>
        <w:t>«</w:t>
      </w:r>
      <w:r w:rsidRPr="00B13851">
        <w:t>практика,</w:t>
      </w:r>
      <w:r>
        <w:t xml:space="preserve"> </w:t>
      </w:r>
      <w:r w:rsidRPr="00B13851">
        <w:t xml:space="preserve">при которой заявления, декларации, действия или </w:t>
      </w:r>
      <w:r>
        <w:t>сообщения</w:t>
      </w:r>
      <w:r w:rsidRPr="00B13851">
        <w:t>, связанные с устойчив</w:t>
      </w:r>
      <w:r>
        <w:t>остью</w:t>
      </w:r>
      <w:r w:rsidRPr="00B13851">
        <w:t>, четко и объективно не отражают</w:t>
      </w:r>
      <w:r>
        <w:t xml:space="preserve"> </w:t>
      </w:r>
      <w:r w:rsidRPr="00B13851">
        <w:t>базовый профиль устойчивого развития компании, финансового продукта или финансовых услуг. Такая практика может вводить в заблуждение потребителей, инвесторов или других участников рынка</w:t>
      </w:r>
      <w:r>
        <w:t>»</w:t>
      </w:r>
      <w:r w:rsidRPr="00092723">
        <w:rPr>
          <w:vertAlign w:val="superscript"/>
        </w:rPr>
        <w:footnoteReference w:id="76"/>
      </w:r>
      <w:r>
        <w:t xml:space="preserve">. </w:t>
      </w:r>
      <w:r w:rsidRPr="00B13851">
        <w:t xml:space="preserve">Значительную озабоченность у общественности вызывает </w:t>
      </w:r>
      <w:r>
        <w:t>потенциальный</w:t>
      </w:r>
      <w:r w:rsidRPr="00B13851">
        <w:t xml:space="preserve"> </w:t>
      </w:r>
      <w:r>
        <w:t>«</w:t>
      </w:r>
      <w:r w:rsidRPr="00B13851">
        <w:t>зелены</w:t>
      </w:r>
      <w:r>
        <w:t>й</w:t>
      </w:r>
      <w:r w:rsidRPr="00B13851">
        <w:t xml:space="preserve"> камуфляж</w:t>
      </w:r>
      <w:r>
        <w:t>»</w:t>
      </w:r>
      <w:r w:rsidRPr="00B13851">
        <w:t>, связанн</w:t>
      </w:r>
      <w:r>
        <w:t>ый</w:t>
      </w:r>
      <w:r w:rsidRPr="00B13851">
        <w:t xml:space="preserve"> с заявлениями об устойчиво</w:t>
      </w:r>
      <w:r>
        <w:t>сти</w:t>
      </w:r>
      <w:r w:rsidRPr="00B13851">
        <w:t xml:space="preserve">, относящимися к финансированию или отчетности. </w:t>
      </w:r>
      <w:r>
        <w:t>Согласно</w:t>
      </w:r>
      <w:r w:rsidRPr="00B13851">
        <w:t xml:space="preserve"> результатам одного из опросов, проведенн</w:t>
      </w:r>
      <w:r>
        <w:t>ых</w:t>
      </w:r>
      <w:r w:rsidRPr="00B13851">
        <w:t xml:space="preserve"> Европейским управлением по страхованию и трудовым пенсиям, 63</w:t>
      </w:r>
      <w:r>
        <w:t xml:space="preserve"> </w:t>
      </w:r>
      <w:r w:rsidRPr="00B13851">
        <w:t>% потребителей заявили</w:t>
      </w:r>
      <w:r>
        <w:t xml:space="preserve"> о том</w:t>
      </w:r>
      <w:r w:rsidRPr="00B13851">
        <w:t xml:space="preserve">, что </w:t>
      </w:r>
      <w:r>
        <w:t xml:space="preserve">они </w:t>
      </w:r>
      <w:r w:rsidRPr="00B13851">
        <w:t>не доверяют заявлениям поставщиков/</w:t>
      </w:r>
      <w:r w:rsidR="00B541F5">
        <w:br/>
      </w:r>
      <w:r w:rsidRPr="00B13851">
        <w:t>дистрибьюторов, связанным с устойчив</w:t>
      </w:r>
      <w:r>
        <w:t xml:space="preserve">остью </w:t>
      </w:r>
      <w:r w:rsidRPr="00B13851">
        <w:t xml:space="preserve">(или </w:t>
      </w:r>
      <w:r>
        <w:t>их «</w:t>
      </w:r>
      <w:r w:rsidRPr="00B13851">
        <w:t>зеленым</w:t>
      </w:r>
      <w:r>
        <w:t>» заявлениям</w:t>
      </w:r>
      <w:r w:rsidRPr="00B13851">
        <w:t>)</w:t>
      </w:r>
      <w:r w:rsidRPr="00092723">
        <w:rPr>
          <w:vertAlign w:val="superscript"/>
        </w:rPr>
        <w:footnoteReference w:id="77"/>
      </w:r>
      <w:r>
        <w:t>.</w:t>
      </w:r>
      <w:r w:rsidRPr="006A7FAB">
        <w:t xml:space="preserve"> </w:t>
      </w:r>
      <w:r w:rsidR="00B541F5">
        <w:br/>
      </w:r>
      <w:r w:rsidRPr="00B13851">
        <w:t xml:space="preserve">По данным Европейского банковского управления, </w:t>
      </w:r>
      <w:r>
        <w:t>результаты недавних</w:t>
      </w:r>
      <w:r w:rsidRPr="00B13851">
        <w:t xml:space="preserve"> количественны</w:t>
      </w:r>
      <w:r>
        <w:t>х</w:t>
      </w:r>
      <w:r w:rsidRPr="00B13851">
        <w:t xml:space="preserve"> анализ</w:t>
      </w:r>
      <w:r>
        <w:t>ов</w:t>
      </w:r>
      <w:r w:rsidRPr="00B13851">
        <w:t xml:space="preserve"> свидетельствуют о </w:t>
      </w:r>
      <w:r>
        <w:t>«</w:t>
      </w:r>
      <w:r w:rsidRPr="00B13851">
        <w:t>явном увеличении общего числа потенциальных случаев "зелен</w:t>
      </w:r>
      <w:r>
        <w:t>ого</w:t>
      </w:r>
      <w:r w:rsidRPr="00B13851">
        <w:t xml:space="preserve"> камуфляж</w:t>
      </w:r>
      <w:r>
        <w:t>а</w:t>
      </w:r>
      <w:r w:rsidRPr="00B13851">
        <w:t>" во всех секторах, в том числе и в банках [Европейского союза]</w:t>
      </w:r>
      <w:r>
        <w:t>»</w:t>
      </w:r>
      <w:r w:rsidRPr="00092723">
        <w:rPr>
          <w:vertAlign w:val="superscript"/>
        </w:rPr>
        <w:footnoteReference w:id="78"/>
      </w:r>
      <w:r>
        <w:t>.</w:t>
      </w:r>
      <w:r w:rsidRPr="006A7FAB">
        <w:t xml:space="preserve"> </w:t>
      </w:r>
      <w:r w:rsidRPr="00B13851">
        <w:t xml:space="preserve">Противодействовать этому можно путем поощрения методологической прозрачности и </w:t>
      </w:r>
      <w:r>
        <w:t xml:space="preserve">проведения </w:t>
      </w:r>
      <w:r w:rsidRPr="00B13851">
        <w:t>тщательн</w:t>
      </w:r>
      <w:r>
        <w:t>ых</w:t>
      </w:r>
      <w:r w:rsidRPr="00B13851">
        <w:t xml:space="preserve"> оценок</w:t>
      </w:r>
      <w:r>
        <w:t xml:space="preserve"> в рамках</w:t>
      </w:r>
      <w:r w:rsidRPr="00B13851">
        <w:t xml:space="preserve"> Конвенци</w:t>
      </w:r>
      <w:r>
        <w:t>и</w:t>
      </w:r>
      <w:r w:rsidRPr="00B13851">
        <w:t xml:space="preserve"> и/или Протокол</w:t>
      </w:r>
      <w:r>
        <w:t>а</w:t>
      </w:r>
      <w:r w:rsidRPr="00B13851">
        <w:t xml:space="preserve">, поскольку они предполагают </w:t>
      </w:r>
      <w:r>
        <w:t xml:space="preserve">осуществление </w:t>
      </w:r>
      <w:r w:rsidRPr="00B13851">
        <w:t>прозрачны</w:t>
      </w:r>
      <w:r>
        <w:t>х</w:t>
      </w:r>
      <w:r w:rsidRPr="00B13851">
        <w:t xml:space="preserve"> и объективны</w:t>
      </w:r>
      <w:r>
        <w:t>х</w:t>
      </w:r>
      <w:r w:rsidRPr="00B13851">
        <w:t xml:space="preserve"> процесс</w:t>
      </w:r>
      <w:r>
        <w:t>ов</w:t>
      </w:r>
      <w:r w:rsidRPr="00B13851">
        <w:t xml:space="preserve"> оценки, способны</w:t>
      </w:r>
      <w:r>
        <w:t>х</w:t>
      </w:r>
      <w:r w:rsidRPr="00B13851">
        <w:t xml:space="preserve"> обеспечить доверие общественности и заинтересованных </w:t>
      </w:r>
      <w:r>
        <w:t>субъектов</w:t>
      </w:r>
      <w:r w:rsidRPr="006A7FAB">
        <w:t xml:space="preserve">. </w:t>
      </w:r>
    </w:p>
    <w:p w14:paraId="45453120" w14:textId="3FB761AE" w:rsidR="000C3BBC" w:rsidRPr="00150481" w:rsidRDefault="000C3BBC" w:rsidP="000C3BBC">
      <w:pPr>
        <w:pStyle w:val="SingleTxtG"/>
      </w:pPr>
      <w:r w:rsidRPr="00AC27A3">
        <w:t>47.</w:t>
      </w:r>
      <w:r w:rsidRPr="00AC27A3">
        <w:tab/>
      </w:r>
      <w:r w:rsidRPr="00150481">
        <w:t xml:space="preserve">Ожидается, что финансирование будет осуществляться на все более жестких условиях, основанных на показателях устойчивости предлагаемых инвестиций; </w:t>
      </w:r>
      <w:r w:rsidRPr="00150481">
        <w:lastRenderedPageBreak/>
        <w:t>например Европейский банк реконструкции и развития поставил задачу добиться того, чтобы к 2025 году</w:t>
      </w:r>
      <w:r>
        <w:t xml:space="preserve"> </w:t>
      </w:r>
      <w:r w:rsidRPr="00150481">
        <w:t>доля зеленого финансирования составляла не менее 50</w:t>
      </w:r>
      <w:r>
        <w:t xml:space="preserve"> </w:t>
      </w:r>
      <w:r w:rsidRPr="00150481">
        <w:t>% годового объема инвестиций</w:t>
      </w:r>
      <w:r w:rsidRPr="00092723">
        <w:rPr>
          <w:vertAlign w:val="superscript"/>
        </w:rPr>
        <w:footnoteReference w:id="79"/>
      </w:r>
      <w:r>
        <w:t>.</w:t>
      </w:r>
      <w:r w:rsidRPr="00AC27A3">
        <w:t xml:space="preserve"> </w:t>
      </w:r>
      <w:bookmarkStart w:id="15" w:name="_Ref134968236"/>
      <w:r>
        <w:t>Поэтому</w:t>
      </w:r>
      <w:r w:rsidRPr="00150481">
        <w:t xml:space="preserve"> можно ожидать, что </w:t>
      </w:r>
      <w:r>
        <w:t>«</w:t>
      </w:r>
      <w:r w:rsidRPr="00150481">
        <w:t>зеленые</w:t>
      </w:r>
      <w:r>
        <w:t>»</w:t>
      </w:r>
      <w:r w:rsidRPr="00150481">
        <w:t xml:space="preserve"> таксономии будут становиться все более важными ориентирами при принятии инвестиционных решений. Уже высказывались предположения о том, что оценка воздействия на окружающую среду (в том числе в рамках Конвенции и Протокола) может сыграть важную роль в проверке соответствия предлагаемых инвестиций требованиям </w:t>
      </w:r>
      <w:r>
        <w:t>Т</w:t>
      </w:r>
      <w:r w:rsidRPr="00150481">
        <w:t xml:space="preserve">аксономии Европейского союза на нескольких этапах процесса оценки воздействия на окружающую среду, включая определение </w:t>
      </w:r>
      <w:r>
        <w:t>сферы охвата</w:t>
      </w:r>
      <w:r w:rsidRPr="00150481">
        <w:t xml:space="preserve">, рассмотрение альтернатив и разработку мер по </w:t>
      </w:r>
      <w:r>
        <w:t>смягчению</w:t>
      </w:r>
      <w:r w:rsidRPr="00150481">
        <w:t xml:space="preserve"> воздействия, а также </w:t>
      </w:r>
      <w:r>
        <w:t>обзор</w:t>
      </w:r>
      <w:r w:rsidRPr="00150481">
        <w:t xml:space="preserve"> документации </w:t>
      </w:r>
      <w:r>
        <w:t>об</w:t>
      </w:r>
      <w:r w:rsidRPr="00150481">
        <w:t xml:space="preserve"> оценке воздействия на окружающую среду</w:t>
      </w:r>
      <w:r w:rsidRPr="00092723">
        <w:rPr>
          <w:vertAlign w:val="superscript"/>
        </w:rPr>
        <w:footnoteReference w:id="80"/>
      </w:r>
      <w:bookmarkEnd w:id="15"/>
      <w:r>
        <w:t>.</w:t>
      </w:r>
    </w:p>
    <w:p w14:paraId="0A7A7CF5" w14:textId="77777777" w:rsidR="000C3BBC" w:rsidRPr="00060F81" w:rsidRDefault="000C3BBC" w:rsidP="000C3BBC">
      <w:pPr>
        <w:pStyle w:val="SingleTxtG"/>
      </w:pPr>
      <w:r w:rsidRPr="00060F81">
        <w:t>48.</w:t>
      </w:r>
      <w:r w:rsidRPr="00060F81">
        <w:tab/>
      </w:r>
      <w:r w:rsidRPr="00947D99">
        <w:t>Устойчивое финансирование напрямую пересекается как с энергетическим переходом (через цели</w:t>
      </w:r>
      <w:r>
        <w:t>, касающиеся</w:t>
      </w:r>
      <w:r w:rsidRPr="00947D99">
        <w:t xml:space="preserve"> смягчения последствий изменения климата и адаптации к </w:t>
      </w:r>
      <w:r>
        <w:t>нему</w:t>
      </w:r>
      <w:r w:rsidRPr="00947D99">
        <w:t>), так и с переходом к экономике</w:t>
      </w:r>
      <w:r>
        <w:t xml:space="preserve"> замкнутого цикла</w:t>
      </w:r>
      <w:r w:rsidRPr="00947D99">
        <w:t xml:space="preserve">. Политические цели таксономии также пересекаются с экологическими компонентами, </w:t>
      </w:r>
      <w:r>
        <w:t>относящимися к числу основных вопросов, рассматриваемых как</w:t>
      </w:r>
      <w:r w:rsidRPr="00947D99">
        <w:t xml:space="preserve"> </w:t>
      </w:r>
      <w:r>
        <w:t xml:space="preserve">в </w:t>
      </w:r>
      <w:r w:rsidRPr="00947D99">
        <w:t>Конвенции</w:t>
      </w:r>
      <w:r>
        <w:t>, так и</w:t>
      </w:r>
      <w:r w:rsidRPr="00947D99">
        <w:t xml:space="preserve"> </w:t>
      </w:r>
      <w:r>
        <w:t>в</w:t>
      </w:r>
      <w:r w:rsidRPr="00947D99">
        <w:t xml:space="preserve"> Протокол</w:t>
      </w:r>
      <w:r>
        <w:t>е</w:t>
      </w:r>
      <w:r w:rsidRPr="00947D99">
        <w:t xml:space="preserve">, которые вполне могут играть ключевую роль в обеспечении устойчивости и </w:t>
      </w:r>
      <w:r>
        <w:t>публичной</w:t>
      </w:r>
      <w:r w:rsidRPr="00947D99">
        <w:t xml:space="preserve"> приемлемости политики, планов, программ и проектов, требующих финансовой помощи</w:t>
      </w:r>
      <w:r w:rsidRPr="00060F81">
        <w:t>.</w:t>
      </w:r>
    </w:p>
    <w:p w14:paraId="18187ECD" w14:textId="77777777" w:rsidR="000C3BBC" w:rsidRPr="00F02FDC" w:rsidRDefault="000C3BBC" w:rsidP="000C3BBC">
      <w:pPr>
        <w:pStyle w:val="SingleTxtG"/>
      </w:pPr>
      <w:r w:rsidRPr="00590E30">
        <w:t>49.</w:t>
      </w:r>
      <w:r w:rsidRPr="00590E30">
        <w:tab/>
      </w:r>
      <w:bookmarkStart w:id="16" w:name="_Ref138238476"/>
      <w:r w:rsidRPr="00ED5E5D">
        <w:t xml:space="preserve">Поскольку таксономии устойчивого финансирования </w:t>
      </w:r>
      <w:r>
        <w:t xml:space="preserve">являются </w:t>
      </w:r>
      <w:r w:rsidRPr="00ED5E5D">
        <w:t xml:space="preserve">относительно </w:t>
      </w:r>
      <w:r>
        <w:t>новыми классификациями</w:t>
      </w:r>
      <w:r w:rsidRPr="00ED5E5D">
        <w:t xml:space="preserve">, существует очень мало </w:t>
      </w:r>
      <w:r>
        <w:t xml:space="preserve">тематических </w:t>
      </w:r>
      <w:r w:rsidRPr="00ED5E5D">
        <w:t xml:space="preserve">примеров, </w:t>
      </w:r>
      <w:r>
        <w:t>на основе</w:t>
      </w:r>
      <w:r w:rsidRPr="00ED5E5D">
        <w:t xml:space="preserve"> которых изучалось бы совпадение между применением </w:t>
      </w:r>
      <w:r>
        <w:t>«</w:t>
      </w:r>
      <w:r w:rsidRPr="00ED5E5D">
        <w:t>зеленой</w:t>
      </w:r>
      <w:r>
        <w:t>»</w:t>
      </w:r>
      <w:r w:rsidRPr="00ED5E5D">
        <w:t xml:space="preserve"> таксономии и практикой </w:t>
      </w:r>
      <w:r>
        <w:t xml:space="preserve">проведения </w:t>
      </w:r>
      <w:r w:rsidRPr="00ED5E5D">
        <w:t>стратегической экологической оценки или</w:t>
      </w:r>
      <w:r>
        <w:t xml:space="preserve"> же</w:t>
      </w:r>
      <w:r w:rsidRPr="00ED5E5D">
        <w:t xml:space="preserve"> оценки воздействия на окружающую среду. </w:t>
      </w:r>
      <w:r>
        <w:t>На основе</w:t>
      </w:r>
      <w:r w:rsidRPr="00ED5E5D">
        <w:t xml:space="preserve"> одно</w:t>
      </w:r>
      <w:r>
        <w:t>го из</w:t>
      </w:r>
      <w:r w:rsidRPr="00ED5E5D">
        <w:t xml:space="preserve"> пример</w:t>
      </w:r>
      <w:r>
        <w:t>ов</w:t>
      </w:r>
      <w:r w:rsidRPr="00ED5E5D">
        <w:t>, представленн</w:t>
      </w:r>
      <w:r>
        <w:t>ого</w:t>
      </w:r>
      <w:r w:rsidRPr="00ED5E5D">
        <w:t xml:space="preserve"> из Чехии, делается вывод о том, что предлагаемое систематическое согласование стратегической экологической оценки </w:t>
      </w:r>
      <w:r>
        <w:t xml:space="preserve">для </w:t>
      </w:r>
      <w:r w:rsidRPr="00ED5E5D">
        <w:t xml:space="preserve">операционной программы с техническими критериями отбора, связанными с </w:t>
      </w:r>
      <w:r>
        <w:t>Т</w:t>
      </w:r>
      <w:r w:rsidRPr="00ED5E5D">
        <w:t xml:space="preserve">аксономией устойчивого финансирования Европейского союза, </w:t>
      </w:r>
      <w:r>
        <w:t>«</w:t>
      </w:r>
      <w:r w:rsidRPr="00ED5E5D">
        <w:t>действительно полезно</w:t>
      </w:r>
      <w:r>
        <w:t>»</w:t>
      </w:r>
      <w:r w:rsidRPr="00092723">
        <w:rPr>
          <w:vertAlign w:val="superscript"/>
        </w:rPr>
        <w:footnoteReference w:id="81"/>
      </w:r>
      <w:bookmarkEnd w:id="16"/>
      <w:r>
        <w:t>.</w:t>
      </w:r>
      <w:r w:rsidRPr="00590E30">
        <w:t xml:space="preserve"> </w:t>
      </w:r>
      <w:r w:rsidRPr="00F02FDC">
        <w:t>Во вставке 4 ниже обобщ</w:t>
      </w:r>
      <w:r>
        <w:t>ается</w:t>
      </w:r>
      <w:r w:rsidRPr="00F02FDC">
        <w:t xml:space="preserve"> опыт, полученный </w:t>
      </w:r>
      <w:r>
        <w:t>на основе</w:t>
      </w:r>
      <w:r w:rsidRPr="00F02FDC">
        <w:t xml:space="preserve"> это</w:t>
      </w:r>
      <w:r>
        <w:t>го</w:t>
      </w:r>
      <w:r w:rsidRPr="00F02FDC">
        <w:t xml:space="preserve"> пример</w:t>
      </w:r>
      <w:r>
        <w:t>а</w:t>
      </w:r>
      <w:r w:rsidRPr="00590E30">
        <w:t>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B541F5" w:rsidRPr="00501B39" w14:paraId="7D9015D1" w14:textId="77777777" w:rsidTr="00B541F5">
        <w:trPr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49CDF72B" w14:textId="77777777" w:rsidR="00B541F5" w:rsidRDefault="00B541F5" w:rsidP="00B541F5">
            <w:pPr>
              <w:spacing w:line="20" w:lineRule="exact"/>
            </w:pPr>
          </w:p>
        </w:tc>
      </w:tr>
      <w:tr w:rsidR="000C3BBC" w:rsidRPr="00BA5E54" w14:paraId="601A2529" w14:textId="77777777" w:rsidTr="00B541F5">
        <w:trPr>
          <w:jc w:val="center"/>
        </w:trPr>
        <w:tc>
          <w:tcPr>
            <w:tcW w:w="7654" w:type="dxa"/>
            <w:tcBorders>
              <w:top w:val="nil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44AF6A82" w14:textId="35B2B2AC" w:rsidR="000C3BBC" w:rsidRPr="00590E30" w:rsidRDefault="00340A9D" w:rsidP="00340A9D">
            <w:pPr>
              <w:spacing w:before="120" w:after="120"/>
            </w:pPr>
            <w:r>
              <w:t>Вставка</w:t>
            </w:r>
            <w:r w:rsidRPr="0071096B">
              <w:t xml:space="preserve"> 4</w:t>
            </w:r>
            <w:r>
              <w:br/>
            </w:r>
            <w:r w:rsidR="000C3BBC" w:rsidRPr="00590E30">
              <w:rPr>
                <w:b/>
                <w:bCs/>
              </w:rPr>
              <w:t>Тематическое исследование</w:t>
            </w:r>
            <w:r w:rsidR="000C3BBC">
              <w:rPr>
                <w:b/>
                <w:bCs/>
              </w:rPr>
              <w:t xml:space="preserve"> по вопросу о</w:t>
            </w:r>
            <w:r w:rsidR="000C3BBC" w:rsidRPr="00590E30">
              <w:rPr>
                <w:b/>
                <w:bCs/>
              </w:rPr>
              <w:t xml:space="preserve"> согласовани</w:t>
            </w:r>
            <w:r w:rsidR="000C3BBC">
              <w:rPr>
                <w:b/>
                <w:bCs/>
              </w:rPr>
              <w:t>и</w:t>
            </w:r>
            <w:r w:rsidR="000C3BBC" w:rsidRPr="00590E30">
              <w:rPr>
                <w:b/>
                <w:bCs/>
              </w:rPr>
              <w:t xml:space="preserve"> применения Протокола </w:t>
            </w:r>
            <w:r w:rsidR="00B541F5">
              <w:rPr>
                <w:b/>
                <w:bCs/>
              </w:rPr>
              <w:br/>
            </w:r>
            <w:r w:rsidR="000C3BBC" w:rsidRPr="00590E30">
              <w:rPr>
                <w:b/>
                <w:bCs/>
              </w:rPr>
              <w:t xml:space="preserve">с элементами Таксономии устойчивого финансирования Европейского </w:t>
            </w:r>
            <w:r w:rsidR="000C3BBC">
              <w:rPr>
                <w:b/>
                <w:bCs/>
              </w:rPr>
              <w:t>с</w:t>
            </w:r>
            <w:r w:rsidR="000C3BBC" w:rsidRPr="00590E30">
              <w:rPr>
                <w:b/>
                <w:bCs/>
              </w:rPr>
              <w:t xml:space="preserve">оюза </w:t>
            </w:r>
            <w:r w:rsidR="00B541F5">
              <w:rPr>
                <w:b/>
                <w:bCs/>
              </w:rPr>
              <w:br/>
            </w:r>
            <w:r w:rsidR="000C3BBC" w:rsidRPr="00590E30">
              <w:rPr>
                <w:b/>
                <w:bCs/>
              </w:rPr>
              <w:t>в Чехии</w:t>
            </w:r>
            <w:r w:rsidR="000C3BBC" w:rsidRPr="00595E1D">
              <w:rPr>
                <w:sz w:val="18"/>
                <w:szCs w:val="18"/>
                <w:vertAlign w:val="superscript"/>
              </w:rPr>
              <w:t>a</w:t>
            </w:r>
          </w:p>
          <w:p w14:paraId="1895E827" w14:textId="237D4FB8" w:rsidR="000C3BBC" w:rsidRPr="0033707A" w:rsidRDefault="00B541F5" w:rsidP="00B04E6B">
            <w:pPr>
              <w:spacing w:after="120"/>
              <w:jc w:val="both"/>
            </w:pPr>
            <w:r>
              <w:tab/>
            </w:r>
            <w:r w:rsidR="000C3BBC" w:rsidRPr="00E411CC">
              <w:t xml:space="preserve">В связи с официальным завершением стратегической экологической оценки чешской операционной программы </w:t>
            </w:r>
            <w:r w:rsidR="000C3BBC">
              <w:t>«</w:t>
            </w:r>
            <w:r w:rsidR="000C3BBC" w:rsidRPr="00E411CC">
              <w:t xml:space="preserve">Технологии и </w:t>
            </w:r>
            <w:r w:rsidR="000C3BBC">
              <w:t>сферы их применения</w:t>
            </w:r>
            <w:r w:rsidR="000C3BBC" w:rsidRPr="00E411CC">
              <w:t xml:space="preserve"> для </w:t>
            </w:r>
            <w:r w:rsidR="000C3BBC">
              <w:t xml:space="preserve">обеспечения </w:t>
            </w:r>
            <w:r w:rsidR="000C3BBC" w:rsidRPr="00E411CC">
              <w:t>конкурентоспособности</w:t>
            </w:r>
            <w:r w:rsidR="000C3BBC">
              <w:t>,</w:t>
            </w:r>
            <w:r w:rsidR="000C3BBC" w:rsidRPr="00E411CC">
              <w:t xml:space="preserve"> 2021</w:t>
            </w:r>
            <w:r w:rsidR="000C3BBC">
              <w:t>–</w:t>
            </w:r>
            <w:r w:rsidR="000C3BBC" w:rsidRPr="00E411CC">
              <w:t>2027</w:t>
            </w:r>
            <w:r w:rsidR="000C3BBC">
              <w:t xml:space="preserve"> годы»</w:t>
            </w:r>
            <w:r w:rsidR="000C3BBC" w:rsidRPr="00E411CC">
              <w:t xml:space="preserve"> консультанты, привлеченные Чехией (</w:t>
            </w:r>
            <w:r w:rsidR="000C3BBC">
              <w:t>«</w:t>
            </w:r>
            <w:r w:rsidR="000C3BBC" w:rsidRPr="00E411CC">
              <w:t>Интегра Консалтинг</w:t>
            </w:r>
            <w:r w:rsidR="000C3BBC">
              <w:t>»</w:t>
            </w:r>
            <w:r w:rsidR="000C3BBC" w:rsidRPr="00E411CC">
              <w:t xml:space="preserve">), должны были подготовить внутренние </w:t>
            </w:r>
            <w:r w:rsidR="000C3BBC">
              <w:t xml:space="preserve">окончательные </w:t>
            </w:r>
            <w:r w:rsidR="000C3BBC" w:rsidRPr="00E411CC">
              <w:t>рекомендации по ее экологически безопасно</w:t>
            </w:r>
            <w:r w:rsidR="000C3BBC">
              <w:t>му</w:t>
            </w:r>
            <w:r w:rsidR="000C3BBC" w:rsidRPr="00E411CC">
              <w:t xml:space="preserve"> </w:t>
            </w:r>
            <w:r w:rsidR="000C3BBC">
              <w:t>осуществлению</w:t>
            </w:r>
            <w:r w:rsidR="000C3BBC" w:rsidRPr="00E411CC">
              <w:t xml:space="preserve">. В </w:t>
            </w:r>
            <w:r w:rsidR="000C3BBC">
              <w:t>ходе решения</w:t>
            </w:r>
            <w:r w:rsidR="000C3BBC" w:rsidRPr="00E411CC">
              <w:t xml:space="preserve"> этой задачи консультанты разработали информационный документ, в котором </w:t>
            </w:r>
            <w:r w:rsidR="000C3BBC">
              <w:t>изучались</w:t>
            </w:r>
            <w:r w:rsidR="000C3BBC" w:rsidRPr="00E411CC">
              <w:t xml:space="preserve"> варианты интеграции технических критериев отбора по Таксономии Европейского союза в </w:t>
            </w:r>
            <w:r w:rsidR="000C3BBC">
              <w:t xml:space="preserve">процесс </w:t>
            </w:r>
            <w:r w:rsidR="000C3BBC" w:rsidRPr="00E411CC">
              <w:t>отбор</w:t>
            </w:r>
            <w:r w:rsidR="000C3BBC">
              <w:t>а</w:t>
            </w:r>
            <w:r w:rsidR="000C3BBC" w:rsidRPr="00E411CC">
              <w:t xml:space="preserve"> будущих проектов (в области производства энергии, инициатив по экономике</w:t>
            </w:r>
            <w:r w:rsidR="000C3BBC">
              <w:t xml:space="preserve"> замкнутого цикла</w:t>
            </w:r>
            <w:r w:rsidR="000C3BBC" w:rsidRPr="00E411CC">
              <w:t>, инновационных процессов и т.</w:t>
            </w:r>
            <w:r>
              <w:rPr>
                <w:lang w:val="en-US"/>
              </w:rPr>
              <w:t> </w:t>
            </w:r>
            <w:r w:rsidR="000C3BBC" w:rsidRPr="00E411CC">
              <w:t xml:space="preserve">д.), которые будут поддерживаться в рамках данной операционной программы. Новизна данного подхода </w:t>
            </w:r>
            <w:r w:rsidR="000C3BBC">
              <w:t>стала предметом пристального внимания</w:t>
            </w:r>
            <w:r w:rsidR="000C3BBC" w:rsidRPr="00E411CC">
              <w:t xml:space="preserve"> со стороны заказчика в </w:t>
            </w:r>
            <w:r w:rsidR="000C3BBC">
              <w:t>ходе проведения</w:t>
            </w:r>
            <w:r w:rsidR="000C3BBC" w:rsidRPr="00E411CC">
              <w:t xml:space="preserve"> межведомственной экспертизы. Соответствующие должностные лица пришли к выводу</w:t>
            </w:r>
            <w:r w:rsidR="000C3BBC">
              <w:t xml:space="preserve"> о том</w:t>
            </w:r>
            <w:r w:rsidR="000C3BBC" w:rsidRPr="00E411CC">
              <w:t xml:space="preserve">, что предложенное согласование операционной программы с </w:t>
            </w:r>
            <w:r w:rsidR="000C3BBC">
              <w:t>Т</w:t>
            </w:r>
            <w:r w:rsidR="000C3BBC" w:rsidRPr="00E411CC">
              <w:t xml:space="preserve">аксономией Европейского союза действительно полезно и должно </w:t>
            </w:r>
            <w:r w:rsidR="000C3BBC">
              <w:t>и далее обеспечиваться</w:t>
            </w:r>
            <w:r w:rsidR="000C3BBC" w:rsidRPr="00E411CC">
              <w:t xml:space="preserve"> в ходе ее </w:t>
            </w:r>
            <w:r w:rsidR="000C3BBC">
              <w:t>осуществления</w:t>
            </w:r>
            <w:r w:rsidR="000C3BBC" w:rsidRPr="0033707A">
              <w:t>.</w:t>
            </w:r>
          </w:p>
          <w:p w14:paraId="49F7DB5C" w14:textId="06A015EB" w:rsidR="000C3BBC" w:rsidRPr="0062705A" w:rsidRDefault="00B541F5" w:rsidP="00B04E6B">
            <w:pPr>
              <w:spacing w:after="120"/>
              <w:jc w:val="both"/>
            </w:pPr>
            <w:r>
              <w:lastRenderedPageBreak/>
              <w:tab/>
            </w:r>
            <w:r w:rsidR="000C3BBC" w:rsidRPr="0033707A">
              <w:t>Чешская программа</w:t>
            </w:r>
            <w:r w:rsidR="000C3BBC">
              <w:t xml:space="preserve"> хозяйственной деятельности</w:t>
            </w:r>
            <w:r w:rsidR="000C3BBC" w:rsidRPr="0033707A">
              <w:t xml:space="preserve"> </w:t>
            </w:r>
            <w:r w:rsidR="000C3BBC">
              <w:t xml:space="preserve">«Справедливый переход, </w:t>
            </w:r>
            <w:r w:rsidR="000C3BBC" w:rsidRPr="0033707A">
              <w:t>2021</w:t>
            </w:r>
            <w:r w:rsidR="000C3BBC">
              <w:t>–</w:t>
            </w:r>
            <w:r w:rsidR="000C3BBC" w:rsidRPr="0033707A">
              <w:t>2027</w:t>
            </w:r>
            <w:r w:rsidR="000C3BBC">
              <w:t xml:space="preserve"> годы»</w:t>
            </w:r>
            <w:r w:rsidR="000C3BBC" w:rsidRPr="0033707A">
              <w:t xml:space="preserve"> </w:t>
            </w:r>
            <w:r w:rsidR="000C3BBC">
              <w:t>имеет своей целью способствовать</w:t>
            </w:r>
            <w:r w:rsidR="000C3BBC" w:rsidRPr="0033707A">
              <w:t xml:space="preserve"> экономическо</w:t>
            </w:r>
            <w:r w:rsidR="000C3BBC">
              <w:t>му</w:t>
            </w:r>
            <w:r w:rsidR="000C3BBC" w:rsidRPr="0033707A">
              <w:t xml:space="preserve"> развити</w:t>
            </w:r>
            <w:r w:rsidR="000C3BBC">
              <w:t>ю</w:t>
            </w:r>
            <w:r w:rsidR="000C3BBC" w:rsidRPr="0033707A">
              <w:t xml:space="preserve"> трех</w:t>
            </w:r>
            <w:r w:rsidR="000C3BBC">
              <w:t xml:space="preserve"> </w:t>
            </w:r>
            <w:r w:rsidR="000C3BBC" w:rsidRPr="0033707A">
              <w:t xml:space="preserve">угольных регионов, которые будут подвержены негативному </w:t>
            </w:r>
            <w:r w:rsidR="000C3BBC">
              <w:t>воздействию со стороны</w:t>
            </w:r>
            <w:r w:rsidR="000C3BBC" w:rsidRPr="0033707A">
              <w:t xml:space="preserve"> энергетического перехода, путем реализации ряда проектов и инициатив по диверсификации. В техническое задание на проведение стратегической экологической оценки было включено новое требование</w:t>
            </w:r>
            <w:r w:rsidR="000C3BBC">
              <w:t xml:space="preserve">, предусматривающее необходимость учета </w:t>
            </w:r>
            <w:r w:rsidR="000C3BBC" w:rsidRPr="0033707A">
              <w:t>принцип</w:t>
            </w:r>
            <w:r w:rsidR="000C3BBC">
              <w:t>а</w:t>
            </w:r>
            <w:r w:rsidR="000C3BBC" w:rsidRPr="00775886">
              <w:t xml:space="preserve"> </w:t>
            </w:r>
            <w:r w:rsidR="000C3BBC">
              <w:t>«</w:t>
            </w:r>
            <w:r w:rsidR="000C3BBC" w:rsidRPr="00775886">
              <w:t>непричинения существенного ущерба</w:t>
            </w:r>
            <w:r w:rsidR="000C3BBC">
              <w:t>»</w:t>
            </w:r>
            <w:r w:rsidR="000C3BBC" w:rsidRPr="0033707A">
              <w:t>. Нанятые</w:t>
            </w:r>
            <w:r w:rsidR="000C3BBC">
              <w:t xml:space="preserve"> по контракту</w:t>
            </w:r>
            <w:r w:rsidR="000C3BBC" w:rsidRPr="0033707A">
              <w:t xml:space="preserve"> консультанты оценили все предложения, содержащиеся в программах, на основе требований </w:t>
            </w:r>
            <w:r w:rsidR="000C3BBC">
              <w:t>Т</w:t>
            </w:r>
            <w:r w:rsidR="000C3BBC" w:rsidRPr="0033707A">
              <w:t xml:space="preserve">аксономии и </w:t>
            </w:r>
            <w:r w:rsidR="000C3BBC">
              <w:t>особо указали на</w:t>
            </w:r>
            <w:r w:rsidR="000C3BBC" w:rsidRPr="0033707A">
              <w:t xml:space="preserve"> связанные с </w:t>
            </w:r>
            <w:r w:rsidR="000C3BBC">
              <w:t>Т</w:t>
            </w:r>
            <w:r w:rsidR="000C3BBC" w:rsidRPr="0033707A">
              <w:t xml:space="preserve">аксономией критерии, которые </w:t>
            </w:r>
            <w:r w:rsidR="000C3BBC">
              <w:t xml:space="preserve">следует учитывать в рамках </w:t>
            </w:r>
            <w:r w:rsidR="000C3BBC" w:rsidRPr="0033707A">
              <w:t>конкретны</w:t>
            </w:r>
            <w:r w:rsidR="000C3BBC">
              <w:t>х</w:t>
            </w:r>
            <w:r w:rsidR="000C3BBC" w:rsidRPr="0033707A">
              <w:t xml:space="preserve"> проект</w:t>
            </w:r>
            <w:r w:rsidR="000C3BBC">
              <w:t>ов</w:t>
            </w:r>
            <w:r w:rsidR="000C3BBC" w:rsidRPr="0033707A">
              <w:t xml:space="preserve"> или конкурс</w:t>
            </w:r>
            <w:r w:rsidR="000C3BBC">
              <w:t>ов заявок</w:t>
            </w:r>
            <w:r w:rsidR="000C3BBC" w:rsidRPr="0033707A">
              <w:t xml:space="preserve"> на финансирование при </w:t>
            </w:r>
            <w:r w:rsidR="000C3BBC">
              <w:t xml:space="preserve">их </w:t>
            </w:r>
            <w:r w:rsidR="000C3BBC" w:rsidRPr="0033707A">
              <w:t xml:space="preserve">разработке и </w:t>
            </w:r>
            <w:r w:rsidR="000C3BBC">
              <w:t xml:space="preserve">при </w:t>
            </w:r>
            <w:r w:rsidR="000C3BBC" w:rsidRPr="0033707A">
              <w:t>проведении исследований по оценке воздействия на окружающую среду</w:t>
            </w:r>
            <w:r w:rsidR="000C3BBC" w:rsidRPr="0062705A">
              <w:t>.</w:t>
            </w:r>
          </w:p>
          <w:p w14:paraId="44A7454B" w14:textId="10D3CE5A" w:rsidR="000C3BBC" w:rsidRPr="00340A9D" w:rsidRDefault="000C3BBC" w:rsidP="008D548B">
            <w:pPr>
              <w:spacing w:after="120" w:line="220" w:lineRule="exact"/>
              <w:ind w:firstLine="170"/>
              <w:rPr>
                <w:sz w:val="18"/>
                <w:szCs w:val="18"/>
                <w:lang w:val="en-US"/>
              </w:rPr>
            </w:pPr>
            <w:r w:rsidRPr="00340A9D">
              <w:rPr>
                <w:i/>
                <w:iCs/>
                <w:sz w:val="18"/>
                <w:szCs w:val="18"/>
                <w:vertAlign w:val="superscript"/>
                <w:lang w:val="en-US"/>
              </w:rPr>
              <w:t>a</w:t>
            </w:r>
            <w:r w:rsidR="006C6943" w:rsidRPr="008D548B">
              <w:rPr>
                <w:sz w:val="18"/>
                <w:szCs w:val="18"/>
                <w:lang w:val="en-US"/>
              </w:rPr>
              <w:t xml:space="preserve"> </w:t>
            </w:r>
            <w:r w:rsidR="00B541F5" w:rsidRPr="008D548B">
              <w:rPr>
                <w:sz w:val="18"/>
                <w:szCs w:val="18"/>
                <w:lang w:val="en-US"/>
              </w:rPr>
              <w:t xml:space="preserve"> </w:t>
            </w:r>
            <w:r w:rsidRPr="00340A9D">
              <w:rPr>
                <w:sz w:val="18"/>
                <w:szCs w:val="18"/>
                <w:lang w:val="en-US"/>
              </w:rPr>
              <w:t>Alan Bond and Jiří</w:t>
            </w:r>
            <w:r w:rsidRPr="00340A9D" w:rsidDel="0094367B">
              <w:rPr>
                <w:sz w:val="18"/>
                <w:szCs w:val="18"/>
                <w:lang w:val="en-US"/>
              </w:rPr>
              <w:t xml:space="preserve"> </w:t>
            </w:r>
            <w:r w:rsidRPr="00340A9D">
              <w:rPr>
                <w:sz w:val="18"/>
                <w:szCs w:val="18"/>
                <w:lang w:val="en-US"/>
              </w:rPr>
              <w:t xml:space="preserve">Dusík, “Environmental assessments and sustainable finance taxonomies </w:t>
            </w:r>
            <w:r w:rsidR="00B541F5">
              <w:rPr>
                <w:sz w:val="18"/>
                <w:szCs w:val="18"/>
                <w:lang w:val="en-US"/>
              </w:rPr>
              <w:t>—</w:t>
            </w:r>
            <w:r w:rsidRPr="00340A9D">
              <w:rPr>
                <w:sz w:val="18"/>
                <w:szCs w:val="18"/>
                <w:lang w:val="en-US"/>
              </w:rPr>
              <w:t xml:space="preserve"> </w:t>
            </w:r>
            <w:r w:rsidR="00B541F5">
              <w:rPr>
                <w:sz w:val="18"/>
                <w:szCs w:val="18"/>
                <w:lang w:val="en-US"/>
              </w:rPr>
              <w:br/>
            </w:r>
            <w:r w:rsidRPr="00340A9D">
              <w:rPr>
                <w:sz w:val="18"/>
                <w:szCs w:val="18"/>
                <w:lang w:val="en-US"/>
              </w:rPr>
              <w:t xml:space="preserve">a riposte”, </w:t>
            </w:r>
            <w:r w:rsidRPr="00340A9D">
              <w:rPr>
                <w:i/>
                <w:iCs/>
                <w:sz w:val="18"/>
                <w:szCs w:val="18"/>
                <w:lang w:val="en-US"/>
              </w:rPr>
              <w:t>Impact Assessment and Project Appraisal</w:t>
            </w:r>
            <w:r w:rsidRPr="00340A9D">
              <w:rPr>
                <w:sz w:val="18"/>
                <w:szCs w:val="18"/>
                <w:lang w:val="en-US"/>
              </w:rPr>
              <w:t>, vol. 40, No. 2 (2022), pp. 123–128.</w:t>
            </w:r>
          </w:p>
        </w:tc>
      </w:tr>
      <w:tr w:rsidR="000C3BBC" w:rsidRPr="00BA5E54" w14:paraId="23A6226A" w14:textId="77777777" w:rsidTr="00B04E6B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66108AB5" w14:textId="77777777" w:rsidR="000C3BBC" w:rsidRPr="00501B39" w:rsidRDefault="000C3BBC" w:rsidP="00B04E6B">
            <w:pPr>
              <w:spacing w:line="240" w:lineRule="auto"/>
              <w:rPr>
                <w:lang w:val="en-US"/>
              </w:rPr>
            </w:pPr>
          </w:p>
        </w:tc>
      </w:tr>
    </w:tbl>
    <w:p w14:paraId="3782FC1F" w14:textId="77777777" w:rsidR="000C3BBC" w:rsidRPr="00EF4BC3" w:rsidRDefault="000C3BBC" w:rsidP="000C3BBC">
      <w:pPr>
        <w:pStyle w:val="SingleTxtG"/>
        <w:spacing w:before="120"/>
      </w:pPr>
      <w:r w:rsidRPr="00EF4BC3">
        <w:t>50.</w:t>
      </w:r>
      <w:r w:rsidRPr="00EF4BC3">
        <w:tab/>
      </w:r>
      <w:r w:rsidRPr="00B434AE">
        <w:t xml:space="preserve">Стандарты отчетности </w:t>
      </w:r>
      <w:r>
        <w:t>по вопросам устойчивости</w:t>
      </w:r>
      <w:r w:rsidRPr="00B434AE">
        <w:t xml:space="preserve"> потребуют сбора </w:t>
      </w:r>
      <w:r>
        <w:t>информации</w:t>
      </w:r>
      <w:r w:rsidRPr="00B434AE">
        <w:t xml:space="preserve"> по </w:t>
      </w:r>
      <w:r>
        <w:t xml:space="preserve">этим </w:t>
      </w:r>
      <w:r w:rsidRPr="00B434AE">
        <w:t>вопросам, и оценки, пров</w:t>
      </w:r>
      <w:r>
        <w:t>одимые</w:t>
      </w:r>
      <w:r w:rsidRPr="00B434AE">
        <w:t xml:space="preserve"> в соответствии с Конвенцией и Протоколом, смогут</w:t>
      </w:r>
      <w:r>
        <w:t xml:space="preserve">, по всей </w:t>
      </w:r>
      <w:r w:rsidRPr="00B434AE">
        <w:t>вероятно</w:t>
      </w:r>
      <w:r>
        <w:t>сти</w:t>
      </w:r>
      <w:r w:rsidRPr="00B434AE">
        <w:t xml:space="preserve">, способствовать выполнению этого обязательства по отчетности, повышая эффективность процесса и потенциально противодействуя обвинениям в </w:t>
      </w:r>
      <w:r>
        <w:t>«</w:t>
      </w:r>
      <w:r w:rsidRPr="00B434AE">
        <w:t xml:space="preserve">зеленом </w:t>
      </w:r>
      <w:r>
        <w:t>камуфляже»</w:t>
      </w:r>
      <w:r w:rsidRPr="00EF4BC3">
        <w:t xml:space="preserve">. </w:t>
      </w:r>
    </w:p>
    <w:p w14:paraId="370F1345" w14:textId="77777777" w:rsidR="000C3BBC" w:rsidRPr="002372DC" w:rsidRDefault="000C3BBC" w:rsidP="000C3BBC">
      <w:pPr>
        <w:pStyle w:val="H1G"/>
        <w:rPr>
          <w:lang w:eastAsia="en-US"/>
        </w:rPr>
      </w:pPr>
      <w:r w:rsidRPr="00B434AE">
        <w:rPr>
          <w:lang w:eastAsia="en-US"/>
        </w:rPr>
        <w:tab/>
      </w:r>
      <w:r w:rsidRPr="008E7C12">
        <w:rPr>
          <w:lang w:eastAsia="en-US"/>
        </w:rPr>
        <w:t>D</w:t>
      </w:r>
      <w:r w:rsidRPr="002372DC">
        <w:rPr>
          <w:lang w:eastAsia="en-US"/>
        </w:rPr>
        <w:t>.</w:t>
      </w:r>
      <w:r w:rsidRPr="002372DC">
        <w:rPr>
          <w:lang w:eastAsia="en-US"/>
        </w:rPr>
        <w:tab/>
        <w:t>Области для дальнейшего изучения роли Конвенции и Протокола в формировании зеленого финансирования</w:t>
      </w:r>
    </w:p>
    <w:p w14:paraId="58630805" w14:textId="77777777" w:rsidR="000C3BBC" w:rsidRPr="00FE374A" w:rsidRDefault="000C3BBC" w:rsidP="000C3BBC">
      <w:pPr>
        <w:pStyle w:val="SingleTxtG"/>
      </w:pPr>
      <w:r w:rsidRPr="00FE374A">
        <w:t>51.</w:t>
      </w:r>
      <w:r w:rsidRPr="00FE374A">
        <w:tab/>
        <w:t xml:space="preserve">Таксономия Европейского союза преследует политические цели, </w:t>
      </w:r>
      <w:r>
        <w:t>направленные на</w:t>
      </w:r>
      <w:r w:rsidRPr="00FE374A">
        <w:t xml:space="preserve"> внес</w:t>
      </w:r>
      <w:r>
        <w:t>ение</w:t>
      </w:r>
      <w:r w:rsidRPr="00FE374A">
        <w:t xml:space="preserve"> </w:t>
      </w:r>
      <w:r>
        <w:t>значительного</w:t>
      </w:r>
      <w:r w:rsidRPr="00FE374A">
        <w:t xml:space="preserve"> вклад</w:t>
      </w:r>
      <w:r>
        <w:t>а</w:t>
      </w:r>
      <w:r w:rsidRPr="00FE374A">
        <w:t xml:space="preserve"> в</w:t>
      </w:r>
      <w:r>
        <w:t xml:space="preserve"> следующих областях</w:t>
      </w:r>
      <w:r w:rsidRPr="00FE374A">
        <w:t xml:space="preserve">: </w:t>
      </w:r>
    </w:p>
    <w:p w14:paraId="6A378C5E" w14:textId="77777777" w:rsidR="000C3BBC" w:rsidRPr="00FE374A" w:rsidRDefault="000C3BBC" w:rsidP="000C3BBC">
      <w:pPr>
        <w:pStyle w:val="SingleTxtG"/>
        <w:ind w:firstLine="567"/>
      </w:pPr>
      <w:r w:rsidRPr="008E7C12">
        <w:t>a</w:t>
      </w:r>
      <w:r w:rsidRPr="00FE374A">
        <w:t>)</w:t>
      </w:r>
      <w:r w:rsidRPr="00FE374A">
        <w:tab/>
      </w:r>
      <w:r>
        <w:t>климат</w:t>
      </w:r>
      <w:r w:rsidRPr="00FE374A">
        <w:t xml:space="preserve"> (</w:t>
      </w:r>
      <w:r w:rsidRPr="0099410C">
        <w:rPr>
          <w:rFonts w:eastAsia="MyriadPro-Regular"/>
        </w:rPr>
        <w:t>смягчение последствий изменения климата</w:t>
      </w:r>
      <w:r w:rsidRPr="00FE374A">
        <w:t xml:space="preserve"> </w:t>
      </w:r>
      <w:r>
        <w:t>и адаптация к нему</w:t>
      </w:r>
      <w:r w:rsidRPr="00FE374A">
        <w:t>)</w:t>
      </w:r>
      <w:r w:rsidRPr="00FE374A">
        <w:rPr>
          <w:rFonts w:eastAsia="MyriadPro-Regular"/>
        </w:rPr>
        <w:t>;</w:t>
      </w:r>
      <w:r w:rsidRPr="00FE374A">
        <w:t xml:space="preserve"> </w:t>
      </w:r>
    </w:p>
    <w:p w14:paraId="7010E935" w14:textId="77777777" w:rsidR="000C3BBC" w:rsidRPr="00FE374A" w:rsidRDefault="000C3BBC" w:rsidP="000C3BBC">
      <w:pPr>
        <w:pStyle w:val="SingleTxtG"/>
        <w:ind w:firstLine="567"/>
      </w:pPr>
      <w:r w:rsidRPr="008E7C12">
        <w:t>b</w:t>
      </w:r>
      <w:r w:rsidRPr="00FE374A">
        <w:t>)</w:t>
      </w:r>
      <w:r w:rsidRPr="00FE374A">
        <w:tab/>
      </w:r>
      <w:r>
        <w:t>водная</w:t>
      </w:r>
      <w:r w:rsidRPr="00FE374A">
        <w:t xml:space="preserve"> </w:t>
      </w:r>
      <w:r>
        <w:t>среда</w:t>
      </w:r>
      <w:r w:rsidRPr="00FE374A">
        <w:t xml:space="preserve"> (</w:t>
      </w:r>
      <w:r w:rsidRPr="0099410C">
        <w:rPr>
          <w:rFonts w:eastAsia="MyriadPro-Regular"/>
        </w:rPr>
        <w:t>охрана водных и морских ресурсов</w:t>
      </w:r>
      <w:r w:rsidRPr="00FE374A">
        <w:rPr>
          <w:rFonts w:eastAsia="MyriadPro-Regular"/>
        </w:rPr>
        <w:t>)</w:t>
      </w:r>
      <w:r w:rsidRPr="00FE374A">
        <w:t xml:space="preserve">; </w:t>
      </w:r>
    </w:p>
    <w:p w14:paraId="53CF8825" w14:textId="2C636A74" w:rsidR="000C3BBC" w:rsidRPr="00FE374A" w:rsidRDefault="000C3BBC" w:rsidP="000C3BBC">
      <w:pPr>
        <w:pStyle w:val="SingleTxtG"/>
        <w:ind w:firstLine="567"/>
        <w:rPr>
          <w:rFonts w:eastAsia="MyriadPro-Regular"/>
        </w:rPr>
      </w:pPr>
      <w:r w:rsidRPr="008E7C12">
        <w:rPr>
          <w:rFonts w:eastAsia="MyriadPro-Regular"/>
        </w:rPr>
        <w:t>c</w:t>
      </w:r>
      <w:r w:rsidRPr="00FE374A">
        <w:rPr>
          <w:rFonts w:eastAsia="MyriadPro-Regular"/>
        </w:rPr>
        <w:t>)</w:t>
      </w:r>
      <w:r w:rsidRPr="00FE374A">
        <w:rPr>
          <w:rFonts w:eastAsia="MyriadPro-Regular"/>
        </w:rPr>
        <w:tab/>
      </w:r>
      <w:r>
        <w:t>почва</w:t>
      </w:r>
      <w:r w:rsidRPr="00FE374A">
        <w:t xml:space="preserve"> </w:t>
      </w:r>
      <w:r>
        <w:t>и</w:t>
      </w:r>
      <w:r w:rsidRPr="00FE374A">
        <w:t xml:space="preserve"> </w:t>
      </w:r>
      <w:r>
        <w:t>воздушная</w:t>
      </w:r>
      <w:r w:rsidRPr="00FE374A">
        <w:t xml:space="preserve"> </w:t>
      </w:r>
      <w:r>
        <w:t>среда</w:t>
      </w:r>
      <w:r w:rsidRPr="00FE374A">
        <w:t xml:space="preserve"> (</w:t>
      </w:r>
      <w:r w:rsidRPr="0099410C">
        <w:rPr>
          <w:rFonts w:eastAsia="MyriadPro-Regular"/>
        </w:rPr>
        <w:t xml:space="preserve">предотвращение и </w:t>
      </w:r>
      <w:r>
        <w:rPr>
          <w:rFonts w:eastAsia="MyriadPro-Regular"/>
        </w:rPr>
        <w:t>ограничение</w:t>
      </w:r>
      <w:r w:rsidRPr="0099410C">
        <w:rPr>
          <w:rFonts w:eastAsia="MyriadPro-Regular"/>
        </w:rPr>
        <w:t xml:space="preserve"> загрязнения</w:t>
      </w:r>
      <w:r w:rsidRPr="00FE374A">
        <w:rPr>
          <w:rFonts w:eastAsia="MyriadPro-Regular"/>
        </w:rPr>
        <w:t xml:space="preserve">), </w:t>
      </w:r>
      <w:r w:rsidRPr="0099410C">
        <w:rPr>
          <w:rFonts w:eastAsia="MyriadPro-Regular"/>
        </w:rPr>
        <w:t>биоразнообрази</w:t>
      </w:r>
      <w:r>
        <w:rPr>
          <w:rFonts w:eastAsia="MyriadPro-Regular"/>
        </w:rPr>
        <w:t>е</w:t>
      </w:r>
      <w:r w:rsidRPr="00FE374A">
        <w:rPr>
          <w:rFonts w:eastAsia="MyriadPro-Regular"/>
        </w:rPr>
        <w:t xml:space="preserve"> (</w:t>
      </w:r>
      <w:r>
        <w:rPr>
          <w:rFonts w:eastAsia="MyriadPro-Regular"/>
        </w:rPr>
        <w:t>только Протокол</w:t>
      </w:r>
      <w:r w:rsidRPr="00FE374A">
        <w:rPr>
          <w:rFonts w:eastAsia="MyriadPro-Regular"/>
        </w:rPr>
        <w:t>);</w:t>
      </w:r>
      <w:r w:rsidR="006C6943">
        <w:rPr>
          <w:rFonts w:eastAsia="MyriadPro-Regular"/>
        </w:rPr>
        <w:t xml:space="preserve"> </w:t>
      </w:r>
    </w:p>
    <w:p w14:paraId="5BA6D0E0" w14:textId="77777777" w:rsidR="000C3BBC" w:rsidRPr="0046500B" w:rsidRDefault="000C3BBC" w:rsidP="000C3BBC">
      <w:pPr>
        <w:pStyle w:val="SingleTxtG"/>
        <w:ind w:firstLine="567"/>
        <w:rPr>
          <w:rFonts w:eastAsia="MyriadPro-Regular"/>
        </w:rPr>
      </w:pPr>
      <w:r w:rsidRPr="008E7C12">
        <w:rPr>
          <w:rFonts w:eastAsia="MyriadPro-Regular"/>
        </w:rPr>
        <w:t>d</w:t>
      </w:r>
      <w:r w:rsidRPr="0046500B">
        <w:rPr>
          <w:rFonts w:eastAsia="MyriadPro-Regular"/>
        </w:rPr>
        <w:t>)</w:t>
      </w:r>
      <w:r w:rsidRPr="0046500B">
        <w:rPr>
          <w:rFonts w:eastAsia="MyriadPro-Regular"/>
        </w:rPr>
        <w:tab/>
      </w:r>
      <w:r>
        <w:rPr>
          <w:rFonts w:eastAsia="MyriadPro-Regular"/>
        </w:rPr>
        <w:t>фауна</w:t>
      </w:r>
      <w:r w:rsidRPr="0046500B">
        <w:rPr>
          <w:rFonts w:eastAsia="MyriadPro-Regular"/>
        </w:rPr>
        <w:t xml:space="preserve"> </w:t>
      </w:r>
      <w:r>
        <w:rPr>
          <w:rFonts w:eastAsia="MyriadPro-Regular"/>
        </w:rPr>
        <w:t>и</w:t>
      </w:r>
      <w:r w:rsidRPr="0046500B">
        <w:rPr>
          <w:rFonts w:eastAsia="MyriadPro-Regular"/>
        </w:rPr>
        <w:t xml:space="preserve"> </w:t>
      </w:r>
      <w:r>
        <w:rPr>
          <w:rFonts w:eastAsia="MyriadPro-Regular"/>
        </w:rPr>
        <w:t>флора</w:t>
      </w:r>
      <w:r w:rsidRPr="0046500B">
        <w:rPr>
          <w:rFonts w:eastAsia="MyriadPro-Regular"/>
        </w:rPr>
        <w:t xml:space="preserve"> (</w:t>
      </w:r>
      <w:r w:rsidRPr="0099410C">
        <w:rPr>
          <w:rFonts w:eastAsia="MyriadPro-Regular"/>
        </w:rPr>
        <w:t>защита и восстановление биоразнообразия и экосистем</w:t>
      </w:r>
      <w:r w:rsidRPr="0046500B">
        <w:rPr>
          <w:rFonts w:eastAsia="MyriadPro-Regular"/>
        </w:rPr>
        <w:t>).</w:t>
      </w:r>
    </w:p>
    <w:p w14:paraId="29A80E9F" w14:textId="77777777" w:rsidR="000C3BBC" w:rsidRPr="005114BD" w:rsidRDefault="000C3BBC" w:rsidP="000C3BBC">
      <w:pPr>
        <w:pStyle w:val="SingleTxtG"/>
      </w:pPr>
      <w:r w:rsidRPr="005114BD">
        <w:t>52.</w:t>
      </w:r>
      <w:r w:rsidRPr="005114BD">
        <w:tab/>
      </w:r>
      <w:r w:rsidRPr="0046500B">
        <w:rPr>
          <w:rFonts w:eastAsia="MyriadPro-Regular"/>
        </w:rPr>
        <w:t xml:space="preserve">Проекты, подлежащие оценке трансграничного воздействия на окружающую среду, или планы и/или программы, подлежащие стратегической экологической оценке, могут быть одобрены на основании </w:t>
      </w:r>
      <w:r>
        <w:rPr>
          <w:rFonts w:eastAsia="MyriadPro-Regular"/>
        </w:rPr>
        <w:t>признания</w:t>
      </w:r>
      <w:r w:rsidRPr="0046500B">
        <w:rPr>
          <w:rFonts w:eastAsia="MyriadPro-Regular"/>
        </w:rPr>
        <w:t xml:space="preserve"> компетентны</w:t>
      </w:r>
      <w:r>
        <w:rPr>
          <w:rFonts w:eastAsia="MyriadPro-Regular"/>
        </w:rPr>
        <w:t>ми</w:t>
      </w:r>
      <w:r w:rsidRPr="0046500B">
        <w:rPr>
          <w:rFonts w:eastAsia="MyriadPro-Regular"/>
        </w:rPr>
        <w:t xml:space="preserve"> орган</w:t>
      </w:r>
      <w:r>
        <w:rPr>
          <w:rFonts w:eastAsia="MyriadPro-Regular"/>
        </w:rPr>
        <w:t>ами</w:t>
      </w:r>
      <w:r w:rsidRPr="0046500B">
        <w:rPr>
          <w:rFonts w:eastAsia="MyriadPro-Regular"/>
        </w:rPr>
        <w:t xml:space="preserve"> </w:t>
      </w:r>
      <w:r>
        <w:rPr>
          <w:rFonts w:eastAsia="MyriadPro-Regular"/>
        </w:rPr>
        <w:t>допустимости</w:t>
      </w:r>
      <w:r w:rsidRPr="0046500B">
        <w:rPr>
          <w:rFonts w:eastAsia="MyriadPro-Regular"/>
        </w:rPr>
        <w:t xml:space="preserve"> выявленны</w:t>
      </w:r>
      <w:r>
        <w:rPr>
          <w:rFonts w:eastAsia="MyriadPro-Regular"/>
        </w:rPr>
        <w:t>х видов</w:t>
      </w:r>
      <w:r w:rsidRPr="0046500B">
        <w:rPr>
          <w:rFonts w:eastAsia="MyriadPro-Regular"/>
        </w:rPr>
        <w:t xml:space="preserve"> воздействия и мер по </w:t>
      </w:r>
      <w:r>
        <w:rPr>
          <w:rFonts w:eastAsia="MyriadPro-Regular"/>
        </w:rPr>
        <w:t>его смягчению</w:t>
      </w:r>
      <w:r w:rsidRPr="0046500B">
        <w:rPr>
          <w:rFonts w:eastAsia="MyriadPro-Regular"/>
        </w:rPr>
        <w:t xml:space="preserve">; </w:t>
      </w:r>
      <w:r>
        <w:rPr>
          <w:rFonts w:eastAsia="MyriadPro-Regular"/>
        </w:rPr>
        <w:t>однако</w:t>
      </w:r>
      <w:r w:rsidRPr="0046500B">
        <w:rPr>
          <w:rFonts w:eastAsia="MyriadPro-Regular"/>
        </w:rPr>
        <w:t xml:space="preserve"> затем в финансировании </w:t>
      </w:r>
      <w:r>
        <w:rPr>
          <w:rFonts w:eastAsia="MyriadPro-Regular"/>
        </w:rPr>
        <w:t xml:space="preserve">этой же самой деятельности </w:t>
      </w:r>
      <w:r w:rsidRPr="0046500B">
        <w:rPr>
          <w:rFonts w:eastAsia="MyriadPro-Regular"/>
        </w:rPr>
        <w:t xml:space="preserve">может быть отказано, если </w:t>
      </w:r>
      <w:r>
        <w:rPr>
          <w:rFonts w:eastAsia="MyriadPro-Regular"/>
        </w:rPr>
        <w:t>окажется невозможным продемонстрировать ее способность</w:t>
      </w:r>
      <w:r w:rsidRPr="0046500B">
        <w:rPr>
          <w:rFonts w:eastAsia="MyriadPro-Regular"/>
        </w:rPr>
        <w:t xml:space="preserve"> </w:t>
      </w:r>
      <w:r>
        <w:rPr>
          <w:rFonts w:eastAsia="MyriadPro-Regular"/>
        </w:rPr>
        <w:t>обеспечить</w:t>
      </w:r>
      <w:r w:rsidRPr="00B21F9B">
        <w:t xml:space="preserve"> </w:t>
      </w:r>
      <w:r>
        <w:t>«</w:t>
      </w:r>
      <w:r w:rsidRPr="00775886">
        <w:t>непричинени</w:t>
      </w:r>
      <w:r>
        <w:t>е</w:t>
      </w:r>
      <w:r w:rsidRPr="00775886">
        <w:t xml:space="preserve"> существенного ущерба</w:t>
      </w:r>
      <w:r>
        <w:rPr>
          <w:rFonts w:eastAsia="MyriadPro-Regular"/>
        </w:rPr>
        <w:t>»</w:t>
      </w:r>
      <w:r w:rsidRPr="0046500B">
        <w:rPr>
          <w:rFonts w:eastAsia="MyriadPro-Regular"/>
        </w:rPr>
        <w:t xml:space="preserve"> и/или </w:t>
      </w:r>
      <w:r>
        <w:rPr>
          <w:rFonts w:eastAsia="MyriadPro-Regular"/>
        </w:rPr>
        <w:t>значительный</w:t>
      </w:r>
      <w:r w:rsidRPr="0046500B">
        <w:rPr>
          <w:rFonts w:eastAsia="MyriadPro-Regular"/>
        </w:rPr>
        <w:t xml:space="preserve"> вклад в достижение целей экологической политики</w:t>
      </w:r>
      <w:r>
        <w:rPr>
          <w:rFonts w:eastAsia="MyriadPro-Regular"/>
        </w:rPr>
        <w:t>, связанной с</w:t>
      </w:r>
      <w:r w:rsidRPr="0046500B">
        <w:rPr>
          <w:rFonts w:eastAsia="MyriadPro-Regular"/>
        </w:rPr>
        <w:t xml:space="preserve"> </w:t>
      </w:r>
      <w:r>
        <w:rPr>
          <w:rFonts w:eastAsia="MyriadPro-Regular"/>
        </w:rPr>
        <w:t>Т</w:t>
      </w:r>
      <w:r w:rsidRPr="0046500B">
        <w:rPr>
          <w:rFonts w:eastAsia="MyriadPro-Regular"/>
        </w:rPr>
        <w:t>аксономи</w:t>
      </w:r>
      <w:r>
        <w:rPr>
          <w:rFonts w:eastAsia="MyriadPro-Regular"/>
        </w:rPr>
        <w:t>ей</w:t>
      </w:r>
      <w:r w:rsidRPr="0046500B">
        <w:rPr>
          <w:rFonts w:eastAsia="MyriadPro-Regular"/>
        </w:rPr>
        <w:t xml:space="preserve">. </w:t>
      </w:r>
      <w:r>
        <w:t>По этой причине</w:t>
      </w:r>
      <w:r w:rsidRPr="0046500B">
        <w:rPr>
          <w:rFonts w:eastAsia="MyriadPro-Regular"/>
        </w:rPr>
        <w:t xml:space="preserve"> необходимо обеспечить согласованность между Таксономией и </w:t>
      </w:r>
      <w:r>
        <w:rPr>
          <w:rFonts w:eastAsia="MyriadPro-Regular"/>
        </w:rPr>
        <w:t>анализом</w:t>
      </w:r>
      <w:r w:rsidRPr="0046500B">
        <w:rPr>
          <w:rFonts w:eastAsia="MyriadPro-Regular"/>
        </w:rPr>
        <w:t xml:space="preserve"> </w:t>
      </w:r>
      <w:r>
        <w:rPr>
          <w:rFonts w:eastAsia="MyriadPro-Regular"/>
        </w:rPr>
        <w:t>существенности</w:t>
      </w:r>
      <w:r w:rsidRPr="0046500B">
        <w:rPr>
          <w:rFonts w:eastAsia="MyriadPro-Regular"/>
        </w:rPr>
        <w:t xml:space="preserve"> при проведении оценки трансграничного воздействия на окружающую среду в соответствии с Конвенцией и стратегической экологической оценки в соответствии с Протоколом, а также отразить политические цели Таксономии</w:t>
      </w:r>
      <w:r>
        <w:rPr>
          <w:rFonts w:eastAsia="MyriadPro-Regular"/>
        </w:rPr>
        <w:t xml:space="preserve"> для </w:t>
      </w:r>
      <w:r w:rsidRPr="00FE374A">
        <w:t>внес</w:t>
      </w:r>
      <w:r>
        <w:t>ения</w:t>
      </w:r>
      <w:r w:rsidRPr="00FE374A">
        <w:t xml:space="preserve"> </w:t>
      </w:r>
      <w:r>
        <w:t>значительного</w:t>
      </w:r>
      <w:r w:rsidRPr="00FE374A">
        <w:t xml:space="preserve"> вклад</w:t>
      </w:r>
      <w:r>
        <w:t xml:space="preserve">а </w:t>
      </w:r>
      <w:r w:rsidRPr="0046500B">
        <w:rPr>
          <w:rFonts w:eastAsia="MyriadPro-Regular"/>
        </w:rPr>
        <w:t xml:space="preserve">в </w:t>
      </w:r>
      <w:r>
        <w:rPr>
          <w:rFonts w:eastAsia="MyriadPro-Regular"/>
        </w:rPr>
        <w:t xml:space="preserve">их </w:t>
      </w:r>
      <w:r w:rsidRPr="0046500B">
        <w:rPr>
          <w:rFonts w:eastAsia="MyriadPro-Regular"/>
        </w:rPr>
        <w:t>достижение</w:t>
      </w:r>
      <w:r w:rsidRPr="005114BD">
        <w:t>.</w:t>
      </w:r>
    </w:p>
    <w:p w14:paraId="2F45BD29" w14:textId="77777777" w:rsidR="000C3BBC" w:rsidRPr="0026107F" w:rsidRDefault="000C3BBC" w:rsidP="000C3BBC">
      <w:pPr>
        <w:pStyle w:val="SingleTxtG"/>
      </w:pPr>
      <w:r w:rsidRPr="0026107F">
        <w:t>53.</w:t>
      </w:r>
      <w:r w:rsidRPr="0026107F">
        <w:tab/>
        <w:t>Акцент на двойную существенность не отражен в тексте Конвенции или Протокола, поскольку в них рассматрива</w:t>
      </w:r>
      <w:r>
        <w:t>ю</w:t>
      </w:r>
      <w:r w:rsidRPr="0026107F">
        <w:t xml:space="preserve">тся </w:t>
      </w:r>
      <w:r>
        <w:t xml:space="preserve">вопросы, связанные с </w:t>
      </w:r>
      <w:r w:rsidRPr="0026107F">
        <w:t>воздействие</w:t>
      </w:r>
      <w:r>
        <w:t>м</w:t>
      </w:r>
      <w:r w:rsidRPr="0026107F">
        <w:t xml:space="preserve"> проектов, планов и/или программ на окружающую среду. Хотя эти оценки могут дать ценные данные, касающиеся устойчивости хозяйственной деятельности, риски, связанные с окружающей средой для предлагаемого проекта, плана и/или программы, в Конвенции и Протоколе прямо не рассматриваются (см. вставку 5 </w:t>
      </w:r>
      <w:r w:rsidRPr="000960E1">
        <w:rPr>
          <w:spacing w:val="-3"/>
          <w:shd w:val="clear" w:color="auto" w:fill="FFFFFF"/>
        </w:rPr>
        <w:t xml:space="preserve">ниже для предлагаемых </w:t>
      </w:r>
      <w:r>
        <w:rPr>
          <w:spacing w:val="-3"/>
          <w:shd w:val="clear" w:color="auto" w:fill="FFFFFF"/>
        </w:rPr>
        <w:t>тем</w:t>
      </w:r>
      <w:r w:rsidRPr="000960E1">
        <w:rPr>
          <w:spacing w:val="-3"/>
          <w:shd w:val="clear" w:color="auto" w:fill="FFFFFF"/>
        </w:rPr>
        <w:t xml:space="preserve"> </w:t>
      </w:r>
      <w:r>
        <w:rPr>
          <w:spacing w:val="-3"/>
          <w:shd w:val="clear" w:color="auto" w:fill="FFFFFF"/>
        </w:rPr>
        <w:t xml:space="preserve">для </w:t>
      </w:r>
      <w:r w:rsidRPr="000960E1">
        <w:rPr>
          <w:spacing w:val="-3"/>
          <w:shd w:val="clear" w:color="auto" w:fill="FFFFFF"/>
        </w:rPr>
        <w:t xml:space="preserve">обсуждения/ключевых </w:t>
      </w:r>
      <w:r>
        <w:rPr>
          <w:spacing w:val="-3"/>
          <w:shd w:val="clear" w:color="auto" w:fill="FFFFFF"/>
        </w:rPr>
        <w:t>руководящих</w:t>
      </w:r>
      <w:r w:rsidRPr="000960E1">
        <w:rPr>
          <w:spacing w:val="-3"/>
          <w:shd w:val="clear" w:color="auto" w:fill="FFFFFF"/>
        </w:rPr>
        <w:t xml:space="preserve"> вопросов</w:t>
      </w:r>
      <w:r w:rsidRPr="0026107F">
        <w:t>).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0C3BBC" w:rsidRPr="00F67271" w14:paraId="5A8E0DE5" w14:textId="77777777" w:rsidTr="00340A9D">
        <w:trPr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40339BB1" w14:textId="43CB2602" w:rsidR="000C3BBC" w:rsidRPr="00BE01C9" w:rsidRDefault="00340A9D" w:rsidP="00340A9D">
            <w:pPr>
              <w:pageBreakBefore/>
              <w:spacing w:before="120" w:after="120" w:line="240" w:lineRule="auto"/>
              <w:rPr>
                <w:b/>
                <w:bCs/>
              </w:rPr>
            </w:pPr>
            <w:r>
              <w:lastRenderedPageBreak/>
              <w:t>Вставка</w:t>
            </w:r>
            <w:r w:rsidRPr="0071096B">
              <w:t xml:space="preserve"> 5</w:t>
            </w:r>
            <w:r>
              <w:br/>
            </w:r>
            <w:r w:rsidR="000C3BBC" w:rsidRPr="00EB5A48">
              <w:rPr>
                <w:b/>
                <w:bCs/>
                <w:spacing w:val="-3"/>
                <w:shd w:val="clear" w:color="auto" w:fill="FFFFFF"/>
              </w:rPr>
              <w:t>Предлагаемые темы для обсуждения/ключевые руководящие вопросы</w:t>
            </w:r>
          </w:p>
          <w:p w14:paraId="16E8A8A0" w14:textId="43F01E02" w:rsidR="000C3BBC" w:rsidRPr="00BE01C9" w:rsidRDefault="000C3BBC" w:rsidP="00114359">
            <w:pPr>
              <w:spacing w:after="120"/>
              <w:ind w:left="397" w:hanging="397"/>
              <w:jc w:val="both"/>
            </w:pPr>
            <w:r w:rsidRPr="00D35FFD">
              <w:t>1.</w:t>
            </w:r>
            <w:r w:rsidRPr="00D35FFD">
              <w:tab/>
            </w:r>
            <w:r w:rsidRPr="00BE01C9">
              <w:t xml:space="preserve">Каким </w:t>
            </w:r>
            <w:r>
              <w:t xml:space="preserve">наилучшим </w:t>
            </w:r>
            <w:r w:rsidRPr="00BE01C9">
              <w:t>образом</w:t>
            </w:r>
            <w:r>
              <w:t xml:space="preserve"> следует согласовать</w:t>
            </w:r>
            <w:r w:rsidRPr="00BE01C9">
              <w:t xml:space="preserve"> ключевые концепции </w:t>
            </w:r>
            <w:r>
              <w:t>«</w:t>
            </w:r>
            <w:r w:rsidRPr="00BE01C9">
              <w:t>зеленых</w:t>
            </w:r>
            <w:r>
              <w:t>»</w:t>
            </w:r>
            <w:r w:rsidRPr="00BE01C9">
              <w:t xml:space="preserve"> таксономий (в частности, </w:t>
            </w:r>
            <w:r>
              <w:t>концепций «непричинения</w:t>
            </w:r>
            <w:r w:rsidR="006C6943">
              <w:t xml:space="preserve"> </w:t>
            </w:r>
            <w:r w:rsidRPr="00BE01C9">
              <w:t xml:space="preserve">существенного </w:t>
            </w:r>
            <w:r>
              <w:t>ущерба»</w:t>
            </w:r>
            <w:r w:rsidRPr="00BE01C9">
              <w:t xml:space="preserve"> и </w:t>
            </w:r>
            <w:r>
              <w:t>«внесения</w:t>
            </w:r>
            <w:r w:rsidRPr="00BE01C9">
              <w:t xml:space="preserve"> </w:t>
            </w:r>
            <w:r>
              <w:t>значительного</w:t>
            </w:r>
            <w:r w:rsidRPr="00BE01C9">
              <w:t xml:space="preserve"> вклад</w:t>
            </w:r>
            <w:r>
              <w:t>а</w:t>
            </w:r>
            <w:r w:rsidRPr="00BE01C9">
              <w:t xml:space="preserve"> в достижение хотя бы одной из этих экологических целей</w:t>
            </w:r>
            <w:r>
              <w:t>»</w:t>
            </w:r>
            <w:r w:rsidRPr="00BE01C9">
              <w:t xml:space="preserve"> (</w:t>
            </w:r>
            <w:r w:rsidRPr="0099410C">
              <w:rPr>
                <w:rFonts w:eastAsia="MyriadPro-Regular"/>
              </w:rPr>
              <w:t>смягчение последствий изменения климата</w:t>
            </w:r>
            <w:r>
              <w:rPr>
                <w:rFonts w:eastAsia="MyriadPro-Regular"/>
              </w:rPr>
              <w:t>,</w:t>
            </w:r>
            <w:r w:rsidRPr="0099410C">
              <w:rPr>
                <w:rFonts w:eastAsia="MyriadPro-Regular"/>
              </w:rPr>
              <w:t xml:space="preserve"> адаптация к изменению климата</w:t>
            </w:r>
            <w:r>
              <w:rPr>
                <w:rFonts w:eastAsia="MyriadPro-Regular"/>
              </w:rPr>
              <w:t>,</w:t>
            </w:r>
            <w:r w:rsidRPr="0099410C">
              <w:rPr>
                <w:rFonts w:eastAsia="MyriadPro-Regular"/>
              </w:rPr>
              <w:t xml:space="preserve"> </w:t>
            </w:r>
            <w:r w:rsidRPr="00114359">
              <w:t>устойчивое</w:t>
            </w:r>
            <w:r w:rsidRPr="0099410C">
              <w:rPr>
                <w:rFonts w:eastAsia="MyriadPro-Regular"/>
              </w:rPr>
              <w:t xml:space="preserve"> использование и охрана водных и морских ресурсов</w:t>
            </w:r>
            <w:r>
              <w:rPr>
                <w:rFonts w:eastAsia="MyriadPro-Regular"/>
              </w:rPr>
              <w:t>,</w:t>
            </w:r>
            <w:r w:rsidRPr="0099410C">
              <w:rPr>
                <w:rFonts w:eastAsia="MyriadPro-Regular"/>
              </w:rPr>
              <w:t xml:space="preserve"> переход к экономике</w:t>
            </w:r>
            <w:r>
              <w:rPr>
                <w:rFonts w:eastAsia="MyriadPro-Regular"/>
              </w:rPr>
              <w:t xml:space="preserve"> замкнутого цикла,</w:t>
            </w:r>
            <w:r w:rsidRPr="0099410C">
              <w:rPr>
                <w:rFonts w:eastAsia="MyriadPro-Regular"/>
              </w:rPr>
              <w:t xml:space="preserve"> предотвращение и </w:t>
            </w:r>
            <w:r>
              <w:rPr>
                <w:rFonts w:eastAsia="MyriadPro-Regular"/>
              </w:rPr>
              <w:t>ограничение</w:t>
            </w:r>
            <w:r w:rsidRPr="0099410C">
              <w:rPr>
                <w:rFonts w:eastAsia="MyriadPro-Regular"/>
              </w:rPr>
              <w:t xml:space="preserve"> загрязнения</w:t>
            </w:r>
            <w:r>
              <w:rPr>
                <w:rFonts w:eastAsia="MyriadPro-Regular"/>
              </w:rPr>
              <w:t xml:space="preserve"> и</w:t>
            </w:r>
            <w:r w:rsidRPr="0099410C">
              <w:rPr>
                <w:rFonts w:eastAsia="MyriadPro-Regular"/>
              </w:rPr>
              <w:t xml:space="preserve"> защита и восстановление биоразнообразия и экосистем</w:t>
            </w:r>
            <w:r w:rsidRPr="00BE01C9">
              <w:t xml:space="preserve">)) с Конвенцией и Протоколом для обеспечения последовательного принятия решений на </w:t>
            </w:r>
            <w:r>
              <w:t xml:space="preserve">всех </w:t>
            </w:r>
            <w:r w:rsidRPr="00BE01C9">
              <w:t>этапах планирования и финансирования?</w:t>
            </w:r>
            <w:r w:rsidRPr="00D35FFD">
              <w:t xml:space="preserve"> </w:t>
            </w:r>
          </w:p>
          <w:p w14:paraId="7699B500" w14:textId="60637D8E" w:rsidR="000C3BBC" w:rsidRPr="001571B9" w:rsidRDefault="000C3BBC" w:rsidP="00114359">
            <w:pPr>
              <w:spacing w:after="120"/>
              <w:ind w:left="397" w:hanging="397"/>
              <w:jc w:val="both"/>
            </w:pPr>
            <w:r w:rsidRPr="00226C15">
              <w:t>2.</w:t>
            </w:r>
            <w:r w:rsidRPr="00226C15">
              <w:tab/>
            </w:r>
            <w:r w:rsidRPr="00996D18">
              <w:t xml:space="preserve">Каким </w:t>
            </w:r>
            <w:r>
              <w:t xml:space="preserve">наилучшим </w:t>
            </w:r>
            <w:r w:rsidRPr="00996D18">
              <w:t xml:space="preserve">образом можно стимулировать Стороны к выполнению рекомендации </w:t>
            </w:r>
            <w:r>
              <w:t xml:space="preserve">в рамках </w:t>
            </w:r>
            <w:r w:rsidRPr="00996D18">
              <w:t>Протокола о</w:t>
            </w:r>
            <w:r>
              <w:t>тносительно</w:t>
            </w:r>
            <w:r w:rsidRPr="00996D18">
              <w:t xml:space="preserve"> проведени</w:t>
            </w:r>
            <w:r>
              <w:t>я</w:t>
            </w:r>
            <w:r w:rsidRPr="00996D18">
              <w:t xml:space="preserve"> стратегической экологической оценки на уровне политики для обеспечения согласованности между отраслевыми планами, </w:t>
            </w:r>
            <w:r w:rsidRPr="001571B9">
              <w:t>имеющими отношение к зеленому финансированию?</w:t>
            </w:r>
            <w:r w:rsidR="006C6943">
              <w:t xml:space="preserve"> </w:t>
            </w:r>
          </w:p>
          <w:p w14:paraId="01C1A7A8" w14:textId="5F0DB1CC" w:rsidR="000C3BBC" w:rsidRPr="00706373" w:rsidRDefault="000C3BBC" w:rsidP="00114359">
            <w:pPr>
              <w:spacing w:after="120"/>
              <w:ind w:left="397" w:hanging="397"/>
              <w:jc w:val="both"/>
            </w:pPr>
            <w:r w:rsidRPr="00706373">
              <w:t>3.</w:t>
            </w:r>
            <w:r w:rsidRPr="00706373">
              <w:tab/>
            </w:r>
            <w:r w:rsidRPr="00226C15">
              <w:t xml:space="preserve">В </w:t>
            </w:r>
            <w:r>
              <w:t>контексте</w:t>
            </w:r>
            <w:r w:rsidRPr="00226C15">
              <w:t xml:space="preserve"> вопрос</w:t>
            </w:r>
            <w:r>
              <w:t>а</w:t>
            </w:r>
            <w:r w:rsidRPr="00226C15">
              <w:t xml:space="preserve"> 3</w:t>
            </w:r>
            <w:r>
              <w:t>, поднятого</w:t>
            </w:r>
            <w:r w:rsidRPr="00226C15">
              <w:t xml:space="preserve"> </w:t>
            </w:r>
            <w:r>
              <w:t>по тематике э</w:t>
            </w:r>
            <w:r w:rsidRPr="00226C15">
              <w:t>нергетическ</w:t>
            </w:r>
            <w:r>
              <w:t>ого</w:t>
            </w:r>
            <w:r w:rsidRPr="00226C15">
              <w:t xml:space="preserve"> переход</w:t>
            </w:r>
            <w:r>
              <w:t>а</w:t>
            </w:r>
            <w:r w:rsidRPr="00226C15">
              <w:t xml:space="preserve"> </w:t>
            </w:r>
            <w:r w:rsidR="00114359">
              <w:br/>
            </w:r>
            <w:r w:rsidRPr="00226C15">
              <w:t xml:space="preserve">(см. </w:t>
            </w:r>
            <w:r>
              <w:t>вставку</w:t>
            </w:r>
            <w:r w:rsidRPr="00226C15">
              <w:t xml:space="preserve"> 2 выше), </w:t>
            </w:r>
            <w:r>
              <w:t>следует</w:t>
            </w:r>
            <w:r w:rsidRPr="00226C15">
              <w:t xml:space="preserve"> ли согласовать значение термина </w:t>
            </w:r>
            <w:r>
              <w:t>«</w:t>
            </w:r>
            <w:r w:rsidRPr="00226C15">
              <w:t>климат</w:t>
            </w:r>
            <w:r>
              <w:t>»</w:t>
            </w:r>
            <w:r w:rsidRPr="00226C15">
              <w:t xml:space="preserve"> в Конвенции и Протоколе с его пониманием в таксономиях зеленого финансирования?</w:t>
            </w:r>
          </w:p>
          <w:p w14:paraId="7D4985CF" w14:textId="77777777" w:rsidR="000C3BBC" w:rsidRPr="00706373" w:rsidRDefault="000C3BBC" w:rsidP="00114359">
            <w:pPr>
              <w:spacing w:after="120"/>
              <w:ind w:left="397" w:hanging="397"/>
              <w:jc w:val="both"/>
            </w:pPr>
            <w:r w:rsidRPr="00706373">
              <w:t>4.</w:t>
            </w:r>
            <w:r w:rsidRPr="00706373">
              <w:tab/>
              <w:t xml:space="preserve">Имеет ли смысл определить, каким образом любые критерии отбора, поддерживающие применение таксономий устойчивого финансирования, могут быть </w:t>
            </w:r>
            <w:r>
              <w:t>согласованы</w:t>
            </w:r>
            <w:r w:rsidRPr="00706373">
              <w:t xml:space="preserve"> с обязательствами по оценке в рамках Конвенции и Протокола?</w:t>
            </w:r>
          </w:p>
          <w:p w14:paraId="089F55BC" w14:textId="77777777" w:rsidR="000C3BBC" w:rsidRPr="00E6336C" w:rsidRDefault="000C3BBC" w:rsidP="00114359">
            <w:pPr>
              <w:spacing w:after="120"/>
              <w:ind w:left="397" w:hanging="397"/>
              <w:jc w:val="both"/>
            </w:pPr>
            <w:r w:rsidRPr="00E6336C">
              <w:t>5.</w:t>
            </w:r>
            <w:r w:rsidRPr="00E6336C">
              <w:tab/>
              <w:t xml:space="preserve">Какую роль Конвенция и Протокол могут сыграть в содействии </w:t>
            </w:r>
            <w:r>
              <w:t>внедрению</w:t>
            </w:r>
            <w:r w:rsidRPr="00E6336C">
              <w:t xml:space="preserve"> стандартов отчетности </w:t>
            </w:r>
            <w:r>
              <w:t>по вопросам устойчивости</w:t>
            </w:r>
            <w:r w:rsidRPr="00E6336C">
              <w:t xml:space="preserve">? </w:t>
            </w:r>
          </w:p>
          <w:p w14:paraId="63A8B754" w14:textId="77777777" w:rsidR="000C3BBC" w:rsidRPr="001044E7" w:rsidRDefault="000C3BBC" w:rsidP="00114359">
            <w:pPr>
              <w:spacing w:after="120"/>
              <w:ind w:left="397" w:hanging="397"/>
              <w:jc w:val="both"/>
            </w:pPr>
            <w:r w:rsidRPr="001044E7">
              <w:t>6.</w:t>
            </w:r>
            <w:r w:rsidRPr="001044E7">
              <w:tab/>
            </w:r>
            <w:r>
              <w:t xml:space="preserve">Является ли </w:t>
            </w:r>
            <w:r w:rsidRPr="001044E7">
              <w:t xml:space="preserve">концепция двойной существенности, </w:t>
            </w:r>
            <w:r>
              <w:t xml:space="preserve">отраженная </w:t>
            </w:r>
            <w:r w:rsidRPr="001044E7">
              <w:t xml:space="preserve">в стандартах отчетности </w:t>
            </w:r>
            <w:r>
              <w:t>по вопросам устойчивости</w:t>
            </w:r>
            <w:r w:rsidRPr="001044E7">
              <w:t xml:space="preserve">, </w:t>
            </w:r>
            <w:r>
              <w:t>релевантной для</w:t>
            </w:r>
            <w:r w:rsidRPr="001044E7">
              <w:t xml:space="preserve"> оценк</w:t>
            </w:r>
            <w:r>
              <w:t>и</w:t>
            </w:r>
            <w:r w:rsidRPr="001044E7">
              <w:t xml:space="preserve"> трансграничного воздействия на окружающую среду, проводимой в рамках Конвенции, и стратегической экологической оценк</w:t>
            </w:r>
            <w:r>
              <w:t>и</w:t>
            </w:r>
            <w:r w:rsidRPr="001044E7">
              <w:t xml:space="preserve">, проводимой в рамках Протокола? Если да, то что можно сделать для улучшения взаимосвязи между </w:t>
            </w:r>
            <w:r>
              <w:t>применением</w:t>
            </w:r>
            <w:r w:rsidRPr="001044E7">
              <w:t xml:space="preserve"> этих инструментов и требованиями стандартов отчетности </w:t>
            </w:r>
            <w:r>
              <w:t>по вопросам устойчивости</w:t>
            </w:r>
            <w:r w:rsidRPr="001044E7">
              <w:t>?</w:t>
            </w:r>
          </w:p>
        </w:tc>
      </w:tr>
      <w:tr w:rsidR="000C3BBC" w:rsidRPr="00F67271" w14:paraId="2AB635EC" w14:textId="77777777" w:rsidTr="00B04E6B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16B7F81D" w14:textId="77777777" w:rsidR="000C3BBC" w:rsidRPr="001044E7" w:rsidRDefault="000C3BBC" w:rsidP="00B04E6B">
            <w:pPr>
              <w:spacing w:line="240" w:lineRule="auto"/>
            </w:pPr>
          </w:p>
        </w:tc>
      </w:tr>
    </w:tbl>
    <w:p w14:paraId="2B3F59DB" w14:textId="77777777" w:rsidR="000C3BBC" w:rsidRPr="00760F12" w:rsidRDefault="000C3BBC" w:rsidP="000C3BBC">
      <w:pPr>
        <w:pStyle w:val="H1G"/>
        <w:rPr>
          <w:lang w:eastAsia="en-US"/>
        </w:rPr>
      </w:pPr>
      <w:r w:rsidRPr="001044E7">
        <w:rPr>
          <w:lang w:eastAsia="en-US"/>
        </w:rPr>
        <w:tab/>
      </w:r>
      <w:r w:rsidRPr="00213F56">
        <w:rPr>
          <w:lang w:eastAsia="en-US"/>
        </w:rPr>
        <w:t>E</w:t>
      </w:r>
      <w:r w:rsidRPr="00760F12">
        <w:rPr>
          <w:lang w:eastAsia="en-US"/>
        </w:rPr>
        <w:t>.</w:t>
      </w:r>
      <w:r w:rsidRPr="00760F12">
        <w:rPr>
          <w:lang w:eastAsia="en-US"/>
        </w:rPr>
        <w:tab/>
      </w:r>
      <w:r w:rsidRPr="00955394">
        <w:rPr>
          <w:lang w:eastAsia="en-US"/>
        </w:rPr>
        <w:t>Анализ Конвенции и Протокол</w:t>
      </w:r>
      <w:r>
        <w:rPr>
          <w:lang w:eastAsia="en-US"/>
        </w:rPr>
        <w:t xml:space="preserve">а на основе параметров </w:t>
      </w:r>
      <w:r>
        <w:rPr>
          <w:rFonts w:cs="Segoe UI"/>
          <w:szCs w:val="18"/>
          <w:lang w:eastAsia="en-US"/>
        </w:rPr>
        <w:t>«с</w:t>
      </w:r>
      <w:r w:rsidRPr="00632622">
        <w:rPr>
          <w:rFonts w:cs="Segoe UI"/>
          <w:szCs w:val="18"/>
          <w:lang w:eastAsia="en-US"/>
        </w:rPr>
        <w:t xml:space="preserve">ильные стороны </w:t>
      </w:r>
      <w:r>
        <w:rPr>
          <w:rFonts w:cs="Segoe UI"/>
          <w:szCs w:val="18"/>
          <w:lang w:eastAsia="en-US"/>
        </w:rPr>
        <w:t>—</w:t>
      </w:r>
      <w:r w:rsidRPr="00632622">
        <w:rPr>
          <w:rFonts w:cs="Segoe UI"/>
          <w:szCs w:val="18"/>
          <w:lang w:eastAsia="en-US"/>
        </w:rPr>
        <w:t xml:space="preserve"> </w:t>
      </w:r>
      <w:r>
        <w:rPr>
          <w:rFonts w:cs="Segoe UI"/>
          <w:szCs w:val="18"/>
          <w:lang w:eastAsia="en-US"/>
        </w:rPr>
        <w:t>у</w:t>
      </w:r>
      <w:r w:rsidRPr="00632622">
        <w:rPr>
          <w:rFonts w:cs="Segoe UI"/>
          <w:szCs w:val="18"/>
          <w:lang w:eastAsia="en-US"/>
        </w:rPr>
        <w:t xml:space="preserve">стремления </w:t>
      </w:r>
      <w:r>
        <w:rPr>
          <w:rFonts w:cs="Segoe UI"/>
          <w:szCs w:val="18"/>
          <w:lang w:eastAsia="en-US"/>
        </w:rPr>
        <w:t>—</w:t>
      </w:r>
      <w:r w:rsidRPr="00632622">
        <w:rPr>
          <w:rFonts w:cs="Segoe UI"/>
          <w:szCs w:val="18"/>
          <w:lang w:eastAsia="en-US"/>
        </w:rPr>
        <w:t xml:space="preserve"> возможности </w:t>
      </w:r>
      <w:r>
        <w:rPr>
          <w:rFonts w:cs="Segoe UI"/>
          <w:szCs w:val="18"/>
          <w:lang w:eastAsia="en-US"/>
        </w:rPr>
        <w:t>—</w:t>
      </w:r>
      <w:r w:rsidRPr="00632622">
        <w:rPr>
          <w:rFonts w:cs="Segoe UI"/>
          <w:szCs w:val="18"/>
          <w:lang w:eastAsia="en-US"/>
        </w:rPr>
        <w:t xml:space="preserve"> варианты</w:t>
      </w:r>
      <w:r>
        <w:rPr>
          <w:rFonts w:cs="Segoe UI"/>
          <w:szCs w:val="18"/>
          <w:lang w:eastAsia="en-US"/>
        </w:rPr>
        <w:t>»</w:t>
      </w:r>
      <w:r w:rsidRPr="00955394">
        <w:rPr>
          <w:lang w:eastAsia="en-US"/>
        </w:rPr>
        <w:t xml:space="preserve"> </w:t>
      </w:r>
      <w:r>
        <w:rPr>
          <w:lang w:eastAsia="en-US"/>
        </w:rPr>
        <w:t>применительно к</w:t>
      </w:r>
      <w:r w:rsidRPr="00760F12">
        <w:rPr>
          <w:lang w:eastAsia="en-US"/>
        </w:rPr>
        <w:t xml:space="preserve"> </w:t>
      </w:r>
      <w:r>
        <w:rPr>
          <w:lang w:eastAsia="en-US"/>
        </w:rPr>
        <w:t>зеленому финансированию</w:t>
      </w:r>
    </w:p>
    <w:tbl>
      <w:tblPr>
        <w:tblStyle w:val="ac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437"/>
        <w:gridCol w:w="2381"/>
        <w:gridCol w:w="2381"/>
      </w:tblGrid>
      <w:tr w:rsidR="000C3BBC" w:rsidRPr="0071096B" w14:paraId="56CD6174" w14:textId="77777777" w:rsidTr="00B04E6B">
        <w:trPr>
          <w:tblHeader/>
        </w:trPr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6E619" w14:textId="77777777" w:rsidR="000C3BBC" w:rsidRPr="0071096B" w:rsidRDefault="000C3BBC" w:rsidP="00B04E6B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>
              <w:rPr>
                <w:rFonts w:eastAsia="Calibri"/>
                <w:i/>
                <w:sz w:val="16"/>
              </w:rPr>
              <w:t>Сильные стороны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6281E" w14:textId="77777777" w:rsidR="000C3BBC" w:rsidRPr="0071096B" w:rsidRDefault="000C3BBC" w:rsidP="00B04E6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rFonts w:eastAsia="Calibri"/>
                <w:i/>
                <w:sz w:val="16"/>
              </w:rPr>
              <w:t>Устремления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8DFB56" w14:textId="77777777" w:rsidR="000C3BBC" w:rsidRPr="00760F12" w:rsidRDefault="000C3BBC" w:rsidP="00B04E6B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>
              <w:rPr>
                <w:rFonts w:eastAsia="Calibri"/>
                <w:i/>
                <w:sz w:val="16"/>
              </w:rPr>
              <w:t>Возможности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EFF66B" w14:textId="77777777" w:rsidR="000C3BBC" w:rsidRPr="00760F12" w:rsidRDefault="000C3BBC" w:rsidP="00B04E6B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</w:rPr>
            </w:pPr>
            <w:r>
              <w:rPr>
                <w:rFonts w:eastAsia="Calibri"/>
                <w:i/>
                <w:sz w:val="16"/>
              </w:rPr>
              <w:t>Варианты</w:t>
            </w:r>
          </w:p>
        </w:tc>
      </w:tr>
      <w:tr w:rsidR="000C3BBC" w:rsidRPr="0071096B" w14:paraId="3D2ABB9D" w14:textId="77777777" w:rsidTr="00B941FC">
        <w:trPr>
          <w:trHeight w:hRule="exact" w:val="113"/>
        </w:trPr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07F47" w14:textId="77777777" w:rsidR="000C3BBC" w:rsidRPr="0071096B" w:rsidRDefault="000C3BBC" w:rsidP="00B04E6B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F7BFF" w14:textId="77777777" w:rsidR="000C3BBC" w:rsidRPr="0071096B" w:rsidRDefault="000C3BBC" w:rsidP="00B04E6B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12" w:space="0" w:color="auto"/>
            </w:tcBorders>
            <w:shd w:val="clear" w:color="auto" w:fill="auto"/>
          </w:tcPr>
          <w:p w14:paraId="620497C3" w14:textId="77777777" w:rsidR="000C3BBC" w:rsidRPr="0071096B" w:rsidRDefault="000C3BBC" w:rsidP="00B04E6B">
            <w:pPr>
              <w:spacing w:before="40" w:after="120"/>
              <w:ind w:right="113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12" w:space="0" w:color="auto"/>
            </w:tcBorders>
            <w:shd w:val="clear" w:color="auto" w:fill="auto"/>
          </w:tcPr>
          <w:p w14:paraId="653F0188" w14:textId="77777777" w:rsidR="000C3BBC" w:rsidRPr="0071096B" w:rsidRDefault="000C3BBC" w:rsidP="00B04E6B">
            <w:pPr>
              <w:spacing w:before="40" w:after="120"/>
              <w:ind w:right="113"/>
              <w:rPr>
                <w:rFonts w:eastAsia="Calibri"/>
              </w:rPr>
            </w:pPr>
          </w:p>
        </w:tc>
      </w:tr>
      <w:tr w:rsidR="000C3BBC" w:rsidRPr="00F67271" w14:paraId="5AD528DE" w14:textId="77777777" w:rsidTr="00B941FC">
        <w:tc>
          <w:tcPr>
            <w:tcW w:w="1864" w:type="dxa"/>
            <w:shd w:val="clear" w:color="auto" w:fill="auto"/>
            <w:tcMar>
              <w:left w:w="108" w:type="dxa"/>
              <w:right w:w="108" w:type="dxa"/>
            </w:tcMar>
          </w:tcPr>
          <w:p w14:paraId="2B6C3D85" w14:textId="203D8439" w:rsidR="000C3BBC" w:rsidRPr="00760F12" w:rsidRDefault="000C3BBC" w:rsidP="00340A9D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236F53">
              <w:rPr>
                <w:lang w:eastAsia="en-US"/>
              </w:rPr>
              <w:t xml:space="preserve">Всеобъемлющие положения о </w:t>
            </w:r>
            <w:r>
              <w:rPr>
                <w:lang w:eastAsia="en-US"/>
              </w:rPr>
              <w:t xml:space="preserve">проведении </w:t>
            </w:r>
            <w:r w:rsidRPr="00236F53">
              <w:rPr>
                <w:lang w:eastAsia="en-US"/>
              </w:rPr>
              <w:t>консультаци</w:t>
            </w:r>
            <w:r>
              <w:rPr>
                <w:lang w:eastAsia="en-US"/>
              </w:rPr>
              <w:t>й</w:t>
            </w:r>
            <w:r w:rsidRPr="00236F53">
              <w:rPr>
                <w:lang w:eastAsia="en-US"/>
              </w:rPr>
              <w:t xml:space="preserve"> и участии общественности </w:t>
            </w:r>
            <w:r>
              <w:rPr>
                <w:lang w:eastAsia="en-US"/>
              </w:rPr>
              <w:t>и</w:t>
            </w:r>
            <w:r w:rsidRPr="00236F53">
              <w:rPr>
                <w:lang w:eastAsia="en-US"/>
              </w:rPr>
              <w:t xml:space="preserve"> соответствующ</w:t>
            </w:r>
            <w:r>
              <w:rPr>
                <w:lang w:eastAsia="en-US"/>
              </w:rPr>
              <w:t>е</w:t>
            </w:r>
            <w:r w:rsidRPr="00236F53">
              <w:rPr>
                <w:lang w:eastAsia="en-US"/>
              </w:rPr>
              <w:t>е руководств</w:t>
            </w:r>
            <w:r>
              <w:rPr>
                <w:lang w:eastAsia="en-US"/>
              </w:rPr>
              <w:t>о</w:t>
            </w:r>
            <w:r w:rsidRPr="00236F53">
              <w:rPr>
                <w:lang w:eastAsia="en-US"/>
              </w:rPr>
              <w:t xml:space="preserve"> помогают обеспечить своевременное и значимое </w:t>
            </w:r>
            <w:r>
              <w:rPr>
                <w:lang w:eastAsia="en-US"/>
              </w:rPr>
              <w:t xml:space="preserve">вовлечение </w:t>
            </w:r>
            <w:r w:rsidRPr="00236F53">
              <w:rPr>
                <w:lang w:eastAsia="en-US"/>
              </w:rPr>
              <w:t>гражданского общества (сильн</w:t>
            </w:r>
            <w:r>
              <w:rPr>
                <w:lang w:eastAsia="en-US"/>
              </w:rPr>
              <w:t>ая</w:t>
            </w:r>
            <w:r w:rsidRPr="00236F53">
              <w:rPr>
                <w:lang w:eastAsia="en-US"/>
              </w:rPr>
              <w:t xml:space="preserve"> сторон</w:t>
            </w:r>
            <w:r>
              <w:rPr>
                <w:lang w:eastAsia="en-US"/>
              </w:rPr>
              <w:t>а</w:t>
            </w:r>
            <w:r w:rsidRPr="00236F53">
              <w:rPr>
                <w:lang w:eastAsia="en-US"/>
              </w:rPr>
              <w:t xml:space="preserve"> Конвенции и Протокола)</w:t>
            </w:r>
            <w:r w:rsidRPr="00760F12">
              <w:rPr>
                <w:lang w:eastAsia="en-US"/>
              </w:rPr>
              <w:t xml:space="preserve"> </w:t>
            </w:r>
          </w:p>
          <w:p w14:paraId="7280D5BB" w14:textId="1264201B" w:rsidR="000C3BBC" w:rsidRPr="00497EED" w:rsidRDefault="000C3BBC" w:rsidP="00340A9D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497EED">
              <w:rPr>
                <w:lang w:eastAsia="en-US"/>
              </w:rPr>
              <w:lastRenderedPageBreak/>
              <w:t xml:space="preserve">Оценка трансграничного воздействия на окружающую среду в рамках Конвенции и стратегическая экологическая оценка в рамках Протокола потенциально </w:t>
            </w:r>
            <w:r>
              <w:rPr>
                <w:lang w:eastAsia="en-US"/>
              </w:rPr>
              <w:t>призваны</w:t>
            </w:r>
            <w:r w:rsidRPr="00497EED">
              <w:rPr>
                <w:lang w:eastAsia="en-US"/>
              </w:rPr>
              <w:t xml:space="preserve"> играть важную роль в </w:t>
            </w:r>
            <w:r>
              <w:rPr>
                <w:lang w:eastAsia="en-US"/>
              </w:rPr>
              <w:t>сертификации</w:t>
            </w:r>
            <w:r w:rsidRPr="00497EED">
              <w:rPr>
                <w:lang w:eastAsia="en-US"/>
              </w:rPr>
              <w:t xml:space="preserve"> устойчивости инвестиций в соответствии с техническими критериями отбора</w:t>
            </w:r>
            <w:r>
              <w:rPr>
                <w:lang w:eastAsia="en-US"/>
              </w:rPr>
              <w:t>, предусмотренными в контексте</w:t>
            </w:r>
            <w:r w:rsidRPr="00497EED">
              <w:rPr>
                <w:lang w:eastAsia="en-US"/>
              </w:rPr>
              <w:t xml:space="preserve"> таксономий зеленого финансирования (сильная сторона Конвенции и Протокола)</w:t>
            </w:r>
          </w:p>
          <w:p w14:paraId="53944C89" w14:textId="6F5F6A5D" w:rsidR="000C3BBC" w:rsidRPr="00497EED" w:rsidRDefault="000C3BBC" w:rsidP="00340A9D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497EED">
              <w:rPr>
                <w:lang w:eastAsia="en-US"/>
              </w:rPr>
              <w:t xml:space="preserve">Конвенция и Протокол уже содержат требования по </w:t>
            </w:r>
            <w:r>
              <w:rPr>
                <w:lang w:eastAsia="en-US"/>
              </w:rPr>
              <w:t>изучению</w:t>
            </w:r>
            <w:r w:rsidRPr="00497EED">
              <w:rPr>
                <w:lang w:eastAsia="en-US"/>
              </w:rPr>
              <w:t xml:space="preserve"> воздействия на конкретные компоненты окружающей среды, которые</w:t>
            </w:r>
            <w:r>
              <w:rPr>
                <w:lang w:eastAsia="en-US"/>
              </w:rPr>
              <w:t xml:space="preserve"> в</w:t>
            </w:r>
            <w:r w:rsidRPr="00497EED">
              <w:rPr>
                <w:lang w:eastAsia="en-US"/>
              </w:rPr>
              <w:t xml:space="preserve"> требования</w:t>
            </w:r>
            <w:r>
              <w:rPr>
                <w:lang w:eastAsia="en-US"/>
              </w:rPr>
              <w:t>х</w:t>
            </w:r>
            <w:r w:rsidRPr="00497EED">
              <w:rPr>
                <w:lang w:eastAsia="en-US"/>
              </w:rPr>
              <w:t xml:space="preserve"> зеленого финансирования</w:t>
            </w:r>
            <w:r>
              <w:rPr>
                <w:lang w:eastAsia="en-US"/>
              </w:rPr>
              <w:t xml:space="preserve"> перечисляются как компоненты, защищаемые</w:t>
            </w:r>
            <w:r w:rsidRPr="00497EED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 xml:space="preserve">причинения </w:t>
            </w:r>
            <w:r w:rsidRPr="00497EED">
              <w:rPr>
                <w:lang w:eastAsia="en-US"/>
              </w:rPr>
              <w:t>вреда, включая климат, воду и биоразнообразие (сильная сторона Конвенции и Протокола)</w:t>
            </w:r>
          </w:p>
          <w:p w14:paraId="3BF6872B" w14:textId="6B123A8E" w:rsidR="000C3BBC" w:rsidRPr="00A5606F" w:rsidRDefault="000C3BBC" w:rsidP="00340A9D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A5606F">
              <w:rPr>
                <w:lang w:eastAsia="en-US"/>
              </w:rPr>
              <w:t xml:space="preserve">Первые попытки согласования стратегической экологической оценки и </w:t>
            </w:r>
            <w:r>
              <w:rPr>
                <w:lang w:eastAsia="en-US"/>
              </w:rPr>
              <w:t>Т</w:t>
            </w:r>
            <w:r w:rsidRPr="00A5606F">
              <w:rPr>
                <w:lang w:eastAsia="en-US"/>
              </w:rPr>
              <w:t xml:space="preserve">аксономии Европейского </w:t>
            </w:r>
            <w:r>
              <w:rPr>
                <w:lang w:eastAsia="en-US"/>
              </w:rPr>
              <w:t>с</w:t>
            </w:r>
            <w:r w:rsidRPr="00A5606F">
              <w:rPr>
                <w:lang w:eastAsia="en-US"/>
              </w:rPr>
              <w:t xml:space="preserve">оюза были признаны полезными (что </w:t>
            </w:r>
            <w:r>
              <w:rPr>
                <w:lang w:eastAsia="en-US"/>
              </w:rPr>
              <w:t>служит указанием на</w:t>
            </w:r>
            <w:r w:rsidRPr="00A5606F">
              <w:rPr>
                <w:lang w:eastAsia="en-US"/>
              </w:rPr>
              <w:t xml:space="preserve"> сильн</w:t>
            </w:r>
            <w:r>
              <w:rPr>
                <w:lang w:eastAsia="en-US"/>
              </w:rPr>
              <w:t>ую</w:t>
            </w:r>
            <w:r w:rsidRPr="00A5606F">
              <w:rPr>
                <w:lang w:eastAsia="en-US"/>
              </w:rPr>
              <w:t xml:space="preserve"> сторон</w:t>
            </w:r>
            <w:r>
              <w:rPr>
                <w:lang w:eastAsia="en-US"/>
              </w:rPr>
              <w:t>у</w:t>
            </w:r>
            <w:r w:rsidRPr="00A5606F">
              <w:rPr>
                <w:lang w:eastAsia="en-US"/>
              </w:rPr>
              <w:t xml:space="preserve"> Протокола)</w:t>
            </w:r>
          </w:p>
        </w:tc>
        <w:tc>
          <w:tcPr>
            <w:tcW w:w="1864" w:type="dxa"/>
            <w:shd w:val="clear" w:color="auto" w:fill="auto"/>
            <w:tcMar>
              <w:left w:w="108" w:type="dxa"/>
              <w:right w:w="108" w:type="dxa"/>
            </w:tcMar>
          </w:tcPr>
          <w:p w14:paraId="7BAC5F73" w14:textId="501642DE" w:rsidR="000C3BBC" w:rsidRPr="00A5606F" w:rsidRDefault="000C3BBC" w:rsidP="00340A9D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A5606F">
              <w:rPr>
                <w:lang w:eastAsia="en-US"/>
              </w:rPr>
              <w:lastRenderedPageBreak/>
              <w:t xml:space="preserve">Обеспечение выполнения требований </w:t>
            </w:r>
            <w:r>
              <w:rPr>
                <w:lang w:eastAsia="en-US"/>
              </w:rPr>
              <w:t xml:space="preserve">относительно «непричинения </w:t>
            </w:r>
            <w:r w:rsidRPr="00A5606F">
              <w:rPr>
                <w:lang w:eastAsia="en-US"/>
              </w:rPr>
              <w:t xml:space="preserve">существенного </w:t>
            </w:r>
            <w:r>
              <w:rPr>
                <w:lang w:eastAsia="en-US"/>
              </w:rPr>
              <w:t>ущерба»</w:t>
            </w:r>
            <w:r w:rsidRPr="00A5606F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>«внесения</w:t>
            </w:r>
            <w:r w:rsidRPr="00A5606F">
              <w:rPr>
                <w:lang w:eastAsia="en-US"/>
              </w:rPr>
              <w:t xml:space="preserve"> позитивн</w:t>
            </w:r>
            <w:r>
              <w:rPr>
                <w:lang w:eastAsia="en-US"/>
              </w:rPr>
              <w:t>ого</w:t>
            </w:r>
            <w:r w:rsidRPr="00A5606F">
              <w:rPr>
                <w:lang w:eastAsia="en-US"/>
              </w:rPr>
              <w:t xml:space="preserve"> вклад</w:t>
            </w:r>
            <w:r>
              <w:rPr>
                <w:lang w:eastAsia="en-US"/>
              </w:rPr>
              <w:t>а»</w:t>
            </w:r>
            <w:r w:rsidRPr="00A560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рамках</w:t>
            </w:r>
            <w:r w:rsidRPr="00A5606F">
              <w:rPr>
                <w:lang w:eastAsia="en-US"/>
              </w:rPr>
              <w:t xml:space="preserve"> Конвенци</w:t>
            </w:r>
            <w:r>
              <w:rPr>
                <w:lang w:eastAsia="en-US"/>
              </w:rPr>
              <w:t>и</w:t>
            </w:r>
            <w:r w:rsidRPr="00A5606F">
              <w:rPr>
                <w:lang w:eastAsia="en-US"/>
              </w:rPr>
              <w:t xml:space="preserve"> и Протокол</w:t>
            </w:r>
            <w:r>
              <w:rPr>
                <w:lang w:eastAsia="en-US"/>
              </w:rPr>
              <w:t>а</w:t>
            </w:r>
            <w:r w:rsidRPr="00A5606F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у</w:t>
            </w:r>
            <w:r w:rsidRPr="00A5606F">
              <w:rPr>
                <w:lang w:eastAsia="en-US"/>
              </w:rPr>
              <w:t xml:space="preserve">стремление </w:t>
            </w:r>
            <w:r>
              <w:rPr>
                <w:lang w:eastAsia="en-US"/>
              </w:rPr>
              <w:t>по</w:t>
            </w:r>
            <w:r w:rsidRPr="00A5606F">
              <w:rPr>
                <w:lang w:eastAsia="en-US"/>
              </w:rPr>
              <w:t xml:space="preserve"> Конвенции и Протоколу)</w:t>
            </w:r>
          </w:p>
          <w:p w14:paraId="2D05308E" w14:textId="055A593B" w:rsidR="000C3BBC" w:rsidRPr="004138ED" w:rsidRDefault="000C3BBC" w:rsidP="00340A9D">
            <w:pPr>
              <w:pStyle w:val="Bullet2G"/>
              <w:ind w:left="170" w:right="17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Углубление</w:t>
            </w:r>
            <w:r w:rsidRPr="004138ED">
              <w:rPr>
                <w:lang w:eastAsia="en-US"/>
              </w:rPr>
              <w:t xml:space="preserve"> понимани</w:t>
            </w:r>
            <w:r>
              <w:rPr>
                <w:lang w:eastAsia="en-US"/>
              </w:rPr>
              <w:t>я</w:t>
            </w:r>
            <w:r w:rsidRPr="004138ED">
              <w:rPr>
                <w:lang w:eastAsia="en-US"/>
              </w:rPr>
              <w:t xml:space="preserve"> того, как</w:t>
            </w:r>
            <w:r>
              <w:rPr>
                <w:lang w:eastAsia="en-US"/>
              </w:rPr>
              <w:t>им образом</w:t>
            </w:r>
            <w:r w:rsidRPr="004138ED">
              <w:rPr>
                <w:lang w:eastAsia="en-US"/>
              </w:rPr>
              <w:t xml:space="preserve"> оценка воздействия на </w:t>
            </w:r>
            <w:r w:rsidRPr="004138ED">
              <w:rPr>
                <w:lang w:eastAsia="en-US"/>
              </w:rPr>
              <w:lastRenderedPageBreak/>
              <w:t xml:space="preserve">окружающую среду и стратегическая экологическая оценка могут способствовать внедрению таксономий и стандартов отчетности </w:t>
            </w:r>
            <w:r>
              <w:rPr>
                <w:lang w:eastAsia="en-US"/>
              </w:rPr>
              <w:t>по вопросам устойчивости</w:t>
            </w:r>
            <w:r w:rsidRPr="004138ED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у</w:t>
            </w:r>
            <w:r w:rsidRPr="004138ED">
              <w:rPr>
                <w:lang w:eastAsia="en-US"/>
              </w:rPr>
              <w:t xml:space="preserve">стремление </w:t>
            </w:r>
            <w:r>
              <w:rPr>
                <w:lang w:eastAsia="en-US"/>
              </w:rPr>
              <w:t>по</w:t>
            </w:r>
            <w:r w:rsidRPr="004138ED">
              <w:rPr>
                <w:lang w:eastAsia="en-US"/>
              </w:rPr>
              <w:t xml:space="preserve"> Конвенции и Протоколу)</w:t>
            </w:r>
          </w:p>
        </w:tc>
        <w:tc>
          <w:tcPr>
            <w:tcW w:w="1821" w:type="dxa"/>
            <w:shd w:val="clear" w:color="auto" w:fill="auto"/>
          </w:tcPr>
          <w:p w14:paraId="3B2473FB" w14:textId="602F5499" w:rsidR="000C3BBC" w:rsidRPr="00EF0C5F" w:rsidRDefault="000C3BBC" w:rsidP="00340A9D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EF0C5F">
              <w:rPr>
                <w:lang w:eastAsia="en-US"/>
              </w:rPr>
              <w:lastRenderedPageBreak/>
              <w:t>Конвенция и Протокол могут помочь в предоставлении данных</w:t>
            </w:r>
            <w:r>
              <w:rPr>
                <w:lang w:eastAsia="en-US"/>
              </w:rPr>
              <w:t>, предназначенных</w:t>
            </w:r>
            <w:r w:rsidRPr="00EF0C5F">
              <w:rPr>
                <w:lang w:eastAsia="en-US"/>
              </w:rPr>
              <w:t xml:space="preserve"> для</w:t>
            </w:r>
            <w:r>
              <w:rPr>
                <w:lang w:eastAsia="en-US"/>
              </w:rPr>
              <w:t xml:space="preserve"> оказания содействия в</w:t>
            </w:r>
            <w:r w:rsidRPr="00EF0C5F">
              <w:rPr>
                <w:lang w:eastAsia="en-US"/>
              </w:rPr>
              <w:t xml:space="preserve"> выполнени</w:t>
            </w:r>
            <w:r>
              <w:rPr>
                <w:lang w:eastAsia="en-US"/>
              </w:rPr>
              <w:t>и</w:t>
            </w:r>
            <w:r w:rsidRPr="00EF0C5F">
              <w:rPr>
                <w:lang w:eastAsia="en-US"/>
              </w:rPr>
              <w:t xml:space="preserve"> требований </w:t>
            </w:r>
            <w:r>
              <w:rPr>
                <w:lang w:eastAsia="en-US"/>
              </w:rPr>
              <w:t xml:space="preserve">механизмов </w:t>
            </w:r>
            <w:r w:rsidRPr="00EF0C5F">
              <w:rPr>
                <w:lang w:eastAsia="en-US"/>
              </w:rPr>
              <w:t>зеленого финансирования</w:t>
            </w:r>
            <w:r>
              <w:rPr>
                <w:lang w:eastAsia="en-US"/>
              </w:rPr>
              <w:t xml:space="preserve"> относительно «непричинения</w:t>
            </w:r>
            <w:r w:rsidRPr="00EF0C5F">
              <w:rPr>
                <w:lang w:eastAsia="en-US"/>
              </w:rPr>
              <w:t xml:space="preserve"> существенного </w:t>
            </w:r>
            <w:r>
              <w:rPr>
                <w:lang w:eastAsia="en-US"/>
              </w:rPr>
              <w:t>ущерба»</w:t>
            </w:r>
            <w:r w:rsidRPr="00EF0C5F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>«внесения</w:t>
            </w:r>
            <w:r w:rsidRPr="00A5606F">
              <w:rPr>
                <w:lang w:eastAsia="en-US"/>
              </w:rPr>
              <w:t xml:space="preserve"> позитивн</w:t>
            </w:r>
            <w:r>
              <w:rPr>
                <w:lang w:eastAsia="en-US"/>
              </w:rPr>
              <w:t>ого</w:t>
            </w:r>
            <w:r w:rsidRPr="00A5606F">
              <w:rPr>
                <w:lang w:eastAsia="en-US"/>
              </w:rPr>
              <w:t xml:space="preserve"> вклад</w:t>
            </w:r>
            <w:r>
              <w:rPr>
                <w:lang w:eastAsia="en-US"/>
              </w:rPr>
              <w:t>а»</w:t>
            </w:r>
            <w:r w:rsidRPr="00A5606F">
              <w:rPr>
                <w:lang w:eastAsia="en-US"/>
              </w:rPr>
              <w:t xml:space="preserve"> </w:t>
            </w:r>
            <w:r w:rsidRPr="00EF0C5F">
              <w:rPr>
                <w:lang w:eastAsia="en-US"/>
              </w:rPr>
              <w:t>(возможность для Конвенции и Протокола)</w:t>
            </w:r>
          </w:p>
          <w:p w14:paraId="00822719" w14:textId="2AA72F77" w:rsidR="000C3BBC" w:rsidRPr="00EF0C5F" w:rsidRDefault="000C3BBC" w:rsidP="00340A9D">
            <w:pPr>
              <w:pStyle w:val="Bullet2G"/>
              <w:ind w:left="170" w:right="17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Использование </w:t>
            </w:r>
            <w:r w:rsidRPr="00EF0C5F">
              <w:rPr>
                <w:lang w:eastAsia="en-US"/>
              </w:rPr>
              <w:t xml:space="preserve">требований </w:t>
            </w:r>
            <w:r>
              <w:rPr>
                <w:lang w:eastAsia="en-US"/>
              </w:rPr>
              <w:t xml:space="preserve">механизмов </w:t>
            </w:r>
            <w:r w:rsidRPr="00EF0C5F">
              <w:rPr>
                <w:lang w:eastAsia="en-US"/>
              </w:rPr>
              <w:t>зеленого финансирования</w:t>
            </w:r>
            <w:r>
              <w:rPr>
                <w:lang w:eastAsia="en-US"/>
              </w:rPr>
              <w:t xml:space="preserve"> относительно «непричинения</w:t>
            </w:r>
            <w:r w:rsidRPr="00EF0C5F">
              <w:rPr>
                <w:lang w:eastAsia="en-US"/>
              </w:rPr>
              <w:t xml:space="preserve"> существенного </w:t>
            </w:r>
            <w:r>
              <w:rPr>
                <w:lang w:eastAsia="en-US"/>
              </w:rPr>
              <w:t>ущерба»</w:t>
            </w:r>
            <w:r w:rsidRPr="00EF0C5F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«внесения </w:t>
            </w:r>
            <w:r w:rsidRPr="00A5606F">
              <w:rPr>
                <w:lang w:eastAsia="en-US"/>
              </w:rPr>
              <w:t>позитивн</w:t>
            </w:r>
            <w:r>
              <w:rPr>
                <w:lang w:eastAsia="en-US"/>
              </w:rPr>
              <w:t>ого</w:t>
            </w:r>
            <w:r w:rsidRPr="00A5606F">
              <w:rPr>
                <w:lang w:eastAsia="en-US"/>
              </w:rPr>
              <w:t xml:space="preserve"> вклад</w:t>
            </w:r>
            <w:r>
              <w:rPr>
                <w:lang w:eastAsia="en-US"/>
              </w:rPr>
              <w:t>а»</w:t>
            </w:r>
            <w:r w:rsidRPr="00EF0C5F">
              <w:rPr>
                <w:lang w:eastAsia="en-US"/>
              </w:rPr>
              <w:t xml:space="preserve"> мо</w:t>
            </w:r>
            <w:r>
              <w:rPr>
                <w:lang w:eastAsia="en-US"/>
              </w:rPr>
              <w:t>жет позволить</w:t>
            </w:r>
            <w:r w:rsidRPr="00EF0C5F">
              <w:rPr>
                <w:lang w:eastAsia="en-US"/>
              </w:rPr>
              <w:t xml:space="preserve"> усилить защиту окружающей среды, что будет иметь важные последствия для прогресса в достижении Целей </w:t>
            </w:r>
            <w:r>
              <w:rPr>
                <w:lang w:eastAsia="en-US"/>
              </w:rPr>
              <w:t xml:space="preserve">в области </w:t>
            </w:r>
            <w:r w:rsidRPr="00EF0C5F">
              <w:rPr>
                <w:lang w:eastAsia="en-US"/>
              </w:rPr>
              <w:t>устойчивого развития (возможность для Конвенции и Протокола)</w:t>
            </w:r>
          </w:p>
          <w:p w14:paraId="1C22A56E" w14:textId="0DD7AFF2" w:rsidR="000C3BBC" w:rsidRPr="00DD6EBC" w:rsidRDefault="000C3BBC" w:rsidP="00340A9D">
            <w:pPr>
              <w:pStyle w:val="Bullet2G"/>
              <w:ind w:left="170" w:right="17"/>
              <w:jc w:val="left"/>
              <w:rPr>
                <w:lang w:eastAsia="en-US"/>
              </w:rPr>
            </w:pPr>
            <w:r w:rsidRPr="00DD6EBC">
              <w:rPr>
                <w:lang w:eastAsia="en-US"/>
              </w:rPr>
              <w:t xml:space="preserve">Оценки в рамках Конвенции и Протокола потенциально могут предоставить некоторые данные, необходимые предприятиям, обязанным отчитываться </w:t>
            </w:r>
            <w:r>
              <w:rPr>
                <w:lang w:eastAsia="en-US"/>
              </w:rPr>
              <w:t xml:space="preserve">в соответствии со </w:t>
            </w:r>
            <w:r w:rsidRPr="00DD6EBC">
              <w:rPr>
                <w:lang w:eastAsia="en-US"/>
              </w:rPr>
              <w:t>стандартам</w:t>
            </w:r>
            <w:r>
              <w:rPr>
                <w:lang w:eastAsia="en-US"/>
              </w:rPr>
              <w:t>и</w:t>
            </w:r>
            <w:r w:rsidRPr="00DD6EBC">
              <w:rPr>
                <w:lang w:eastAsia="en-US"/>
              </w:rPr>
              <w:t xml:space="preserve"> отчетности </w:t>
            </w:r>
            <w:r>
              <w:rPr>
                <w:lang w:eastAsia="en-US"/>
              </w:rPr>
              <w:t>по вопросам устойчивости</w:t>
            </w:r>
            <w:r w:rsidRPr="00DD6EBC">
              <w:rPr>
                <w:lang w:eastAsia="en-US"/>
              </w:rPr>
              <w:t xml:space="preserve"> (возможность для Конвенции и Протокола)</w:t>
            </w:r>
          </w:p>
        </w:tc>
        <w:tc>
          <w:tcPr>
            <w:tcW w:w="1821" w:type="dxa"/>
            <w:shd w:val="clear" w:color="auto" w:fill="auto"/>
          </w:tcPr>
          <w:p w14:paraId="78311B0A" w14:textId="6DE0D12C" w:rsidR="000C3BBC" w:rsidRPr="001B199D" w:rsidRDefault="000C3BBC" w:rsidP="00340A9D">
            <w:pPr>
              <w:pStyle w:val="Bullet2G"/>
              <w:ind w:left="170" w:right="17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Указание на</w:t>
            </w:r>
            <w:r w:rsidRPr="001B199D">
              <w:rPr>
                <w:lang w:eastAsia="en-US"/>
              </w:rPr>
              <w:t xml:space="preserve"> значени</w:t>
            </w:r>
            <w:r>
              <w:rPr>
                <w:lang w:eastAsia="en-US"/>
              </w:rPr>
              <w:t>е</w:t>
            </w:r>
            <w:r w:rsidRPr="001B199D">
              <w:rPr>
                <w:lang w:eastAsia="en-US"/>
              </w:rPr>
              <w:t xml:space="preserve"> Протокола и Конвенции для предотвращения обвинений в </w:t>
            </w:r>
            <w:r>
              <w:rPr>
                <w:lang w:eastAsia="en-US"/>
              </w:rPr>
              <w:t>«</w:t>
            </w:r>
            <w:r w:rsidRPr="001B199D">
              <w:rPr>
                <w:lang w:eastAsia="en-US"/>
              </w:rPr>
              <w:t xml:space="preserve">зеленом </w:t>
            </w:r>
            <w:r>
              <w:rPr>
                <w:lang w:eastAsia="en-US"/>
              </w:rPr>
              <w:t>камуфляже»</w:t>
            </w:r>
            <w:r w:rsidRPr="001B199D">
              <w:rPr>
                <w:lang w:eastAsia="en-US"/>
              </w:rPr>
              <w:t xml:space="preserve">. Это позволяет устранить риск того, что бухгалтерские фирмы </w:t>
            </w:r>
            <w:r>
              <w:rPr>
                <w:lang w:eastAsia="en-US"/>
              </w:rPr>
              <w:t>с</w:t>
            </w:r>
            <w:r w:rsidRPr="001B199D">
              <w:rPr>
                <w:lang w:eastAsia="en-US"/>
              </w:rPr>
              <w:t>могут разраб</w:t>
            </w:r>
            <w:r>
              <w:rPr>
                <w:lang w:eastAsia="en-US"/>
              </w:rPr>
              <w:t>атыв</w:t>
            </w:r>
            <w:r w:rsidRPr="001B199D">
              <w:rPr>
                <w:lang w:eastAsia="en-US"/>
              </w:rPr>
              <w:t xml:space="preserve">ать </w:t>
            </w:r>
            <w:r>
              <w:rPr>
                <w:lang w:eastAsia="en-US"/>
              </w:rPr>
              <w:t xml:space="preserve">свои </w:t>
            </w:r>
            <w:r w:rsidRPr="001B199D">
              <w:rPr>
                <w:lang w:eastAsia="en-US"/>
              </w:rPr>
              <w:t xml:space="preserve">собственные системы отчетности </w:t>
            </w:r>
            <w:r>
              <w:rPr>
                <w:lang w:eastAsia="en-US"/>
              </w:rPr>
              <w:t>в соответствии со</w:t>
            </w:r>
            <w:r w:rsidRPr="001B199D">
              <w:rPr>
                <w:lang w:eastAsia="en-US"/>
              </w:rPr>
              <w:t xml:space="preserve"> стандартами отчетности </w:t>
            </w:r>
            <w:r>
              <w:rPr>
                <w:lang w:eastAsia="en-US"/>
              </w:rPr>
              <w:t>по вопросам устойчивости</w:t>
            </w:r>
            <w:r w:rsidRPr="001B199D">
              <w:rPr>
                <w:lang w:eastAsia="en-US"/>
              </w:rPr>
              <w:t xml:space="preserve">, которые не соответствуют </w:t>
            </w:r>
            <w:r w:rsidRPr="001B199D">
              <w:rPr>
                <w:lang w:eastAsia="en-US"/>
              </w:rPr>
              <w:lastRenderedPageBreak/>
              <w:t>требованиям Конвенции и Протокола (вариант для Конвенции и Протокола)</w:t>
            </w:r>
          </w:p>
          <w:p w14:paraId="0EE74F2D" w14:textId="2B6AB6A1" w:rsidR="000C3BBC" w:rsidRPr="00BD5BA8" w:rsidRDefault="000C3BBC" w:rsidP="00340A9D">
            <w:pPr>
              <w:pStyle w:val="Bullet2G"/>
              <w:ind w:left="170" w:right="17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Оказание в</w:t>
            </w:r>
            <w:r w:rsidRPr="00BD5BA8">
              <w:rPr>
                <w:lang w:eastAsia="en-US"/>
              </w:rPr>
              <w:t>лияни</w:t>
            </w:r>
            <w:r>
              <w:rPr>
                <w:lang w:eastAsia="en-US"/>
              </w:rPr>
              <w:t>я</w:t>
            </w:r>
            <w:r w:rsidRPr="00BD5BA8">
              <w:rPr>
                <w:lang w:eastAsia="en-US"/>
              </w:rPr>
              <w:t xml:space="preserve"> на практику, связанную с </w:t>
            </w:r>
            <w:r>
              <w:rPr>
                <w:lang w:eastAsia="en-US"/>
              </w:rPr>
              <w:t>осуществлением</w:t>
            </w:r>
            <w:r w:rsidRPr="00BD5BA8">
              <w:rPr>
                <w:lang w:eastAsia="en-US"/>
              </w:rPr>
              <w:t xml:space="preserve"> Протокола и Конвенции, с целью </w:t>
            </w:r>
            <w:r>
              <w:rPr>
                <w:lang w:eastAsia="en-US"/>
              </w:rPr>
              <w:t xml:space="preserve">ее </w:t>
            </w:r>
            <w:r w:rsidRPr="00BD5BA8">
              <w:rPr>
                <w:lang w:eastAsia="en-US"/>
              </w:rPr>
              <w:t xml:space="preserve">приведения в большее соответствие с новыми требованиями </w:t>
            </w:r>
            <w:r>
              <w:rPr>
                <w:lang w:eastAsia="en-US"/>
              </w:rPr>
              <w:t xml:space="preserve">о соблюдении определенных условий при </w:t>
            </w:r>
            <w:r w:rsidRPr="00BD5BA8">
              <w:rPr>
                <w:lang w:eastAsia="en-US"/>
              </w:rPr>
              <w:t>устойчиво</w:t>
            </w:r>
            <w:r>
              <w:rPr>
                <w:lang w:eastAsia="en-US"/>
              </w:rPr>
              <w:t>м</w:t>
            </w:r>
            <w:r w:rsidRPr="00BD5BA8">
              <w:rPr>
                <w:lang w:eastAsia="en-US"/>
              </w:rPr>
              <w:t xml:space="preserve"> финансировани</w:t>
            </w:r>
            <w:r>
              <w:rPr>
                <w:lang w:eastAsia="en-US"/>
              </w:rPr>
              <w:t>и</w:t>
            </w:r>
            <w:r w:rsidRPr="00BD5BA8">
              <w:rPr>
                <w:lang w:eastAsia="en-US"/>
              </w:rPr>
              <w:t>, т.</w:t>
            </w:r>
            <w:r w:rsidR="00114359">
              <w:rPr>
                <w:lang w:val="en-US" w:eastAsia="en-US"/>
              </w:rPr>
              <w:t> </w:t>
            </w:r>
            <w:r w:rsidRPr="00BD5BA8">
              <w:rPr>
                <w:lang w:eastAsia="en-US"/>
              </w:rPr>
              <w:t xml:space="preserve">е. </w:t>
            </w:r>
            <w:r>
              <w:rPr>
                <w:lang w:eastAsia="en-US"/>
              </w:rPr>
              <w:t xml:space="preserve">ее </w:t>
            </w:r>
            <w:r w:rsidRPr="00BD5BA8">
              <w:rPr>
                <w:lang w:eastAsia="en-US"/>
              </w:rPr>
              <w:t xml:space="preserve">приведение в соответствие с требованиями </w:t>
            </w:r>
            <w:r>
              <w:rPr>
                <w:lang w:eastAsia="en-US"/>
              </w:rPr>
              <w:t>относительно «непричинения</w:t>
            </w:r>
            <w:r w:rsidRPr="00EF0C5F">
              <w:rPr>
                <w:lang w:eastAsia="en-US"/>
              </w:rPr>
              <w:t xml:space="preserve"> существенного </w:t>
            </w:r>
            <w:r>
              <w:rPr>
                <w:lang w:eastAsia="en-US"/>
              </w:rPr>
              <w:t>ущерба»</w:t>
            </w:r>
            <w:r w:rsidRPr="00EF0C5F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«внесения </w:t>
            </w:r>
            <w:r w:rsidRPr="00A5606F">
              <w:rPr>
                <w:lang w:eastAsia="en-US"/>
              </w:rPr>
              <w:t>позитивн</w:t>
            </w:r>
            <w:r>
              <w:rPr>
                <w:lang w:eastAsia="en-US"/>
              </w:rPr>
              <w:t>ого</w:t>
            </w:r>
            <w:r w:rsidRPr="00A5606F">
              <w:rPr>
                <w:lang w:eastAsia="en-US"/>
              </w:rPr>
              <w:t xml:space="preserve"> вклад</w:t>
            </w:r>
            <w:r>
              <w:rPr>
                <w:lang w:eastAsia="en-US"/>
              </w:rPr>
              <w:t>а»</w:t>
            </w:r>
            <w:r w:rsidRPr="00BD5BA8">
              <w:rPr>
                <w:lang w:eastAsia="en-US"/>
              </w:rPr>
              <w:t xml:space="preserve"> (вариант для Конвенции и Протокола)</w:t>
            </w:r>
          </w:p>
        </w:tc>
      </w:tr>
      <w:tr w:rsidR="00B941FC" w:rsidRPr="00B941FC" w14:paraId="53957147" w14:textId="77777777" w:rsidTr="00B941FC"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A3BFF" w14:textId="77777777" w:rsidR="00B941FC" w:rsidRPr="00B941FC" w:rsidRDefault="00B941FC" w:rsidP="00B941FC">
            <w:pPr>
              <w:spacing w:line="40" w:lineRule="exact"/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C8E75" w14:textId="77777777" w:rsidR="00B941FC" w:rsidRPr="00B941FC" w:rsidRDefault="00B941FC" w:rsidP="00B941FC">
            <w:pPr>
              <w:spacing w:line="40" w:lineRule="exact"/>
            </w:pPr>
          </w:p>
        </w:tc>
        <w:tc>
          <w:tcPr>
            <w:tcW w:w="1821" w:type="dxa"/>
            <w:tcBorders>
              <w:bottom w:val="single" w:sz="12" w:space="0" w:color="auto"/>
            </w:tcBorders>
            <w:shd w:val="clear" w:color="auto" w:fill="auto"/>
          </w:tcPr>
          <w:p w14:paraId="26222321" w14:textId="77777777" w:rsidR="00B941FC" w:rsidRPr="00B941FC" w:rsidRDefault="00B941FC" w:rsidP="00B941FC">
            <w:pPr>
              <w:spacing w:line="40" w:lineRule="exact"/>
            </w:pPr>
          </w:p>
        </w:tc>
        <w:tc>
          <w:tcPr>
            <w:tcW w:w="1821" w:type="dxa"/>
            <w:tcBorders>
              <w:bottom w:val="single" w:sz="12" w:space="0" w:color="auto"/>
            </w:tcBorders>
            <w:shd w:val="clear" w:color="auto" w:fill="auto"/>
          </w:tcPr>
          <w:p w14:paraId="06AA6FF3" w14:textId="77777777" w:rsidR="00B941FC" w:rsidRPr="00B941FC" w:rsidRDefault="00B941FC" w:rsidP="00B941FC">
            <w:pPr>
              <w:spacing w:line="40" w:lineRule="exact"/>
            </w:pPr>
          </w:p>
        </w:tc>
      </w:tr>
    </w:tbl>
    <w:p w14:paraId="52158BFC" w14:textId="77777777" w:rsidR="006C6943" w:rsidRDefault="000C3BBC" w:rsidP="000C3BBC">
      <w:pPr>
        <w:spacing w:before="240"/>
        <w:jc w:val="center"/>
        <w:rPr>
          <w:u w:val="single"/>
        </w:rPr>
      </w:pPr>
      <w:r w:rsidRPr="00BD5BA8">
        <w:rPr>
          <w:u w:val="single"/>
        </w:rPr>
        <w:tab/>
      </w:r>
      <w:r w:rsidRPr="00BD5BA8">
        <w:rPr>
          <w:u w:val="single"/>
        </w:rPr>
        <w:tab/>
      </w:r>
      <w:r w:rsidRPr="00BD5BA8">
        <w:rPr>
          <w:u w:val="single"/>
        </w:rPr>
        <w:tab/>
      </w:r>
    </w:p>
    <w:p w14:paraId="507C2058" w14:textId="65C5031E" w:rsidR="00E12C5F" w:rsidRPr="008D53B6" w:rsidRDefault="00E12C5F" w:rsidP="00D9145B"/>
    <w:sectPr w:rsidR="00E12C5F" w:rsidRPr="008D53B6" w:rsidSect="000C3BB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79E0" w14:textId="77777777" w:rsidR="003E4E53" w:rsidRPr="00A312BC" w:rsidRDefault="003E4E53" w:rsidP="00A312BC"/>
  </w:endnote>
  <w:endnote w:type="continuationSeparator" w:id="0">
    <w:p w14:paraId="2F19A412" w14:textId="77777777" w:rsidR="003E4E53" w:rsidRPr="00A312BC" w:rsidRDefault="003E4E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9E39" w14:textId="6BCA3AA7" w:rsidR="000C3BBC" w:rsidRPr="000C3BBC" w:rsidRDefault="000C3BBC">
    <w:pPr>
      <w:pStyle w:val="a8"/>
    </w:pPr>
    <w:r w:rsidRPr="000C3BBC">
      <w:rPr>
        <w:b/>
        <w:sz w:val="18"/>
      </w:rPr>
      <w:fldChar w:fldCharType="begin"/>
    </w:r>
    <w:r w:rsidRPr="000C3BBC">
      <w:rPr>
        <w:b/>
        <w:sz w:val="18"/>
      </w:rPr>
      <w:instrText xml:space="preserve"> PAGE  \* MERGEFORMAT </w:instrText>
    </w:r>
    <w:r w:rsidRPr="000C3BBC">
      <w:rPr>
        <w:b/>
        <w:sz w:val="18"/>
      </w:rPr>
      <w:fldChar w:fldCharType="separate"/>
    </w:r>
    <w:r w:rsidRPr="000C3BBC">
      <w:rPr>
        <w:b/>
        <w:noProof/>
        <w:sz w:val="18"/>
      </w:rPr>
      <w:t>2</w:t>
    </w:r>
    <w:r w:rsidRPr="000C3BBC">
      <w:rPr>
        <w:b/>
        <w:sz w:val="18"/>
      </w:rPr>
      <w:fldChar w:fldCharType="end"/>
    </w:r>
    <w:r>
      <w:rPr>
        <w:b/>
        <w:sz w:val="18"/>
      </w:rPr>
      <w:tab/>
    </w:r>
    <w:r>
      <w:t>GE.23-18920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3A49" w14:textId="323DBFC1" w:rsidR="000C3BBC" w:rsidRPr="000C3BBC" w:rsidRDefault="000C3BBC" w:rsidP="000C3BBC">
    <w:pPr>
      <w:pStyle w:val="a8"/>
      <w:tabs>
        <w:tab w:val="clear" w:pos="9639"/>
        <w:tab w:val="right" w:pos="9638"/>
      </w:tabs>
      <w:rPr>
        <w:b/>
        <w:sz w:val="18"/>
      </w:rPr>
    </w:pPr>
    <w:r>
      <w:t>GE.23-18920</w:t>
    </w:r>
    <w:r>
      <w:tab/>
    </w:r>
    <w:r w:rsidRPr="000C3BBC">
      <w:rPr>
        <w:b/>
        <w:sz w:val="18"/>
      </w:rPr>
      <w:fldChar w:fldCharType="begin"/>
    </w:r>
    <w:r w:rsidRPr="000C3BBC">
      <w:rPr>
        <w:b/>
        <w:sz w:val="18"/>
      </w:rPr>
      <w:instrText xml:space="preserve"> PAGE  \* MERGEFORMAT </w:instrText>
    </w:r>
    <w:r w:rsidRPr="000C3BBC">
      <w:rPr>
        <w:b/>
        <w:sz w:val="18"/>
      </w:rPr>
      <w:fldChar w:fldCharType="separate"/>
    </w:r>
    <w:r w:rsidRPr="000C3BBC">
      <w:rPr>
        <w:b/>
        <w:noProof/>
        <w:sz w:val="18"/>
      </w:rPr>
      <w:t>3</w:t>
    </w:r>
    <w:r w:rsidRPr="000C3B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A903" w14:textId="0772C668" w:rsidR="00042B72" w:rsidRPr="00501B39" w:rsidRDefault="000C3BBC" w:rsidP="000C3BB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D228AB" wp14:editId="7B45D0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23-18920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E2326F0" wp14:editId="3D083F5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B39">
      <w:rPr>
        <w:lang w:val="en-US"/>
      </w:rPr>
      <w:t xml:space="preserve">  261023  271023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E264" w14:textId="77777777" w:rsidR="003E4E53" w:rsidRPr="001075E9" w:rsidRDefault="003E4E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0BE43C" w14:textId="77777777" w:rsidR="003E4E53" w:rsidRDefault="003E4E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11DB6AC" w14:textId="7D8E5623" w:rsidR="000C3BBC" w:rsidRPr="00F439A6" w:rsidRDefault="000C3BBC" w:rsidP="000C3BBC">
      <w:pPr>
        <w:pStyle w:val="ad"/>
        <w:rPr>
          <w:lang w:val="es-ES"/>
        </w:rPr>
      </w:pPr>
      <w:r w:rsidRPr="006D3724">
        <w:rPr>
          <w:lang w:val="es-ES"/>
        </w:rPr>
        <w:tab/>
      </w:r>
      <w:r>
        <w:rPr>
          <w:rStyle w:val="aa"/>
        </w:rPr>
        <w:footnoteRef/>
      </w:r>
      <w:r w:rsidRPr="00F439A6">
        <w:rPr>
          <w:lang w:val="es-ES"/>
        </w:rPr>
        <w:tab/>
        <w:t xml:space="preserve">ECE/MP.EIA/30/Add.1–ECE/MP.EIA/SEA/13/Add.1, </w:t>
      </w:r>
      <w:r>
        <w:t>решение</w:t>
      </w:r>
      <w:r w:rsidRPr="00F439A6">
        <w:rPr>
          <w:lang w:val="es-ES"/>
        </w:rPr>
        <w:t xml:space="preserve"> VIII/3–IV/3, </w:t>
      </w:r>
      <w:r>
        <w:t>приложение</w:t>
      </w:r>
      <w:r w:rsidRPr="00F439A6">
        <w:rPr>
          <w:lang w:val="es-ES"/>
        </w:rPr>
        <w:t xml:space="preserve">, </w:t>
      </w:r>
      <w:r w:rsidR="00501B39">
        <w:rPr>
          <w:lang w:val="es-ES"/>
        </w:rPr>
        <w:br/>
      </w:r>
      <w:r>
        <w:t>раздел</w:t>
      </w:r>
      <w:r w:rsidRPr="00F439A6">
        <w:rPr>
          <w:lang w:val="es-ES"/>
        </w:rPr>
        <w:t xml:space="preserve"> II.B.</w:t>
      </w:r>
    </w:p>
  </w:footnote>
  <w:footnote w:id="2">
    <w:p w14:paraId="3BF5B1E3" w14:textId="6041B29E" w:rsidR="000C3BBC" w:rsidRPr="00026F2B" w:rsidRDefault="000C3BBC" w:rsidP="000C3BBC">
      <w:pPr>
        <w:pStyle w:val="ad"/>
      </w:pPr>
      <w:r w:rsidRPr="00F439A6">
        <w:rPr>
          <w:lang w:val="es-ES"/>
        </w:rPr>
        <w:tab/>
      </w:r>
      <w:r>
        <w:rPr>
          <w:rStyle w:val="aa"/>
        </w:rPr>
        <w:footnoteRef/>
      </w:r>
      <w:r w:rsidRPr="00026F2B">
        <w:tab/>
        <w:t xml:space="preserve">Неофициальные </w:t>
      </w:r>
      <w:r>
        <w:t>записки</w:t>
      </w:r>
      <w:r w:rsidRPr="00026F2B">
        <w:t xml:space="preserve"> о </w:t>
      </w:r>
      <w:r>
        <w:t>совещании</w:t>
      </w:r>
      <w:r w:rsidRPr="00026F2B">
        <w:t xml:space="preserve"> Президиума (Женева (в онлайновом формате), </w:t>
      </w:r>
      <w:r w:rsidR="008D356E">
        <w:br/>
      </w:r>
      <w:r w:rsidRPr="00026F2B">
        <w:t xml:space="preserve">9–10 июня 2022 года), </w:t>
      </w:r>
      <w:r>
        <w:t>пп</w:t>
      </w:r>
      <w:r w:rsidRPr="00026F2B">
        <w:t xml:space="preserve">. 49–54, </w:t>
      </w:r>
      <w:r>
        <w:rPr>
          <w:lang w:val="es-ES"/>
        </w:rPr>
        <w:t>URL</w:t>
      </w:r>
      <w:r w:rsidRPr="00026F2B">
        <w:t xml:space="preserve">: </w:t>
      </w:r>
      <w:hyperlink r:id="rId1" w:history="1">
        <w:r w:rsidRPr="008D356E">
          <w:rPr>
            <w:rStyle w:val="af1"/>
            <w:lang w:val="es-ES"/>
          </w:rPr>
          <w:t>https</w:t>
        </w:r>
        <w:r w:rsidRPr="008D356E">
          <w:rPr>
            <w:rStyle w:val="af1"/>
          </w:rPr>
          <w:t>://</w:t>
        </w:r>
        <w:r w:rsidRPr="008D356E">
          <w:rPr>
            <w:rStyle w:val="af1"/>
            <w:lang w:val="es-ES"/>
          </w:rPr>
          <w:t>unece</w:t>
        </w:r>
        <w:r w:rsidRPr="008D356E">
          <w:rPr>
            <w:rStyle w:val="af1"/>
          </w:rPr>
          <w:t>.</w:t>
        </w:r>
        <w:r w:rsidRPr="008D356E">
          <w:rPr>
            <w:rStyle w:val="af1"/>
            <w:lang w:val="es-ES"/>
          </w:rPr>
          <w:t>org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s-ES"/>
          </w:rPr>
          <w:t>info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s-ES"/>
          </w:rPr>
          <w:t>Environmental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s-ES"/>
          </w:rPr>
          <w:t>Policy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s-ES"/>
          </w:rPr>
          <w:t>Environmental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s-ES"/>
          </w:rPr>
          <w:t>Impact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s-ES"/>
          </w:rPr>
          <w:t>Assessment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s-ES"/>
          </w:rPr>
          <w:t>events</w:t>
        </w:r>
        <w:r w:rsidRPr="008D356E">
          <w:rPr>
            <w:rStyle w:val="af1"/>
          </w:rPr>
          <w:t>/366918</w:t>
        </w:r>
      </w:hyperlink>
      <w:r w:rsidRPr="00026F2B">
        <w:t xml:space="preserve">; </w:t>
      </w:r>
      <w:r>
        <w:t>и н</w:t>
      </w:r>
      <w:r w:rsidRPr="00026F2B">
        <w:t xml:space="preserve">еофициальные </w:t>
      </w:r>
      <w:r>
        <w:t>записки</w:t>
      </w:r>
      <w:r w:rsidRPr="00026F2B">
        <w:t xml:space="preserve"> о </w:t>
      </w:r>
      <w:r>
        <w:t>совещании</w:t>
      </w:r>
      <w:r w:rsidRPr="00026F2B">
        <w:t xml:space="preserve"> Президиума (</w:t>
      </w:r>
      <w:r>
        <w:t>Женева</w:t>
      </w:r>
      <w:r w:rsidRPr="00026F2B">
        <w:t xml:space="preserve">, 22–23 </w:t>
      </w:r>
      <w:r>
        <w:t>февраля</w:t>
      </w:r>
      <w:r w:rsidRPr="00026F2B">
        <w:t xml:space="preserve"> 2023</w:t>
      </w:r>
      <w:r>
        <w:t xml:space="preserve"> года</w:t>
      </w:r>
      <w:r w:rsidRPr="00026F2B">
        <w:t xml:space="preserve">), </w:t>
      </w:r>
      <w:r>
        <w:t>пп</w:t>
      </w:r>
      <w:r w:rsidRPr="00026F2B">
        <w:t xml:space="preserve">. 21–27, </w:t>
      </w:r>
      <w:r>
        <w:rPr>
          <w:lang w:val="es-ES"/>
        </w:rPr>
        <w:t>URL</w:t>
      </w:r>
      <w:r w:rsidRPr="00026F2B">
        <w:t xml:space="preserve">: </w:t>
      </w:r>
      <w:hyperlink r:id="rId2" w:history="1">
        <w:r w:rsidRPr="008D356E">
          <w:rPr>
            <w:rStyle w:val="af1"/>
            <w:lang w:val="en-US"/>
          </w:rPr>
          <w:t>https</w:t>
        </w:r>
        <w:r w:rsidRPr="008D356E">
          <w:rPr>
            <w:rStyle w:val="af1"/>
          </w:rPr>
          <w:t>://</w:t>
        </w:r>
        <w:r w:rsidRPr="008D356E">
          <w:rPr>
            <w:rStyle w:val="af1"/>
            <w:lang w:val="en-US"/>
          </w:rPr>
          <w:t>unece</w:t>
        </w:r>
        <w:r w:rsidRPr="008D356E">
          <w:rPr>
            <w:rStyle w:val="af1"/>
          </w:rPr>
          <w:t>.</w:t>
        </w:r>
        <w:r w:rsidRPr="008D356E">
          <w:rPr>
            <w:rStyle w:val="af1"/>
            <w:lang w:val="en-US"/>
          </w:rPr>
          <w:t>org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n-US"/>
          </w:rPr>
          <w:t>info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n-US"/>
          </w:rPr>
          <w:t>Environmental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Policy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n-US"/>
          </w:rPr>
          <w:t>Environmental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Impact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Assessment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n-US"/>
          </w:rPr>
          <w:t>events</w:t>
        </w:r>
        <w:r w:rsidRPr="008D356E">
          <w:rPr>
            <w:rStyle w:val="af1"/>
          </w:rPr>
          <w:t>/364365</w:t>
        </w:r>
      </w:hyperlink>
      <w:r w:rsidRPr="00026F2B">
        <w:t>.</w:t>
      </w:r>
    </w:p>
  </w:footnote>
  <w:footnote w:id="3">
    <w:p w14:paraId="5BB61D4A" w14:textId="77777777" w:rsidR="000C3BBC" w:rsidRPr="00D53DDB" w:rsidRDefault="000C3BBC" w:rsidP="000C3BBC">
      <w:pPr>
        <w:pStyle w:val="ad"/>
      </w:pPr>
      <w:r w:rsidRPr="00026F2B">
        <w:tab/>
      </w:r>
      <w:r>
        <w:rPr>
          <w:rStyle w:val="aa"/>
        </w:rPr>
        <w:footnoteRef/>
      </w:r>
      <w:r w:rsidRPr="00026F2B">
        <w:tab/>
      </w:r>
      <w:r w:rsidRPr="006D3724">
        <w:rPr>
          <w:lang w:val="es-ES"/>
        </w:rPr>
        <w:t>ECE</w:t>
      </w:r>
      <w:r w:rsidRPr="00026F2B">
        <w:t>/</w:t>
      </w:r>
      <w:r w:rsidRPr="006D3724">
        <w:rPr>
          <w:lang w:val="es-ES"/>
        </w:rPr>
        <w:t>MP</w:t>
      </w:r>
      <w:r w:rsidRPr="00026F2B">
        <w:t>.</w:t>
      </w:r>
      <w:r w:rsidRPr="006D3724">
        <w:rPr>
          <w:lang w:val="es-ES"/>
        </w:rPr>
        <w:t>EIA</w:t>
      </w:r>
      <w:r w:rsidRPr="00026F2B">
        <w:t>/</w:t>
      </w:r>
      <w:r w:rsidRPr="006D3724">
        <w:rPr>
          <w:lang w:val="es-ES"/>
        </w:rPr>
        <w:t>WG</w:t>
      </w:r>
      <w:r w:rsidRPr="00026F2B">
        <w:t xml:space="preserve">.2/2022/2, </w:t>
      </w:r>
      <w:r>
        <w:t>пп</w:t>
      </w:r>
      <w:r w:rsidRPr="00026F2B">
        <w:t>. 97</w:t>
      </w:r>
      <w:r w:rsidRPr="00026F2B">
        <w:rPr>
          <w:szCs w:val="18"/>
        </w:rPr>
        <w:t>–</w:t>
      </w:r>
      <w:r w:rsidRPr="00026F2B">
        <w:t xml:space="preserve">99; </w:t>
      </w:r>
      <w:r>
        <w:t>и</w:t>
      </w:r>
      <w:r w:rsidRPr="00026F2B">
        <w:t xml:space="preserve"> </w:t>
      </w:r>
      <w:r>
        <w:t>ECE</w:t>
      </w:r>
      <w:r w:rsidRPr="00026F2B">
        <w:t>/</w:t>
      </w:r>
      <w:r>
        <w:t>MP</w:t>
      </w:r>
      <w:r w:rsidRPr="00026F2B">
        <w:t>.</w:t>
      </w:r>
      <w:r>
        <w:t>EIA</w:t>
      </w:r>
      <w:r w:rsidRPr="00026F2B">
        <w:t>/</w:t>
      </w:r>
      <w:r>
        <w:t>WG</w:t>
      </w:r>
      <w:r w:rsidRPr="00026F2B">
        <w:t xml:space="preserve">.2/2023/2, </w:t>
      </w:r>
      <w:r>
        <w:t>пп</w:t>
      </w:r>
      <w:r w:rsidRPr="00026F2B">
        <w:t xml:space="preserve">. </w:t>
      </w:r>
      <w:r w:rsidRPr="00D53DDB">
        <w:t>32</w:t>
      </w:r>
      <w:r w:rsidRPr="00D53DDB">
        <w:rPr>
          <w:szCs w:val="18"/>
        </w:rPr>
        <w:t>–</w:t>
      </w:r>
      <w:r w:rsidRPr="00D53DDB">
        <w:t>39.</w:t>
      </w:r>
    </w:p>
  </w:footnote>
  <w:footnote w:id="4">
    <w:p w14:paraId="748E9930" w14:textId="77777777" w:rsidR="000C3BBC" w:rsidRPr="001609FD" w:rsidRDefault="000C3BBC" w:rsidP="000C3BBC">
      <w:pPr>
        <w:pStyle w:val="ad"/>
      </w:pPr>
      <w:r w:rsidRPr="00D53DDB">
        <w:tab/>
      </w:r>
      <w:r>
        <w:rPr>
          <w:rStyle w:val="aa"/>
        </w:rPr>
        <w:footnoteRef/>
      </w:r>
      <w:r w:rsidRPr="005B7D78">
        <w:tab/>
      </w:r>
      <w:r>
        <w:t>A</w:t>
      </w:r>
      <w:r w:rsidRPr="005B7D78">
        <w:t>/</w:t>
      </w:r>
      <w:r>
        <w:t>CONF</w:t>
      </w:r>
      <w:r w:rsidRPr="005B7D78">
        <w:t>.151/26 (</w:t>
      </w:r>
      <w:r>
        <w:t>Vol</w:t>
      </w:r>
      <w:r w:rsidRPr="005B7D78">
        <w:t xml:space="preserve">. </w:t>
      </w:r>
      <w:r>
        <w:t>I</w:t>
      </w:r>
      <w:r w:rsidRPr="001609FD">
        <w:t xml:space="preserve">), </w:t>
      </w:r>
      <w:r>
        <w:t>приложение</w:t>
      </w:r>
      <w:r w:rsidRPr="001609FD">
        <w:t xml:space="preserve"> </w:t>
      </w:r>
      <w:r>
        <w:t>I</w:t>
      </w:r>
      <w:r w:rsidRPr="001609FD">
        <w:t xml:space="preserve">, Рио-де-Жанейрская декларация по окружающей среде и развитию, </w:t>
      </w:r>
      <w:r>
        <w:t>принцип</w:t>
      </w:r>
      <w:r w:rsidRPr="001609FD">
        <w:t xml:space="preserve"> 19.</w:t>
      </w:r>
    </w:p>
  </w:footnote>
  <w:footnote w:id="5">
    <w:p w14:paraId="1D97C990" w14:textId="360D74E8" w:rsidR="000C3BBC" w:rsidRPr="00BA5E54" w:rsidRDefault="000C3BBC" w:rsidP="000C3BBC">
      <w:pPr>
        <w:pStyle w:val="ad"/>
      </w:pPr>
      <w:r w:rsidRPr="001609FD">
        <w:tab/>
      </w:r>
      <w:r>
        <w:rPr>
          <w:rStyle w:val="aa"/>
        </w:rPr>
        <w:footnoteRef/>
      </w:r>
      <w:r w:rsidRPr="00B4736E">
        <w:tab/>
        <w:t>По состоянию на 19 сентября 2023 года Конвенция насчитыва</w:t>
      </w:r>
      <w:r>
        <w:t>ла</w:t>
      </w:r>
      <w:r w:rsidRPr="00B4736E">
        <w:t xml:space="preserve"> 45 </w:t>
      </w:r>
      <w:r>
        <w:t>Сторон</w:t>
      </w:r>
      <w:r w:rsidRPr="00B4736E">
        <w:t xml:space="preserve">. </w:t>
      </w:r>
      <w:r>
        <w:t>Обновленную информацию см.</w:t>
      </w:r>
      <w:r w:rsidRPr="00B4736E">
        <w:t xml:space="preserve"> </w:t>
      </w:r>
      <w:r w:rsidRPr="008D356E">
        <w:rPr>
          <w:lang w:val="en-US"/>
        </w:rPr>
        <w:t>URL</w:t>
      </w:r>
      <w:r w:rsidRPr="00BA5E54">
        <w:t xml:space="preserve">: </w:t>
      </w:r>
      <w:hyperlink r:id="rId3" w:history="1">
        <w:r w:rsidRPr="008D356E">
          <w:rPr>
            <w:rStyle w:val="af1"/>
            <w:lang w:val="en-US"/>
          </w:rPr>
          <w:t>https</w:t>
        </w:r>
        <w:r w:rsidRPr="00BA5E54">
          <w:rPr>
            <w:rStyle w:val="af1"/>
          </w:rPr>
          <w:t>://</w:t>
        </w:r>
        <w:r w:rsidRPr="008D356E">
          <w:rPr>
            <w:rStyle w:val="af1"/>
            <w:lang w:val="en-US"/>
          </w:rPr>
          <w:t>treaties</w:t>
        </w:r>
        <w:r w:rsidRPr="00BA5E54">
          <w:rPr>
            <w:rStyle w:val="af1"/>
          </w:rPr>
          <w:t>.</w:t>
        </w:r>
        <w:r w:rsidRPr="008D356E">
          <w:rPr>
            <w:rStyle w:val="af1"/>
            <w:lang w:val="en-US"/>
          </w:rPr>
          <w:t>un</w:t>
        </w:r>
        <w:r w:rsidRPr="00BA5E54">
          <w:rPr>
            <w:rStyle w:val="af1"/>
          </w:rPr>
          <w:t>.</w:t>
        </w:r>
        <w:r w:rsidRPr="008D356E">
          <w:rPr>
            <w:rStyle w:val="af1"/>
            <w:lang w:val="en-US"/>
          </w:rPr>
          <w:t>org</w:t>
        </w:r>
        <w:r w:rsidRPr="00BA5E54">
          <w:rPr>
            <w:rStyle w:val="af1"/>
          </w:rPr>
          <w:t>/</w:t>
        </w:r>
        <w:r w:rsidRPr="008D356E">
          <w:rPr>
            <w:rStyle w:val="af1"/>
            <w:lang w:val="en-US"/>
          </w:rPr>
          <w:t>Pages</w:t>
        </w:r>
        <w:r w:rsidRPr="00BA5E54">
          <w:rPr>
            <w:rStyle w:val="af1"/>
          </w:rPr>
          <w:t>/</w:t>
        </w:r>
        <w:r w:rsidRPr="008D356E">
          <w:rPr>
            <w:rStyle w:val="af1"/>
            <w:lang w:val="en-US"/>
          </w:rPr>
          <w:t>ViewDetails</w:t>
        </w:r>
        <w:r w:rsidRPr="00BA5E54">
          <w:rPr>
            <w:rStyle w:val="af1"/>
          </w:rPr>
          <w:t>.</w:t>
        </w:r>
        <w:r w:rsidRPr="008D356E">
          <w:rPr>
            <w:rStyle w:val="af1"/>
            <w:lang w:val="en-US"/>
          </w:rPr>
          <w:t>aspx</w:t>
        </w:r>
        <w:r w:rsidRPr="00BA5E54">
          <w:rPr>
            <w:rStyle w:val="af1"/>
          </w:rPr>
          <w:t>?</w:t>
        </w:r>
        <w:r w:rsidRPr="008D356E">
          <w:rPr>
            <w:rStyle w:val="af1"/>
            <w:lang w:val="en-US"/>
          </w:rPr>
          <w:t>src</w:t>
        </w:r>
        <w:r w:rsidRPr="00BA5E54">
          <w:rPr>
            <w:rStyle w:val="af1"/>
          </w:rPr>
          <w:t>=</w:t>
        </w:r>
        <w:r w:rsidRPr="008D356E">
          <w:rPr>
            <w:rStyle w:val="af1"/>
            <w:lang w:val="en-US"/>
          </w:rPr>
          <w:t>TREATY</w:t>
        </w:r>
        <w:r w:rsidRPr="00BA5E54">
          <w:rPr>
            <w:rStyle w:val="af1"/>
          </w:rPr>
          <w:t>&amp;</w:t>
        </w:r>
        <w:r w:rsidRPr="008D356E">
          <w:rPr>
            <w:rStyle w:val="af1"/>
            <w:lang w:val="en-US"/>
          </w:rPr>
          <w:t>mtdsg</w:t>
        </w:r>
        <w:r w:rsidRPr="00BA5E54">
          <w:rPr>
            <w:rStyle w:val="af1"/>
          </w:rPr>
          <w:t>_</w:t>
        </w:r>
        <w:r w:rsidRPr="008D356E">
          <w:rPr>
            <w:rStyle w:val="af1"/>
            <w:lang w:val="en-US"/>
          </w:rPr>
          <w:t>no</w:t>
        </w:r>
        <w:r w:rsidRPr="00BA5E54">
          <w:rPr>
            <w:rStyle w:val="af1"/>
          </w:rPr>
          <w:t>=</w:t>
        </w:r>
        <w:r w:rsidRPr="008D356E">
          <w:rPr>
            <w:rStyle w:val="af1"/>
            <w:lang w:val="en-US"/>
          </w:rPr>
          <w:t>XXVII</w:t>
        </w:r>
        <w:r w:rsidRPr="00BA5E54">
          <w:rPr>
            <w:rStyle w:val="af1"/>
          </w:rPr>
          <w:t>-4&amp;</w:t>
        </w:r>
        <w:r w:rsidRPr="008D356E">
          <w:rPr>
            <w:rStyle w:val="af1"/>
            <w:lang w:val="en-US"/>
          </w:rPr>
          <w:t>chapter</w:t>
        </w:r>
        <w:r w:rsidRPr="00BA5E54">
          <w:rPr>
            <w:rStyle w:val="af1"/>
          </w:rPr>
          <w:t>=27&amp;</w:t>
        </w:r>
        <w:r w:rsidRPr="008D356E">
          <w:rPr>
            <w:rStyle w:val="af1"/>
            <w:lang w:val="en-US"/>
          </w:rPr>
          <w:t>clang</w:t>
        </w:r>
        <w:r w:rsidRPr="00BA5E54">
          <w:rPr>
            <w:rStyle w:val="af1"/>
          </w:rPr>
          <w:t>=_</w:t>
        </w:r>
        <w:r w:rsidRPr="008D356E">
          <w:rPr>
            <w:rStyle w:val="af1"/>
            <w:lang w:val="en-US"/>
          </w:rPr>
          <w:t>en</w:t>
        </w:r>
      </w:hyperlink>
      <w:r w:rsidRPr="00BA5E54">
        <w:t>.</w:t>
      </w:r>
    </w:p>
  </w:footnote>
  <w:footnote w:id="6">
    <w:p w14:paraId="631C6E5B" w14:textId="24BC0E2D" w:rsidR="000C3BBC" w:rsidRPr="00720423" w:rsidRDefault="000C3BBC" w:rsidP="000C3BBC">
      <w:pPr>
        <w:pStyle w:val="ad"/>
      </w:pPr>
      <w:r w:rsidRPr="00BA5E54">
        <w:tab/>
      </w:r>
      <w:r>
        <w:rPr>
          <w:rStyle w:val="aa"/>
        </w:rPr>
        <w:footnoteRef/>
      </w:r>
      <w:r w:rsidRPr="00720423">
        <w:tab/>
      </w:r>
      <w:r>
        <w:t>Информационные</w:t>
      </w:r>
      <w:r w:rsidRPr="00720423">
        <w:t xml:space="preserve"> материалы о применени</w:t>
      </w:r>
      <w:r>
        <w:t>и</w:t>
      </w:r>
      <w:r w:rsidRPr="00720423">
        <w:t xml:space="preserve"> Конвенции Эспо включают</w:t>
      </w:r>
      <w:r>
        <w:t xml:space="preserve"> в себя</w:t>
      </w:r>
      <w:r w:rsidRPr="00720423">
        <w:t xml:space="preserve">: руководство, </w:t>
      </w:r>
      <w:r>
        <w:rPr>
          <w:lang w:val="en-US"/>
        </w:rPr>
        <w:t>URL</w:t>
      </w:r>
      <w:r>
        <w:t>:</w:t>
      </w:r>
      <w:r w:rsidRPr="00720423">
        <w:t xml:space="preserve"> </w:t>
      </w:r>
      <w:hyperlink r:id="rId4" w:history="1">
        <w:r w:rsidRPr="008D356E">
          <w:rPr>
            <w:rStyle w:val="af1"/>
          </w:rPr>
          <w:t>https://</w:t>
        </w:r>
        <w:r w:rsidRPr="008D356E">
          <w:rPr>
            <w:rStyle w:val="af1"/>
            <w:lang w:val="en-US"/>
          </w:rPr>
          <w:t>unece</w:t>
        </w:r>
        <w:r w:rsidRPr="008D356E">
          <w:rPr>
            <w:rStyle w:val="af1"/>
          </w:rPr>
          <w:t>.</w:t>
        </w:r>
        <w:r w:rsidRPr="008D356E">
          <w:rPr>
            <w:rStyle w:val="af1"/>
            <w:lang w:val="en-US"/>
          </w:rPr>
          <w:t>org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n-US"/>
          </w:rPr>
          <w:t>publications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n-US"/>
          </w:rPr>
          <w:t>environmental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assessment</w:t>
        </w:r>
      </w:hyperlink>
      <w:r w:rsidRPr="00720423">
        <w:t xml:space="preserve">; </w:t>
      </w:r>
      <w:r>
        <w:t>решения Совещания Сторон,</w:t>
      </w:r>
      <w:r w:rsidRPr="00720423">
        <w:t xml:space="preserve"> </w:t>
      </w:r>
      <w:r>
        <w:rPr>
          <w:lang w:val="en-US"/>
        </w:rPr>
        <w:t>URL</w:t>
      </w:r>
      <w:r>
        <w:t>:</w:t>
      </w:r>
      <w:r w:rsidRPr="00720423">
        <w:t xml:space="preserve"> </w:t>
      </w:r>
      <w:hyperlink r:id="rId5" w:history="1">
        <w:r w:rsidRPr="008D356E">
          <w:rPr>
            <w:rStyle w:val="af1"/>
          </w:rPr>
          <w:t>https://</w:t>
        </w:r>
        <w:r w:rsidRPr="008D356E">
          <w:rPr>
            <w:rStyle w:val="af1"/>
            <w:lang w:val="en-US"/>
          </w:rPr>
          <w:t>unece</w:t>
        </w:r>
        <w:r w:rsidRPr="008D356E">
          <w:rPr>
            <w:rStyle w:val="af1"/>
          </w:rPr>
          <w:t>.</w:t>
        </w:r>
        <w:r w:rsidRPr="008D356E">
          <w:rPr>
            <w:rStyle w:val="af1"/>
            <w:lang w:val="en-US"/>
          </w:rPr>
          <w:t>org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n-US"/>
          </w:rPr>
          <w:t>environment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policyenvironmental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assessment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n-US"/>
          </w:rPr>
          <w:t>decisions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taken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meetings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parties</w:t>
        </w:r>
      </w:hyperlink>
      <w:r w:rsidRPr="00720423">
        <w:t xml:space="preserve">; </w:t>
      </w:r>
      <w:r w:rsidRPr="00C60023">
        <w:t xml:space="preserve">и мнения Комитета по </w:t>
      </w:r>
      <w:r>
        <w:t xml:space="preserve">осуществлению, </w:t>
      </w:r>
      <w:r w:rsidRPr="00720423">
        <w:t>URL</w:t>
      </w:r>
      <w:r>
        <w:t xml:space="preserve">: </w:t>
      </w:r>
      <w:hyperlink r:id="rId6" w:history="1">
        <w:r w:rsidRPr="008D356E">
          <w:rPr>
            <w:rStyle w:val="af1"/>
          </w:rPr>
          <w:t>https://</w:t>
        </w:r>
        <w:r w:rsidRPr="008D356E">
          <w:rPr>
            <w:rStyle w:val="af1"/>
            <w:lang w:val="en-US"/>
          </w:rPr>
          <w:t>unece</w:t>
        </w:r>
        <w:r w:rsidRPr="008D356E">
          <w:rPr>
            <w:rStyle w:val="af1"/>
          </w:rPr>
          <w:t>.</w:t>
        </w:r>
        <w:r w:rsidRPr="008D356E">
          <w:rPr>
            <w:rStyle w:val="af1"/>
            <w:lang w:val="en-US"/>
          </w:rPr>
          <w:t>org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n-US"/>
          </w:rPr>
          <w:t>environment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policy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n-US"/>
          </w:rPr>
          <w:t>environmental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assessment</w:t>
        </w:r>
        <w:r w:rsidRPr="008D356E">
          <w:rPr>
            <w:rStyle w:val="af1"/>
          </w:rPr>
          <w:t>/</w:t>
        </w:r>
        <w:r w:rsidRPr="008D356E">
          <w:rPr>
            <w:rStyle w:val="af1"/>
            <w:lang w:val="en-US"/>
          </w:rPr>
          <w:t>implementation</w:t>
        </w:r>
        <w:r w:rsidRPr="008D356E">
          <w:rPr>
            <w:rStyle w:val="af1"/>
          </w:rPr>
          <w:t>-</w:t>
        </w:r>
        <w:r w:rsidRPr="008D356E">
          <w:rPr>
            <w:rStyle w:val="af1"/>
            <w:lang w:val="en-US"/>
          </w:rPr>
          <w:t>committee</w:t>
        </w:r>
      </w:hyperlink>
      <w:r w:rsidRPr="00720423">
        <w:t>.</w:t>
      </w:r>
    </w:p>
  </w:footnote>
  <w:footnote w:id="7">
    <w:p w14:paraId="54C2791E" w14:textId="77777777" w:rsidR="000C3BBC" w:rsidRPr="00AD6165" w:rsidRDefault="000C3BBC" w:rsidP="000C3BBC">
      <w:pPr>
        <w:pStyle w:val="ad"/>
      </w:pPr>
      <w:r w:rsidRPr="00720423">
        <w:tab/>
      </w:r>
      <w:r>
        <w:rPr>
          <w:rStyle w:val="aa"/>
        </w:rPr>
        <w:footnoteRef/>
      </w:r>
      <w:r w:rsidRPr="00AD6165">
        <w:tab/>
        <w:t xml:space="preserve">При согласии заинтересованных Сторон другие виды деятельности, которые </w:t>
      </w:r>
      <w:r>
        <w:t>способны</w:t>
      </w:r>
      <w:r w:rsidRPr="00AD6165">
        <w:t xml:space="preserve"> оказ</w:t>
      </w:r>
      <w:r>
        <w:t>ыва</w:t>
      </w:r>
      <w:r w:rsidRPr="00AD6165">
        <w:t xml:space="preserve">ть значительное </w:t>
      </w:r>
      <w:r>
        <w:t>вредное</w:t>
      </w:r>
      <w:r w:rsidRPr="00AD6165">
        <w:t xml:space="preserve"> трансграничное воздействие, также могут рассматриваться как</w:t>
      </w:r>
      <w:r>
        <w:t xml:space="preserve"> виды деятельности,</w:t>
      </w:r>
      <w:r w:rsidRPr="00AD6165">
        <w:t xml:space="preserve"> перечисленные в </w:t>
      </w:r>
      <w:r>
        <w:t>Добавлении</w:t>
      </w:r>
      <w:r w:rsidRPr="00AD6165">
        <w:t xml:space="preserve"> </w:t>
      </w:r>
      <w:r w:rsidRPr="00AD6165">
        <w:rPr>
          <w:lang w:val="en-US"/>
        </w:rPr>
        <w:t>I</w:t>
      </w:r>
      <w:r w:rsidRPr="00AD6165">
        <w:t xml:space="preserve"> (ст. 2 (</w:t>
      </w:r>
      <w:r>
        <w:t xml:space="preserve">п. </w:t>
      </w:r>
      <w:r w:rsidRPr="00AD6165">
        <w:t xml:space="preserve">5)). </w:t>
      </w:r>
    </w:p>
  </w:footnote>
  <w:footnote w:id="8">
    <w:p w14:paraId="43AD487E" w14:textId="77777777" w:rsidR="000C3BBC" w:rsidRPr="00571DC1" w:rsidRDefault="000C3BBC" w:rsidP="000C3BBC">
      <w:pPr>
        <w:pStyle w:val="ad"/>
        <w:rPr>
          <w:lang w:val="pt-PT"/>
        </w:rPr>
      </w:pPr>
      <w:r w:rsidRPr="00AD6165">
        <w:tab/>
      </w:r>
      <w:r>
        <w:rPr>
          <w:rStyle w:val="aa"/>
        </w:rPr>
        <w:footnoteRef/>
      </w:r>
      <w:r w:rsidRPr="00571DC1">
        <w:rPr>
          <w:lang w:val="pt-PT"/>
        </w:rPr>
        <w:tab/>
      </w:r>
      <w:r>
        <w:rPr>
          <w:shd w:val="clear" w:color="auto" w:fill="FFFFFF"/>
        </w:rPr>
        <w:t>И</w:t>
      </w:r>
      <w:r w:rsidRPr="00A544D0">
        <w:rPr>
          <w:shd w:val="clear" w:color="auto" w:fill="FFFFFF"/>
          <w:lang w:val="pt-PT"/>
        </w:rPr>
        <w:t xml:space="preserve">здание Организации Объединенных Наций, </w:t>
      </w:r>
      <w:r w:rsidRPr="00571DC1">
        <w:rPr>
          <w:shd w:val="clear" w:color="auto" w:fill="FFFFFF"/>
          <w:lang w:val="pt-PT"/>
        </w:rPr>
        <w:t>ECE/MP.EIA/8</w:t>
      </w:r>
      <w:r>
        <w:rPr>
          <w:shd w:val="clear" w:color="auto" w:fill="FFFFFF"/>
          <w:lang w:val="pt-PT"/>
        </w:rPr>
        <w:t>.</w:t>
      </w:r>
    </w:p>
  </w:footnote>
  <w:footnote w:id="9">
    <w:p w14:paraId="69C2E662" w14:textId="5FB4A5B8" w:rsidR="000C3BBC" w:rsidRPr="00A80FFE" w:rsidRDefault="000C3BBC" w:rsidP="000C3BBC">
      <w:pPr>
        <w:pStyle w:val="ad"/>
      </w:pPr>
      <w:r w:rsidRPr="00A544D0">
        <w:tab/>
      </w:r>
      <w:r>
        <w:rPr>
          <w:rStyle w:val="aa"/>
        </w:rPr>
        <w:footnoteRef/>
      </w:r>
      <w:r w:rsidRPr="00A80FFE">
        <w:tab/>
        <w:t xml:space="preserve">Решение III/7 о второй поправке к </w:t>
      </w:r>
      <w:r>
        <w:t xml:space="preserve">принятой в </w:t>
      </w:r>
      <w:r w:rsidRPr="00A80FFE">
        <w:t>Э</w:t>
      </w:r>
      <w:r>
        <w:t>спо</w:t>
      </w:r>
      <w:r w:rsidRPr="00A80FFE">
        <w:t xml:space="preserve"> К</w:t>
      </w:r>
      <w:r>
        <w:t>онвенции</w:t>
      </w:r>
      <w:r w:rsidRPr="00A80FFE">
        <w:t xml:space="preserve">, п. 3 a), </w:t>
      </w:r>
      <w:r>
        <w:t>URL:</w:t>
      </w:r>
      <w:r w:rsidRPr="00A80FFE">
        <w:t xml:space="preserve"> </w:t>
      </w:r>
      <w:hyperlink r:id="rId7" w:history="1">
        <w:r w:rsidRPr="008D356E">
          <w:rPr>
            <w:rStyle w:val="af1"/>
          </w:rPr>
          <w:t>https://unece.org/environment-policy/environmental-assessment/decisions-taken-meetings-parties</w:t>
        </w:r>
      </w:hyperlink>
      <w:r w:rsidRPr="00A80FFE">
        <w:t>.</w:t>
      </w:r>
    </w:p>
  </w:footnote>
  <w:footnote w:id="10">
    <w:p w14:paraId="750D2AEB" w14:textId="77777777" w:rsidR="000C3BBC" w:rsidRPr="005B7D78" w:rsidRDefault="000C3BBC" w:rsidP="000C3BBC">
      <w:pPr>
        <w:pStyle w:val="ad"/>
      </w:pPr>
      <w:r w:rsidRPr="00A80FFE">
        <w:tab/>
      </w:r>
      <w:r>
        <w:rPr>
          <w:rStyle w:val="aa"/>
        </w:rPr>
        <w:footnoteRef/>
      </w:r>
      <w:r w:rsidRPr="005B7D78">
        <w:tab/>
      </w:r>
      <w:r w:rsidRPr="00571DC1">
        <w:rPr>
          <w:shd w:val="clear" w:color="auto" w:fill="FFFFFF"/>
          <w:lang w:val="pt-PT"/>
        </w:rPr>
        <w:t>ECE/MP.EIA/8</w:t>
      </w:r>
      <w:r>
        <w:rPr>
          <w:shd w:val="clear" w:color="auto" w:fill="FFFFFF"/>
          <w:lang w:val="pt-PT"/>
        </w:rPr>
        <w:t xml:space="preserve">, </w:t>
      </w:r>
      <w:r>
        <w:rPr>
          <w:shd w:val="clear" w:color="auto" w:fill="FFFFFF"/>
        </w:rPr>
        <w:t>п</w:t>
      </w:r>
      <w:r>
        <w:rPr>
          <w:shd w:val="clear" w:color="auto" w:fill="FFFFFF"/>
          <w:lang w:val="pt-PT"/>
        </w:rPr>
        <w:t>. 14.</w:t>
      </w:r>
    </w:p>
  </w:footnote>
  <w:footnote w:id="11">
    <w:p w14:paraId="15347A1A" w14:textId="77777777" w:rsidR="000C3BBC" w:rsidRPr="005B7D78" w:rsidRDefault="000C3BBC" w:rsidP="000C3BBC">
      <w:pPr>
        <w:pStyle w:val="ad"/>
      </w:pPr>
      <w:r w:rsidRPr="005B7D78">
        <w:tab/>
      </w:r>
      <w:r>
        <w:rPr>
          <w:rStyle w:val="aa"/>
        </w:rPr>
        <w:footnoteRef/>
      </w:r>
      <w:r w:rsidRPr="005B7D78">
        <w:tab/>
      </w:r>
      <w:r>
        <w:t>Там же</w:t>
      </w:r>
      <w:r w:rsidRPr="005B7D78">
        <w:t xml:space="preserve">, </w:t>
      </w:r>
      <w:r>
        <w:t>п</w:t>
      </w:r>
      <w:r w:rsidRPr="005B7D78">
        <w:t>. 83.</w:t>
      </w:r>
    </w:p>
  </w:footnote>
  <w:footnote w:id="12">
    <w:p w14:paraId="193CED52" w14:textId="09158EC6" w:rsidR="000C3BBC" w:rsidRPr="00571DC1" w:rsidRDefault="000C3BBC" w:rsidP="000C3BBC">
      <w:pPr>
        <w:pStyle w:val="ad"/>
        <w:rPr>
          <w:lang w:val="pt-PT"/>
        </w:rPr>
      </w:pPr>
      <w:r w:rsidRPr="00571DC1">
        <w:rPr>
          <w:lang w:val="pt-PT"/>
        </w:rPr>
        <w:tab/>
      </w:r>
      <w:r>
        <w:rPr>
          <w:rStyle w:val="aa"/>
        </w:rPr>
        <w:footnoteRef/>
      </w:r>
      <w:r w:rsidRPr="00571DC1">
        <w:rPr>
          <w:lang w:val="pt-PT"/>
        </w:rPr>
        <w:tab/>
      </w:r>
      <w:r w:rsidRPr="00B4736E">
        <w:t xml:space="preserve">По состоянию на 19 сентября 2023 года </w:t>
      </w:r>
      <w:r>
        <w:t>Протокол</w:t>
      </w:r>
      <w:r w:rsidRPr="00B4736E">
        <w:t xml:space="preserve"> насчитыва</w:t>
      </w:r>
      <w:r>
        <w:t>л</w:t>
      </w:r>
      <w:r w:rsidRPr="00B4736E">
        <w:t xml:space="preserve"> </w:t>
      </w:r>
      <w:r>
        <w:t>33</w:t>
      </w:r>
      <w:r w:rsidRPr="00B4736E">
        <w:t xml:space="preserve"> </w:t>
      </w:r>
      <w:r>
        <w:t>Стороны</w:t>
      </w:r>
      <w:r w:rsidRPr="00B4736E">
        <w:t xml:space="preserve">. </w:t>
      </w:r>
      <w:r>
        <w:t>Обновленную информацию см.</w:t>
      </w:r>
      <w:r w:rsidRPr="00B4736E">
        <w:t xml:space="preserve"> </w:t>
      </w:r>
      <w:r w:rsidRPr="008D356E">
        <w:rPr>
          <w:lang w:val="en-US"/>
        </w:rPr>
        <w:t>URL</w:t>
      </w:r>
      <w:r w:rsidRPr="00BA5E54">
        <w:t>:</w:t>
      </w:r>
      <w:r>
        <w:rPr>
          <w:lang w:val="pt-PT"/>
        </w:rPr>
        <w:t xml:space="preserve"> </w:t>
      </w:r>
      <w:hyperlink r:id="rId8" w:history="1">
        <w:r w:rsidRPr="008D356E">
          <w:rPr>
            <w:rStyle w:val="af1"/>
            <w:lang w:val="pt-PT"/>
          </w:rPr>
          <w:t>https://treaties.un.org/Pages/ViewDetails.aspx?src=TREATY&amp;mtdsg_no=XXVII-4-b&amp;chapter=27&amp;clang=_en</w:t>
        </w:r>
      </w:hyperlink>
      <w:r>
        <w:rPr>
          <w:lang w:val="pt-PT"/>
        </w:rPr>
        <w:t>.</w:t>
      </w:r>
    </w:p>
  </w:footnote>
  <w:footnote w:id="13">
    <w:p w14:paraId="51692D44" w14:textId="2386A5F2" w:rsidR="000C3BBC" w:rsidRPr="00B85D40" w:rsidRDefault="008D356E" w:rsidP="008D356E">
      <w:pPr>
        <w:pStyle w:val="ad"/>
        <w:rPr>
          <w:spacing w:val="-7"/>
        </w:rPr>
      </w:pPr>
      <w:r>
        <w:rPr>
          <w:lang w:val="pt-PT"/>
        </w:rPr>
        <w:tab/>
      </w:r>
      <w:r w:rsidR="000C3BBC" w:rsidRPr="00EB77B6">
        <w:rPr>
          <w:rStyle w:val="aa"/>
          <w:szCs w:val="18"/>
        </w:rPr>
        <w:footnoteRef/>
      </w:r>
      <w:r w:rsidR="000C3BBC" w:rsidRPr="00B85D40">
        <w:tab/>
      </w:r>
      <w:r w:rsidR="000C3BBC" w:rsidRPr="001E4969">
        <w:rPr>
          <w:spacing w:val="-7"/>
        </w:rPr>
        <w:t>ECE</w:t>
      </w:r>
      <w:r w:rsidR="000C3BBC" w:rsidRPr="00B85D40">
        <w:rPr>
          <w:spacing w:val="-7"/>
        </w:rPr>
        <w:t>/</w:t>
      </w:r>
      <w:r w:rsidR="000C3BBC" w:rsidRPr="008D356E">
        <w:t>MP</w:t>
      </w:r>
      <w:r w:rsidR="000C3BBC" w:rsidRPr="00B85D40">
        <w:rPr>
          <w:spacing w:val="-7"/>
        </w:rPr>
        <w:t>.</w:t>
      </w:r>
      <w:r w:rsidR="000C3BBC" w:rsidRPr="001E4969">
        <w:rPr>
          <w:spacing w:val="-7"/>
        </w:rPr>
        <w:t>EIA</w:t>
      </w:r>
      <w:r w:rsidR="000C3BBC" w:rsidRPr="00B85D40">
        <w:rPr>
          <w:spacing w:val="-7"/>
        </w:rPr>
        <w:t>/</w:t>
      </w:r>
      <w:r w:rsidR="000C3BBC" w:rsidRPr="001E4969">
        <w:rPr>
          <w:spacing w:val="-7"/>
        </w:rPr>
        <w:t>SEA</w:t>
      </w:r>
      <w:r w:rsidR="000C3BBC" w:rsidRPr="00B85D40">
        <w:rPr>
          <w:spacing w:val="-7"/>
        </w:rPr>
        <w:t>/8.</w:t>
      </w:r>
    </w:p>
  </w:footnote>
  <w:footnote w:id="14">
    <w:p w14:paraId="4AFA78AC" w14:textId="77777777" w:rsidR="000C3BBC" w:rsidRPr="00930997" w:rsidRDefault="000C3BBC" w:rsidP="000C3BBC">
      <w:pPr>
        <w:pStyle w:val="ad"/>
      </w:pPr>
      <w:r w:rsidRPr="00B85D40">
        <w:tab/>
      </w:r>
      <w:r>
        <w:rPr>
          <w:rStyle w:val="aa"/>
        </w:rPr>
        <w:footnoteRef/>
      </w:r>
      <w:r w:rsidRPr="00930997">
        <w:tab/>
      </w:r>
      <w:r>
        <w:rPr>
          <w:i/>
          <w:iCs/>
        </w:rPr>
        <w:t>Информационно-справочное руководство</w:t>
      </w:r>
      <w:r w:rsidRPr="00930997">
        <w:rPr>
          <w:i/>
          <w:iCs/>
        </w:rPr>
        <w:t xml:space="preserve"> по применению Протокола ЕЭК ООН по стратегической экологической оценке </w:t>
      </w:r>
      <w:r w:rsidRPr="00930997">
        <w:t>(</w:t>
      </w:r>
      <w:r>
        <w:t xml:space="preserve">издание </w:t>
      </w:r>
      <w:r w:rsidRPr="00A544D0">
        <w:rPr>
          <w:shd w:val="clear" w:color="auto" w:fill="FFFFFF"/>
          <w:lang w:val="pt-PT"/>
        </w:rPr>
        <w:t>Организации Объединенных Наци</w:t>
      </w:r>
      <w:r>
        <w:rPr>
          <w:shd w:val="clear" w:color="auto" w:fill="FFFFFF"/>
        </w:rPr>
        <w:t>й</w:t>
      </w:r>
      <w:r w:rsidRPr="00930997">
        <w:t xml:space="preserve">, </w:t>
      </w:r>
      <w:r w:rsidRPr="004519F1">
        <w:t>ECE</w:t>
      </w:r>
      <w:r w:rsidRPr="00930997">
        <w:t>/</w:t>
      </w:r>
      <w:r w:rsidRPr="004519F1">
        <w:t>MP</w:t>
      </w:r>
      <w:r w:rsidRPr="00930997">
        <w:t>.</w:t>
      </w:r>
      <w:r w:rsidRPr="004519F1">
        <w:t>EIA</w:t>
      </w:r>
      <w:r w:rsidRPr="00930997">
        <w:t>/17).</w:t>
      </w:r>
    </w:p>
  </w:footnote>
  <w:footnote w:id="15">
    <w:p w14:paraId="05F438B4" w14:textId="42DB1FEC" w:rsidR="000C3BBC" w:rsidRPr="00A26D39" w:rsidRDefault="000C3BBC" w:rsidP="000C3BBC">
      <w:pPr>
        <w:pStyle w:val="ad"/>
      </w:pPr>
      <w:r w:rsidRPr="00930997">
        <w:tab/>
      </w:r>
      <w:r w:rsidRPr="328B4E92">
        <w:rPr>
          <w:rStyle w:val="aa"/>
        </w:rPr>
        <w:footnoteRef/>
      </w:r>
      <w:r w:rsidRPr="00A26D39">
        <w:tab/>
      </w:r>
      <w:r>
        <w:t>См.</w:t>
      </w:r>
      <w:r w:rsidRPr="00A26D39">
        <w:t xml:space="preserve"> </w:t>
      </w:r>
      <w:hyperlink r:id="rId9" w:history="1">
        <w:r w:rsidRPr="008D356E">
          <w:rPr>
            <w:rStyle w:val="af1"/>
          </w:rPr>
          <w:t>www.ipcc.ch/site/assets/uploads/2019/11/11_Annex-I-Glossary.pdf</w:t>
        </w:r>
      </w:hyperlink>
      <w:r w:rsidRPr="00A26D39">
        <w:t xml:space="preserve">, </w:t>
      </w:r>
      <w:r>
        <w:t>p</w:t>
      </w:r>
      <w:r w:rsidRPr="00A26D39">
        <w:t>. 825.</w:t>
      </w:r>
    </w:p>
  </w:footnote>
  <w:footnote w:id="16">
    <w:p w14:paraId="052FF92E" w14:textId="5386A369" w:rsidR="000C3BBC" w:rsidRPr="00A26D39" w:rsidRDefault="000C3BBC" w:rsidP="000C3BBC">
      <w:pPr>
        <w:pStyle w:val="ad"/>
      </w:pPr>
      <w:r w:rsidRPr="00A26D39">
        <w:tab/>
      </w:r>
      <w:r>
        <w:rPr>
          <w:rStyle w:val="aa"/>
        </w:rPr>
        <w:footnoteRef/>
      </w:r>
      <w:r w:rsidRPr="00A26D39">
        <w:tab/>
      </w:r>
      <w:r>
        <w:t>См.</w:t>
      </w:r>
      <w:r w:rsidRPr="00A26D39">
        <w:t xml:space="preserve"> </w:t>
      </w:r>
      <w:hyperlink r:id="rId10" w:history="1">
        <w:r w:rsidRPr="008D356E">
          <w:rPr>
            <w:rStyle w:val="af1"/>
          </w:rPr>
          <w:t>https://sdgs.un.org/goals/goal7</w:t>
        </w:r>
      </w:hyperlink>
      <w:r w:rsidRPr="00A26D39">
        <w:t>.</w:t>
      </w:r>
    </w:p>
  </w:footnote>
  <w:footnote w:id="17">
    <w:p w14:paraId="1C771E7F" w14:textId="39940E2D" w:rsidR="000C3BBC" w:rsidRPr="00C73E83" w:rsidRDefault="000C3BBC" w:rsidP="000C3BBC">
      <w:pPr>
        <w:pStyle w:val="ad"/>
      </w:pPr>
      <w:r w:rsidRPr="00A26D39">
        <w:tab/>
      </w:r>
      <w:r>
        <w:rPr>
          <w:rStyle w:val="aa"/>
        </w:rPr>
        <w:footnoteRef/>
      </w:r>
      <w:r w:rsidRPr="00C73E83">
        <w:tab/>
      </w:r>
      <w:r>
        <w:t>См.</w:t>
      </w:r>
      <w:r w:rsidRPr="00C73E83">
        <w:t xml:space="preserve"> </w:t>
      </w:r>
      <w:hyperlink r:id="rId11" w:history="1">
        <w:r w:rsidRPr="008D356E">
          <w:rPr>
            <w:rStyle w:val="af1"/>
          </w:rPr>
          <w:t>https://sdgs.un.org/goals/goal13</w:t>
        </w:r>
      </w:hyperlink>
      <w:r w:rsidRPr="00C73E83">
        <w:t>.</w:t>
      </w:r>
    </w:p>
  </w:footnote>
  <w:footnote w:id="18">
    <w:p w14:paraId="20D9BE3D" w14:textId="76DF6E8C" w:rsidR="000C3BBC" w:rsidRPr="00D074A7" w:rsidRDefault="000C3BBC" w:rsidP="000C3BBC">
      <w:pPr>
        <w:pStyle w:val="ad"/>
      </w:pPr>
      <w:r w:rsidRPr="00C73E83">
        <w:tab/>
      </w:r>
      <w:r w:rsidRPr="004D0D75">
        <w:rPr>
          <w:rStyle w:val="aa"/>
          <w:szCs w:val="18"/>
        </w:rPr>
        <w:footnoteRef/>
      </w:r>
      <w:r w:rsidRPr="00D074A7">
        <w:tab/>
      </w:r>
      <w:r>
        <w:t>См.</w:t>
      </w:r>
      <w:r w:rsidRPr="00D074A7">
        <w:t xml:space="preserve"> </w:t>
      </w:r>
      <w:hyperlink r:id="rId12" w:history="1">
        <w:r w:rsidRPr="008D356E">
          <w:rPr>
            <w:rStyle w:val="af1"/>
            <w:szCs w:val="18"/>
          </w:rPr>
          <w:t>https://unfccc.int/process-and-meetings/the-paris-agreement</w:t>
        </w:r>
      </w:hyperlink>
      <w:r w:rsidRPr="00D074A7">
        <w:rPr>
          <w:rStyle w:val="af1"/>
          <w:szCs w:val="18"/>
        </w:rPr>
        <w:t>.</w:t>
      </w:r>
      <w:r w:rsidRPr="00D074A7">
        <w:t xml:space="preserve"> </w:t>
      </w:r>
    </w:p>
  </w:footnote>
  <w:footnote w:id="19">
    <w:p w14:paraId="5C63E44E" w14:textId="0D0C517F" w:rsidR="000C3BBC" w:rsidRPr="00D074A7" w:rsidRDefault="000C3BBC" w:rsidP="000C3BBC">
      <w:pPr>
        <w:pStyle w:val="ad"/>
        <w:tabs>
          <w:tab w:val="right" w:pos="0"/>
        </w:tabs>
      </w:pPr>
      <w:r w:rsidRPr="00D074A7">
        <w:tab/>
      </w:r>
      <w:r>
        <w:rPr>
          <w:rStyle w:val="aa"/>
        </w:rPr>
        <w:footnoteRef/>
      </w:r>
      <w:r w:rsidRPr="00D074A7">
        <w:tab/>
      </w:r>
      <w:r>
        <w:t>См.</w:t>
      </w:r>
      <w:r w:rsidRPr="00D074A7">
        <w:t xml:space="preserve"> </w:t>
      </w:r>
      <w:hyperlink r:id="rId13" w:anchor="Workshops" w:history="1">
        <w:r w:rsidRPr="008D356E">
          <w:rPr>
            <w:rStyle w:val="af1"/>
          </w:rPr>
          <w:t>https://unfccc.int/topics/adaptation-and-resilience/workstreams/glasgow-sharm-el-sheikh-WP-GGGA#Workshops</w:t>
        </w:r>
      </w:hyperlink>
      <w:r w:rsidRPr="00D074A7">
        <w:t>.</w:t>
      </w:r>
    </w:p>
  </w:footnote>
  <w:footnote w:id="20">
    <w:p w14:paraId="7F3A5C60" w14:textId="6CB5A660" w:rsidR="000C3BBC" w:rsidRPr="00D074A7" w:rsidRDefault="000C3BBC" w:rsidP="000C3BBC">
      <w:pPr>
        <w:pStyle w:val="ad"/>
        <w:tabs>
          <w:tab w:val="right" w:pos="0"/>
        </w:tabs>
      </w:pPr>
      <w:r w:rsidRPr="00D074A7">
        <w:tab/>
      </w:r>
      <w:r>
        <w:rPr>
          <w:rStyle w:val="aa"/>
        </w:rPr>
        <w:footnoteRef/>
      </w:r>
      <w:r w:rsidRPr="00D074A7">
        <w:tab/>
      </w:r>
      <w:r>
        <w:t>См.</w:t>
      </w:r>
      <w:r w:rsidRPr="00D074A7">
        <w:t xml:space="preserve"> </w:t>
      </w:r>
      <w:hyperlink r:id="rId14" w:history="1">
        <w:r w:rsidRPr="008D356E">
          <w:rPr>
            <w:rStyle w:val="af1"/>
          </w:rPr>
          <w:t>https://unfccc.int/process-and-meetings/conferences/sharm-el-sheikh-climate-change-conference-november-2022/five-key-takeaways-from-cop27</w:t>
        </w:r>
      </w:hyperlink>
      <w:r w:rsidRPr="00D074A7">
        <w:t>.</w:t>
      </w:r>
    </w:p>
  </w:footnote>
  <w:footnote w:id="21">
    <w:p w14:paraId="7CF6B91F" w14:textId="78A1A2A8" w:rsidR="000C3BBC" w:rsidRPr="00D074A7" w:rsidRDefault="000C3BBC" w:rsidP="000C3BBC">
      <w:pPr>
        <w:pStyle w:val="ad"/>
      </w:pPr>
      <w:r w:rsidRPr="00D074A7">
        <w:tab/>
      </w:r>
      <w:r>
        <w:rPr>
          <w:rStyle w:val="aa"/>
        </w:rPr>
        <w:footnoteRef/>
      </w:r>
      <w:r w:rsidRPr="00D074A7">
        <w:tab/>
      </w:r>
      <w:r>
        <w:t>См.</w:t>
      </w:r>
      <w:r w:rsidRPr="00D074A7">
        <w:t xml:space="preserve"> </w:t>
      </w:r>
      <w:hyperlink r:id="rId15" w:history="1">
        <w:r w:rsidRPr="008D356E">
          <w:rPr>
            <w:rStyle w:val="af1"/>
          </w:rPr>
          <w:t>https://unfccc.int/sites/default/files/resource/cop27_auv_2_cover%20decision.pdf</w:t>
        </w:r>
      </w:hyperlink>
      <w:r w:rsidRPr="00D074A7">
        <w:t>.</w:t>
      </w:r>
    </w:p>
  </w:footnote>
  <w:footnote w:id="22">
    <w:p w14:paraId="2028C9FB" w14:textId="77777777" w:rsidR="000C3BBC" w:rsidRPr="00501B39" w:rsidRDefault="000C3BBC" w:rsidP="000C3BBC">
      <w:pPr>
        <w:pStyle w:val="ad"/>
        <w:rPr>
          <w:lang w:val="en-US" w:eastAsia="zh-CN"/>
        </w:rPr>
      </w:pPr>
      <w:r w:rsidRPr="00D074A7">
        <w:tab/>
      </w:r>
      <w:r w:rsidRPr="004D0D75">
        <w:rPr>
          <w:rStyle w:val="aa"/>
          <w:szCs w:val="18"/>
        </w:rPr>
        <w:footnoteRef/>
      </w:r>
      <w:r w:rsidRPr="00501B39">
        <w:rPr>
          <w:lang w:val="en-US"/>
        </w:rPr>
        <w:tab/>
      </w:r>
      <w:r w:rsidRPr="00501B39">
        <w:rPr>
          <w:lang w:val="en-US" w:eastAsia="zh-CN"/>
        </w:rPr>
        <w:t xml:space="preserve">Energy Transitions Commission, </w:t>
      </w:r>
      <w:r w:rsidRPr="00501B39">
        <w:rPr>
          <w:i/>
          <w:iCs/>
          <w:lang w:val="en-US" w:eastAsia="zh-CN"/>
        </w:rPr>
        <w:t>Financing the Transition: How to Make the Money Flow for a Net-Zero Economy</w:t>
      </w:r>
      <w:r w:rsidRPr="00501B39">
        <w:rPr>
          <w:lang w:val="en-US" w:eastAsia="zh-CN"/>
        </w:rPr>
        <w:t>, (n.p., 2023).</w:t>
      </w:r>
    </w:p>
  </w:footnote>
  <w:footnote w:id="23">
    <w:p w14:paraId="57D9756E" w14:textId="0446743B" w:rsidR="000C3BBC" w:rsidRPr="00423ADD" w:rsidRDefault="000C3BBC" w:rsidP="000C3BBC">
      <w:pPr>
        <w:pStyle w:val="ad"/>
        <w:rPr>
          <w:rFonts w:ascii="Helvetica" w:hAnsi="Helvetica" w:cs="Helvetica"/>
          <w:lang w:eastAsia="zh-CN"/>
        </w:rPr>
      </w:pPr>
      <w:r w:rsidRPr="00501B39">
        <w:rPr>
          <w:lang w:val="en-US" w:eastAsia="zh-CN"/>
        </w:rPr>
        <w:tab/>
      </w:r>
      <w:r w:rsidRPr="004D0D75">
        <w:rPr>
          <w:rStyle w:val="aa"/>
          <w:szCs w:val="18"/>
        </w:rPr>
        <w:footnoteRef/>
      </w:r>
      <w:r w:rsidRPr="00423ADD">
        <w:rPr>
          <w:lang w:eastAsia="zh-CN"/>
        </w:rPr>
        <w:tab/>
      </w:r>
      <w:r>
        <w:rPr>
          <w:lang w:eastAsia="zh-CN"/>
        </w:rPr>
        <w:t>См.</w:t>
      </w:r>
      <w:r w:rsidRPr="00423ADD">
        <w:rPr>
          <w:lang w:eastAsia="zh-CN"/>
        </w:rPr>
        <w:t xml:space="preserve"> </w:t>
      </w:r>
      <w:hyperlink r:id="rId16" w:history="1">
        <w:r w:rsidRPr="008D356E">
          <w:rPr>
            <w:rStyle w:val="af1"/>
            <w:lang w:eastAsia="zh-CN"/>
          </w:rPr>
          <w:t>https://eur-lex.europa.eu/resource.html?uri=cellar:9903b325-6388-11ea-b735-01aa75ed71a1.0017.02/DOC_1&amp;format=PDF</w:t>
        </w:r>
      </w:hyperlink>
      <w:r w:rsidRPr="00423ADD">
        <w:rPr>
          <w:lang w:eastAsia="zh-CN"/>
        </w:rPr>
        <w:t>.</w:t>
      </w:r>
    </w:p>
  </w:footnote>
  <w:footnote w:id="24">
    <w:p w14:paraId="4C7ACF3B" w14:textId="5CA978AA" w:rsidR="000C3BBC" w:rsidRPr="00AE73D1" w:rsidRDefault="000C3BBC" w:rsidP="000C3BBC">
      <w:pPr>
        <w:tabs>
          <w:tab w:val="right" w:pos="1021"/>
        </w:tabs>
        <w:autoSpaceDE w:val="0"/>
        <w:autoSpaceDN w:val="0"/>
        <w:adjustRightInd w:val="0"/>
        <w:spacing w:line="220" w:lineRule="exact"/>
        <w:ind w:left="1134" w:right="1134" w:hanging="1134"/>
        <w:rPr>
          <w:rFonts w:ascii="Helvetica" w:hAnsi="Helvetica" w:cs="Helvetica"/>
          <w:sz w:val="18"/>
          <w:szCs w:val="18"/>
          <w:lang w:eastAsia="zh-CN"/>
        </w:rPr>
      </w:pPr>
      <w:r w:rsidRPr="00423ADD">
        <w:rPr>
          <w:sz w:val="18"/>
          <w:szCs w:val="18"/>
        </w:rPr>
        <w:tab/>
      </w:r>
      <w:r w:rsidRPr="004D0D75">
        <w:rPr>
          <w:rStyle w:val="aa"/>
          <w:szCs w:val="18"/>
        </w:rPr>
        <w:footnoteRef/>
      </w:r>
      <w:r w:rsidRPr="00AE73D1">
        <w:rPr>
          <w:sz w:val="18"/>
          <w:szCs w:val="18"/>
        </w:rPr>
        <w:tab/>
      </w:r>
      <w:r>
        <w:rPr>
          <w:sz w:val="18"/>
          <w:szCs w:val="18"/>
        </w:rPr>
        <w:t>См.</w:t>
      </w:r>
      <w:r w:rsidRPr="00AE73D1">
        <w:rPr>
          <w:sz w:val="18"/>
          <w:szCs w:val="18"/>
        </w:rPr>
        <w:t xml:space="preserve"> </w:t>
      </w:r>
      <w:hyperlink r:id="rId17" w:history="1">
        <w:r w:rsidRPr="008D356E">
          <w:rPr>
            <w:rStyle w:val="af1"/>
            <w:sz w:val="18"/>
            <w:szCs w:val="18"/>
            <w:lang w:eastAsia="zh-CN"/>
          </w:rPr>
          <w:t>https://eur-lex.europa.eu/resource.html?uri=cellar:b828d165-1c22-11ea-8c1f-01aa75ed71a1.0002.02/DOC_1&amp;format=PDF</w:t>
        </w:r>
      </w:hyperlink>
      <w:r w:rsidRPr="00AE73D1">
        <w:rPr>
          <w:sz w:val="18"/>
          <w:szCs w:val="18"/>
          <w:lang w:eastAsia="zh-CN"/>
        </w:rPr>
        <w:t>.</w:t>
      </w:r>
    </w:p>
  </w:footnote>
  <w:footnote w:id="25">
    <w:p w14:paraId="1E6CF535" w14:textId="4FF03FBA" w:rsidR="000C3BBC" w:rsidRPr="00AE73D1" w:rsidRDefault="000C3BBC" w:rsidP="000C3BBC">
      <w:pPr>
        <w:tabs>
          <w:tab w:val="right" w:pos="1021"/>
        </w:tabs>
        <w:autoSpaceDE w:val="0"/>
        <w:autoSpaceDN w:val="0"/>
        <w:adjustRightInd w:val="0"/>
        <w:spacing w:line="220" w:lineRule="exact"/>
        <w:ind w:left="1134" w:right="1134" w:hanging="1134"/>
        <w:rPr>
          <w:sz w:val="18"/>
          <w:szCs w:val="18"/>
          <w:lang w:eastAsia="zh-CN"/>
        </w:rPr>
      </w:pPr>
      <w:r w:rsidRPr="00AE73D1">
        <w:rPr>
          <w:sz w:val="18"/>
          <w:szCs w:val="18"/>
        </w:rPr>
        <w:tab/>
      </w:r>
      <w:r w:rsidRPr="00B25EC8">
        <w:rPr>
          <w:rStyle w:val="aa"/>
          <w:szCs w:val="18"/>
        </w:rPr>
        <w:footnoteRef/>
      </w:r>
      <w:r w:rsidRPr="00AE73D1">
        <w:rPr>
          <w:sz w:val="18"/>
          <w:szCs w:val="18"/>
        </w:rPr>
        <w:tab/>
      </w:r>
      <w:r>
        <w:rPr>
          <w:sz w:val="18"/>
          <w:szCs w:val="18"/>
        </w:rPr>
        <w:t>См.</w:t>
      </w:r>
      <w:r w:rsidRPr="00AE73D1">
        <w:rPr>
          <w:sz w:val="18"/>
          <w:szCs w:val="18"/>
        </w:rPr>
        <w:t xml:space="preserve"> </w:t>
      </w:r>
      <w:hyperlink r:id="rId18" w:history="1">
        <w:r w:rsidRPr="008D356E">
          <w:rPr>
            <w:rStyle w:val="af1"/>
            <w:sz w:val="18"/>
            <w:szCs w:val="18"/>
          </w:rPr>
          <w:t>https://eur-lex.europa.eu/legal-content/EN/TXT/PDF/?uri=CELEX:32021R1119</w:t>
        </w:r>
      </w:hyperlink>
      <w:r w:rsidRPr="00AE73D1">
        <w:rPr>
          <w:sz w:val="18"/>
          <w:szCs w:val="18"/>
        </w:rPr>
        <w:t>.</w:t>
      </w:r>
    </w:p>
  </w:footnote>
  <w:footnote w:id="26">
    <w:p w14:paraId="5507C5DF" w14:textId="23FE0112" w:rsidR="000C3BBC" w:rsidRPr="00AE73D1" w:rsidRDefault="000C3BBC" w:rsidP="000C3BBC">
      <w:pPr>
        <w:pStyle w:val="ad"/>
        <w:tabs>
          <w:tab w:val="right" w:pos="0"/>
        </w:tabs>
      </w:pPr>
      <w:r w:rsidRPr="00AE73D1">
        <w:tab/>
      </w:r>
      <w:r>
        <w:rPr>
          <w:rStyle w:val="aa"/>
        </w:rPr>
        <w:footnoteRef/>
      </w:r>
      <w:r w:rsidRPr="00AE73D1">
        <w:tab/>
      </w:r>
      <w:r>
        <w:t>См.</w:t>
      </w:r>
      <w:r w:rsidRPr="00AE73D1">
        <w:t xml:space="preserve"> </w:t>
      </w:r>
      <w:hyperlink r:id="rId19" w:anchor=":~:text=The%20European%20climate%20law%20makes,EU%20climate%2Dneutral%20b" w:history="1">
        <w:r w:rsidRPr="008D356E">
          <w:rPr>
            <w:rStyle w:val="af1"/>
          </w:rPr>
          <w:t>www.consilium.europa.eu/en/policies/green-deal/fit-for-55-the-eu-plan-for-a-green-transition/#:~:text=The%20European%20climate%20law%20makes,EU%20climate%2Dneutral%20by%202050</w:t>
        </w:r>
      </w:hyperlink>
      <w:r w:rsidRPr="00AE73D1">
        <w:t>.</w:t>
      </w:r>
    </w:p>
  </w:footnote>
  <w:footnote w:id="27">
    <w:p w14:paraId="263EF120" w14:textId="6AFEA909" w:rsidR="000C3BBC" w:rsidRPr="00AE73D1" w:rsidRDefault="000C3BBC" w:rsidP="000C3BBC">
      <w:pPr>
        <w:pStyle w:val="ad"/>
      </w:pPr>
      <w:r w:rsidRPr="00AE73D1">
        <w:tab/>
      </w:r>
      <w:r>
        <w:rPr>
          <w:rStyle w:val="aa"/>
        </w:rPr>
        <w:footnoteRef/>
      </w:r>
      <w:r w:rsidRPr="00AE73D1">
        <w:tab/>
      </w:r>
      <w:r>
        <w:t>См.</w:t>
      </w:r>
      <w:r w:rsidRPr="00AE73D1">
        <w:t xml:space="preserve"> </w:t>
      </w:r>
      <w:hyperlink r:id="rId20" w:anchor=":~:text=The%20Paris%20Agreement%20and%20NDCs,the%20impacts%20of%20climate%20c" w:history="1">
        <w:r w:rsidRPr="008D356E">
          <w:rPr>
            <w:rStyle w:val="af1"/>
          </w:rPr>
          <w:t>https://unfccc.int/process-and-meetings/the-paris-agreement/nationally-determined-contributions-ndcs#:~:text=The%20Paris%20Agreement%20and%20NDCs,the%20impacts%20of%20climate%20change</w:t>
        </w:r>
      </w:hyperlink>
      <w:r w:rsidRPr="00AE73D1">
        <w:t>.</w:t>
      </w:r>
    </w:p>
  </w:footnote>
  <w:footnote w:id="28">
    <w:p w14:paraId="57B52ECB" w14:textId="77777777" w:rsidR="000C3BBC" w:rsidRPr="00AE73D1" w:rsidRDefault="000C3BBC" w:rsidP="000C3BBC">
      <w:pPr>
        <w:pStyle w:val="ad"/>
      </w:pPr>
      <w:r w:rsidRPr="00AE73D1">
        <w:t xml:space="preserve"> </w:t>
      </w:r>
      <w:r w:rsidRPr="00AE73D1">
        <w:tab/>
      </w:r>
      <w:r>
        <w:rPr>
          <w:rStyle w:val="aa"/>
        </w:rPr>
        <w:footnoteRef/>
      </w:r>
      <w:r w:rsidRPr="00AE73D1">
        <w:tab/>
      </w:r>
      <w:r w:rsidRPr="00AE73D1">
        <w:tab/>
        <w:t>Ссылки на Косово следует понимать в контексте резолюции 1244 (1999) Совета Безопасности.</w:t>
      </w:r>
    </w:p>
  </w:footnote>
  <w:footnote w:id="29">
    <w:p w14:paraId="5CD0F73D" w14:textId="6A8B8203" w:rsidR="000C3BBC" w:rsidRPr="00AE73D1" w:rsidRDefault="000C3BBC" w:rsidP="000C3BBC">
      <w:pPr>
        <w:pStyle w:val="ad"/>
      </w:pPr>
      <w:r w:rsidRPr="00AE73D1">
        <w:tab/>
      </w:r>
      <w:r>
        <w:rPr>
          <w:rStyle w:val="aa"/>
        </w:rPr>
        <w:footnoteRef/>
      </w:r>
      <w:r w:rsidRPr="00AE73D1">
        <w:tab/>
      </w:r>
      <w:r>
        <w:t>См.</w:t>
      </w:r>
      <w:r w:rsidRPr="00AE73D1">
        <w:t xml:space="preserve"> </w:t>
      </w:r>
      <w:hyperlink r:id="rId21" w:history="1">
        <w:r w:rsidRPr="008D356E">
          <w:rPr>
            <w:rStyle w:val="af1"/>
          </w:rPr>
          <w:t>www.ren21.net/wp-content/uploads/2019/05/REN21_UNECE2022_FullReport.pdf</w:t>
        </w:r>
      </w:hyperlink>
      <w:r w:rsidRPr="00AE73D1">
        <w:t>.</w:t>
      </w:r>
    </w:p>
  </w:footnote>
  <w:footnote w:id="30">
    <w:p w14:paraId="57A9C2AA" w14:textId="02DCBF4D" w:rsidR="000C3BBC" w:rsidRPr="00AE73D1" w:rsidRDefault="000C3BBC" w:rsidP="000C3BBC">
      <w:pPr>
        <w:pStyle w:val="ad"/>
      </w:pPr>
      <w:r w:rsidRPr="00AE73D1">
        <w:tab/>
      </w:r>
      <w:r>
        <w:rPr>
          <w:rStyle w:val="aa"/>
        </w:rPr>
        <w:footnoteRef/>
      </w:r>
      <w:r w:rsidRPr="00AE73D1">
        <w:tab/>
      </w:r>
      <w:r>
        <w:t>См.</w:t>
      </w:r>
      <w:r w:rsidRPr="00AE73D1">
        <w:t xml:space="preserve"> </w:t>
      </w:r>
      <w:hyperlink r:id="rId22" w:history="1">
        <w:r w:rsidRPr="008D356E">
          <w:rPr>
            <w:rStyle w:val="af1"/>
          </w:rPr>
          <w:t>https://energypress.eu/tag/res-sector-special-spatial-plan/</w:t>
        </w:r>
      </w:hyperlink>
      <w:r w:rsidRPr="00AE73D1">
        <w:t>.</w:t>
      </w:r>
    </w:p>
  </w:footnote>
  <w:footnote w:id="31">
    <w:p w14:paraId="269DD5FE" w14:textId="77777777" w:rsidR="000C3BBC" w:rsidRPr="00501B39" w:rsidRDefault="000C3BBC" w:rsidP="000C3BBC">
      <w:pPr>
        <w:tabs>
          <w:tab w:val="right" w:pos="1021"/>
        </w:tabs>
        <w:autoSpaceDE w:val="0"/>
        <w:autoSpaceDN w:val="0"/>
        <w:adjustRightInd w:val="0"/>
        <w:spacing w:line="220" w:lineRule="exact"/>
        <w:ind w:left="1134" w:right="1134" w:hanging="1134"/>
        <w:rPr>
          <w:sz w:val="18"/>
          <w:szCs w:val="18"/>
          <w:lang w:val="en-US" w:eastAsia="zh-CN"/>
        </w:rPr>
      </w:pPr>
      <w:r w:rsidRPr="00AE73D1">
        <w:tab/>
      </w:r>
      <w:r w:rsidRPr="00973F44">
        <w:rPr>
          <w:rStyle w:val="aa"/>
        </w:rPr>
        <w:footnoteRef/>
      </w:r>
      <w:r w:rsidRPr="00501B39">
        <w:rPr>
          <w:lang w:val="en-US"/>
        </w:rPr>
        <w:tab/>
      </w:r>
      <w:r w:rsidRPr="00501B39">
        <w:rPr>
          <w:sz w:val="18"/>
          <w:szCs w:val="18"/>
          <w:lang w:val="en-US"/>
        </w:rPr>
        <w:t xml:space="preserve">Gernot </w:t>
      </w:r>
      <w:r w:rsidRPr="00501B39">
        <w:rPr>
          <w:sz w:val="18"/>
          <w:szCs w:val="18"/>
          <w:lang w:val="en-US" w:eastAsia="zh-CN"/>
        </w:rPr>
        <w:t xml:space="preserve">Stoeglehner, “Integrated spatial and energy planning: a means to reach sustainable development goals”, </w:t>
      </w:r>
      <w:r w:rsidRPr="00501B39">
        <w:rPr>
          <w:i/>
          <w:iCs/>
          <w:sz w:val="18"/>
          <w:szCs w:val="18"/>
          <w:lang w:val="en-US" w:eastAsia="zh-CN"/>
        </w:rPr>
        <w:t>Evolutionary and Institutional Economics Review</w:t>
      </w:r>
      <w:r w:rsidRPr="00501B39">
        <w:rPr>
          <w:sz w:val="18"/>
          <w:szCs w:val="18"/>
          <w:lang w:val="en-US" w:eastAsia="zh-CN"/>
        </w:rPr>
        <w:t>, vol. 17 (2020), pp. 473</w:t>
      </w:r>
      <w:r w:rsidRPr="00501B39">
        <w:rPr>
          <w:sz w:val="18"/>
          <w:szCs w:val="18"/>
          <w:lang w:val="en-US"/>
        </w:rPr>
        <w:t>–</w:t>
      </w:r>
      <w:r w:rsidRPr="00501B39">
        <w:rPr>
          <w:sz w:val="18"/>
          <w:szCs w:val="18"/>
          <w:lang w:val="en-US" w:eastAsia="zh-CN"/>
        </w:rPr>
        <w:t>486.</w:t>
      </w:r>
    </w:p>
  </w:footnote>
  <w:footnote w:id="32">
    <w:p w14:paraId="102729C6" w14:textId="5DB0DFFB" w:rsidR="000C3BBC" w:rsidRPr="00AE73D1" w:rsidRDefault="000C3BBC" w:rsidP="000C3BBC">
      <w:pPr>
        <w:pStyle w:val="ad"/>
      </w:pPr>
      <w:r w:rsidRPr="00501B39">
        <w:rPr>
          <w:lang w:val="en-US"/>
        </w:rPr>
        <w:tab/>
      </w:r>
      <w:r>
        <w:rPr>
          <w:rStyle w:val="aa"/>
        </w:rPr>
        <w:footnoteRef/>
      </w:r>
      <w:r w:rsidRPr="00AE73D1">
        <w:tab/>
      </w:r>
      <w:r>
        <w:t>См.</w:t>
      </w:r>
      <w:r w:rsidRPr="00AE73D1">
        <w:t xml:space="preserve"> </w:t>
      </w:r>
      <w:hyperlink r:id="rId23" w:history="1">
        <w:r w:rsidRPr="008D356E">
          <w:rPr>
            <w:rStyle w:val="af1"/>
          </w:rPr>
          <w:t>https://curia.europa.eu/juris/document/document.jsf?docid=173520&amp;doclang=EN</w:t>
        </w:r>
      </w:hyperlink>
      <w:r w:rsidRPr="00AE73D1">
        <w:t>.</w:t>
      </w:r>
    </w:p>
  </w:footnote>
  <w:footnote w:id="33">
    <w:p w14:paraId="497A42C2" w14:textId="615BFF51" w:rsidR="000C3BBC" w:rsidRPr="005529A5" w:rsidRDefault="000C3BBC" w:rsidP="000C3BBC">
      <w:pPr>
        <w:pStyle w:val="ad"/>
      </w:pPr>
      <w:r w:rsidRPr="00AE73D1">
        <w:tab/>
      </w:r>
      <w:r>
        <w:rPr>
          <w:rStyle w:val="aa"/>
        </w:rPr>
        <w:footnoteRef/>
      </w:r>
      <w:r w:rsidRPr="005529A5">
        <w:tab/>
      </w:r>
      <w:r>
        <w:t>См.</w:t>
      </w:r>
      <w:r w:rsidRPr="005529A5">
        <w:t xml:space="preserve"> </w:t>
      </w:r>
      <w:hyperlink r:id="rId24" w:history="1">
        <w:r w:rsidRPr="00B941FC">
          <w:rPr>
            <w:rStyle w:val="af1"/>
          </w:rPr>
          <w:t>https://unece.org/DAM/env/eia/Publications/2017/1734724_ENG_web.pdf</w:t>
        </w:r>
      </w:hyperlink>
      <w:r w:rsidRPr="005529A5">
        <w:t>.</w:t>
      </w:r>
    </w:p>
  </w:footnote>
  <w:footnote w:id="34">
    <w:p w14:paraId="725FDE4C" w14:textId="6B1DAC25" w:rsidR="000C3BBC" w:rsidRPr="005529A5" w:rsidRDefault="000C3BBC" w:rsidP="000C3BBC">
      <w:pPr>
        <w:pStyle w:val="ad"/>
      </w:pPr>
      <w:r w:rsidRPr="005529A5">
        <w:tab/>
      </w:r>
      <w:r>
        <w:rPr>
          <w:rStyle w:val="aa"/>
        </w:rPr>
        <w:footnoteRef/>
      </w:r>
      <w:r w:rsidRPr="005529A5">
        <w:tab/>
      </w:r>
      <w:r>
        <w:t>См.</w:t>
      </w:r>
      <w:r w:rsidRPr="005529A5">
        <w:t xml:space="preserve"> </w:t>
      </w:r>
      <w:hyperlink r:id="rId25" w:history="1">
        <w:r w:rsidRPr="00B941FC">
          <w:rPr>
            <w:rStyle w:val="af1"/>
          </w:rPr>
          <w:t>https://unece.org/sites/default/files/2021-07/2106311_E_WEB-Light.pdf</w:t>
        </w:r>
      </w:hyperlink>
      <w:r w:rsidRPr="005529A5">
        <w:t>.</w:t>
      </w:r>
    </w:p>
  </w:footnote>
  <w:footnote w:id="35">
    <w:p w14:paraId="62DFF0EF" w14:textId="77777777" w:rsidR="000C3BBC" w:rsidRPr="00571DC1" w:rsidRDefault="000C3BBC" w:rsidP="000C3BBC">
      <w:pPr>
        <w:pStyle w:val="ad"/>
        <w:rPr>
          <w:lang w:val="pt-PT"/>
        </w:rPr>
      </w:pPr>
      <w:r w:rsidRPr="005529A5">
        <w:tab/>
      </w:r>
      <w:r>
        <w:rPr>
          <w:rStyle w:val="aa"/>
        </w:rPr>
        <w:footnoteRef/>
      </w:r>
      <w:r w:rsidRPr="00571DC1">
        <w:rPr>
          <w:lang w:val="pt-PT"/>
        </w:rPr>
        <w:tab/>
        <w:t>ECE/MP.EIA/2014/INF.7</w:t>
      </w:r>
      <w:r>
        <w:rPr>
          <w:lang w:val="pt-PT"/>
        </w:rPr>
        <w:t>.</w:t>
      </w:r>
    </w:p>
  </w:footnote>
  <w:footnote w:id="36">
    <w:p w14:paraId="442AED3F" w14:textId="77777777" w:rsidR="000C3BBC" w:rsidRPr="00571DC1" w:rsidRDefault="000C3BBC" w:rsidP="000C3BBC">
      <w:pPr>
        <w:pStyle w:val="ad"/>
        <w:rPr>
          <w:lang w:val="pt-PT"/>
        </w:rPr>
      </w:pPr>
      <w:r w:rsidRPr="00571DC1">
        <w:rPr>
          <w:lang w:val="pt-PT"/>
        </w:rPr>
        <w:tab/>
      </w:r>
      <w:r>
        <w:rPr>
          <w:rStyle w:val="aa"/>
        </w:rPr>
        <w:footnoteRef/>
      </w:r>
      <w:r w:rsidRPr="00571DC1">
        <w:rPr>
          <w:lang w:val="pt-PT"/>
        </w:rPr>
        <w:tab/>
        <w:t>ECE/MP.EIA/2014/INF.9</w:t>
      </w:r>
      <w:r>
        <w:rPr>
          <w:lang w:val="pt-PT"/>
        </w:rPr>
        <w:t>.</w:t>
      </w:r>
    </w:p>
  </w:footnote>
  <w:footnote w:id="37">
    <w:p w14:paraId="3DDC5D5B" w14:textId="77777777" w:rsidR="000C3BBC" w:rsidRPr="00571DC1" w:rsidRDefault="000C3BBC" w:rsidP="000C3BBC">
      <w:pPr>
        <w:pStyle w:val="ad"/>
        <w:rPr>
          <w:lang w:val="pt-PT"/>
        </w:rPr>
      </w:pPr>
      <w:r w:rsidRPr="00571DC1">
        <w:rPr>
          <w:lang w:val="pt-PT"/>
        </w:rPr>
        <w:tab/>
      </w:r>
      <w:r>
        <w:rPr>
          <w:rStyle w:val="aa"/>
        </w:rPr>
        <w:footnoteRef/>
      </w:r>
      <w:r w:rsidRPr="00571DC1">
        <w:rPr>
          <w:lang w:val="pt-PT"/>
        </w:rPr>
        <w:tab/>
        <w:t>ECE/MP.EIA/2014/INF.8</w:t>
      </w:r>
      <w:r>
        <w:rPr>
          <w:lang w:val="pt-PT"/>
        </w:rPr>
        <w:t>.</w:t>
      </w:r>
    </w:p>
  </w:footnote>
  <w:footnote w:id="38">
    <w:p w14:paraId="49F6533C" w14:textId="77777777" w:rsidR="000C3BBC" w:rsidRPr="00571DC1" w:rsidRDefault="000C3BBC" w:rsidP="000C3BBC">
      <w:pPr>
        <w:pStyle w:val="ad"/>
        <w:rPr>
          <w:lang w:val="pt-PT"/>
        </w:rPr>
      </w:pPr>
      <w:r w:rsidRPr="00571DC1">
        <w:rPr>
          <w:lang w:val="pt-PT"/>
        </w:rPr>
        <w:tab/>
      </w:r>
      <w:r>
        <w:rPr>
          <w:rStyle w:val="aa"/>
        </w:rPr>
        <w:footnoteRef/>
      </w:r>
      <w:r w:rsidRPr="00571DC1">
        <w:rPr>
          <w:lang w:val="pt-PT"/>
        </w:rPr>
        <w:tab/>
      </w:r>
      <w:r w:rsidRPr="00E15D9E">
        <w:rPr>
          <w:lang w:val="pt-PT"/>
        </w:rPr>
        <w:t>ECE/MP.EIA/2023/3–EIA/MP.EIA/SEA/2023/3</w:t>
      </w:r>
      <w:r>
        <w:rPr>
          <w:lang w:val="pt-PT"/>
        </w:rPr>
        <w:t xml:space="preserve"> (</w:t>
      </w:r>
      <w:r>
        <w:t>готовится</w:t>
      </w:r>
      <w:r w:rsidRPr="009C2848">
        <w:rPr>
          <w:lang w:val="pt-PT"/>
        </w:rPr>
        <w:t xml:space="preserve"> </w:t>
      </w:r>
      <w:r>
        <w:t>к</w:t>
      </w:r>
      <w:r w:rsidRPr="009C2848">
        <w:rPr>
          <w:lang w:val="pt-PT"/>
        </w:rPr>
        <w:t xml:space="preserve"> </w:t>
      </w:r>
      <w:r>
        <w:t>выпуску</w:t>
      </w:r>
      <w:r>
        <w:rPr>
          <w:lang w:val="pt-PT"/>
        </w:rPr>
        <w:t>).</w:t>
      </w:r>
    </w:p>
  </w:footnote>
  <w:footnote w:id="39">
    <w:p w14:paraId="09E40336" w14:textId="4DE8969C" w:rsidR="000C3BBC" w:rsidRPr="00AA228F" w:rsidRDefault="000C3BBC" w:rsidP="000C3BBC">
      <w:pPr>
        <w:pStyle w:val="ad"/>
        <w:rPr>
          <w:lang w:val="pt-PT"/>
        </w:rPr>
      </w:pPr>
      <w:r w:rsidRPr="00AA228F">
        <w:rPr>
          <w:lang w:val="pt-PT"/>
        </w:rPr>
        <w:tab/>
      </w:r>
      <w:r>
        <w:rPr>
          <w:rStyle w:val="aa"/>
        </w:rPr>
        <w:footnoteRef/>
      </w:r>
      <w:r w:rsidRPr="00AA228F">
        <w:rPr>
          <w:lang w:val="pt-PT"/>
        </w:rPr>
        <w:tab/>
      </w:r>
      <w:r>
        <w:t>См.</w:t>
      </w:r>
      <w:r w:rsidRPr="00AA228F">
        <w:rPr>
          <w:lang w:val="pt-PT"/>
        </w:rPr>
        <w:t xml:space="preserve"> </w:t>
      </w:r>
      <w:hyperlink r:id="rId26" w:history="1">
        <w:r w:rsidRPr="00B941FC">
          <w:rPr>
            <w:rStyle w:val="af1"/>
            <w:lang w:val="pt-PT"/>
          </w:rPr>
          <w:t>https://eur-lex.europa.eu/legal-content/EN/TXT/HTML/?uri=CELEX:32014L0089.</w:t>
        </w:r>
      </w:hyperlink>
    </w:p>
  </w:footnote>
  <w:footnote w:id="40">
    <w:p w14:paraId="0B5BDD00" w14:textId="1D1E19DD" w:rsidR="000C3BBC" w:rsidRPr="00DE7F70" w:rsidRDefault="000C3BBC" w:rsidP="000C3BBC">
      <w:pPr>
        <w:tabs>
          <w:tab w:val="right" w:pos="1021"/>
        </w:tabs>
        <w:autoSpaceDE w:val="0"/>
        <w:autoSpaceDN w:val="0"/>
        <w:adjustRightInd w:val="0"/>
        <w:spacing w:line="220" w:lineRule="exact"/>
        <w:ind w:left="1134" w:right="1134" w:hanging="1134"/>
        <w:rPr>
          <w:sz w:val="18"/>
          <w:szCs w:val="18"/>
          <w:lang w:val="es-ES" w:eastAsia="zh-CN"/>
        </w:rPr>
      </w:pPr>
      <w:r w:rsidRPr="00571DC1">
        <w:rPr>
          <w:sz w:val="18"/>
          <w:lang w:val="pt-PT"/>
        </w:rPr>
        <w:tab/>
      </w:r>
      <w:r w:rsidRPr="00466518">
        <w:rPr>
          <w:rStyle w:val="aa"/>
          <w:szCs w:val="18"/>
        </w:rPr>
        <w:footnoteRef/>
      </w:r>
      <w:r w:rsidRPr="00501B39">
        <w:rPr>
          <w:sz w:val="18"/>
          <w:szCs w:val="18"/>
          <w:lang w:val="en-US"/>
        </w:rPr>
        <w:tab/>
        <w:t xml:space="preserve">Breffní </w:t>
      </w:r>
      <w:r w:rsidRPr="00501B39">
        <w:rPr>
          <w:sz w:val="18"/>
          <w:szCs w:val="18"/>
          <w:lang w:val="en-US" w:eastAsia="zh-CN"/>
        </w:rPr>
        <w:t xml:space="preserve">Lennon, Niall Dunphy and Estibaliz Sanvicente, “Community acceptability and the energy transition: a citizens’ perspective”, </w:t>
      </w:r>
      <w:r w:rsidRPr="00501B39">
        <w:rPr>
          <w:i/>
          <w:iCs/>
          <w:sz w:val="18"/>
          <w:szCs w:val="18"/>
          <w:lang w:val="en-US" w:eastAsia="zh-CN"/>
        </w:rPr>
        <w:t>Energy, Sustainability and Society</w:t>
      </w:r>
      <w:r w:rsidRPr="00501B39">
        <w:rPr>
          <w:sz w:val="18"/>
          <w:szCs w:val="18"/>
          <w:lang w:val="en-US" w:eastAsia="zh-CN"/>
        </w:rPr>
        <w:t>, vol. 9, No. 1</w:t>
      </w:r>
      <w:r w:rsidRPr="00501B39">
        <w:rPr>
          <w:b/>
          <w:bCs/>
          <w:sz w:val="18"/>
          <w:szCs w:val="18"/>
          <w:lang w:val="en-US" w:eastAsia="zh-CN"/>
        </w:rPr>
        <w:t xml:space="preserve"> </w:t>
      </w:r>
      <w:r w:rsidRPr="00501B39">
        <w:rPr>
          <w:sz w:val="18"/>
          <w:szCs w:val="18"/>
          <w:lang w:val="en-US" w:eastAsia="zh-CN"/>
        </w:rPr>
        <w:t xml:space="preserve">(2019), </w:t>
      </w:r>
      <w:r w:rsidR="0063077D">
        <w:rPr>
          <w:sz w:val="18"/>
          <w:szCs w:val="18"/>
          <w:lang w:val="en-US" w:eastAsia="zh-CN"/>
        </w:rPr>
        <w:br/>
      </w:r>
      <w:r w:rsidRPr="00501B39">
        <w:rPr>
          <w:sz w:val="18"/>
          <w:szCs w:val="18"/>
          <w:lang w:val="en-US" w:eastAsia="zh-CN"/>
        </w:rPr>
        <w:t xml:space="preserve">art. </w:t>
      </w:r>
      <w:r w:rsidRPr="00DE7F70">
        <w:rPr>
          <w:sz w:val="18"/>
          <w:szCs w:val="18"/>
          <w:lang w:val="es-ES" w:eastAsia="zh-CN"/>
        </w:rPr>
        <w:t>No. 35.</w:t>
      </w:r>
    </w:p>
  </w:footnote>
  <w:footnote w:id="41">
    <w:p w14:paraId="5E3A0D2F" w14:textId="31792155" w:rsidR="000C3BBC" w:rsidRPr="0073556C" w:rsidRDefault="000C3BBC" w:rsidP="000C3BBC">
      <w:pPr>
        <w:pStyle w:val="ad"/>
        <w:rPr>
          <w:lang w:val="es-ES"/>
        </w:rPr>
      </w:pPr>
      <w:r w:rsidRPr="00DE7F70">
        <w:rPr>
          <w:lang w:val="es-ES"/>
        </w:rPr>
        <w:tab/>
      </w:r>
      <w:r>
        <w:rPr>
          <w:rStyle w:val="aa"/>
        </w:rPr>
        <w:footnoteRef/>
      </w:r>
      <w:r w:rsidRPr="0073556C">
        <w:rPr>
          <w:lang w:val="es-ES"/>
        </w:rPr>
        <w:tab/>
      </w:r>
      <w:r>
        <w:t>См</w:t>
      </w:r>
      <w:r w:rsidRPr="0073556C">
        <w:rPr>
          <w:lang w:val="es-ES"/>
        </w:rPr>
        <w:t xml:space="preserve">. </w:t>
      </w:r>
      <w:r w:rsidR="00563772">
        <w:fldChar w:fldCharType="begin"/>
      </w:r>
      <w:r w:rsidR="00563772" w:rsidRPr="00BA5E54">
        <w:rPr>
          <w:lang w:val="en-US"/>
        </w:rPr>
        <w:instrText>HYPERLINK "http://www.theguardian.com/environment/</w:instrText>
      </w:r>
      <w:r w:rsidR="00563772" w:rsidRPr="00BA5E54">
        <w:rPr>
          <w:lang w:val="en-US"/>
        </w:rPr>
        <w:instrText>2023/jun/21/a-green-transition-that-leaves-no-one-behind-world-leaders-release-open-letter"</w:instrText>
      </w:r>
      <w:r w:rsidR="00563772">
        <w:fldChar w:fldCharType="separate"/>
      </w:r>
      <w:r w:rsidRPr="00B941FC">
        <w:rPr>
          <w:rStyle w:val="af1"/>
          <w:lang w:val="es-ES"/>
        </w:rPr>
        <w:t>www.theguardian.com/environment/2023/jun/21/a-green-transition-that-leaves-no-one-behind-world-leaders-release-open-letter</w:t>
      </w:r>
      <w:r w:rsidR="00563772">
        <w:rPr>
          <w:rStyle w:val="af1"/>
          <w:lang w:val="es-ES"/>
        </w:rPr>
        <w:fldChar w:fldCharType="end"/>
      </w:r>
      <w:r w:rsidRPr="0073556C">
        <w:rPr>
          <w:lang w:val="es-ES"/>
        </w:rPr>
        <w:t>.</w:t>
      </w:r>
    </w:p>
  </w:footnote>
  <w:footnote w:id="42">
    <w:p w14:paraId="7418A926" w14:textId="27EB9D20" w:rsidR="000C3BBC" w:rsidRPr="008053EC" w:rsidRDefault="000C3BBC" w:rsidP="000C3BBC">
      <w:pPr>
        <w:pStyle w:val="ad"/>
      </w:pPr>
      <w:r w:rsidRPr="0073556C">
        <w:rPr>
          <w:lang w:val="es-ES"/>
        </w:rPr>
        <w:tab/>
      </w:r>
      <w:r>
        <w:rPr>
          <w:rStyle w:val="aa"/>
        </w:rPr>
        <w:footnoteRef/>
      </w:r>
      <w:r w:rsidRPr="008053EC">
        <w:tab/>
      </w:r>
      <w:r>
        <w:t>См.</w:t>
      </w:r>
      <w:r w:rsidRPr="008053EC">
        <w:t xml:space="preserve"> </w:t>
      </w:r>
      <w:hyperlink r:id="rId27" w:history="1">
        <w:r w:rsidRPr="00B941FC">
          <w:rPr>
            <w:rStyle w:val="af1"/>
          </w:rPr>
          <w:t>https://unece.org/sites/default/files/2022-11/ece_mp.eia_wg.2_2022_3_eng.pdf</w:t>
        </w:r>
      </w:hyperlink>
      <w:r w:rsidRPr="008053EC">
        <w:t>.</w:t>
      </w:r>
    </w:p>
  </w:footnote>
  <w:footnote w:id="43">
    <w:p w14:paraId="711E1847" w14:textId="0662DA8E" w:rsidR="000C3BBC" w:rsidRPr="008053EC" w:rsidRDefault="000C3BBC" w:rsidP="000C3BBC">
      <w:pPr>
        <w:tabs>
          <w:tab w:val="right" w:pos="1021"/>
        </w:tabs>
        <w:autoSpaceDE w:val="0"/>
        <w:autoSpaceDN w:val="0"/>
        <w:adjustRightInd w:val="0"/>
        <w:spacing w:line="220" w:lineRule="exact"/>
        <w:ind w:left="1134" w:right="1134" w:hanging="1134"/>
        <w:rPr>
          <w:sz w:val="18"/>
          <w:szCs w:val="18"/>
          <w:lang w:eastAsia="zh-CN"/>
        </w:rPr>
      </w:pPr>
      <w:r w:rsidRPr="008053EC">
        <w:rPr>
          <w:sz w:val="18"/>
          <w:szCs w:val="18"/>
        </w:rPr>
        <w:tab/>
      </w:r>
      <w:r w:rsidRPr="007A61A8">
        <w:rPr>
          <w:rStyle w:val="aa"/>
          <w:szCs w:val="18"/>
        </w:rPr>
        <w:footnoteRef/>
      </w:r>
      <w:r w:rsidRPr="008053EC">
        <w:rPr>
          <w:sz w:val="18"/>
          <w:szCs w:val="18"/>
        </w:rPr>
        <w:tab/>
      </w:r>
      <w:r>
        <w:rPr>
          <w:sz w:val="18"/>
          <w:szCs w:val="18"/>
          <w:lang w:eastAsia="zh-CN"/>
        </w:rPr>
        <w:t>См.</w:t>
      </w:r>
      <w:r w:rsidRPr="008053EC">
        <w:rPr>
          <w:sz w:val="18"/>
          <w:szCs w:val="18"/>
          <w:lang w:eastAsia="zh-CN"/>
        </w:rPr>
        <w:t xml:space="preserve"> </w:t>
      </w:r>
      <w:hyperlink r:id="rId28" w:history="1">
        <w:r w:rsidRPr="00B941FC">
          <w:rPr>
            <w:rStyle w:val="af1"/>
            <w:sz w:val="18"/>
            <w:szCs w:val="18"/>
            <w:lang w:eastAsia="zh-CN"/>
          </w:rPr>
          <w:t>www.iaia.org/uploads/pdf/Fastips_19%20SDGs.pdf</w:t>
        </w:r>
      </w:hyperlink>
      <w:r w:rsidRPr="008053EC">
        <w:rPr>
          <w:sz w:val="18"/>
          <w:szCs w:val="18"/>
          <w:lang w:eastAsia="zh-CN"/>
        </w:rPr>
        <w:t>.</w:t>
      </w:r>
    </w:p>
  </w:footnote>
  <w:footnote w:id="44">
    <w:p w14:paraId="2A965734" w14:textId="77777777" w:rsidR="000C3BBC" w:rsidRPr="008053EC" w:rsidRDefault="000C3BBC" w:rsidP="000C3BBC">
      <w:pPr>
        <w:pStyle w:val="ad"/>
      </w:pPr>
      <w:r w:rsidRPr="008053EC">
        <w:tab/>
      </w:r>
      <w:r>
        <w:rPr>
          <w:rStyle w:val="aa"/>
        </w:rPr>
        <w:footnoteRef/>
      </w:r>
      <w:r w:rsidRPr="008053EC">
        <w:tab/>
      </w:r>
      <w:r w:rsidRPr="008D388D">
        <w:rPr>
          <w:lang w:val="es-ES"/>
        </w:rPr>
        <w:t>ECE</w:t>
      </w:r>
      <w:r w:rsidRPr="008053EC">
        <w:t>/</w:t>
      </w:r>
      <w:r w:rsidRPr="008D388D">
        <w:rPr>
          <w:lang w:val="es-ES"/>
        </w:rPr>
        <w:t>MP</w:t>
      </w:r>
      <w:r w:rsidRPr="008053EC">
        <w:t>.</w:t>
      </w:r>
      <w:r w:rsidRPr="008D388D">
        <w:rPr>
          <w:lang w:val="es-ES"/>
        </w:rPr>
        <w:t>EIA</w:t>
      </w:r>
      <w:r w:rsidRPr="008053EC">
        <w:t>/</w:t>
      </w:r>
      <w:r w:rsidRPr="008D388D">
        <w:rPr>
          <w:lang w:val="es-ES"/>
        </w:rPr>
        <w:t>WG</w:t>
      </w:r>
      <w:r w:rsidRPr="008053EC">
        <w:t xml:space="preserve">.2/2023/5, </w:t>
      </w:r>
      <w:r>
        <w:t>решение</w:t>
      </w:r>
      <w:r w:rsidRPr="008053EC">
        <w:t xml:space="preserve"> </w:t>
      </w:r>
      <w:r w:rsidRPr="004B1BF5">
        <w:rPr>
          <w:lang w:val="es-ES"/>
        </w:rPr>
        <w:t>IX</w:t>
      </w:r>
      <w:r w:rsidRPr="008053EC">
        <w:t xml:space="preserve">/5, </w:t>
      </w:r>
      <w:r>
        <w:t>п</w:t>
      </w:r>
      <w:r w:rsidRPr="008053EC">
        <w:t xml:space="preserve">. 5 </w:t>
      </w:r>
      <w:r w:rsidRPr="004B1BF5">
        <w:t>f</w:t>
      </w:r>
      <w:r w:rsidRPr="008053EC">
        <w:t>).</w:t>
      </w:r>
    </w:p>
  </w:footnote>
  <w:footnote w:id="45">
    <w:p w14:paraId="649C1FA9" w14:textId="73A0B99F" w:rsidR="000C3BBC" w:rsidRPr="00501B39" w:rsidRDefault="000C3BBC" w:rsidP="000C3BBC">
      <w:pPr>
        <w:pStyle w:val="ad"/>
        <w:rPr>
          <w:rFonts w:ascii="Helvetica" w:hAnsi="Helvetica" w:cs="Helvetica"/>
          <w:lang w:val="en-US"/>
        </w:rPr>
      </w:pPr>
      <w:r w:rsidRPr="008053EC">
        <w:tab/>
      </w:r>
      <w:r w:rsidRPr="004D0D75">
        <w:rPr>
          <w:rStyle w:val="aa"/>
          <w:szCs w:val="18"/>
        </w:rPr>
        <w:footnoteRef/>
      </w:r>
      <w:r w:rsidRPr="00501B39">
        <w:rPr>
          <w:lang w:val="en-US"/>
        </w:rPr>
        <w:tab/>
        <w:t xml:space="preserve">Kelechi Nwanekezie, Bram Noble and Greg Poelzer, “Strategic assessment for energy transitions: </w:t>
      </w:r>
      <w:r w:rsidR="008C45C0">
        <w:rPr>
          <w:lang w:val="en-US"/>
        </w:rPr>
        <w:br/>
      </w:r>
      <w:r w:rsidRPr="00501B39">
        <w:rPr>
          <w:lang w:val="en-US"/>
        </w:rPr>
        <w:t xml:space="preserve">A case study of renewable energy development in Saskatchewan, Canada”, </w:t>
      </w:r>
      <w:r w:rsidRPr="00501B39">
        <w:rPr>
          <w:i/>
          <w:iCs/>
          <w:lang w:val="en-US"/>
        </w:rPr>
        <w:t>Environmental Impact Assessment Review</w:t>
      </w:r>
      <w:r w:rsidRPr="00501B39">
        <w:rPr>
          <w:lang w:val="en-US"/>
        </w:rPr>
        <w:t>, vol. 92 (January 2022).</w:t>
      </w:r>
    </w:p>
  </w:footnote>
  <w:footnote w:id="46">
    <w:p w14:paraId="547771F5" w14:textId="3AF14CE0" w:rsidR="000C3BBC" w:rsidRPr="007E2B09" w:rsidRDefault="000C3BBC" w:rsidP="000C3BBC">
      <w:pPr>
        <w:pStyle w:val="ad"/>
        <w:rPr>
          <w:lang w:eastAsia="zh-CN"/>
        </w:rPr>
      </w:pPr>
      <w:r w:rsidRPr="00501B39">
        <w:rPr>
          <w:lang w:val="en-US" w:eastAsia="zh-CN"/>
        </w:rPr>
        <w:tab/>
      </w:r>
      <w:r w:rsidRPr="00E16865">
        <w:rPr>
          <w:rStyle w:val="aa"/>
          <w:szCs w:val="18"/>
        </w:rPr>
        <w:footnoteRef/>
      </w:r>
      <w:r w:rsidRPr="007E2B09">
        <w:rPr>
          <w:lang w:eastAsia="zh-CN"/>
        </w:rPr>
        <w:tab/>
      </w:r>
      <w:r>
        <w:rPr>
          <w:lang w:eastAsia="zh-CN"/>
        </w:rPr>
        <w:t>См.</w:t>
      </w:r>
      <w:r w:rsidRPr="007E2B09">
        <w:rPr>
          <w:lang w:eastAsia="zh-CN"/>
        </w:rPr>
        <w:t xml:space="preserve"> </w:t>
      </w:r>
      <w:hyperlink r:id="rId29" w:history="1">
        <w:r w:rsidRPr="00B941FC">
          <w:rPr>
            <w:rStyle w:val="af1"/>
            <w:lang w:eastAsia="zh-CN"/>
          </w:rPr>
          <w:t>https://eur-lex.europa.eu/legal-content/EN/TXT/?uri=celex%3A32014L0052</w:t>
        </w:r>
      </w:hyperlink>
      <w:r w:rsidRPr="007E2B09">
        <w:rPr>
          <w:lang w:eastAsia="zh-CN"/>
        </w:rPr>
        <w:t>.</w:t>
      </w:r>
    </w:p>
  </w:footnote>
  <w:footnote w:id="47">
    <w:p w14:paraId="055B9C80" w14:textId="1880F733" w:rsidR="000C3BBC" w:rsidRPr="007E2B09" w:rsidRDefault="000C3BBC" w:rsidP="000C3BBC">
      <w:pPr>
        <w:pStyle w:val="ad"/>
      </w:pPr>
      <w:r w:rsidRPr="007E2B09">
        <w:tab/>
      </w:r>
      <w:r>
        <w:rPr>
          <w:rStyle w:val="aa"/>
        </w:rPr>
        <w:footnoteRef/>
      </w:r>
      <w:r w:rsidRPr="007E2B09">
        <w:tab/>
      </w:r>
      <w:r>
        <w:t xml:space="preserve">См. </w:t>
      </w:r>
      <w:hyperlink r:id="rId30" w:history="1">
        <w:r w:rsidRPr="00B941FC">
          <w:rPr>
            <w:rStyle w:val="af1"/>
          </w:rPr>
          <w:t>https://unfccc.int/files/meetings/paris_nov_2015/application/pdf/paris_agreement_english_.pdf</w:t>
        </w:r>
      </w:hyperlink>
      <w:r w:rsidRPr="007E2B09">
        <w:t>.</w:t>
      </w:r>
    </w:p>
  </w:footnote>
  <w:footnote w:id="48">
    <w:p w14:paraId="268F7B78" w14:textId="4A44F12F" w:rsidR="000C3BBC" w:rsidRPr="00DE7F70" w:rsidRDefault="000C3BBC" w:rsidP="000C3BBC">
      <w:pPr>
        <w:pStyle w:val="ad"/>
      </w:pPr>
      <w:r w:rsidRPr="007E2B09">
        <w:tab/>
      </w:r>
      <w:r>
        <w:rPr>
          <w:rStyle w:val="aa"/>
        </w:rPr>
        <w:footnoteRef/>
      </w:r>
      <w:r w:rsidRPr="00DE7F70">
        <w:tab/>
      </w:r>
      <w:r>
        <w:t>См.</w:t>
      </w:r>
      <w:r w:rsidRPr="00DE7F70">
        <w:t xml:space="preserve"> </w:t>
      </w:r>
      <w:hyperlink r:id="rId31" w:history="1">
        <w:r w:rsidRPr="00B941FC">
          <w:rPr>
            <w:rStyle w:val="af1"/>
          </w:rPr>
          <w:t>https://ghgprotocol.org/</w:t>
        </w:r>
      </w:hyperlink>
      <w:r w:rsidRPr="00DE7F70">
        <w:t>.</w:t>
      </w:r>
    </w:p>
  </w:footnote>
  <w:footnote w:id="49">
    <w:p w14:paraId="6980816F" w14:textId="5DFC15EE" w:rsidR="000C3BBC" w:rsidRPr="00DE7F70" w:rsidRDefault="000C3BBC" w:rsidP="000C3BBC">
      <w:pPr>
        <w:pStyle w:val="ad"/>
        <w:rPr>
          <w:lang w:eastAsia="zh-CN"/>
        </w:rPr>
      </w:pPr>
      <w:r w:rsidRPr="00DE7F70">
        <w:rPr>
          <w:lang w:eastAsia="zh-CN"/>
        </w:rPr>
        <w:tab/>
      </w:r>
      <w:r w:rsidRPr="00A415E1">
        <w:rPr>
          <w:rStyle w:val="aa"/>
          <w:szCs w:val="18"/>
        </w:rPr>
        <w:footnoteRef/>
      </w:r>
      <w:r w:rsidRPr="00DE7F70">
        <w:rPr>
          <w:lang w:eastAsia="zh-CN"/>
        </w:rPr>
        <w:tab/>
      </w:r>
      <w:r>
        <w:rPr>
          <w:lang w:eastAsia="zh-CN"/>
        </w:rPr>
        <w:t>См.</w:t>
      </w:r>
      <w:r w:rsidRPr="00DE7F70">
        <w:rPr>
          <w:lang w:eastAsia="zh-CN"/>
        </w:rPr>
        <w:t xml:space="preserve"> </w:t>
      </w:r>
      <w:hyperlink r:id="rId32" w:history="1">
        <w:r w:rsidRPr="00B941FC">
          <w:rPr>
            <w:rStyle w:val="af1"/>
            <w:lang w:eastAsia="zh-CN"/>
          </w:rPr>
          <w:t>https://eur-lex.europa.eu/legal-content/EN/TXT/?uri=celex%3A32011L0092</w:t>
        </w:r>
      </w:hyperlink>
      <w:r w:rsidRPr="00DE7F70">
        <w:rPr>
          <w:lang w:eastAsia="zh-CN"/>
        </w:rPr>
        <w:t>.</w:t>
      </w:r>
    </w:p>
  </w:footnote>
  <w:footnote w:id="50">
    <w:p w14:paraId="01F26D2C" w14:textId="5C5144A6" w:rsidR="000C3BBC" w:rsidRPr="00DF0E54" w:rsidRDefault="000C3BBC" w:rsidP="000C3BBC">
      <w:pPr>
        <w:tabs>
          <w:tab w:val="right" w:pos="1021"/>
        </w:tabs>
        <w:spacing w:line="220" w:lineRule="exact"/>
        <w:ind w:left="1134" w:right="1134" w:hanging="1134"/>
        <w:rPr>
          <w:sz w:val="18"/>
          <w:szCs w:val="18"/>
        </w:rPr>
      </w:pPr>
      <w:r w:rsidRPr="00DE7F70">
        <w:tab/>
      </w:r>
      <w:r w:rsidRPr="00226DA3">
        <w:rPr>
          <w:rStyle w:val="aa"/>
          <w:szCs w:val="18"/>
        </w:rPr>
        <w:footnoteRef/>
      </w:r>
      <w:r w:rsidRPr="00DF0E54">
        <w:rPr>
          <w:sz w:val="18"/>
          <w:szCs w:val="18"/>
        </w:rPr>
        <w:t xml:space="preserve"> </w:t>
      </w:r>
      <w:r w:rsidRPr="00DF0E54">
        <w:rPr>
          <w:sz w:val="18"/>
          <w:szCs w:val="18"/>
        </w:rPr>
        <w:tab/>
      </w:r>
      <w:r>
        <w:rPr>
          <w:sz w:val="18"/>
          <w:szCs w:val="18"/>
        </w:rPr>
        <w:t>См.</w:t>
      </w:r>
      <w:r w:rsidRPr="00DF0E54">
        <w:rPr>
          <w:sz w:val="18"/>
          <w:szCs w:val="18"/>
        </w:rPr>
        <w:t xml:space="preserve"> </w:t>
      </w:r>
      <w:hyperlink r:id="rId33" w:history="1">
        <w:r w:rsidRPr="00B941FC">
          <w:rPr>
            <w:rStyle w:val="af1"/>
            <w:sz w:val="18"/>
            <w:szCs w:val="18"/>
          </w:rPr>
          <w:t>https://www.ciel.org/wp-content/uploads/2023/05/Public-Letter-to-AarhusParties.pdf</w:t>
        </w:r>
      </w:hyperlink>
      <w:r w:rsidRPr="00DF0E54">
        <w:rPr>
          <w:rStyle w:val="af1"/>
          <w:sz w:val="18"/>
          <w:szCs w:val="18"/>
        </w:rPr>
        <w:t>.</w:t>
      </w:r>
    </w:p>
  </w:footnote>
  <w:footnote w:id="51">
    <w:p w14:paraId="4C52EF66" w14:textId="77777777" w:rsidR="000C3BBC" w:rsidRPr="00501B39" w:rsidRDefault="000C3BBC" w:rsidP="000C3BBC">
      <w:pPr>
        <w:pStyle w:val="ad"/>
        <w:rPr>
          <w:lang w:val="en-US"/>
        </w:rPr>
      </w:pPr>
      <w:r w:rsidRPr="00DF0E54">
        <w:tab/>
      </w:r>
      <w:r w:rsidRPr="004D0D75">
        <w:rPr>
          <w:rStyle w:val="aa"/>
          <w:szCs w:val="18"/>
        </w:rPr>
        <w:footnoteRef/>
      </w:r>
      <w:r w:rsidRPr="00501B39">
        <w:rPr>
          <w:lang w:val="en-US"/>
        </w:rPr>
        <w:tab/>
        <w:t xml:space="preserve">World Health Organization Regional Office for Europe (WHO/Europe), </w:t>
      </w:r>
      <w:r w:rsidRPr="00501B39">
        <w:rPr>
          <w:i/>
          <w:iCs/>
          <w:lang w:val="en-US"/>
        </w:rPr>
        <w:t>Assessing the Health Impacts of a Circular Economy</w:t>
      </w:r>
      <w:r w:rsidRPr="00501B39">
        <w:rPr>
          <w:lang w:val="en-US"/>
        </w:rPr>
        <w:t xml:space="preserve"> (Copenhagen, 2019).</w:t>
      </w:r>
    </w:p>
  </w:footnote>
  <w:footnote w:id="52">
    <w:p w14:paraId="24B701A9" w14:textId="49DED26A" w:rsidR="000C3BBC" w:rsidRPr="00293106" w:rsidRDefault="000C3BBC" w:rsidP="000C3BBC">
      <w:pPr>
        <w:pStyle w:val="ad"/>
      </w:pPr>
      <w:r w:rsidRPr="00501B39">
        <w:rPr>
          <w:lang w:val="en-US"/>
        </w:rPr>
        <w:tab/>
      </w:r>
      <w:r>
        <w:rPr>
          <w:rStyle w:val="aa"/>
        </w:rPr>
        <w:footnoteRef/>
      </w:r>
      <w:r w:rsidRPr="00293106">
        <w:tab/>
      </w:r>
      <w:r>
        <w:t>См.</w:t>
      </w:r>
      <w:r w:rsidRPr="00293106">
        <w:t xml:space="preserve"> </w:t>
      </w:r>
      <w:hyperlink r:id="rId34" w:history="1">
        <w:r w:rsidRPr="00B941FC">
          <w:rPr>
            <w:rStyle w:val="af1"/>
          </w:rPr>
          <w:t>https://openknowledge.worldbank.org/bitstream/handle/10986/30317/9781464813290.pdf</w:t>
        </w:r>
      </w:hyperlink>
      <w:r w:rsidRPr="00293106">
        <w:t>.</w:t>
      </w:r>
    </w:p>
  </w:footnote>
  <w:footnote w:id="53">
    <w:p w14:paraId="1BC78691" w14:textId="08236606" w:rsidR="000C3BBC" w:rsidRPr="00293106" w:rsidRDefault="000C3BBC" w:rsidP="000C3BBC">
      <w:pPr>
        <w:pStyle w:val="ad"/>
        <w:rPr>
          <w:rFonts w:eastAsia="MyriadPro-Regular"/>
          <w:color w:val="000000"/>
        </w:rPr>
      </w:pPr>
      <w:r w:rsidRPr="00293106">
        <w:tab/>
      </w:r>
      <w:r w:rsidRPr="004D0D75">
        <w:rPr>
          <w:rStyle w:val="aa"/>
          <w:szCs w:val="18"/>
        </w:rPr>
        <w:footnoteRef/>
      </w:r>
      <w:r w:rsidRPr="00293106">
        <w:tab/>
      </w:r>
      <w:r>
        <w:t>См.</w:t>
      </w:r>
      <w:r w:rsidRPr="00293106">
        <w:t xml:space="preserve"> </w:t>
      </w:r>
      <w:hyperlink r:id="rId35" w:history="1">
        <w:r w:rsidRPr="00B941FC">
          <w:rPr>
            <w:rStyle w:val="af1"/>
            <w:rFonts w:eastAsia="MyriadPro-Regular"/>
            <w:szCs w:val="18"/>
          </w:rPr>
          <w:t>https://unctad.org/system/files/official-document/presspb2017d10_en.pdf</w:t>
        </w:r>
      </w:hyperlink>
      <w:r w:rsidRPr="00293106">
        <w:rPr>
          <w:rFonts w:eastAsia="MyriadPro-Regular"/>
          <w:color w:val="000000"/>
        </w:rPr>
        <w:t>.</w:t>
      </w:r>
    </w:p>
  </w:footnote>
  <w:footnote w:id="54">
    <w:p w14:paraId="508217CE" w14:textId="460A51B5" w:rsidR="000C3BBC" w:rsidRPr="0015251D" w:rsidRDefault="000C3BBC" w:rsidP="000C3BBC">
      <w:pPr>
        <w:pStyle w:val="ad"/>
      </w:pPr>
      <w:r w:rsidRPr="00293106">
        <w:tab/>
      </w:r>
      <w:r>
        <w:rPr>
          <w:rStyle w:val="aa"/>
        </w:rPr>
        <w:footnoteRef/>
      </w:r>
      <w:r w:rsidRPr="0015251D">
        <w:t xml:space="preserve"> </w:t>
      </w:r>
      <w:r w:rsidRPr="0015251D">
        <w:tab/>
      </w:r>
      <w:r>
        <w:t>См.</w:t>
      </w:r>
      <w:r w:rsidRPr="0015251D">
        <w:t xml:space="preserve"> </w:t>
      </w:r>
      <w:hyperlink r:id="rId36" w:history="1">
        <w:r w:rsidR="00E147E7">
          <w:rPr>
            <w:rStyle w:val="af1"/>
          </w:rPr>
          <w:t>http://www.weforum.org/agenda/2022/02/3-ways-circular-economy-renewables-energy-transition/</w:t>
        </w:r>
      </w:hyperlink>
      <w:r w:rsidRPr="0015251D">
        <w:t>.</w:t>
      </w:r>
    </w:p>
  </w:footnote>
  <w:footnote w:id="55">
    <w:p w14:paraId="29D81D58" w14:textId="6D7ED106" w:rsidR="000C3BBC" w:rsidRPr="0015251D" w:rsidRDefault="000C3BBC" w:rsidP="000C3BBC">
      <w:pPr>
        <w:pStyle w:val="ad"/>
      </w:pPr>
      <w:r w:rsidRPr="0015251D">
        <w:tab/>
      </w:r>
      <w:r>
        <w:rPr>
          <w:rStyle w:val="aa"/>
        </w:rPr>
        <w:footnoteRef/>
      </w:r>
      <w:r w:rsidRPr="0015251D">
        <w:t xml:space="preserve"> </w:t>
      </w:r>
      <w:r w:rsidRPr="0015251D">
        <w:tab/>
      </w:r>
      <w:r>
        <w:t>См.</w:t>
      </w:r>
      <w:r w:rsidRPr="0015251D">
        <w:t xml:space="preserve"> </w:t>
      </w:r>
      <w:hyperlink r:id="rId37" w:history="1">
        <w:r w:rsidR="00E147E7">
          <w:rPr>
            <w:rStyle w:val="af1"/>
          </w:rPr>
          <w:t>http://www.iea.org/reports/the-role-of-critical-minerals-in-clean-energy-transitions/executive-summary</w:t>
        </w:r>
      </w:hyperlink>
      <w:r w:rsidRPr="0015251D">
        <w:t>.</w:t>
      </w:r>
    </w:p>
  </w:footnote>
  <w:footnote w:id="56">
    <w:p w14:paraId="62EA74D6" w14:textId="26625722" w:rsidR="000C3BBC" w:rsidRPr="00E147E7" w:rsidRDefault="000C3BBC" w:rsidP="000C3BBC">
      <w:pPr>
        <w:pStyle w:val="ad"/>
        <w:rPr>
          <w:spacing w:val="-2"/>
        </w:rPr>
      </w:pPr>
      <w:r w:rsidRPr="0015251D">
        <w:tab/>
      </w:r>
      <w:r>
        <w:rPr>
          <w:rStyle w:val="aa"/>
        </w:rPr>
        <w:footnoteRef/>
      </w:r>
      <w:r w:rsidRPr="0015251D">
        <w:tab/>
      </w:r>
      <w:r>
        <w:t>См.</w:t>
      </w:r>
      <w:r w:rsidRPr="0015251D">
        <w:t xml:space="preserve"> </w:t>
      </w:r>
      <w:hyperlink r:id="rId38" w:anchor=":~:text=The%20circular%20economy%20gives%20us,emissions%2C%20was" w:history="1">
        <w:r w:rsidR="00E147E7" w:rsidRPr="00E147E7">
          <w:rPr>
            <w:rStyle w:val="af1"/>
            <w:spacing w:val="-2"/>
          </w:rPr>
          <w:t>https://ellenmacarthurfoundation.org/topics/circular-economy-introduction/overview#:~:text=The%20circular%20economy%20gives%20us,emissions%2C%20was</w:t>
        </w:r>
      </w:hyperlink>
      <w:r w:rsidRPr="00E147E7">
        <w:rPr>
          <w:rStyle w:val="af1"/>
          <w:spacing w:val="-2"/>
        </w:rPr>
        <w:t>.</w:t>
      </w:r>
    </w:p>
  </w:footnote>
  <w:footnote w:id="57">
    <w:p w14:paraId="5791149A" w14:textId="6913B026" w:rsidR="000C3BBC" w:rsidRPr="0015251D" w:rsidRDefault="000C3BBC" w:rsidP="000C3BBC">
      <w:pPr>
        <w:pStyle w:val="ad"/>
      </w:pPr>
      <w:r w:rsidRPr="0015251D">
        <w:tab/>
      </w:r>
      <w:r>
        <w:rPr>
          <w:rStyle w:val="aa"/>
        </w:rPr>
        <w:footnoteRef/>
      </w:r>
      <w:r w:rsidRPr="0015251D">
        <w:tab/>
      </w:r>
      <w:r>
        <w:t>См.</w:t>
      </w:r>
      <w:r w:rsidRPr="0015251D">
        <w:t xml:space="preserve"> </w:t>
      </w:r>
      <w:hyperlink r:id="rId39" w:history="1">
        <w:r w:rsidR="00B941FC" w:rsidRPr="006B3252">
          <w:rPr>
            <w:rStyle w:val="af1"/>
          </w:rPr>
          <w:t>https://commission.europa.eu/strategy-and-policy/priorities-2019-2024/european-green-deal/industry-and-green-deal_en</w:t>
        </w:r>
      </w:hyperlink>
      <w:r w:rsidRPr="0015251D">
        <w:t>.</w:t>
      </w:r>
    </w:p>
  </w:footnote>
  <w:footnote w:id="58">
    <w:p w14:paraId="73D03022" w14:textId="12D01590" w:rsidR="000C3BBC" w:rsidRPr="0015251D" w:rsidRDefault="000C3BBC" w:rsidP="000C3BBC">
      <w:pPr>
        <w:pStyle w:val="ad"/>
      </w:pPr>
      <w:r w:rsidRPr="0015251D">
        <w:tab/>
      </w:r>
      <w:r>
        <w:rPr>
          <w:rStyle w:val="aa"/>
        </w:rPr>
        <w:footnoteRef/>
      </w:r>
      <w:r w:rsidRPr="0015251D">
        <w:tab/>
      </w:r>
      <w:r>
        <w:t>См.</w:t>
      </w:r>
      <w:r w:rsidRPr="0015251D">
        <w:t xml:space="preserve"> </w:t>
      </w:r>
      <w:hyperlink r:id="rId40" w:history="1">
        <w:r w:rsidR="00B941FC" w:rsidRPr="006B3252">
          <w:rPr>
            <w:rStyle w:val="af1"/>
          </w:rPr>
          <w:t>https://oceans-and-fisheries.ec.europa.eu/ocean/blue-economy/sustainable-blue-economy_en</w:t>
        </w:r>
      </w:hyperlink>
      <w:r w:rsidRPr="0015251D">
        <w:t>.</w:t>
      </w:r>
    </w:p>
  </w:footnote>
  <w:footnote w:id="59">
    <w:p w14:paraId="14D3808A" w14:textId="58621932" w:rsidR="000C3BBC" w:rsidRPr="00B941FC" w:rsidRDefault="000C3BBC" w:rsidP="000C3BBC">
      <w:pPr>
        <w:pStyle w:val="ad"/>
      </w:pPr>
      <w:r w:rsidRPr="0015251D">
        <w:tab/>
      </w:r>
      <w:r>
        <w:rPr>
          <w:rStyle w:val="aa"/>
        </w:rPr>
        <w:footnoteRef/>
      </w:r>
      <w:r w:rsidRPr="0015251D">
        <w:tab/>
      </w:r>
      <w:r>
        <w:t>См.</w:t>
      </w:r>
      <w:r w:rsidRPr="0015251D">
        <w:t xml:space="preserve"> </w:t>
      </w:r>
      <w:hyperlink r:id="rId41" w:history="1">
        <w:r w:rsidR="00B941FC" w:rsidRPr="006B3252">
          <w:rPr>
            <w:rStyle w:val="af1"/>
          </w:rPr>
          <w:t>https://eur-lex.europa.eu/resource.html?uri=cellar:903d35cc-c4a2-11ed-a05c-01aa75ed71a1.0001.02/DOC_1&amp;format=PDF</w:t>
        </w:r>
      </w:hyperlink>
      <w:r w:rsidR="00B941FC" w:rsidRPr="00B941FC">
        <w:t>.</w:t>
      </w:r>
    </w:p>
  </w:footnote>
  <w:footnote w:id="60">
    <w:p w14:paraId="10F6EF19" w14:textId="791C7DA0" w:rsidR="000C3BBC" w:rsidRPr="0015251D" w:rsidRDefault="000C3BBC" w:rsidP="000C3BBC">
      <w:pPr>
        <w:pStyle w:val="ad"/>
      </w:pPr>
      <w:r w:rsidRPr="0015251D">
        <w:tab/>
      </w:r>
      <w:r>
        <w:rPr>
          <w:rStyle w:val="aa"/>
        </w:rPr>
        <w:footnoteRef/>
      </w:r>
      <w:r w:rsidRPr="0015251D">
        <w:tab/>
      </w:r>
      <w:r>
        <w:t>См.</w:t>
      </w:r>
      <w:r w:rsidRPr="0015251D">
        <w:t xml:space="preserve"> </w:t>
      </w:r>
      <w:hyperlink r:id="rId42" w:history="1">
        <w:r w:rsidR="00B941FC" w:rsidRPr="006B3252">
          <w:rPr>
            <w:rStyle w:val="af1"/>
            <w:szCs w:val="18"/>
            <w:shd w:val="clear" w:color="auto" w:fill="FFFFFF"/>
          </w:rPr>
          <w:t>https://doi.org/10.1787/ae4a2176-en</w:t>
        </w:r>
      </w:hyperlink>
      <w:r w:rsidRPr="0015251D">
        <w:rPr>
          <w:szCs w:val="18"/>
          <w:shd w:val="clear" w:color="auto" w:fill="FFFFFF"/>
        </w:rPr>
        <w:t>.</w:t>
      </w:r>
    </w:p>
  </w:footnote>
  <w:footnote w:id="61">
    <w:p w14:paraId="6C3F5810" w14:textId="0FDEBCF4" w:rsidR="000C3BBC" w:rsidRPr="00B22B77" w:rsidRDefault="000C3BBC" w:rsidP="000C3BBC">
      <w:pPr>
        <w:pStyle w:val="ad"/>
        <w:rPr>
          <w:rFonts w:ascii="Helvetica" w:hAnsi="Helvetica" w:cs="Helvetica"/>
          <w:lang w:eastAsia="zh-CN"/>
        </w:rPr>
      </w:pPr>
      <w:r w:rsidRPr="0015251D">
        <w:tab/>
      </w:r>
      <w:r w:rsidRPr="004D0D75">
        <w:rPr>
          <w:rStyle w:val="aa"/>
          <w:szCs w:val="18"/>
        </w:rPr>
        <w:footnoteRef/>
      </w:r>
      <w:r w:rsidRPr="00B22B77">
        <w:tab/>
      </w:r>
      <w:r>
        <w:rPr>
          <w:lang w:eastAsia="zh-CN"/>
        </w:rPr>
        <w:t>См.</w:t>
      </w:r>
      <w:r w:rsidRPr="00B22B77">
        <w:rPr>
          <w:lang w:eastAsia="zh-CN"/>
        </w:rPr>
        <w:t xml:space="preserve"> </w:t>
      </w:r>
      <w:hyperlink r:id="rId43" w:history="1">
        <w:r w:rsidR="00E147E7">
          <w:rPr>
            <w:rStyle w:val="af1"/>
            <w:lang w:eastAsia="zh-CN"/>
          </w:rPr>
          <w:t>http://www.circularcityfundingguide.eu/circular-city-initiatives-and-resources</w:t>
        </w:r>
      </w:hyperlink>
      <w:r w:rsidRPr="00B22B77">
        <w:rPr>
          <w:lang w:eastAsia="zh-CN"/>
        </w:rPr>
        <w:t>.</w:t>
      </w:r>
    </w:p>
  </w:footnote>
  <w:footnote w:id="62">
    <w:p w14:paraId="552250AD" w14:textId="25417409" w:rsidR="000C3BBC" w:rsidRPr="00B22B77" w:rsidRDefault="000C3BBC" w:rsidP="000C3BBC">
      <w:pPr>
        <w:pStyle w:val="ad"/>
        <w:rPr>
          <w:lang w:eastAsia="zh-CN"/>
        </w:rPr>
      </w:pPr>
      <w:r w:rsidRPr="00B22B77">
        <w:tab/>
      </w:r>
      <w:r w:rsidRPr="004D0D75">
        <w:rPr>
          <w:rStyle w:val="aa"/>
          <w:szCs w:val="18"/>
        </w:rPr>
        <w:footnoteRef/>
      </w:r>
      <w:r w:rsidRPr="00B22B77">
        <w:tab/>
      </w:r>
      <w:r>
        <w:rPr>
          <w:lang w:eastAsia="zh-CN"/>
        </w:rPr>
        <w:t>См.</w:t>
      </w:r>
      <w:r w:rsidRPr="00B22B77">
        <w:rPr>
          <w:lang w:eastAsia="zh-CN"/>
        </w:rPr>
        <w:t xml:space="preserve"> </w:t>
      </w:r>
      <w:hyperlink r:id="rId44" w:history="1">
        <w:r w:rsidR="00E147E7">
          <w:rPr>
            <w:rStyle w:val="af1"/>
            <w:lang w:eastAsia="zh-CN"/>
          </w:rPr>
          <w:t>http://www.bsigroup.com/en-GB/standards/benefits-of-using-standards/becoming-more-sustainable-with-standards/BS8001-Circular-Economy</w:t>
        </w:r>
      </w:hyperlink>
      <w:r w:rsidRPr="00B22B77">
        <w:rPr>
          <w:lang w:eastAsia="zh-CN"/>
        </w:rPr>
        <w:t>.</w:t>
      </w:r>
    </w:p>
  </w:footnote>
  <w:footnote w:id="63">
    <w:p w14:paraId="207DE839" w14:textId="1F91EA97" w:rsidR="000C3BBC" w:rsidRPr="00B22B77" w:rsidRDefault="000C3BBC" w:rsidP="000C3BBC">
      <w:pPr>
        <w:pStyle w:val="ad"/>
        <w:rPr>
          <w:rFonts w:ascii="Helvetica" w:hAnsi="Helvetica" w:cs="Helvetica"/>
          <w:lang w:eastAsia="zh-CN"/>
        </w:rPr>
      </w:pPr>
      <w:r w:rsidRPr="00B22B77">
        <w:tab/>
      </w:r>
      <w:r w:rsidRPr="004D0D75">
        <w:rPr>
          <w:rStyle w:val="aa"/>
          <w:szCs w:val="18"/>
        </w:rPr>
        <w:footnoteRef/>
      </w:r>
      <w:r w:rsidRPr="00B22B77">
        <w:tab/>
      </w:r>
      <w:r>
        <w:rPr>
          <w:lang w:eastAsia="zh-CN"/>
        </w:rPr>
        <w:t>См.</w:t>
      </w:r>
      <w:r w:rsidRPr="00B22B77">
        <w:rPr>
          <w:lang w:eastAsia="zh-CN"/>
        </w:rPr>
        <w:t xml:space="preserve"> </w:t>
      </w:r>
      <w:hyperlink r:id="rId45" w:history="1">
        <w:r w:rsidR="007B73FB">
          <w:rPr>
            <w:rStyle w:val="af1"/>
            <w:lang w:eastAsia="zh-CN"/>
          </w:rPr>
          <w:t>http://www.afnor.org/en/news/practical-guide-circular-economy</w:t>
        </w:r>
      </w:hyperlink>
      <w:r w:rsidRPr="00B22B77">
        <w:rPr>
          <w:lang w:eastAsia="zh-CN"/>
        </w:rPr>
        <w:t>.</w:t>
      </w:r>
    </w:p>
  </w:footnote>
  <w:footnote w:id="64">
    <w:p w14:paraId="1942915A" w14:textId="069AB44F" w:rsidR="000C3BBC" w:rsidRPr="00B22B77" w:rsidRDefault="000C3BBC" w:rsidP="000C3BBC">
      <w:pPr>
        <w:pStyle w:val="ad"/>
      </w:pPr>
      <w:r w:rsidRPr="00B22B77">
        <w:tab/>
      </w:r>
      <w:r>
        <w:rPr>
          <w:rStyle w:val="aa"/>
        </w:rPr>
        <w:footnoteRef/>
      </w:r>
      <w:r w:rsidRPr="00B22B77">
        <w:t xml:space="preserve"> </w:t>
      </w:r>
      <w:r w:rsidRPr="00B22B77">
        <w:tab/>
      </w:r>
      <w:r>
        <w:t>См.</w:t>
      </w:r>
      <w:r w:rsidRPr="00B22B77">
        <w:t xml:space="preserve"> </w:t>
      </w:r>
      <w:hyperlink r:id="rId46" w:history="1">
        <w:r w:rsidR="007B73FB">
          <w:rPr>
            <w:rStyle w:val="af1"/>
          </w:rPr>
          <w:t>http://www.epa.ie/publications/research/socio-economics/Research_Report_391.pdf</w:t>
        </w:r>
      </w:hyperlink>
      <w:r w:rsidRPr="00B22B77">
        <w:t>.</w:t>
      </w:r>
    </w:p>
  </w:footnote>
  <w:footnote w:id="65">
    <w:p w14:paraId="29CED77A" w14:textId="6BD67E11" w:rsidR="000C3BBC" w:rsidRPr="00A1086E" w:rsidRDefault="000C3BBC" w:rsidP="000C3BBC">
      <w:pPr>
        <w:pStyle w:val="ad"/>
      </w:pPr>
      <w:r w:rsidRPr="00B22B77">
        <w:tab/>
      </w:r>
      <w:r>
        <w:rPr>
          <w:rStyle w:val="aa"/>
        </w:rPr>
        <w:footnoteRef/>
      </w:r>
      <w:r w:rsidRPr="00A1086E">
        <w:tab/>
      </w:r>
      <w:r>
        <w:t>См.</w:t>
      </w:r>
      <w:r w:rsidRPr="00A1086E">
        <w:t xml:space="preserve"> </w:t>
      </w:r>
      <w:hyperlink r:id="rId47" w:history="1">
        <w:r w:rsidR="007B73FB">
          <w:rPr>
            <w:rStyle w:val="af1"/>
          </w:rPr>
          <w:t>http://www.eesc.europa.eu/sites/default/files/files/qe-01-19-425-en-n.pdf</w:t>
        </w:r>
      </w:hyperlink>
      <w:r w:rsidRPr="00A1086E">
        <w:t>.</w:t>
      </w:r>
    </w:p>
  </w:footnote>
  <w:footnote w:id="66">
    <w:p w14:paraId="7F2D3C7B" w14:textId="0CD9E570" w:rsidR="000C3BBC" w:rsidRPr="00A1086E" w:rsidRDefault="000C3BBC" w:rsidP="000C3BBC">
      <w:pPr>
        <w:pStyle w:val="ad"/>
      </w:pPr>
      <w:r w:rsidRPr="00A1086E">
        <w:tab/>
      </w:r>
      <w:r w:rsidRPr="004D0D75">
        <w:rPr>
          <w:rStyle w:val="aa"/>
          <w:szCs w:val="18"/>
        </w:rPr>
        <w:footnoteRef/>
      </w:r>
      <w:r w:rsidRPr="00A1086E">
        <w:tab/>
      </w:r>
      <w:r>
        <w:t>См.</w:t>
      </w:r>
      <w:r w:rsidRPr="00A1086E">
        <w:t xml:space="preserve"> </w:t>
      </w:r>
      <w:hyperlink r:id="rId48" w:history="1">
        <w:r w:rsidR="00B941FC" w:rsidRPr="006B3252">
          <w:rPr>
            <w:rStyle w:val="af1"/>
          </w:rPr>
          <w:t>https://op.europa.eu/en/publication-detail/-/publication/0619e465-581c-41dc-9807-2bb394f6bd07</w:t>
        </w:r>
      </w:hyperlink>
      <w:r w:rsidRPr="00A1086E">
        <w:t>.</w:t>
      </w:r>
    </w:p>
  </w:footnote>
  <w:footnote w:id="67">
    <w:p w14:paraId="057640BC" w14:textId="77777777" w:rsidR="000C3BBC" w:rsidRPr="00501B39" w:rsidRDefault="000C3BBC" w:rsidP="000C3BBC">
      <w:pPr>
        <w:tabs>
          <w:tab w:val="right" w:pos="1021"/>
        </w:tabs>
        <w:autoSpaceDE w:val="0"/>
        <w:autoSpaceDN w:val="0"/>
        <w:adjustRightInd w:val="0"/>
        <w:spacing w:line="220" w:lineRule="exact"/>
        <w:ind w:left="1134" w:right="1134" w:hanging="1134"/>
        <w:rPr>
          <w:sz w:val="18"/>
          <w:szCs w:val="18"/>
          <w:lang w:val="en-US"/>
        </w:rPr>
      </w:pPr>
      <w:r w:rsidRPr="00A1086E">
        <w:rPr>
          <w:sz w:val="18"/>
          <w:szCs w:val="18"/>
        </w:rPr>
        <w:tab/>
      </w:r>
      <w:r w:rsidRPr="006848D9">
        <w:rPr>
          <w:rStyle w:val="aa"/>
          <w:szCs w:val="18"/>
        </w:rPr>
        <w:footnoteRef/>
      </w:r>
      <w:r w:rsidRPr="00501B39">
        <w:rPr>
          <w:sz w:val="18"/>
          <w:szCs w:val="18"/>
          <w:lang w:val="en-US"/>
        </w:rPr>
        <w:t xml:space="preserve"> </w:t>
      </w:r>
      <w:r w:rsidRPr="00501B39">
        <w:rPr>
          <w:sz w:val="18"/>
          <w:szCs w:val="18"/>
          <w:lang w:val="en-US"/>
        </w:rPr>
        <w:tab/>
        <w:t xml:space="preserve">WHO/Europe, </w:t>
      </w:r>
      <w:r w:rsidRPr="00501B39">
        <w:rPr>
          <w:i/>
          <w:iCs/>
          <w:sz w:val="18"/>
          <w:szCs w:val="18"/>
          <w:lang w:val="en-US"/>
        </w:rPr>
        <w:t>Assessing the Health Impacts</w:t>
      </w:r>
      <w:r w:rsidRPr="00501B39">
        <w:rPr>
          <w:sz w:val="18"/>
          <w:szCs w:val="18"/>
          <w:lang w:val="en-US"/>
        </w:rPr>
        <w:t>.</w:t>
      </w:r>
    </w:p>
  </w:footnote>
  <w:footnote w:id="68">
    <w:p w14:paraId="249E1E20" w14:textId="56DB30F4" w:rsidR="000C3BBC" w:rsidRPr="00A1086E" w:rsidRDefault="000C3BBC" w:rsidP="000C3BBC">
      <w:pPr>
        <w:pStyle w:val="ad"/>
        <w:rPr>
          <w:lang w:eastAsia="zh-CN"/>
        </w:rPr>
      </w:pPr>
      <w:r w:rsidRPr="00501B39">
        <w:rPr>
          <w:lang w:val="en-US"/>
        </w:rPr>
        <w:tab/>
      </w:r>
      <w:r w:rsidRPr="006848D9">
        <w:rPr>
          <w:rStyle w:val="aa"/>
          <w:szCs w:val="18"/>
        </w:rPr>
        <w:footnoteRef/>
      </w:r>
      <w:r w:rsidRPr="00A1086E">
        <w:tab/>
      </w:r>
      <w:r>
        <w:rPr>
          <w:lang w:eastAsia="zh-CN"/>
        </w:rPr>
        <w:t>См.</w:t>
      </w:r>
      <w:r w:rsidRPr="00A1086E">
        <w:rPr>
          <w:lang w:eastAsia="zh-CN"/>
        </w:rPr>
        <w:t xml:space="preserve"> </w:t>
      </w:r>
      <w:hyperlink r:id="rId49" w:history="1">
        <w:r w:rsidR="007B73FB">
          <w:rPr>
            <w:rStyle w:val="af1"/>
            <w:lang w:eastAsia="zh-CN"/>
          </w:rPr>
          <w:t>http://www.iaia.org/uploads/pdf/Fastips_22%20Circular%20Economy_5.pdf</w:t>
        </w:r>
      </w:hyperlink>
      <w:r w:rsidRPr="00A1086E">
        <w:rPr>
          <w:lang w:eastAsia="zh-CN"/>
        </w:rPr>
        <w:t>.</w:t>
      </w:r>
    </w:p>
  </w:footnote>
  <w:footnote w:id="69">
    <w:p w14:paraId="60F68372" w14:textId="77777777" w:rsidR="000C3BBC" w:rsidRPr="00824C30" w:rsidRDefault="000C3BBC" w:rsidP="000C3BBC">
      <w:pPr>
        <w:pStyle w:val="ad"/>
        <w:rPr>
          <w:rFonts w:ascii="Calibri" w:hAnsi="Calibri" w:cs="Calibri"/>
          <w:lang w:val="es-ES" w:eastAsia="zh-CN"/>
        </w:rPr>
      </w:pPr>
      <w:r w:rsidRPr="00A1086E">
        <w:tab/>
      </w:r>
      <w:r w:rsidRPr="006848D9">
        <w:rPr>
          <w:rStyle w:val="aa"/>
          <w:szCs w:val="18"/>
        </w:rPr>
        <w:footnoteRef/>
      </w:r>
      <w:r w:rsidRPr="00501B39">
        <w:rPr>
          <w:lang w:val="en-US"/>
        </w:rPr>
        <w:tab/>
        <w:t xml:space="preserve">Ewa </w:t>
      </w:r>
      <w:r w:rsidRPr="00501B39">
        <w:rPr>
          <w:lang w:val="en-US" w:eastAsia="zh-CN"/>
        </w:rPr>
        <w:t xml:space="preserve">Mazur-Wierzbicka, “Circular economy: advancement of European Union countries”, </w:t>
      </w:r>
      <w:r w:rsidRPr="00501B39">
        <w:rPr>
          <w:i/>
          <w:iCs/>
          <w:lang w:val="en-US" w:eastAsia="zh-CN"/>
        </w:rPr>
        <w:t>Environmental Sciences Europe</w:t>
      </w:r>
      <w:r w:rsidRPr="00501B39">
        <w:rPr>
          <w:lang w:val="en-US" w:eastAsia="zh-CN"/>
        </w:rPr>
        <w:t xml:space="preserve">, vol. </w:t>
      </w:r>
      <w:r w:rsidRPr="00501B39">
        <w:rPr>
          <w:lang w:val="en-US"/>
        </w:rPr>
        <w:t xml:space="preserve">33, art. </w:t>
      </w:r>
      <w:r w:rsidRPr="00824C30">
        <w:rPr>
          <w:lang w:val="es-ES"/>
        </w:rPr>
        <w:t>No.</w:t>
      </w:r>
      <w:r w:rsidRPr="00824C30">
        <w:rPr>
          <w:lang w:val="es-ES" w:eastAsia="zh-CN"/>
        </w:rPr>
        <w:t xml:space="preserve"> 111 (2021).</w:t>
      </w:r>
    </w:p>
  </w:footnote>
  <w:footnote w:id="70">
    <w:p w14:paraId="6C1D93BD" w14:textId="4655D545" w:rsidR="000C3BBC" w:rsidRPr="0073556C" w:rsidRDefault="000C3BBC" w:rsidP="000C3BBC">
      <w:pPr>
        <w:pStyle w:val="ad"/>
        <w:rPr>
          <w:rFonts w:eastAsia="MyriadPro-Regular"/>
          <w:color w:val="000000"/>
          <w:lang w:val="es-ES"/>
        </w:rPr>
      </w:pPr>
      <w:r w:rsidRPr="00824C30">
        <w:rPr>
          <w:lang w:val="es-ES"/>
        </w:rPr>
        <w:tab/>
      </w:r>
      <w:r w:rsidRPr="004D0D75">
        <w:rPr>
          <w:rStyle w:val="aa"/>
          <w:szCs w:val="18"/>
        </w:rPr>
        <w:footnoteRef/>
      </w:r>
      <w:r w:rsidRPr="0073556C">
        <w:rPr>
          <w:lang w:val="es-ES"/>
        </w:rPr>
        <w:tab/>
      </w:r>
      <w:r>
        <w:t>См</w:t>
      </w:r>
      <w:r w:rsidRPr="0073556C">
        <w:rPr>
          <w:lang w:val="es-ES"/>
        </w:rPr>
        <w:t xml:space="preserve">. </w:t>
      </w:r>
      <w:r w:rsidR="00563772">
        <w:fldChar w:fldCharType="begin"/>
      </w:r>
      <w:r w:rsidR="00563772" w:rsidRPr="00BA5E54">
        <w:rPr>
          <w:lang w:val="en-US"/>
        </w:rPr>
        <w:instrText>HYPERLINK "https://g20sfwg.org/wp-content/uploads/2021/10/G20-SFWG-Synthesis-Report.pdf"</w:instrText>
      </w:r>
      <w:r w:rsidR="00563772">
        <w:fldChar w:fldCharType="separate"/>
      </w:r>
      <w:r w:rsidR="00B941FC" w:rsidRPr="006B3252">
        <w:rPr>
          <w:rStyle w:val="af1"/>
          <w:rFonts w:eastAsia="MyriadPro-Regular"/>
          <w:szCs w:val="18"/>
          <w:lang w:val="es-ES"/>
        </w:rPr>
        <w:t>https://g20sfwg.org/wp-content/uploads/2021/10/G20-SFWG-Synthesis-Report.pdf</w:t>
      </w:r>
      <w:r w:rsidR="00563772">
        <w:rPr>
          <w:rStyle w:val="af1"/>
          <w:rFonts w:eastAsia="MyriadPro-Regular"/>
          <w:szCs w:val="18"/>
          <w:lang w:val="es-ES"/>
        </w:rPr>
        <w:fldChar w:fldCharType="end"/>
      </w:r>
      <w:r w:rsidR="00B941FC">
        <w:rPr>
          <w:rFonts w:eastAsia="MyriadPro-Regular"/>
          <w:szCs w:val="18"/>
          <w:lang w:val="es-ES"/>
        </w:rPr>
        <w:t>.</w:t>
      </w:r>
    </w:p>
  </w:footnote>
  <w:footnote w:id="71">
    <w:p w14:paraId="45B9A602" w14:textId="4158A749" w:rsidR="000C3BBC" w:rsidRPr="00DC79C4" w:rsidRDefault="000C3BBC" w:rsidP="000C3BBC">
      <w:pPr>
        <w:pStyle w:val="ad"/>
      </w:pPr>
      <w:r w:rsidRPr="0073556C">
        <w:rPr>
          <w:lang w:val="es-ES"/>
        </w:rPr>
        <w:tab/>
      </w:r>
      <w:r>
        <w:rPr>
          <w:rStyle w:val="aa"/>
        </w:rPr>
        <w:footnoteRef/>
      </w:r>
      <w:r w:rsidRPr="00DC79C4">
        <w:t xml:space="preserve"> </w:t>
      </w:r>
      <w:r w:rsidRPr="00DC79C4">
        <w:tab/>
      </w:r>
      <w:r>
        <w:t>См.</w:t>
      </w:r>
      <w:r w:rsidRPr="00DC79C4">
        <w:t xml:space="preserve"> </w:t>
      </w:r>
      <w:hyperlink r:id="rId50" w:history="1">
        <w:r w:rsidR="00B941FC" w:rsidRPr="006B3252">
          <w:rPr>
            <w:rStyle w:val="af1"/>
          </w:rPr>
          <w:t>https://futureofsustainabledata.com/taxomania-international-overview-update-2022/</w:t>
        </w:r>
      </w:hyperlink>
      <w:r w:rsidR="00B941FC" w:rsidRPr="00BA5E54">
        <w:t>.</w:t>
      </w:r>
    </w:p>
  </w:footnote>
  <w:footnote w:id="72">
    <w:p w14:paraId="7E226760" w14:textId="7328235E" w:rsidR="000C3BBC" w:rsidRPr="00B941FC" w:rsidRDefault="000C3BBC" w:rsidP="000C3BBC">
      <w:pPr>
        <w:pStyle w:val="ad"/>
        <w:rPr>
          <w:lang w:eastAsia="zh-CN"/>
        </w:rPr>
      </w:pPr>
      <w:r w:rsidRPr="00DC79C4">
        <w:tab/>
      </w:r>
      <w:r w:rsidRPr="00181444">
        <w:rPr>
          <w:rStyle w:val="aa"/>
          <w:szCs w:val="18"/>
        </w:rPr>
        <w:footnoteRef/>
      </w:r>
      <w:r w:rsidRPr="00DC79C4">
        <w:tab/>
      </w:r>
      <w:r>
        <w:t>См.</w:t>
      </w:r>
      <w:r w:rsidRPr="00DC79C4">
        <w:t xml:space="preserve"> </w:t>
      </w:r>
      <w:hyperlink r:id="rId51" w:history="1">
        <w:r w:rsidR="00B941FC" w:rsidRPr="006B3252">
          <w:rPr>
            <w:rStyle w:val="af1"/>
          </w:rPr>
          <w:t>https://eur-lex.europa.eu/legal-content/EN/TXT/?uri=celex%3A32020R0852</w:t>
        </w:r>
      </w:hyperlink>
      <w:r w:rsidR="00B941FC" w:rsidRPr="00B941FC">
        <w:t>.</w:t>
      </w:r>
    </w:p>
  </w:footnote>
  <w:footnote w:id="73">
    <w:p w14:paraId="08E4C71D" w14:textId="50EA379A" w:rsidR="000C3BBC" w:rsidRPr="00A30940" w:rsidRDefault="000C3BBC" w:rsidP="000C3BBC">
      <w:pPr>
        <w:pStyle w:val="ad"/>
      </w:pPr>
      <w:r w:rsidRPr="00DC79C4">
        <w:tab/>
      </w:r>
      <w:r>
        <w:rPr>
          <w:rStyle w:val="aa"/>
        </w:rPr>
        <w:footnoteRef/>
      </w:r>
      <w:r w:rsidRPr="00BA5E54">
        <w:t xml:space="preserve"> </w:t>
      </w:r>
      <w:r w:rsidRPr="00BA5E54">
        <w:tab/>
      </w:r>
      <w:r>
        <w:t>См</w:t>
      </w:r>
      <w:r w:rsidRPr="00BA5E54">
        <w:t xml:space="preserve">. </w:t>
      </w:r>
      <w:hyperlink r:id="rId52" w:history="1">
        <w:r w:rsidR="00A30940">
          <w:rPr>
            <w:rStyle w:val="af1"/>
            <w:lang w:val="en-US"/>
          </w:rPr>
          <w:t>https</w:t>
        </w:r>
        <w:r w:rsidR="00A30940" w:rsidRPr="00A30940">
          <w:rPr>
            <w:rStyle w:val="af1"/>
          </w:rPr>
          <w:t>://</w:t>
        </w:r>
        <w:r w:rsidR="00A30940">
          <w:rPr>
            <w:rStyle w:val="af1"/>
            <w:lang w:val="en-US"/>
          </w:rPr>
          <w:t>eur</w:t>
        </w:r>
        <w:r w:rsidR="00A30940" w:rsidRPr="00A30940">
          <w:rPr>
            <w:rStyle w:val="af1"/>
          </w:rPr>
          <w:t>-</w:t>
        </w:r>
        <w:r w:rsidR="00A30940">
          <w:rPr>
            <w:rStyle w:val="af1"/>
            <w:lang w:val="en-US"/>
          </w:rPr>
          <w:t>lex</w:t>
        </w:r>
        <w:r w:rsidR="00A30940" w:rsidRPr="00A30940">
          <w:rPr>
            <w:rStyle w:val="af1"/>
          </w:rPr>
          <w:t>.</w:t>
        </w:r>
        <w:r w:rsidR="00A30940">
          <w:rPr>
            <w:rStyle w:val="af1"/>
            <w:lang w:val="en-US"/>
          </w:rPr>
          <w:t>europa</w:t>
        </w:r>
        <w:r w:rsidR="00A30940" w:rsidRPr="00A30940">
          <w:rPr>
            <w:rStyle w:val="af1"/>
          </w:rPr>
          <w:t>.</w:t>
        </w:r>
        <w:r w:rsidR="00A30940">
          <w:rPr>
            <w:rStyle w:val="af1"/>
            <w:lang w:val="en-US"/>
          </w:rPr>
          <w:t>eu</w:t>
        </w:r>
        <w:r w:rsidR="00A30940" w:rsidRPr="00A30940">
          <w:rPr>
            <w:rStyle w:val="af1"/>
          </w:rPr>
          <w:t>/</w:t>
        </w:r>
        <w:r w:rsidR="00A30940">
          <w:rPr>
            <w:rStyle w:val="af1"/>
            <w:lang w:val="en-US"/>
          </w:rPr>
          <w:t>legal</w:t>
        </w:r>
        <w:r w:rsidR="00A30940" w:rsidRPr="00A30940">
          <w:rPr>
            <w:rStyle w:val="af1"/>
          </w:rPr>
          <w:t>-</w:t>
        </w:r>
        <w:r w:rsidR="00A30940">
          <w:rPr>
            <w:rStyle w:val="af1"/>
            <w:lang w:val="en-US"/>
          </w:rPr>
          <w:t>content</w:t>
        </w:r>
        <w:r w:rsidR="00A30940" w:rsidRPr="00A30940">
          <w:rPr>
            <w:rStyle w:val="af1"/>
          </w:rPr>
          <w:t>/</w:t>
        </w:r>
        <w:r w:rsidR="00A30940">
          <w:rPr>
            <w:rStyle w:val="af1"/>
            <w:lang w:val="en-US"/>
          </w:rPr>
          <w:t>EN</w:t>
        </w:r>
        <w:r w:rsidR="00A30940" w:rsidRPr="00A30940">
          <w:rPr>
            <w:rStyle w:val="af1"/>
          </w:rPr>
          <w:t>/</w:t>
        </w:r>
        <w:r w:rsidR="00A30940">
          <w:rPr>
            <w:rStyle w:val="af1"/>
            <w:lang w:val="en-US"/>
          </w:rPr>
          <w:t>TXT</w:t>
        </w:r>
        <w:r w:rsidR="00A30940" w:rsidRPr="00A30940">
          <w:rPr>
            <w:rStyle w:val="af1"/>
          </w:rPr>
          <w:t>/</w:t>
        </w:r>
        <w:r w:rsidR="00A30940">
          <w:rPr>
            <w:rStyle w:val="af1"/>
            <w:lang w:val="en-US"/>
          </w:rPr>
          <w:t>PDF</w:t>
        </w:r>
        <w:r w:rsidR="00A30940" w:rsidRPr="00A30940">
          <w:rPr>
            <w:rStyle w:val="af1"/>
          </w:rPr>
          <w:t>/?</w:t>
        </w:r>
        <w:r w:rsidR="00A30940">
          <w:rPr>
            <w:rStyle w:val="af1"/>
            <w:lang w:val="en-US"/>
          </w:rPr>
          <w:t>uri</w:t>
        </w:r>
        <w:r w:rsidR="00A30940" w:rsidRPr="00A30940">
          <w:rPr>
            <w:rStyle w:val="af1"/>
          </w:rPr>
          <w:t>=</w:t>
        </w:r>
        <w:r w:rsidR="00A30940">
          <w:rPr>
            <w:rStyle w:val="af1"/>
            <w:lang w:val="en-US"/>
          </w:rPr>
          <w:t>CELEX</w:t>
        </w:r>
        <w:r w:rsidR="00A30940" w:rsidRPr="00A30940">
          <w:rPr>
            <w:rStyle w:val="af1"/>
          </w:rPr>
          <w:t>:32021</w:t>
        </w:r>
        <w:r w:rsidR="00A30940">
          <w:rPr>
            <w:rStyle w:val="af1"/>
            <w:lang w:val="en-US"/>
          </w:rPr>
          <w:t>R</w:t>
        </w:r>
        <w:r w:rsidR="00A30940" w:rsidRPr="00A30940">
          <w:rPr>
            <w:rStyle w:val="af1"/>
          </w:rPr>
          <w:t>2139&amp;</w:t>
        </w:r>
        <w:r w:rsidR="00A30940">
          <w:rPr>
            <w:rStyle w:val="af1"/>
            <w:lang w:val="en-US"/>
          </w:rPr>
          <w:t>from</w:t>
        </w:r>
        <w:r w:rsidR="00A30940" w:rsidRPr="00A30940">
          <w:rPr>
            <w:rStyle w:val="af1"/>
          </w:rPr>
          <w:t>=</w:t>
        </w:r>
        <w:r w:rsidR="00A30940">
          <w:rPr>
            <w:rStyle w:val="af1"/>
            <w:lang w:val="en-US"/>
          </w:rPr>
          <w:t>EN</w:t>
        </w:r>
        <w:r w:rsidR="00A30940" w:rsidRPr="00A30940">
          <w:rPr>
            <w:rStyle w:val="af1"/>
          </w:rPr>
          <w:t>;</w:t>
        </w:r>
      </w:hyperlink>
      <w:r w:rsidRPr="00A30940">
        <w:t xml:space="preserve"> </w:t>
      </w:r>
      <w:hyperlink r:id="rId53" w:history="1">
        <w:r w:rsidR="00A30940">
          <w:rPr>
            <w:rStyle w:val="af1"/>
            <w:lang w:val="en-US"/>
          </w:rPr>
          <w:t>https</w:t>
        </w:r>
        <w:r w:rsidR="00A30940" w:rsidRPr="00A30940">
          <w:rPr>
            <w:rStyle w:val="af1"/>
          </w:rPr>
          <w:t>://</w:t>
        </w:r>
        <w:r w:rsidR="00A30940">
          <w:rPr>
            <w:rStyle w:val="af1"/>
            <w:lang w:val="en-US"/>
          </w:rPr>
          <w:t>eur</w:t>
        </w:r>
        <w:r w:rsidR="00A30940" w:rsidRPr="00A30940">
          <w:rPr>
            <w:rStyle w:val="af1"/>
          </w:rPr>
          <w:t>-</w:t>
        </w:r>
        <w:r w:rsidR="00A30940">
          <w:rPr>
            <w:rStyle w:val="af1"/>
            <w:lang w:val="en-US"/>
          </w:rPr>
          <w:t>lex</w:t>
        </w:r>
        <w:r w:rsidR="00A30940" w:rsidRPr="00A30940">
          <w:rPr>
            <w:rStyle w:val="af1"/>
          </w:rPr>
          <w:t>.</w:t>
        </w:r>
        <w:r w:rsidR="00A30940">
          <w:rPr>
            <w:rStyle w:val="af1"/>
            <w:lang w:val="en-US"/>
          </w:rPr>
          <w:t>europa</w:t>
        </w:r>
        <w:r w:rsidR="00A30940" w:rsidRPr="00A30940">
          <w:rPr>
            <w:rStyle w:val="af1"/>
          </w:rPr>
          <w:t>.</w:t>
        </w:r>
        <w:r w:rsidR="00A30940">
          <w:rPr>
            <w:rStyle w:val="af1"/>
            <w:lang w:val="en-US"/>
          </w:rPr>
          <w:t>eu</w:t>
        </w:r>
        <w:r w:rsidR="00A30940" w:rsidRPr="00A30940">
          <w:rPr>
            <w:rStyle w:val="af1"/>
          </w:rPr>
          <w:t>/</w:t>
        </w:r>
        <w:r w:rsidR="00A30940">
          <w:rPr>
            <w:rStyle w:val="af1"/>
            <w:lang w:val="en-US"/>
          </w:rPr>
          <w:t>legal</w:t>
        </w:r>
        <w:r w:rsidR="00A30940" w:rsidRPr="00A30940">
          <w:rPr>
            <w:rStyle w:val="af1"/>
          </w:rPr>
          <w:t>-</w:t>
        </w:r>
        <w:r w:rsidR="00A30940">
          <w:rPr>
            <w:rStyle w:val="af1"/>
            <w:lang w:val="en-US"/>
          </w:rPr>
          <w:t>content</w:t>
        </w:r>
        <w:r w:rsidR="00A30940" w:rsidRPr="00A30940">
          <w:rPr>
            <w:rStyle w:val="af1"/>
          </w:rPr>
          <w:t>/</w:t>
        </w:r>
        <w:r w:rsidR="00A30940">
          <w:rPr>
            <w:rStyle w:val="af1"/>
            <w:lang w:val="en-US"/>
          </w:rPr>
          <w:t>EN</w:t>
        </w:r>
        <w:r w:rsidR="00A30940" w:rsidRPr="00A30940">
          <w:rPr>
            <w:rStyle w:val="af1"/>
          </w:rPr>
          <w:t>/</w:t>
        </w:r>
        <w:r w:rsidR="00A30940">
          <w:rPr>
            <w:rStyle w:val="af1"/>
            <w:lang w:val="en-US"/>
          </w:rPr>
          <w:t>TXT</w:t>
        </w:r>
        <w:r w:rsidR="00A30940" w:rsidRPr="00A30940">
          <w:rPr>
            <w:rStyle w:val="af1"/>
          </w:rPr>
          <w:t>/</w:t>
        </w:r>
        <w:r w:rsidR="00A30940">
          <w:rPr>
            <w:rStyle w:val="af1"/>
            <w:lang w:val="en-US"/>
          </w:rPr>
          <w:t>PDF</w:t>
        </w:r>
        <w:r w:rsidR="00A30940" w:rsidRPr="00A30940">
          <w:rPr>
            <w:rStyle w:val="af1"/>
          </w:rPr>
          <w:t>/?</w:t>
        </w:r>
        <w:r w:rsidR="00A30940">
          <w:rPr>
            <w:rStyle w:val="af1"/>
            <w:lang w:val="en-US"/>
          </w:rPr>
          <w:t>uri</w:t>
        </w:r>
        <w:r w:rsidR="00A30940" w:rsidRPr="00A30940">
          <w:rPr>
            <w:rStyle w:val="af1"/>
          </w:rPr>
          <w:t>=</w:t>
        </w:r>
        <w:r w:rsidR="00A30940">
          <w:rPr>
            <w:rStyle w:val="af1"/>
            <w:lang w:val="en-US"/>
          </w:rPr>
          <w:t>CELEX</w:t>
        </w:r>
        <w:r w:rsidR="00A30940" w:rsidRPr="00A30940">
          <w:rPr>
            <w:rStyle w:val="af1"/>
          </w:rPr>
          <w:t>:32022</w:t>
        </w:r>
        <w:r w:rsidR="00A30940">
          <w:rPr>
            <w:rStyle w:val="af1"/>
            <w:lang w:val="en-US"/>
          </w:rPr>
          <w:t>R</w:t>
        </w:r>
        <w:r w:rsidR="00A30940" w:rsidRPr="00A30940">
          <w:rPr>
            <w:rStyle w:val="af1"/>
          </w:rPr>
          <w:t>1214&amp;</w:t>
        </w:r>
        <w:r w:rsidR="00A30940">
          <w:rPr>
            <w:rStyle w:val="af1"/>
            <w:lang w:val="en-US"/>
          </w:rPr>
          <w:t>from</w:t>
        </w:r>
        <w:r w:rsidR="00A30940" w:rsidRPr="00A30940">
          <w:rPr>
            <w:rStyle w:val="af1"/>
          </w:rPr>
          <w:t>=</w:t>
        </w:r>
        <w:r w:rsidR="00A30940">
          <w:rPr>
            <w:rStyle w:val="af1"/>
            <w:lang w:val="en-US"/>
          </w:rPr>
          <w:t>EN</w:t>
        </w:r>
        <w:r w:rsidR="00A30940" w:rsidRPr="00A30940">
          <w:rPr>
            <w:rStyle w:val="af1"/>
          </w:rPr>
          <w:t>;</w:t>
        </w:r>
      </w:hyperlink>
      <w:r w:rsidRPr="00A30940">
        <w:t xml:space="preserve"> </w:t>
      </w:r>
      <w:r w:rsidR="00A30940">
        <w:t>и</w:t>
      </w:r>
      <w:r w:rsidRPr="00A30940">
        <w:t xml:space="preserve"> </w:t>
      </w:r>
      <w:hyperlink r:id="rId54" w:history="1">
        <w:r w:rsidR="00B941FC" w:rsidRPr="006B3252">
          <w:rPr>
            <w:rStyle w:val="af1"/>
            <w:lang w:val="en-US"/>
          </w:rPr>
          <w:t>https</w:t>
        </w:r>
        <w:r w:rsidR="00B941FC" w:rsidRPr="00A30940">
          <w:rPr>
            <w:rStyle w:val="af1"/>
          </w:rPr>
          <w:t>://</w:t>
        </w:r>
        <w:r w:rsidR="00B941FC" w:rsidRPr="006B3252">
          <w:rPr>
            <w:rStyle w:val="af1"/>
            <w:lang w:val="en-US"/>
          </w:rPr>
          <w:t>finance</w:t>
        </w:r>
        <w:r w:rsidR="00B941FC" w:rsidRPr="00A30940">
          <w:rPr>
            <w:rStyle w:val="af1"/>
          </w:rPr>
          <w:t>.</w:t>
        </w:r>
        <w:r w:rsidR="00B941FC" w:rsidRPr="006B3252">
          <w:rPr>
            <w:rStyle w:val="af1"/>
            <w:lang w:val="en-US"/>
          </w:rPr>
          <w:t>ec</w:t>
        </w:r>
        <w:r w:rsidR="00B941FC" w:rsidRPr="00A30940">
          <w:rPr>
            <w:rStyle w:val="af1"/>
          </w:rPr>
          <w:t>.</w:t>
        </w:r>
        <w:r w:rsidR="00B941FC" w:rsidRPr="006B3252">
          <w:rPr>
            <w:rStyle w:val="af1"/>
            <w:lang w:val="en-US"/>
          </w:rPr>
          <w:t>europa</w:t>
        </w:r>
        <w:r w:rsidR="00B941FC" w:rsidRPr="00A30940">
          <w:rPr>
            <w:rStyle w:val="af1"/>
          </w:rPr>
          <w:t>.</w:t>
        </w:r>
        <w:r w:rsidR="00B941FC" w:rsidRPr="006B3252">
          <w:rPr>
            <w:rStyle w:val="af1"/>
            <w:lang w:val="en-US"/>
          </w:rPr>
          <w:t>eu</w:t>
        </w:r>
        <w:r w:rsidR="00B941FC" w:rsidRPr="00A30940">
          <w:rPr>
            <w:rStyle w:val="af1"/>
          </w:rPr>
          <w:t>/</w:t>
        </w:r>
        <w:r w:rsidR="00B941FC" w:rsidRPr="006B3252">
          <w:rPr>
            <w:rStyle w:val="af1"/>
            <w:lang w:val="en-US"/>
          </w:rPr>
          <w:t>system</w:t>
        </w:r>
        <w:r w:rsidR="00B941FC" w:rsidRPr="00A30940">
          <w:rPr>
            <w:rStyle w:val="af1"/>
          </w:rPr>
          <w:t>/</w:t>
        </w:r>
        <w:r w:rsidR="00B941FC" w:rsidRPr="006B3252">
          <w:rPr>
            <w:rStyle w:val="af1"/>
            <w:lang w:val="en-US"/>
          </w:rPr>
          <w:t>files</w:t>
        </w:r>
        <w:r w:rsidR="00B941FC" w:rsidRPr="00A30940">
          <w:rPr>
            <w:rStyle w:val="af1"/>
          </w:rPr>
          <w:t>/2023-06/</w:t>
        </w:r>
        <w:r w:rsidR="00B941FC" w:rsidRPr="006B3252">
          <w:rPr>
            <w:rStyle w:val="af1"/>
            <w:lang w:val="en-US"/>
          </w:rPr>
          <w:t>taxonomy</w:t>
        </w:r>
        <w:r w:rsidR="00B941FC" w:rsidRPr="00A30940">
          <w:rPr>
            <w:rStyle w:val="af1"/>
          </w:rPr>
          <w:t>-</w:t>
        </w:r>
        <w:r w:rsidR="00B941FC" w:rsidRPr="006B3252">
          <w:rPr>
            <w:rStyle w:val="af1"/>
            <w:lang w:val="en-US"/>
          </w:rPr>
          <w:t>regulation</w:t>
        </w:r>
        <w:r w:rsidR="00B941FC" w:rsidRPr="00A30940">
          <w:rPr>
            <w:rStyle w:val="af1"/>
          </w:rPr>
          <w:t>-</w:t>
        </w:r>
        <w:r w:rsidR="00B941FC" w:rsidRPr="006B3252">
          <w:rPr>
            <w:rStyle w:val="af1"/>
            <w:lang w:val="en-US"/>
          </w:rPr>
          <w:t>delegated</w:t>
        </w:r>
        <w:r w:rsidR="00B941FC" w:rsidRPr="00A30940">
          <w:rPr>
            <w:rStyle w:val="af1"/>
          </w:rPr>
          <w:t>-</w:t>
        </w:r>
        <w:r w:rsidR="00B941FC" w:rsidRPr="006B3252">
          <w:rPr>
            <w:rStyle w:val="af1"/>
            <w:lang w:val="en-US"/>
          </w:rPr>
          <w:t>act</w:t>
        </w:r>
        <w:r w:rsidR="00B941FC" w:rsidRPr="00A30940">
          <w:rPr>
            <w:rStyle w:val="af1"/>
          </w:rPr>
          <w:t>-2022-</w:t>
        </w:r>
        <w:r w:rsidR="00B941FC" w:rsidRPr="006B3252">
          <w:rPr>
            <w:rStyle w:val="af1"/>
            <w:lang w:val="en-US"/>
          </w:rPr>
          <w:t>environmental</w:t>
        </w:r>
        <w:r w:rsidR="00B941FC" w:rsidRPr="00A30940">
          <w:rPr>
            <w:rStyle w:val="af1"/>
          </w:rPr>
          <w:t>_</w:t>
        </w:r>
        <w:r w:rsidR="00B941FC" w:rsidRPr="006B3252">
          <w:rPr>
            <w:rStyle w:val="af1"/>
            <w:lang w:val="en-US"/>
          </w:rPr>
          <w:t>en</w:t>
        </w:r>
        <w:r w:rsidR="00B941FC" w:rsidRPr="00A30940">
          <w:rPr>
            <w:rStyle w:val="af1"/>
          </w:rPr>
          <w:t>_0.</w:t>
        </w:r>
        <w:r w:rsidR="00B941FC" w:rsidRPr="006B3252">
          <w:rPr>
            <w:rStyle w:val="af1"/>
            <w:lang w:val="en-US"/>
          </w:rPr>
          <w:t>pdf</w:t>
        </w:r>
      </w:hyperlink>
      <w:r w:rsidR="00B941FC" w:rsidRPr="00A30940">
        <w:t>.</w:t>
      </w:r>
    </w:p>
  </w:footnote>
  <w:footnote w:id="74">
    <w:p w14:paraId="4BB7531D" w14:textId="5FB1B61F" w:rsidR="000C3BBC" w:rsidRPr="00B941FC" w:rsidRDefault="000C3BBC" w:rsidP="000C3BBC">
      <w:pPr>
        <w:pStyle w:val="ad"/>
      </w:pPr>
      <w:r w:rsidRPr="00A30940">
        <w:tab/>
      </w:r>
      <w:r>
        <w:rPr>
          <w:rStyle w:val="aa"/>
        </w:rPr>
        <w:footnoteRef/>
      </w:r>
      <w:r w:rsidRPr="00DC79C4">
        <w:tab/>
      </w:r>
      <w:r>
        <w:t>См.</w:t>
      </w:r>
      <w:r w:rsidRPr="00DC79C4">
        <w:t xml:space="preserve"> </w:t>
      </w:r>
      <w:hyperlink r:id="rId55" w:history="1">
        <w:r w:rsidR="00B941FC" w:rsidRPr="006B3252">
          <w:rPr>
            <w:rStyle w:val="af1"/>
          </w:rPr>
          <w:t>https://eur-lex.europa.eu/legal-content/EN/TXT/?uri=CELEX:32022L2464</w:t>
        </w:r>
      </w:hyperlink>
      <w:r w:rsidR="00B941FC" w:rsidRPr="00B941FC">
        <w:t>.</w:t>
      </w:r>
    </w:p>
  </w:footnote>
  <w:footnote w:id="75">
    <w:p w14:paraId="52FC667C" w14:textId="3DCAA8E6" w:rsidR="000C3BBC" w:rsidRPr="00A30940" w:rsidRDefault="000C3BBC" w:rsidP="000C3BBC">
      <w:pPr>
        <w:pStyle w:val="ad"/>
      </w:pPr>
      <w:r w:rsidRPr="00DC79C4">
        <w:tab/>
      </w:r>
      <w:r>
        <w:rPr>
          <w:rStyle w:val="aa"/>
        </w:rPr>
        <w:footnoteRef/>
      </w:r>
      <w:r w:rsidRPr="00DC79C4">
        <w:tab/>
      </w:r>
      <w:r>
        <w:t>См.</w:t>
      </w:r>
      <w:r w:rsidRPr="00DC79C4">
        <w:t xml:space="preserve"> </w:t>
      </w:r>
      <w:hyperlink r:id="rId56" w:history="1">
        <w:r w:rsidR="00A30940">
          <w:rPr>
            <w:rStyle w:val="af1"/>
          </w:rPr>
          <w:t>http://www.efrag.org/lab6</w:t>
        </w:r>
      </w:hyperlink>
      <w:r w:rsidR="00B941FC" w:rsidRPr="00A30940">
        <w:t>.</w:t>
      </w:r>
    </w:p>
  </w:footnote>
  <w:footnote w:id="76">
    <w:p w14:paraId="37F492EA" w14:textId="0DED8695" w:rsidR="000C3BBC" w:rsidRPr="00B941FC" w:rsidRDefault="000C3BBC" w:rsidP="000C3BBC">
      <w:pPr>
        <w:pStyle w:val="ad"/>
      </w:pPr>
      <w:r w:rsidRPr="00DC79C4">
        <w:tab/>
      </w:r>
      <w:r>
        <w:rPr>
          <w:rStyle w:val="aa"/>
        </w:rPr>
        <w:footnoteRef/>
      </w:r>
      <w:r w:rsidRPr="003F6E0C">
        <w:t xml:space="preserve"> </w:t>
      </w:r>
      <w:r w:rsidRPr="003F6E0C">
        <w:tab/>
      </w:r>
      <w:r>
        <w:t>См.</w:t>
      </w:r>
      <w:r w:rsidRPr="003F6E0C">
        <w:t xml:space="preserve"> </w:t>
      </w:r>
      <w:hyperlink r:id="rId57" w:history="1">
        <w:r w:rsidR="00A30940">
          <w:rPr>
            <w:rStyle w:val="af1"/>
          </w:rPr>
          <w:t>http://www.eiopa.europa.eu/system/files/2023-06/EIOPA%20Progress%20Report%20on%20Greenwashing.pdf</w:t>
        </w:r>
      </w:hyperlink>
      <w:r w:rsidR="00B941FC" w:rsidRPr="00B941FC">
        <w:t>.</w:t>
      </w:r>
    </w:p>
  </w:footnote>
  <w:footnote w:id="77">
    <w:p w14:paraId="3CB4FC1E" w14:textId="144EC65C" w:rsidR="000C3BBC" w:rsidRPr="00B941FC" w:rsidRDefault="000C3BBC" w:rsidP="000C3BBC">
      <w:pPr>
        <w:pStyle w:val="ad"/>
        <w:rPr>
          <w:szCs w:val="18"/>
        </w:rPr>
      </w:pPr>
      <w:r w:rsidRPr="003F6E0C">
        <w:tab/>
      </w:r>
      <w:r>
        <w:rPr>
          <w:rStyle w:val="aa"/>
        </w:rPr>
        <w:footnoteRef/>
      </w:r>
      <w:r w:rsidRPr="003F6E0C">
        <w:t xml:space="preserve"> </w:t>
      </w:r>
      <w:r w:rsidRPr="003F6E0C">
        <w:tab/>
      </w:r>
      <w:r>
        <w:t>См.</w:t>
      </w:r>
      <w:r w:rsidRPr="003F6E0C">
        <w:t xml:space="preserve"> </w:t>
      </w:r>
      <w:hyperlink r:id="rId58" w:history="1">
        <w:r w:rsidR="00A30940">
          <w:rPr>
            <w:rStyle w:val="af1"/>
            <w:szCs w:val="18"/>
          </w:rPr>
          <w:t>http://www.eiopa.europa.eu/system/files/2023-01/eiopa-consumer-trends-report-2022.pdf</w:t>
        </w:r>
      </w:hyperlink>
      <w:r w:rsidR="00B941FC" w:rsidRPr="00B941FC">
        <w:rPr>
          <w:szCs w:val="18"/>
        </w:rPr>
        <w:t>.</w:t>
      </w:r>
    </w:p>
  </w:footnote>
  <w:footnote w:id="78">
    <w:p w14:paraId="0638CDF7" w14:textId="6511F20F" w:rsidR="000C3BBC" w:rsidRPr="00B941FC" w:rsidRDefault="000C3BBC" w:rsidP="000C3BBC">
      <w:pPr>
        <w:pStyle w:val="2"/>
        <w:tabs>
          <w:tab w:val="right" w:pos="1021"/>
        </w:tabs>
        <w:spacing w:line="220" w:lineRule="exact"/>
        <w:ind w:left="1134" w:right="1134" w:hanging="1134"/>
        <w:rPr>
          <w:sz w:val="18"/>
          <w:szCs w:val="18"/>
        </w:rPr>
      </w:pPr>
      <w:r w:rsidRPr="003F6E0C">
        <w:rPr>
          <w:sz w:val="18"/>
          <w:szCs w:val="18"/>
        </w:rPr>
        <w:tab/>
      </w:r>
      <w:r w:rsidRPr="00754649">
        <w:rPr>
          <w:rStyle w:val="aa"/>
          <w:szCs w:val="18"/>
        </w:rPr>
        <w:footnoteRef/>
      </w:r>
      <w:r w:rsidRPr="003F6E0C">
        <w:rPr>
          <w:sz w:val="18"/>
          <w:szCs w:val="18"/>
        </w:rPr>
        <w:t xml:space="preserve"> </w:t>
      </w:r>
      <w:r w:rsidRPr="003F6E0C">
        <w:rPr>
          <w:sz w:val="18"/>
          <w:szCs w:val="18"/>
        </w:rPr>
        <w:tab/>
      </w:r>
      <w:r>
        <w:rPr>
          <w:sz w:val="18"/>
          <w:szCs w:val="18"/>
        </w:rPr>
        <w:t>См.</w:t>
      </w:r>
      <w:r w:rsidRPr="003F6E0C">
        <w:rPr>
          <w:sz w:val="18"/>
          <w:szCs w:val="18"/>
        </w:rPr>
        <w:t xml:space="preserve"> </w:t>
      </w:r>
      <w:hyperlink r:id="rId59" w:history="1">
        <w:r w:rsidR="00A30940">
          <w:rPr>
            <w:rStyle w:val="af1"/>
            <w:sz w:val="18"/>
            <w:szCs w:val="18"/>
          </w:rPr>
          <w:t>http://www.eba.europa.eu/esas-present-common-understanding-greenwashing-and-warn-related-risks</w:t>
        </w:r>
      </w:hyperlink>
      <w:r w:rsidR="00B941FC" w:rsidRPr="00B941FC">
        <w:rPr>
          <w:sz w:val="18"/>
          <w:szCs w:val="18"/>
        </w:rPr>
        <w:t>.</w:t>
      </w:r>
    </w:p>
  </w:footnote>
  <w:footnote w:id="79">
    <w:p w14:paraId="4C421FA6" w14:textId="2F77C9C4" w:rsidR="000C3BBC" w:rsidRPr="00B941FC" w:rsidRDefault="000C3BBC" w:rsidP="000C3BBC">
      <w:pPr>
        <w:pStyle w:val="ad"/>
      </w:pPr>
      <w:r w:rsidRPr="003F6E0C">
        <w:tab/>
      </w:r>
      <w:r>
        <w:rPr>
          <w:rStyle w:val="aa"/>
        </w:rPr>
        <w:footnoteRef/>
      </w:r>
      <w:r w:rsidRPr="003F6E0C">
        <w:tab/>
      </w:r>
      <w:r>
        <w:t>См.</w:t>
      </w:r>
      <w:r w:rsidRPr="003F6E0C">
        <w:t xml:space="preserve"> </w:t>
      </w:r>
      <w:hyperlink r:id="rId60" w:history="1">
        <w:r w:rsidR="00B941FC" w:rsidRPr="006B3252">
          <w:rPr>
            <w:rStyle w:val="af1"/>
          </w:rPr>
          <w:t>https://www.ebrd.com/documents/environment/ebrd-sustainability-report-2020-pdf</w:t>
        </w:r>
      </w:hyperlink>
      <w:r w:rsidR="00B941FC" w:rsidRPr="00B941FC">
        <w:t>.</w:t>
      </w:r>
    </w:p>
  </w:footnote>
  <w:footnote w:id="80">
    <w:p w14:paraId="1FC4EF82" w14:textId="77777777" w:rsidR="000C3BBC" w:rsidRPr="00501B39" w:rsidRDefault="000C3BBC" w:rsidP="000C3BBC">
      <w:pPr>
        <w:pStyle w:val="ad"/>
        <w:rPr>
          <w:lang w:val="en-US"/>
        </w:rPr>
      </w:pPr>
      <w:r w:rsidRPr="003F6E0C">
        <w:tab/>
      </w:r>
      <w:r>
        <w:rPr>
          <w:rStyle w:val="aa"/>
        </w:rPr>
        <w:footnoteRef/>
      </w:r>
      <w:r w:rsidRPr="00501B39">
        <w:rPr>
          <w:lang w:val="en-US"/>
        </w:rPr>
        <w:tab/>
      </w:r>
      <w:r w:rsidRPr="00501B39">
        <w:rPr>
          <w:color w:val="333333"/>
          <w:szCs w:val="18"/>
          <w:lang w:val="en-US"/>
        </w:rPr>
        <w:t>Jiří</w:t>
      </w:r>
      <w:r w:rsidRPr="00501B39">
        <w:rPr>
          <w:lang w:val="en-US"/>
        </w:rPr>
        <w:t xml:space="preserve"> Dusík and Alan Bond, “Environmental assessments and sustainable finance frameworks: will the EU Taxonomy change the mindset over the contribution of EIA to sustainable development?”, </w:t>
      </w:r>
      <w:r w:rsidRPr="00501B39">
        <w:rPr>
          <w:i/>
          <w:iCs/>
          <w:lang w:val="en-US"/>
        </w:rPr>
        <w:t>Impact Assessment and Project Appraisal</w:t>
      </w:r>
      <w:r w:rsidRPr="00501B39">
        <w:rPr>
          <w:lang w:val="en-US"/>
        </w:rPr>
        <w:t>, vol. 40, No. 2 (2022), pp. 90</w:t>
      </w:r>
      <w:r w:rsidRPr="00501B39">
        <w:rPr>
          <w:lang w:val="en-US" w:eastAsia="zh-CN"/>
        </w:rPr>
        <w:t>–</w:t>
      </w:r>
      <w:r w:rsidRPr="00501B39">
        <w:rPr>
          <w:lang w:val="en-US"/>
        </w:rPr>
        <w:t>98.</w:t>
      </w:r>
    </w:p>
  </w:footnote>
  <w:footnote w:id="81">
    <w:p w14:paraId="61251DA6" w14:textId="77777777" w:rsidR="000C3BBC" w:rsidRPr="00501B39" w:rsidRDefault="000C3BBC" w:rsidP="000C3BBC">
      <w:pPr>
        <w:pStyle w:val="ad"/>
        <w:rPr>
          <w:lang w:val="en-US"/>
        </w:rPr>
      </w:pPr>
      <w:r w:rsidRPr="00501B39">
        <w:rPr>
          <w:lang w:val="en-US"/>
        </w:rPr>
        <w:tab/>
      </w:r>
      <w:r>
        <w:rPr>
          <w:rStyle w:val="aa"/>
        </w:rPr>
        <w:footnoteRef/>
      </w:r>
      <w:r w:rsidRPr="00501B39">
        <w:rPr>
          <w:lang w:val="en-US"/>
        </w:rPr>
        <w:tab/>
      </w:r>
      <w:r w:rsidRPr="00501B39">
        <w:rPr>
          <w:szCs w:val="18"/>
          <w:lang w:val="en-US"/>
        </w:rPr>
        <w:t xml:space="preserve">Alan </w:t>
      </w:r>
      <w:r w:rsidRPr="00501B39">
        <w:rPr>
          <w:szCs w:val="18"/>
          <w:lang w:val="en-US" w:eastAsia="zh-CN"/>
        </w:rPr>
        <w:t xml:space="preserve">Bond and </w:t>
      </w:r>
      <w:r w:rsidRPr="00501B39">
        <w:rPr>
          <w:color w:val="333333"/>
          <w:szCs w:val="18"/>
          <w:lang w:val="en-US"/>
        </w:rPr>
        <w:t>Jiří</w:t>
      </w:r>
      <w:r w:rsidRPr="00501B39" w:rsidDel="0094367B">
        <w:rPr>
          <w:szCs w:val="18"/>
          <w:lang w:val="en-US" w:eastAsia="zh-CN"/>
        </w:rPr>
        <w:t xml:space="preserve"> </w:t>
      </w:r>
      <w:r w:rsidRPr="00501B39">
        <w:rPr>
          <w:szCs w:val="18"/>
          <w:lang w:val="en-US" w:eastAsia="zh-CN"/>
        </w:rPr>
        <w:t xml:space="preserve">Dusík, “Environmental assessments and sustainable finance taxonomies – a riposte”, </w:t>
      </w:r>
      <w:r w:rsidRPr="00501B39">
        <w:rPr>
          <w:i/>
          <w:iCs/>
          <w:szCs w:val="18"/>
          <w:lang w:val="en-US" w:eastAsia="zh-CN"/>
        </w:rPr>
        <w:t>Impact Assessment and Project Appraisal</w:t>
      </w:r>
      <w:r w:rsidRPr="00501B39">
        <w:rPr>
          <w:szCs w:val="18"/>
          <w:lang w:val="en-US" w:eastAsia="zh-CN"/>
        </w:rPr>
        <w:t xml:space="preserve">, vol. </w:t>
      </w:r>
      <w:r w:rsidRPr="00501B39">
        <w:rPr>
          <w:szCs w:val="18"/>
          <w:lang w:val="en-US"/>
        </w:rPr>
        <w:t>40, No. 2 (2022)</w:t>
      </w:r>
      <w:r w:rsidRPr="00501B39">
        <w:rPr>
          <w:szCs w:val="18"/>
          <w:lang w:val="en-US" w:eastAsia="zh-CN"/>
        </w:rPr>
        <w:t>, pp. 123–128.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5FBB" w14:textId="05825253" w:rsidR="000C3BBC" w:rsidRPr="000C3BBC" w:rsidRDefault="0056377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ECE/MP.EIA/2023/14</w:t>
    </w:r>
    <w:r>
      <w:fldChar w:fldCharType="end"/>
    </w:r>
    <w:r w:rsidR="000C3BB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ECE/MP.EIA/SEA/2023/14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E1B2" w14:textId="56D7D2FD" w:rsidR="000C3BBC" w:rsidRPr="000C3BBC" w:rsidRDefault="00563772" w:rsidP="000C3BB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ECE/MP.EIA/2023/14</w:t>
    </w:r>
    <w:r>
      <w:fldChar w:fldCharType="end"/>
    </w:r>
    <w:r w:rsidR="000C3BB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ECE/MP.EIA/SEA/2023/14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743971">
    <w:abstractNumId w:val="1"/>
  </w:num>
  <w:num w:numId="2" w16cid:durableId="1591162185">
    <w:abstractNumId w:val="2"/>
  </w:num>
  <w:num w:numId="3" w16cid:durableId="185875550">
    <w:abstractNumId w:val="0"/>
  </w:num>
  <w:num w:numId="4" w16cid:durableId="1373191466">
    <w:abstractNumId w:val="1"/>
  </w:num>
  <w:num w:numId="5" w16cid:durableId="1155954204">
    <w:abstractNumId w:val="1"/>
  </w:num>
  <w:num w:numId="6" w16cid:durableId="2061787544">
    <w:abstractNumId w:val="1"/>
  </w:num>
  <w:num w:numId="7" w16cid:durableId="1390690102">
    <w:abstractNumId w:val="1"/>
  </w:num>
  <w:num w:numId="8" w16cid:durableId="867719237">
    <w:abstractNumId w:val="1"/>
  </w:num>
  <w:num w:numId="9" w16cid:durableId="556088689">
    <w:abstractNumId w:val="1"/>
  </w:num>
  <w:num w:numId="10" w16cid:durableId="1019965589">
    <w:abstractNumId w:val="1"/>
  </w:num>
  <w:num w:numId="11" w16cid:durableId="350382303">
    <w:abstractNumId w:val="1"/>
  </w:num>
  <w:num w:numId="12" w16cid:durableId="2146042296">
    <w:abstractNumId w:val="1"/>
  </w:num>
  <w:num w:numId="13" w16cid:durableId="453528385">
    <w:abstractNumId w:val="1"/>
  </w:num>
  <w:num w:numId="14" w16cid:durableId="1760562755">
    <w:abstractNumId w:val="1"/>
  </w:num>
  <w:num w:numId="15" w16cid:durableId="426737470">
    <w:abstractNumId w:val="1"/>
  </w:num>
  <w:num w:numId="16" w16cid:durableId="432165134">
    <w:abstractNumId w:val="1"/>
  </w:num>
  <w:num w:numId="17" w16cid:durableId="42992962">
    <w:abstractNumId w:val="1"/>
  </w:num>
  <w:num w:numId="18" w16cid:durableId="895698619">
    <w:abstractNumId w:val="1"/>
  </w:num>
  <w:num w:numId="19" w16cid:durableId="63151825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53"/>
    <w:rsid w:val="00033EE1"/>
    <w:rsid w:val="00042B72"/>
    <w:rsid w:val="000558BD"/>
    <w:rsid w:val="000817F0"/>
    <w:rsid w:val="000B57E7"/>
    <w:rsid w:val="000B6373"/>
    <w:rsid w:val="000C3BBC"/>
    <w:rsid w:val="000E4E5B"/>
    <w:rsid w:val="000F09DF"/>
    <w:rsid w:val="000F61B2"/>
    <w:rsid w:val="001075E9"/>
    <w:rsid w:val="00114359"/>
    <w:rsid w:val="00123B38"/>
    <w:rsid w:val="0014152F"/>
    <w:rsid w:val="0015618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A9D"/>
    <w:rsid w:val="00381C24"/>
    <w:rsid w:val="00387CD4"/>
    <w:rsid w:val="003958D0"/>
    <w:rsid w:val="003A0D43"/>
    <w:rsid w:val="003A1B51"/>
    <w:rsid w:val="003A48CE"/>
    <w:rsid w:val="003B00E5"/>
    <w:rsid w:val="003E0B46"/>
    <w:rsid w:val="003E4E53"/>
    <w:rsid w:val="00407B78"/>
    <w:rsid w:val="00424203"/>
    <w:rsid w:val="00452493"/>
    <w:rsid w:val="00453318"/>
    <w:rsid w:val="00454AF2"/>
    <w:rsid w:val="00454E07"/>
    <w:rsid w:val="00472C5C"/>
    <w:rsid w:val="00485F8A"/>
    <w:rsid w:val="00495908"/>
    <w:rsid w:val="004E05B7"/>
    <w:rsid w:val="0050108D"/>
    <w:rsid w:val="00501B39"/>
    <w:rsid w:val="00513081"/>
    <w:rsid w:val="00517901"/>
    <w:rsid w:val="00526683"/>
    <w:rsid w:val="00526DB8"/>
    <w:rsid w:val="00563772"/>
    <w:rsid w:val="005639C1"/>
    <w:rsid w:val="005709E0"/>
    <w:rsid w:val="00572E19"/>
    <w:rsid w:val="00595E1D"/>
    <w:rsid w:val="005961C8"/>
    <w:rsid w:val="005966F1"/>
    <w:rsid w:val="005B0E5A"/>
    <w:rsid w:val="005D7914"/>
    <w:rsid w:val="005E2B41"/>
    <w:rsid w:val="005E2C42"/>
    <w:rsid w:val="005F0B42"/>
    <w:rsid w:val="00617A43"/>
    <w:rsid w:val="0063077D"/>
    <w:rsid w:val="006345DB"/>
    <w:rsid w:val="00640F49"/>
    <w:rsid w:val="00680D03"/>
    <w:rsid w:val="00681A10"/>
    <w:rsid w:val="006A1ED8"/>
    <w:rsid w:val="006C2031"/>
    <w:rsid w:val="006C6943"/>
    <w:rsid w:val="006D461A"/>
    <w:rsid w:val="006F1092"/>
    <w:rsid w:val="006F35EE"/>
    <w:rsid w:val="007021FF"/>
    <w:rsid w:val="00712895"/>
    <w:rsid w:val="00734ACB"/>
    <w:rsid w:val="00757357"/>
    <w:rsid w:val="00792497"/>
    <w:rsid w:val="0079622C"/>
    <w:rsid w:val="007B73FB"/>
    <w:rsid w:val="00806737"/>
    <w:rsid w:val="00825F8D"/>
    <w:rsid w:val="00834B71"/>
    <w:rsid w:val="0086445C"/>
    <w:rsid w:val="008871A3"/>
    <w:rsid w:val="00894693"/>
    <w:rsid w:val="008A08D7"/>
    <w:rsid w:val="008A37C8"/>
    <w:rsid w:val="008B6909"/>
    <w:rsid w:val="008C45C0"/>
    <w:rsid w:val="008D356E"/>
    <w:rsid w:val="008D53B6"/>
    <w:rsid w:val="008D548B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0940"/>
    <w:rsid w:val="00A312BC"/>
    <w:rsid w:val="00A82EF1"/>
    <w:rsid w:val="00A84021"/>
    <w:rsid w:val="00A84D35"/>
    <w:rsid w:val="00A917B3"/>
    <w:rsid w:val="00AB4B51"/>
    <w:rsid w:val="00B10CC7"/>
    <w:rsid w:val="00B36DF7"/>
    <w:rsid w:val="00B539E7"/>
    <w:rsid w:val="00B541F5"/>
    <w:rsid w:val="00B62458"/>
    <w:rsid w:val="00B66189"/>
    <w:rsid w:val="00B941FC"/>
    <w:rsid w:val="00BA5E54"/>
    <w:rsid w:val="00BC18B2"/>
    <w:rsid w:val="00BC7C9F"/>
    <w:rsid w:val="00BD33EE"/>
    <w:rsid w:val="00BE1CC7"/>
    <w:rsid w:val="00C106D6"/>
    <w:rsid w:val="00C119AE"/>
    <w:rsid w:val="00C60F0C"/>
    <w:rsid w:val="00C71E84"/>
    <w:rsid w:val="00C805C9"/>
    <w:rsid w:val="00C92939"/>
    <w:rsid w:val="00C956E0"/>
    <w:rsid w:val="00CA1679"/>
    <w:rsid w:val="00CB151C"/>
    <w:rsid w:val="00CD6A02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47E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6F8D"/>
    <w:rsid w:val="00F715CE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51FE"/>
  <w15:docId w15:val="{630921FC-301A-4F60-9A46-D6F4D35E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0C3BBC"/>
    <w:rPr>
      <w:b/>
      <w:lang w:val="ru-RU" w:eastAsia="ru-RU"/>
    </w:rPr>
  </w:style>
  <w:style w:type="paragraph" w:customStyle="1" w:styleId="ParNoG">
    <w:name w:val="_ParNo_G"/>
    <w:basedOn w:val="a"/>
    <w:qFormat/>
    <w:rsid w:val="000C3BBC"/>
    <w:pPr>
      <w:numPr>
        <w:numId w:val="3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character" w:customStyle="1" w:styleId="SingleTxtGChar">
    <w:name w:val="_ Single Txt_G Char"/>
    <w:link w:val="SingleTxtG"/>
    <w:rsid w:val="000C3BBC"/>
    <w:rPr>
      <w:lang w:val="ru-RU" w:eastAsia="en-US"/>
    </w:rPr>
  </w:style>
  <w:style w:type="paragraph" w:customStyle="1" w:styleId="pf0">
    <w:name w:val="pf0"/>
    <w:basedOn w:val="a"/>
    <w:rsid w:val="000C3BBC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a1"/>
    <w:next w:val="ac"/>
    <w:rsid w:val="000C3BBC"/>
    <w:rPr>
      <w:rFonts w:ascii="Calibri" w:eastAsia="Calibri" w:hAnsi="Calibri" w:cs="Arial"/>
      <w:kern w:val="2"/>
      <w:sz w:val="22"/>
      <w:szCs w:val="22"/>
      <w:lang w:val="nb-NO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C3BBC"/>
    <w:pPr>
      <w:suppressAutoHyphens w:val="0"/>
      <w:ind w:left="720"/>
      <w:contextualSpacing/>
    </w:pPr>
    <w:rPr>
      <w:rFonts w:eastAsia="Times New Roman" w:cs="Times New Roman"/>
      <w:szCs w:val="20"/>
      <w:lang w:val="en-GB" w:eastAsia="fr-FR"/>
    </w:rPr>
  </w:style>
  <w:style w:type="character" w:styleId="af4">
    <w:name w:val="Unresolved Mention"/>
    <w:basedOn w:val="a0"/>
    <w:uiPriority w:val="99"/>
    <w:semiHidden/>
    <w:unhideWhenUsed/>
    <w:rsid w:val="008D3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conventions/env_assessment.shtml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swe.ee/en/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regeringen.dk/aktuelt/tidligere-publikationer/the-marienborg-declaration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unfccc.int/topics/adaptation-and-resilience/workstreams/glasgow-sharm-el-sheikh-WP-GGGA" TargetMode="External"/><Relationship Id="rId18" Type="http://schemas.openxmlformats.org/officeDocument/2006/relationships/hyperlink" Target="https://eur-lex.europa.eu/legal-content/EN/TXT/PDF/?uri=CELEX:32021R1119" TargetMode="External"/><Relationship Id="rId26" Type="http://schemas.openxmlformats.org/officeDocument/2006/relationships/hyperlink" Target="https://eur-lex.europa.eu/legal-content/EN/TXT/HTML/?uri=CELEX:32014L0089" TargetMode="External"/><Relationship Id="rId39" Type="http://schemas.openxmlformats.org/officeDocument/2006/relationships/hyperlink" Target="https://commission.europa.eu/strategy-and-policy/priorities-2019-2024/european-green-deal/industry-and-green-deal_en" TargetMode="External"/><Relationship Id="rId21" Type="http://schemas.openxmlformats.org/officeDocument/2006/relationships/hyperlink" Target="http://www.ren21.net/wp-content/uploads/2019/05/REN21_UNECE2022_FullReport.pdf" TargetMode="External"/><Relationship Id="rId34" Type="http://schemas.openxmlformats.org/officeDocument/2006/relationships/hyperlink" Target="https://openknowledge.worldbank.org/bitstream/handle/10986/30317/9781464813290.pdf" TargetMode="External"/><Relationship Id="rId42" Type="http://schemas.openxmlformats.org/officeDocument/2006/relationships/hyperlink" Target="https://doi.org/10.1787/ae4a2176-en" TargetMode="External"/><Relationship Id="rId47" Type="http://schemas.openxmlformats.org/officeDocument/2006/relationships/hyperlink" Target="http://www.eesc.europa.eu/sites/default/files/files/qe-01-19-425-en-n.pdf" TargetMode="External"/><Relationship Id="rId50" Type="http://schemas.openxmlformats.org/officeDocument/2006/relationships/hyperlink" Target="https://futureofsustainabledata.com/taxomania-international-overview-update-2022/" TargetMode="External"/><Relationship Id="rId55" Type="http://schemas.openxmlformats.org/officeDocument/2006/relationships/hyperlink" Target="https://eur-lex.europa.eu/legal-content/EN/TXT/?uri=CELEX:32022L2464" TargetMode="External"/><Relationship Id="rId7" Type="http://schemas.openxmlformats.org/officeDocument/2006/relationships/hyperlink" Target="https://unece.org/environment-policy/environmental-assessment/decisions-taken-meetings-parties" TargetMode="External"/><Relationship Id="rId12" Type="http://schemas.openxmlformats.org/officeDocument/2006/relationships/hyperlink" Target="https://unfccc.int/process-and-meetings/the-paris-agreement" TargetMode="External"/><Relationship Id="rId17" Type="http://schemas.openxmlformats.org/officeDocument/2006/relationships/hyperlink" Target="https://eur-lex.europa.eu/resource.html?uri=cellar:b828d165-1c22-11ea-8c1f-01aa75ed71a1.0002.02/DOC_1&amp;format=PDF" TargetMode="External"/><Relationship Id="rId25" Type="http://schemas.openxmlformats.org/officeDocument/2006/relationships/hyperlink" Target="https://unece.org/sites/default/files/2021-07/2106311_E_WEB-Light.pdf" TargetMode="External"/><Relationship Id="rId33" Type="http://schemas.openxmlformats.org/officeDocument/2006/relationships/hyperlink" Target="https://www.ciel.org/wp-content/uploads/2023/05/Public-Letter-to-AarhusParties.pdf" TargetMode="External"/><Relationship Id="rId38" Type="http://schemas.openxmlformats.org/officeDocument/2006/relationships/hyperlink" Target="https://ellenmacarthurfoundation.org/topics/circular-economy-introduction/overview" TargetMode="External"/><Relationship Id="rId46" Type="http://schemas.openxmlformats.org/officeDocument/2006/relationships/hyperlink" Target="http://www.epa.ie/publications/research/socio-economics/Research_Report_391.pdf" TargetMode="External"/><Relationship Id="rId59" Type="http://schemas.openxmlformats.org/officeDocument/2006/relationships/hyperlink" Target="http://www.eba.europa.eu/esas-present-common-understanding-greenwashing-and-warn-related-risks" TargetMode="External"/><Relationship Id="rId2" Type="http://schemas.openxmlformats.org/officeDocument/2006/relationships/hyperlink" Target="https://unece.org/info/Environmental-Policy/Environmental-Impact-Assessment/events/364365" TargetMode="External"/><Relationship Id="rId16" Type="http://schemas.openxmlformats.org/officeDocument/2006/relationships/hyperlink" Target="https://eur-lex.europa.eu/resource.html?uri=cellar:9903b325-6388-11ea-b735-01aa75ed71a1.0017.02/DOC_1&amp;format=PDF" TargetMode="External"/><Relationship Id="rId20" Type="http://schemas.openxmlformats.org/officeDocument/2006/relationships/hyperlink" Target="https://unfccc.int/process-and-meetings/the-paris-agreement/nationally-determined-contributions-ndcs" TargetMode="External"/><Relationship Id="rId29" Type="http://schemas.openxmlformats.org/officeDocument/2006/relationships/hyperlink" Target="https://eur-lex.europa.eu/legal-content/EN/TXT/?uri=celex%3A32014L0052" TargetMode="External"/><Relationship Id="rId41" Type="http://schemas.openxmlformats.org/officeDocument/2006/relationships/hyperlink" Target="https://eur-lex.europa.eu/resource.html?uri=cellar:903d35cc-c4a2-11ed-a05c-01aa75ed71a1.0001.02/DOC_1&amp;format=PDF" TargetMode="External"/><Relationship Id="rId54" Type="http://schemas.openxmlformats.org/officeDocument/2006/relationships/hyperlink" Target="https://finance.ec.europa.eu/system/files/2023-06/taxonomy-regulation-delegated-act-2022-environmental_en_0.pdf" TargetMode="External"/><Relationship Id="rId1" Type="http://schemas.openxmlformats.org/officeDocument/2006/relationships/hyperlink" Target="https://unece.org/info/Environmental-Policy/Environmental-Impact-Assessment/events/364365" TargetMode="External"/><Relationship Id="rId6" Type="http://schemas.openxmlformats.org/officeDocument/2006/relationships/hyperlink" Target="https://unece.org/environment-policy/environmental-assessment/implementation-committee" TargetMode="External"/><Relationship Id="rId11" Type="http://schemas.openxmlformats.org/officeDocument/2006/relationships/hyperlink" Target="https://sdgs.un.org/goals/goal13" TargetMode="External"/><Relationship Id="rId24" Type="http://schemas.openxmlformats.org/officeDocument/2006/relationships/hyperlink" Target="https://unece.org/DAM/env/eia/Publications/2017/1734724_ENG_web.pdf" TargetMode="External"/><Relationship Id="rId32" Type="http://schemas.openxmlformats.org/officeDocument/2006/relationships/hyperlink" Target="https://eur-lex.europa.eu/legal-content/EN/TXT/?uri=celex%3A32011L0092" TargetMode="External"/><Relationship Id="rId37" Type="http://schemas.openxmlformats.org/officeDocument/2006/relationships/hyperlink" Target="http://www.iea.org/reports/the-role-of-critical-minerals-in-clean-energy-transitions/executive-summary" TargetMode="External"/><Relationship Id="rId40" Type="http://schemas.openxmlformats.org/officeDocument/2006/relationships/hyperlink" Target="https://oceans-and-fisheries.ec.europa.eu/ocean/blue-economy/sustainable-blue-economy_en" TargetMode="External"/><Relationship Id="rId45" Type="http://schemas.openxmlformats.org/officeDocument/2006/relationships/hyperlink" Target="http://www.afnor.org/en/news/practical-guide-circular-economy" TargetMode="External"/><Relationship Id="rId53" Type="http://schemas.openxmlformats.org/officeDocument/2006/relationships/hyperlink" Target="https://eur-lex.europa.eu/legal-content/EN/TXT/PDF/?uri=CELEX:32022R1214&amp;from=EN;" TargetMode="External"/><Relationship Id="rId58" Type="http://schemas.openxmlformats.org/officeDocument/2006/relationships/hyperlink" Target="http://www.eiopa.europa.eu/system/files/2023-01/eiopa-consumer-trends-report-2022.pdf" TargetMode="External"/><Relationship Id="rId5" Type="http://schemas.openxmlformats.org/officeDocument/2006/relationships/hyperlink" Target="https://unece.org/environment-policyenvironmental-assessment/decisions-taken-meetings-parties;" TargetMode="External"/><Relationship Id="rId15" Type="http://schemas.openxmlformats.org/officeDocument/2006/relationships/hyperlink" Target="https://unfccc.int/sites/default/files/resource/cop27_auv_2_cover%20decision.pdf" TargetMode="External"/><Relationship Id="rId23" Type="http://schemas.openxmlformats.org/officeDocument/2006/relationships/hyperlink" Target="https://curia.europa.eu/juris/document/document.jsf?docid=173520&amp;doclang=EN" TargetMode="External"/><Relationship Id="rId28" Type="http://schemas.openxmlformats.org/officeDocument/2006/relationships/hyperlink" Target="http://www.iaia.org/uploads/pdf/Fastips_19%20SDGs.pdf" TargetMode="External"/><Relationship Id="rId36" Type="http://schemas.openxmlformats.org/officeDocument/2006/relationships/hyperlink" Target="http://www.weforum.org/agenda/2022/02/3-ways-circular-economy-renewables-energy-transition/" TargetMode="External"/><Relationship Id="rId49" Type="http://schemas.openxmlformats.org/officeDocument/2006/relationships/hyperlink" Target="http://www.iaia.org/uploads/pdf/Fastips_22%20Circular%20Economy_5.pdf" TargetMode="External"/><Relationship Id="rId57" Type="http://schemas.openxmlformats.org/officeDocument/2006/relationships/hyperlink" Target="http://www.eiopa.europa.eu/system/files/2023-06/EIOPA%20Progress%20Report%20on%20Greenwashing.pdf" TargetMode="External"/><Relationship Id="rId10" Type="http://schemas.openxmlformats.org/officeDocument/2006/relationships/hyperlink" Target="https://sdgs.un.org/goals/goal7" TargetMode="External"/><Relationship Id="rId19" Type="http://schemas.openxmlformats.org/officeDocument/2006/relationships/hyperlink" Target="http://www.consilium.europa.eu/en/policies/green-deal/fit-for-55-the-eu-plan-for-a-green-transition/" TargetMode="External"/><Relationship Id="rId31" Type="http://schemas.openxmlformats.org/officeDocument/2006/relationships/hyperlink" Target="https://ghgprotocol.org/" TargetMode="External"/><Relationship Id="rId44" Type="http://schemas.openxmlformats.org/officeDocument/2006/relationships/hyperlink" Target="http://www.bsigroup.com/en-GB/standards/benefits-of-using-standards/becoming-more-sustainable-with-standards/BS8001-Circular-Economy" TargetMode="External"/><Relationship Id="rId52" Type="http://schemas.openxmlformats.org/officeDocument/2006/relationships/hyperlink" Target="https://eur-lex.europa.eu/legal-content/EN/TXT/PDF/?uri=CELEX:32021R2139&amp;from=EN;" TargetMode="External"/><Relationship Id="rId60" Type="http://schemas.openxmlformats.org/officeDocument/2006/relationships/hyperlink" Target="https://www.ebrd.com/documents/environment/ebrd-sustainability-report-2020-pdf" TargetMode="External"/><Relationship Id="rId4" Type="http://schemas.openxmlformats.org/officeDocument/2006/relationships/hyperlink" Target="https://unece.org/publications/environmental-assessment;" TargetMode="External"/><Relationship Id="rId9" Type="http://schemas.openxmlformats.org/officeDocument/2006/relationships/hyperlink" Target="http://www.ipcc.ch/site/assets/uploads/2019/11/11_Annex-I-Glossary.pdf" TargetMode="External"/><Relationship Id="rId14" Type="http://schemas.openxmlformats.org/officeDocument/2006/relationships/hyperlink" Target="https://unfccc.int/process-and-meetings/conferences/sharm-el-sheikh-climate-change-conference-november-2022/five-key-takeaways-from-cop27" TargetMode="External"/><Relationship Id="rId22" Type="http://schemas.openxmlformats.org/officeDocument/2006/relationships/hyperlink" Target="https://energypress.eu/tag/res-sector-special-spatial-plan/" TargetMode="External"/><Relationship Id="rId27" Type="http://schemas.openxmlformats.org/officeDocument/2006/relationships/hyperlink" Target="https://unece.org/sites/default/files/2022-11/ece_mp.eia_wg.2_2022_3_eng.pdf" TargetMode="External"/><Relationship Id="rId30" Type="http://schemas.openxmlformats.org/officeDocument/2006/relationships/hyperlink" Target="https://unfccc.int/files/meetings/paris_nov_2015/application/pdf/paris_agreement_english_.pdf" TargetMode="External"/><Relationship Id="rId35" Type="http://schemas.openxmlformats.org/officeDocument/2006/relationships/hyperlink" Target="https://unctad.org/system/files/official-document/presspb2017d10_en.pdf" TargetMode="External"/><Relationship Id="rId43" Type="http://schemas.openxmlformats.org/officeDocument/2006/relationships/hyperlink" Target="http://www.circularcityfundingguide.eu/circular-city-initiatives-and-resources" TargetMode="External"/><Relationship Id="rId48" Type="http://schemas.openxmlformats.org/officeDocument/2006/relationships/hyperlink" Target="https://op.europa.eu/en/publication-detail/-/publication/0619e465-581c-41dc-9807-2bb394f6bd07" TargetMode="External"/><Relationship Id="rId56" Type="http://schemas.openxmlformats.org/officeDocument/2006/relationships/hyperlink" Target="http://www.efrag.org/lab6" TargetMode="External"/><Relationship Id="rId8" Type="http://schemas.openxmlformats.org/officeDocument/2006/relationships/hyperlink" Target="https://treaties.un.org/Pages/ViewDetails.aspx?src=TREATY&amp;mtdsg_no=XXVII-4-b&amp;chapter=27&amp;clang=_en" TargetMode="External"/><Relationship Id="rId51" Type="http://schemas.openxmlformats.org/officeDocument/2006/relationships/hyperlink" Target="https://eur-lex.europa.eu/legal-content/EN/TXT/?uri=celex%3A32020R0852" TargetMode="External"/><Relationship Id="rId3" Type="http://schemas.openxmlformats.org/officeDocument/2006/relationships/hyperlink" Target="https://treaties.un.org/Pages/ViewDetails.aspx?src=TREATY&amp;mtdsg_no=XXVII-4&amp;chapter=27&amp;clang=_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4BCE0-14FB-49C9-8C3B-E148CA301382}"/>
</file>

<file path=customXml/itemProps2.xml><?xml version="1.0" encoding="utf-8"?>
<ds:datastoreItem xmlns:ds="http://schemas.openxmlformats.org/officeDocument/2006/customXml" ds:itemID="{B98579DB-EA12-4DC9-8D18-771D0DD4431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27</Pages>
  <Words>9974</Words>
  <Characters>70618</Characters>
  <Application>Microsoft Office Word</Application>
  <DocSecurity>0</DocSecurity>
  <Lines>1604</Lines>
  <Paragraphs>248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ECE/MP.EIA/2023/14</vt:lpstr>
      <vt:lpstr>A/</vt:lpstr>
      <vt:lpstr>A/</vt:lpstr>
    </vt:vector>
  </TitlesOfParts>
  <Company>DCM</Company>
  <LinksUpToDate>false</LinksUpToDate>
  <CharactersWithSpaces>80344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ECE/MP.EIA/2023/14</dc:title>
  <dc:creator>No author</dc:creator>
  <cp:keywords>ECE/MP.EIA/SEA/2023/14</cp:keywords>
  <cp:lastModifiedBy>Tatiana Chvets</cp:lastModifiedBy>
  <cp:revision>3</cp:revision>
  <cp:lastPrinted>2023-10-27T18:11:00Z</cp:lastPrinted>
  <dcterms:created xsi:type="dcterms:W3CDTF">2023-10-27T18:10:00Z</dcterms:created>
  <dcterms:modified xsi:type="dcterms:W3CDTF">2023-10-27T18:12:00Z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