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E6806" w14:paraId="62C1860E" w14:textId="77777777" w:rsidTr="00B20551">
        <w:trPr>
          <w:cantSplit/>
          <w:trHeight w:hRule="exact" w:val="851"/>
        </w:trPr>
        <w:tc>
          <w:tcPr>
            <w:tcW w:w="1276" w:type="dxa"/>
            <w:tcBorders>
              <w:bottom w:val="single" w:sz="4" w:space="0" w:color="auto"/>
            </w:tcBorders>
            <w:vAlign w:val="bottom"/>
          </w:tcPr>
          <w:p w14:paraId="4DE26254" w14:textId="77777777" w:rsidR="009E6CB7" w:rsidRDefault="009E6CB7" w:rsidP="00B20551">
            <w:pPr>
              <w:spacing w:after="80"/>
            </w:pPr>
          </w:p>
        </w:tc>
        <w:tc>
          <w:tcPr>
            <w:tcW w:w="2268" w:type="dxa"/>
            <w:tcBorders>
              <w:bottom w:val="single" w:sz="4" w:space="0" w:color="auto"/>
            </w:tcBorders>
            <w:vAlign w:val="bottom"/>
          </w:tcPr>
          <w:p w14:paraId="00E3087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0C939F7" w14:textId="5ABC9388" w:rsidR="00A603CF" w:rsidRPr="002E6806" w:rsidRDefault="00A603CF" w:rsidP="00A603CF">
            <w:pPr>
              <w:jc w:val="right"/>
              <w:rPr>
                <w:lang w:val="es-ES_tradnl"/>
              </w:rPr>
            </w:pPr>
            <w:r w:rsidRPr="002E6806">
              <w:rPr>
                <w:sz w:val="40"/>
                <w:lang w:val="es-ES_tradnl"/>
              </w:rPr>
              <w:t>ECE</w:t>
            </w:r>
            <w:r w:rsidRPr="002E6806">
              <w:rPr>
                <w:lang w:val="es-ES_tradnl"/>
              </w:rPr>
              <w:t>/MP.EIA/2023/1−</w:t>
            </w:r>
            <w:r w:rsidRPr="002E6806">
              <w:rPr>
                <w:sz w:val="40"/>
                <w:lang w:val="es-ES_tradnl"/>
              </w:rPr>
              <w:t>ECE</w:t>
            </w:r>
            <w:r w:rsidRPr="002E6806">
              <w:rPr>
                <w:lang w:val="es-ES_tradnl"/>
              </w:rPr>
              <w:t xml:space="preserve">/MP.EIA/SEA/2023/1 </w:t>
            </w:r>
          </w:p>
        </w:tc>
      </w:tr>
      <w:tr w:rsidR="009E6CB7" w14:paraId="0C0E8358" w14:textId="77777777" w:rsidTr="00B20551">
        <w:trPr>
          <w:cantSplit/>
          <w:trHeight w:hRule="exact" w:val="2835"/>
        </w:trPr>
        <w:tc>
          <w:tcPr>
            <w:tcW w:w="1276" w:type="dxa"/>
            <w:tcBorders>
              <w:top w:val="single" w:sz="4" w:space="0" w:color="auto"/>
              <w:bottom w:val="single" w:sz="12" w:space="0" w:color="auto"/>
            </w:tcBorders>
          </w:tcPr>
          <w:p w14:paraId="3540BDD0" w14:textId="77777777" w:rsidR="009E6CB7" w:rsidRDefault="00686A48" w:rsidP="00B20551">
            <w:pPr>
              <w:spacing w:before="120"/>
            </w:pPr>
            <w:r>
              <w:rPr>
                <w:noProof/>
                <w:lang w:val="fr-CH" w:eastAsia="fr-CH"/>
              </w:rPr>
              <w:drawing>
                <wp:inline distT="0" distB="0" distL="0" distR="0" wp14:anchorId="37C32888" wp14:editId="54F6CC63">
                  <wp:extent cx="714375" cy="590550"/>
                  <wp:effectExtent l="0" t="0" r="9525" b="0"/>
                  <wp:docPr id="1" name="Picture 1" descr="P5C4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P5C4T1#yI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BE93F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B0FBC07" w14:textId="77777777" w:rsidR="009E6CB7" w:rsidRDefault="00A603CF" w:rsidP="00A603CF">
            <w:pPr>
              <w:spacing w:before="240" w:line="240" w:lineRule="exact"/>
            </w:pPr>
            <w:r>
              <w:t>Distr.: General</w:t>
            </w:r>
          </w:p>
          <w:p w14:paraId="2C7126A4" w14:textId="3FD4EBB7" w:rsidR="00A603CF" w:rsidRDefault="009E3D42" w:rsidP="00A603CF">
            <w:pPr>
              <w:spacing w:line="240" w:lineRule="exact"/>
            </w:pPr>
            <w:r>
              <w:t>25</w:t>
            </w:r>
            <w:r w:rsidR="00A603CF">
              <w:t xml:space="preserve"> September 2023</w:t>
            </w:r>
          </w:p>
          <w:p w14:paraId="4C7238EF" w14:textId="77777777" w:rsidR="00A603CF" w:rsidRDefault="00A603CF" w:rsidP="00A603CF">
            <w:pPr>
              <w:spacing w:line="240" w:lineRule="exact"/>
            </w:pPr>
          </w:p>
          <w:p w14:paraId="1D3EC4BF" w14:textId="54FEF9E5" w:rsidR="00A603CF" w:rsidRDefault="00A603CF" w:rsidP="00A603CF">
            <w:pPr>
              <w:spacing w:line="240" w:lineRule="exact"/>
            </w:pPr>
            <w:r>
              <w:t>Original: English</w:t>
            </w:r>
          </w:p>
        </w:tc>
      </w:tr>
    </w:tbl>
    <w:p w14:paraId="4F8A891E" w14:textId="77777777" w:rsidR="00A603CF" w:rsidRPr="00594F24" w:rsidRDefault="00A603CF" w:rsidP="0094684F">
      <w:pPr>
        <w:spacing w:before="120"/>
        <w:rPr>
          <w:b/>
          <w:color w:val="000000"/>
          <w:sz w:val="28"/>
          <w:szCs w:val="28"/>
        </w:rPr>
      </w:pPr>
      <w:r w:rsidRPr="00594F24">
        <w:rPr>
          <w:b/>
          <w:color w:val="000000"/>
          <w:sz w:val="28"/>
          <w:szCs w:val="28"/>
        </w:rPr>
        <w:t>Economic Commission for Europe</w:t>
      </w:r>
    </w:p>
    <w:p w14:paraId="10BB12F4" w14:textId="77777777" w:rsidR="00A603CF" w:rsidRPr="00594F24" w:rsidRDefault="00A603CF" w:rsidP="0094684F">
      <w:pPr>
        <w:spacing w:before="120"/>
        <w:rPr>
          <w:bCs/>
          <w:color w:val="000000"/>
          <w:sz w:val="28"/>
          <w:szCs w:val="28"/>
        </w:rPr>
      </w:pPr>
      <w:r w:rsidRPr="00594F24">
        <w:rPr>
          <w:bCs/>
          <w:color w:val="000000"/>
          <w:sz w:val="28"/>
          <w:szCs w:val="28"/>
        </w:rPr>
        <w:t xml:space="preserve">Meeting of the Parties to the Convention </w:t>
      </w:r>
      <w:r w:rsidRPr="00594F24">
        <w:rPr>
          <w:bCs/>
          <w:color w:val="000000"/>
          <w:sz w:val="28"/>
          <w:szCs w:val="28"/>
        </w:rPr>
        <w:br/>
        <w:t xml:space="preserve">on Environmental Impact Assessment </w:t>
      </w:r>
      <w:r w:rsidRPr="00594F24">
        <w:rPr>
          <w:bCs/>
          <w:color w:val="000000"/>
          <w:sz w:val="28"/>
          <w:szCs w:val="28"/>
        </w:rPr>
        <w:br/>
        <w:t>in a Transboundary Context</w:t>
      </w:r>
    </w:p>
    <w:p w14:paraId="73D2CE57" w14:textId="01F72732" w:rsidR="00A603CF" w:rsidRPr="00594F24" w:rsidRDefault="00A603CF" w:rsidP="0094684F">
      <w:pPr>
        <w:spacing w:before="120"/>
        <w:rPr>
          <w:b/>
          <w:color w:val="000000"/>
        </w:rPr>
      </w:pPr>
      <w:r>
        <w:rPr>
          <w:b/>
          <w:color w:val="000000"/>
        </w:rPr>
        <w:t xml:space="preserve">Ninth </w:t>
      </w:r>
      <w:r w:rsidRPr="00594F24">
        <w:rPr>
          <w:b/>
          <w:color w:val="000000"/>
        </w:rPr>
        <w:t>session</w:t>
      </w:r>
    </w:p>
    <w:p w14:paraId="7942C62E" w14:textId="77777777" w:rsidR="00A603CF" w:rsidRPr="00594F24" w:rsidRDefault="00A603CF" w:rsidP="0094684F">
      <w:pPr>
        <w:autoSpaceDE w:val="0"/>
        <w:autoSpaceDN w:val="0"/>
        <w:adjustRightInd w:val="0"/>
        <w:spacing w:before="120"/>
        <w:rPr>
          <w:color w:val="000000"/>
          <w:sz w:val="28"/>
          <w:szCs w:val="28"/>
        </w:rPr>
      </w:pPr>
      <w:r w:rsidRPr="00594F24">
        <w:rPr>
          <w:color w:val="000000"/>
          <w:sz w:val="28"/>
          <w:szCs w:val="28"/>
        </w:rPr>
        <w:t xml:space="preserve">Meeting of the Parties to the Convention </w:t>
      </w:r>
      <w:r w:rsidRPr="00594F24">
        <w:rPr>
          <w:color w:val="000000"/>
          <w:sz w:val="28"/>
          <w:szCs w:val="28"/>
        </w:rPr>
        <w:br/>
        <w:t xml:space="preserve">on Environmental Impact Assessment in </w:t>
      </w:r>
      <w:r w:rsidRPr="00594F24">
        <w:rPr>
          <w:color w:val="000000"/>
          <w:sz w:val="28"/>
          <w:szCs w:val="28"/>
        </w:rPr>
        <w:br/>
        <w:t xml:space="preserve">a Transboundary Context serving as the </w:t>
      </w:r>
      <w:r w:rsidRPr="00594F24">
        <w:rPr>
          <w:color w:val="000000"/>
          <w:sz w:val="28"/>
          <w:szCs w:val="28"/>
        </w:rPr>
        <w:br/>
        <w:t xml:space="preserve">Meeting of the Parties to the Protocol on </w:t>
      </w:r>
      <w:r w:rsidRPr="00594F24">
        <w:rPr>
          <w:color w:val="000000"/>
          <w:sz w:val="28"/>
          <w:szCs w:val="28"/>
        </w:rPr>
        <w:br/>
        <w:t>Strategic Environmental Assessment</w:t>
      </w:r>
    </w:p>
    <w:p w14:paraId="11B9C62E" w14:textId="7E623E10" w:rsidR="00A603CF" w:rsidRPr="00594F24" w:rsidRDefault="00A603CF" w:rsidP="0094684F">
      <w:pPr>
        <w:autoSpaceDE w:val="0"/>
        <w:autoSpaceDN w:val="0"/>
        <w:adjustRightInd w:val="0"/>
        <w:spacing w:before="120"/>
        <w:rPr>
          <w:b/>
          <w:color w:val="000000"/>
        </w:rPr>
      </w:pPr>
      <w:r>
        <w:rPr>
          <w:b/>
          <w:color w:val="000000"/>
        </w:rPr>
        <w:t xml:space="preserve">Fifth </w:t>
      </w:r>
      <w:r w:rsidRPr="00594F24">
        <w:rPr>
          <w:b/>
          <w:color w:val="000000"/>
        </w:rPr>
        <w:t>session</w:t>
      </w:r>
    </w:p>
    <w:p w14:paraId="5CE94327" w14:textId="77777777" w:rsidR="00A603CF" w:rsidRPr="00D565F0" w:rsidRDefault="00A603CF" w:rsidP="00A603CF">
      <w:pPr>
        <w:spacing w:before="100" w:line="240" w:lineRule="auto"/>
      </w:pPr>
      <w:r>
        <w:t>Geneva</w:t>
      </w:r>
      <w:r w:rsidRPr="00D565F0">
        <w:t xml:space="preserve">, </w:t>
      </w:r>
      <w:r>
        <w:t>12–</w:t>
      </w:r>
      <w:r w:rsidRPr="00D565F0">
        <w:t>1</w:t>
      </w:r>
      <w:r>
        <w:t>5</w:t>
      </w:r>
      <w:r w:rsidRPr="00D565F0">
        <w:t xml:space="preserve"> December 202</w:t>
      </w:r>
      <w:r>
        <w:t>3</w:t>
      </w:r>
    </w:p>
    <w:p w14:paraId="7BC21CDC" w14:textId="77777777" w:rsidR="00A603CF" w:rsidRPr="00D565F0" w:rsidRDefault="00A603CF" w:rsidP="00A603CF">
      <w:pPr>
        <w:spacing w:line="240" w:lineRule="auto"/>
      </w:pPr>
      <w:r w:rsidRPr="00D565F0">
        <w:t>Item</w:t>
      </w:r>
      <w:r>
        <w:t>s</w:t>
      </w:r>
      <w:r w:rsidRPr="00D565F0">
        <w:t xml:space="preserve"> </w:t>
      </w:r>
      <w:r>
        <w:t>3</w:t>
      </w:r>
      <w:r w:rsidRPr="00D565F0">
        <w:t xml:space="preserve"> (</w:t>
      </w:r>
      <w:r>
        <w:t>a</w:t>
      </w:r>
      <w:r w:rsidRPr="00D565F0">
        <w:t xml:space="preserve">) </w:t>
      </w:r>
      <w:r>
        <w:t xml:space="preserve">and 8 (a) </w:t>
      </w:r>
      <w:r w:rsidRPr="00D565F0">
        <w:t>of the provisional agenda</w:t>
      </w:r>
    </w:p>
    <w:p w14:paraId="60DA2120" w14:textId="6ACEDE76" w:rsidR="00A603CF" w:rsidRDefault="00A603CF" w:rsidP="00F3706D">
      <w:pPr>
        <w:suppressAutoHyphens/>
        <w:spacing w:before="120" w:after="120"/>
        <w:rPr>
          <w:b/>
          <w:bCs/>
          <w:lang w:eastAsia="en-US"/>
        </w:rPr>
      </w:pPr>
      <w:r>
        <w:rPr>
          <w:b/>
          <w:bCs/>
        </w:rPr>
        <w:t>Outstanding issues: Draft joint decisions</w:t>
      </w:r>
      <w:r>
        <w:rPr>
          <w:b/>
          <w:bCs/>
        </w:rPr>
        <w:br/>
        <w:t xml:space="preserve">Adoption of decisions: </w:t>
      </w:r>
      <w:r w:rsidRPr="00206575">
        <w:rPr>
          <w:b/>
          <w:bCs/>
        </w:rPr>
        <w:t>Decisions to be taken jointly</w:t>
      </w:r>
    </w:p>
    <w:p w14:paraId="49EBD59D" w14:textId="23D9C53C" w:rsidR="00A603CF" w:rsidRDefault="00A603CF" w:rsidP="00A603CF">
      <w:pPr>
        <w:pStyle w:val="HChG"/>
        <w:rPr>
          <w:lang w:eastAsia="en-US"/>
        </w:rPr>
      </w:pPr>
      <w:r w:rsidRPr="00721AAB">
        <w:rPr>
          <w:lang w:eastAsia="en-US"/>
        </w:rPr>
        <w:tab/>
      </w:r>
      <w:r w:rsidRPr="00721AAB">
        <w:rPr>
          <w:lang w:eastAsia="en-US"/>
        </w:rPr>
        <w:tab/>
      </w:r>
      <w:r w:rsidRPr="00A603CF">
        <w:t>Draft</w:t>
      </w:r>
      <w:r w:rsidRPr="00721AAB">
        <w:rPr>
          <w:lang w:eastAsia="en-US"/>
        </w:rPr>
        <w:t xml:space="preserve"> joint decisions by the Meetings of the Parties to the Convention and the Protocol</w:t>
      </w:r>
    </w:p>
    <w:p w14:paraId="5762D201" w14:textId="650D4A64" w:rsidR="00A603CF" w:rsidRDefault="00A603CF" w:rsidP="00A603CF">
      <w:pPr>
        <w:pStyle w:val="H1G"/>
        <w:rPr>
          <w:lang w:eastAsia="en-US"/>
        </w:rPr>
      </w:pPr>
      <w:r w:rsidRPr="00721AAB">
        <w:rPr>
          <w:lang w:eastAsia="en-US"/>
        </w:rPr>
        <w:tab/>
      </w:r>
      <w:r w:rsidRPr="00721AAB">
        <w:rPr>
          <w:lang w:eastAsia="en-US"/>
        </w:rPr>
        <w:tab/>
      </w:r>
      <w:r>
        <w:rPr>
          <w:lang w:eastAsia="en-US"/>
        </w:rPr>
        <w:t xml:space="preserve">Note </w:t>
      </w:r>
      <w:r w:rsidRPr="00A603CF">
        <w:t>by</w:t>
      </w:r>
      <w:r w:rsidRPr="00721AAB">
        <w:rPr>
          <w:lang w:eastAsia="en-US"/>
        </w:rPr>
        <w:t xml:space="preserve"> the </w:t>
      </w:r>
      <w:r w:rsidRPr="00A603CF">
        <w:t>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603CF" w14:paraId="735EF277" w14:textId="77777777" w:rsidTr="00541BAB">
        <w:trPr>
          <w:jc w:val="center"/>
        </w:trPr>
        <w:tc>
          <w:tcPr>
            <w:tcW w:w="9629" w:type="dxa"/>
            <w:shd w:val="clear" w:color="auto" w:fill="auto"/>
          </w:tcPr>
          <w:p w14:paraId="794551C5" w14:textId="77777777" w:rsidR="00A603CF" w:rsidRPr="00C6263E" w:rsidRDefault="00A603CF">
            <w:pPr>
              <w:spacing w:before="240" w:after="120"/>
              <w:ind w:left="255"/>
              <w:rPr>
                <w:i/>
                <w:sz w:val="24"/>
              </w:rPr>
            </w:pPr>
            <w:r w:rsidRPr="00C6263E">
              <w:rPr>
                <w:i/>
                <w:sz w:val="24"/>
              </w:rPr>
              <w:t>Summary</w:t>
            </w:r>
          </w:p>
        </w:tc>
      </w:tr>
      <w:tr w:rsidR="00A603CF" w14:paraId="4580D2EF" w14:textId="77777777" w:rsidTr="00541BAB">
        <w:trPr>
          <w:jc w:val="center"/>
        </w:trPr>
        <w:tc>
          <w:tcPr>
            <w:tcW w:w="9629" w:type="dxa"/>
            <w:shd w:val="clear" w:color="auto" w:fill="auto"/>
          </w:tcPr>
          <w:p w14:paraId="6EB06B6D" w14:textId="07F0B691" w:rsidR="00A603CF" w:rsidRPr="00A603CF" w:rsidRDefault="00A603CF" w:rsidP="00A603CF">
            <w:pPr>
              <w:pStyle w:val="SingleTxtG"/>
            </w:pPr>
            <w:r>
              <w:tab/>
            </w:r>
            <w:r w:rsidRPr="00A603CF">
              <w:t>The present document contains draft decisions IX/1–V/1, IX/2–V/2 and IX/3–V/3 on, respectively, financial arrangements for 2024–2026, the workplan for 2024–2026, and cooperation in marine regions, as prepared by the joint Bureau of the governing bodies of the Convention on Environmental Impact Assessment in a Transboundary Context and the Protocol on Strategic Environmental Assessment, with the secretariat’s support, reflecting the comments made by the Working Group on Environmental Impact Assessment and Strategic Environmental Assessment at its twelfth meeting (Geneva, 13–15 June 2023)</w:t>
            </w:r>
            <w:r w:rsidRPr="00A603CF">
              <w:rPr>
                <w:vertAlign w:val="superscript"/>
              </w:rPr>
              <w:t>a</w:t>
            </w:r>
            <w:r w:rsidRPr="00A603CF">
              <w:t xml:space="preserve">. </w:t>
            </w:r>
          </w:p>
          <w:p w14:paraId="0116381A" w14:textId="77777777" w:rsidR="00A603CF" w:rsidRPr="00A603CF" w:rsidRDefault="00A603CF" w:rsidP="00A603CF">
            <w:pPr>
              <w:pStyle w:val="SingleTxtG"/>
            </w:pPr>
            <w:r w:rsidRPr="00A603CF">
              <w:tab/>
              <w:t xml:space="preserve">Proposed revisions to or deletions of the text of the draft decisions not agreed by the Working Group at its twelfth meeting are presented in square brackets. </w:t>
            </w:r>
          </w:p>
          <w:p w14:paraId="4C72E887" w14:textId="77777777" w:rsidR="00A603CF" w:rsidRPr="00A603CF" w:rsidRDefault="00A603CF" w:rsidP="00A603CF">
            <w:pPr>
              <w:pStyle w:val="SingleTxtG"/>
            </w:pPr>
            <w:r w:rsidRPr="00A603CF">
              <w:tab/>
              <w:t xml:space="preserve">The Meetings of the Parties to the Convention and the Protocol are expected to review and finalize the text of the draft decisions and agree on their adoption. </w:t>
            </w:r>
          </w:p>
          <w:p w14:paraId="6F4F6DE4" w14:textId="77777777" w:rsidR="00A603CF" w:rsidRPr="00A603CF" w:rsidRDefault="00A603CF" w:rsidP="00A603CF">
            <w:pPr>
              <w:pStyle w:val="SingleTxtG"/>
              <w:rPr>
                <w:lang w:val="es-ES"/>
              </w:rPr>
            </w:pPr>
            <w:r w:rsidRPr="00A603CF">
              <w:rPr>
                <w:lang w:val="es-ES"/>
              </w:rPr>
              <w:t>_______________</w:t>
            </w:r>
          </w:p>
          <w:p w14:paraId="1C88C1D5" w14:textId="52F479C7" w:rsidR="00A603CF" w:rsidRDefault="00A603CF" w:rsidP="00A603CF">
            <w:pPr>
              <w:pStyle w:val="SingleTxtG"/>
            </w:pPr>
            <w:r>
              <w:rPr>
                <w:i/>
                <w:iCs/>
                <w:vertAlign w:val="superscript"/>
                <w:lang w:val="es-ES"/>
              </w:rPr>
              <w:t>a</w:t>
            </w:r>
            <w:r w:rsidRPr="00A603CF">
              <w:rPr>
                <w:i/>
                <w:iCs/>
                <w:vertAlign w:val="superscript"/>
                <w:lang w:val="es-ES"/>
              </w:rPr>
              <w:t xml:space="preserve"> </w:t>
            </w:r>
            <w:r w:rsidRPr="00A603CF">
              <w:rPr>
                <w:lang w:val="es-ES"/>
              </w:rPr>
              <w:t xml:space="preserve">ECE/MP.EIA/WG.2/2023/2, paras. </w:t>
            </w:r>
            <w:r w:rsidRPr="00A603CF">
              <w:t>27, 40–42 and 73</w:t>
            </w:r>
          </w:p>
        </w:tc>
      </w:tr>
    </w:tbl>
    <w:p w14:paraId="1B653240" w14:textId="4DC1774C" w:rsidR="00A603CF" w:rsidRDefault="00A603CF" w:rsidP="00A603CF">
      <w:r>
        <w:br w:type="page"/>
      </w:r>
    </w:p>
    <w:p w14:paraId="2BC3FA45" w14:textId="1D394689" w:rsidR="00A603CF" w:rsidRPr="006B7FA0" w:rsidRDefault="00A603CF" w:rsidP="0090356F">
      <w:pPr>
        <w:pStyle w:val="HChG"/>
        <w:rPr>
          <w:lang w:eastAsia="en-US"/>
        </w:rPr>
      </w:pPr>
      <w:r>
        <w:rPr>
          <w:lang w:eastAsia="en-US"/>
        </w:rPr>
        <w:lastRenderedPageBreak/>
        <w:tab/>
      </w:r>
      <w:r>
        <w:rPr>
          <w:lang w:eastAsia="en-US"/>
        </w:rPr>
        <w:tab/>
      </w:r>
      <w:r w:rsidRPr="0090356F">
        <w:t>Decision</w:t>
      </w:r>
      <w:r w:rsidRPr="006B7FA0">
        <w:rPr>
          <w:lang w:eastAsia="en-US"/>
        </w:rPr>
        <w:t xml:space="preserve"> IX/1–V/1</w:t>
      </w:r>
    </w:p>
    <w:p w14:paraId="1864E3BD" w14:textId="77777777" w:rsidR="00A603CF" w:rsidRPr="006B7FA0" w:rsidRDefault="00A603CF" w:rsidP="0090356F">
      <w:pPr>
        <w:pStyle w:val="H1G"/>
        <w:rPr>
          <w:lang w:eastAsia="en-US"/>
        </w:rPr>
      </w:pPr>
      <w:r w:rsidRPr="006B7FA0">
        <w:rPr>
          <w:lang w:eastAsia="en-US"/>
        </w:rPr>
        <w:tab/>
      </w:r>
      <w:r w:rsidRPr="006B7FA0">
        <w:rPr>
          <w:lang w:eastAsia="en-US"/>
        </w:rPr>
        <w:tab/>
        <w:t xml:space="preserve">Financial </w:t>
      </w:r>
      <w:r w:rsidRPr="0090356F">
        <w:t>arrangements</w:t>
      </w:r>
      <w:r w:rsidRPr="006B7FA0">
        <w:rPr>
          <w:lang w:eastAsia="en-US"/>
        </w:rPr>
        <w:t xml:space="preserve"> for 2024–2026</w:t>
      </w:r>
    </w:p>
    <w:p w14:paraId="718185C0" w14:textId="77777777" w:rsidR="00A603CF" w:rsidRPr="006B7FA0" w:rsidRDefault="00A603CF" w:rsidP="0090356F">
      <w:pPr>
        <w:pStyle w:val="SingleTxtG"/>
        <w:rPr>
          <w:lang w:eastAsia="en-US"/>
        </w:rPr>
      </w:pPr>
      <w:r>
        <w:rPr>
          <w:lang w:eastAsia="en-US"/>
        </w:rPr>
        <w:tab/>
      </w:r>
      <w:r w:rsidRPr="0090356F">
        <w:rPr>
          <w:i/>
          <w:iCs/>
          <w:lang w:eastAsia="en-US"/>
        </w:rPr>
        <w:t>The Meeting of the Parties to the Convention and the Meeting of the Parties to the Convention serving as the Meeting of the Parties to the Protocol (Meeting of the Parties to the Protocol), meeting in joint session</w:t>
      </w:r>
      <w:r w:rsidRPr="006B7FA0">
        <w:rPr>
          <w:lang w:eastAsia="en-US"/>
        </w:rPr>
        <w:t>,</w:t>
      </w:r>
    </w:p>
    <w:p w14:paraId="10F50A84" w14:textId="03E80203" w:rsidR="00A603CF" w:rsidRPr="006B7FA0" w:rsidRDefault="00A603CF" w:rsidP="00240EB4">
      <w:pPr>
        <w:pStyle w:val="SingleTxtG"/>
        <w:rPr>
          <w:lang w:eastAsia="en-US"/>
        </w:rPr>
      </w:pPr>
      <w:r w:rsidRPr="006B7FA0">
        <w:rPr>
          <w:i/>
          <w:lang w:eastAsia="en-US"/>
        </w:rPr>
        <w:tab/>
        <w:t>Recalling</w:t>
      </w:r>
      <w:r w:rsidRPr="006B7FA0">
        <w:rPr>
          <w:lang w:eastAsia="en-US"/>
        </w:rPr>
        <w:t xml:space="preserve"> decision VIII/1–IV/1 on financial arrangements for 2021–2023,</w:t>
      </w:r>
      <w:r w:rsidR="00472CC2">
        <w:rPr>
          <w:rFonts w:ascii="ZWAdobeF" w:hAnsi="ZWAdobeF" w:cs="ZWAdobeF"/>
          <w:sz w:val="2"/>
          <w:szCs w:val="2"/>
          <w:lang w:eastAsia="en-US"/>
        </w:rPr>
        <w:t>0F</w:t>
      </w:r>
      <w:r w:rsidRPr="006B7FA0">
        <w:rPr>
          <w:sz w:val="18"/>
          <w:vertAlign w:val="superscript"/>
          <w:lang w:val="fr-CH" w:eastAsia="en-US"/>
        </w:rPr>
        <w:footnoteReference w:id="2"/>
      </w:r>
    </w:p>
    <w:p w14:paraId="23A135DC" w14:textId="6669CCF0" w:rsidR="00A603CF" w:rsidRPr="006B7FA0" w:rsidRDefault="00A603CF" w:rsidP="00240EB4">
      <w:pPr>
        <w:pStyle w:val="SingleTxtG"/>
        <w:rPr>
          <w:lang w:eastAsia="en-US"/>
        </w:rPr>
      </w:pPr>
      <w:r w:rsidRPr="006B7FA0">
        <w:rPr>
          <w:lang w:eastAsia="en-US"/>
        </w:rPr>
        <w:tab/>
      </w:r>
      <w:r w:rsidRPr="006B7FA0">
        <w:rPr>
          <w:i/>
          <w:lang w:eastAsia="en-US"/>
        </w:rPr>
        <w:t>Recalling</w:t>
      </w:r>
      <w:r w:rsidRPr="006B7FA0">
        <w:rPr>
          <w:lang w:eastAsia="en-US"/>
        </w:rPr>
        <w:t xml:space="preserve"> </w:t>
      </w:r>
      <w:r w:rsidRPr="006B7FA0">
        <w:rPr>
          <w:i/>
          <w:iCs/>
          <w:lang w:eastAsia="en-US"/>
        </w:rPr>
        <w:t>also</w:t>
      </w:r>
      <w:r w:rsidRPr="006B7FA0">
        <w:rPr>
          <w:lang w:eastAsia="en-US"/>
        </w:rPr>
        <w:t xml:space="preserve"> the financial strategy adopted in 2014,</w:t>
      </w:r>
      <w:r w:rsidR="00472CC2">
        <w:rPr>
          <w:rFonts w:ascii="ZWAdobeF" w:hAnsi="ZWAdobeF" w:cs="ZWAdobeF"/>
          <w:sz w:val="2"/>
          <w:szCs w:val="2"/>
          <w:lang w:eastAsia="en-US"/>
        </w:rPr>
        <w:t>1F</w:t>
      </w:r>
      <w:r w:rsidRPr="006B7FA0">
        <w:rPr>
          <w:sz w:val="18"/>
          <w:vertAlign w:val="superscript"/>
          <w:lang w:val="fr-CH" w:eastAsia="en-US"/>
        </w:rPr>
        <w:footnoteReference w:id="3"/>
      </w:r>
      <w:r w:rsidRPr="006B7FA0">
        <w:rPr>
          <w:lang w:eastAsia="en-US"/>
        </w:rPr>
        <w:t xml:space="preserve"> while expressing regret at the strategy’s limited applicability to improve funding for the Convention and its Protocol and the predictability and equitable distribution of contributions,</w:t>
      </w:r>
    </w:p>
    <w:p w14:paraId="7A9BEC78" w14:textId="77777777" w:rsidR="00A603CF" w:rsidRPr="006B7FA0" w:rsidRDefault="00A603CF" w:rsidP="00240EB4">
      <w:pPr>
        <w:pStyle w:val="SingleTxtG"/>
        <w:rPr>
          <w:lang w:eastAsia="en-US"/>
        </w:rPr>
      </w:pPr>
      <w:r w:rsidRPr="006B7FA0">
        <w:rPr>
          <w:i/>
          <w:lang w:eastAsia="en-US"/>
        </w:rPr>
        <w:tab/>
        <w:t>Recognizing</w:t>
      </w:r>
      <w:r w:rsidRPr="006B7FA0">
        <w:rPr>
          <w:iCs/>
          <w:lang w:eastAsia="en-US"/>
        </w:rPr>
        <w:t xml:space="preserve"> </w:t>
      </w:r>
      <w:r w:rsidRPr="006B7FA0">
        <w:rPr>
          <w:lang w:eastAsia="en-US"/>
        </w:rPr>
        <w:t>the Parties’ wish for a high degree of transparency and accountability regarding the status and developments in the financing of activities under the Convention and the Protocol,</w:t>
      </w:r>
    </w:p>
    <w:p w14:paraId="4ACBB699" w14:textId="77777777" w:rsidR="00A603CF" w:rsidRPr="006B7FA0" w:rsidRDefault="00A603CF" w:rsidP="00A603CF">
      <w:pPr>
        <w:pStyle w:val="SingleTxtG"/>
        <w:rPr>
          <w:lang w:eastAsia="en-US"/>
        </w:rPr>
      </w:pPr>
      <w:r w:rsidRPr="006B7FA0">
        <w:rPr>
          <w:lang w:eastAsia="en-US"/>
        </w:rPr>
        <w:tab/>
      </w:r>
      <w:r w:rsidRPr="006B7FA0">
        <w:rPr>
          <w:i/>
          <w:lang w:eastAsia="en-US"/>
        </w:rPr>
        <w:t>Welcoming</w:t>
      </w:r>
      <w:r w:rsidRPr="006B7FA0">
        <w:rPr>
          <w:lang w:eastAsia="en-US"/>
        </w:rPr>
        <w:t xml:space="preserve"> the annual financial reports prepared by the secretariat during the intersessional period 2021–2023, </w:t>
      </w:r>
    </w:p>
    <w:p w14:paraId="0428E0EE" w14:textId="3928A3C2" w:rsidR="00A603CF" w:rsidRPr="006B7FA0" w:rsidRDefault="00A603CF" w:rsidP="00A603CF">
      <w:pPr>
        <w:pStyle w:val="SingleTxtG"/>
        <w:rPr>
          <w:lang w:eastAsia="en-US"/>
        </w:rPr>
      </w:pPr>
      <w:r w:rsidRPr="006B7FA0">
        <w:rPr>
          <w:i/>
          <w:iCs/>
          <w:lang w:eastAsia="en-US"/>
        </w:rPr>
        <w:tab/>
        <w:t>Acknowledging</w:t>
      </w:r>
      <w:r w:rsidRPr="006B7FA0">
        <w:rPr>
          <w:lang w:eastAsia="en-US"/>
        </w:rPr>
        <w:t xml:space="preserve"> with appreciation the contributions made in cash and in kind during that period,</w:t>
      </w:r>
    </w:p>
    <w:p w14:paraId="2F49B9AB" w14:textId="2D59119B" w:rsidR="00A603CF" w:rsidRPr="006B7FA0" w:rsidRDefault="00A603CF" w:rsidP="00A603CF">
      <w:pPr>
        <w:pStyle w:val="SingleTxtG"/>
        <w:rPr>
          <w:lang w:eastAsia="en-US"/>
        </w:rPr>
      </w:pPr>
      <w:r w:rsidRPr="006B7FA0">
        <w:rPr>
          <w:i/>
          <w:iCs/>
          <w:lang w:eastAsia="en-US"/>
        </w:rPr>
        <w:tab/>
        <w:t>Expressing regret,</w:t>
      </w:r>
      <w:r w:rsidRPr="006B7FA0">
        <w:rPr>
          <w:lang w:eastAsia="en-US"/>
        </w:rPr>
        <w:t xml:space="preserve"> however,</w:t>
      </w:r>
      <w:r w:rsidRPr="006B7FA0">
        <w:rPr>
          <w:i/>
          <w:iCs/>
          <w:lang w:eastAsia="en-US"/>
        </w:rPr>
        <w:t xml:space="preserve"> </w:t>
      </w:r>
      <w:r w:rsidRPr="006B7FA0">
        <w:rPr>
          <w:lang w:eastAsia="en-US"/>
        </w:rPr>
        <w:t>that contributions continued to be insufficient for the full implementation of the joint workplan under the Convention and the Protocol and for ensuring an adequate level of secretariat staffing required for that purpose,</w:t>
      </w:r>
    </w:p>
    <w:p w14:paraId="3A64993B" w14:textId="72AEF6B2" w:rsidR="00A603CF" w:rsidRPr="006B7FA0" w:rsidRDefault="00A603CF" w:rsidP="00A603CF">
      <w:pPr>
        <w:pStyle w:val="SingleTxtG"/>
        <w:rPr>
          <w:lang w:eastAsia="en-US"/>
        </w:rPr>
      </w:pPr>
      <w:r w:rsidRPr="006B7FA0">
        <w:rPr>
          <w:i/>
          <w:iCs/>
          <w:lang w:eastAsia="en-US"/>
        </w:rPr>
        <w:tab/>
        <w:t xml:space="preserve">Reiterating </w:t>
      </w:r>
      <w:r w:rsidRPr="006B7FA0">
        <w:rPr>
          <w:lang w:eastAsia="en-US"/>
        </w:rPr>
        <w:t>the necessity for each Party to take part in an equitable sharing of the workplan costs, to contribute, to the extent possible, in the light of its economic strength,</w:t>
      </w:r>
      <w:r w:rsidR="00472CC2">
        <w:rPr>
          <w:rFonts w:ascii="ZWAdobeF" w:hAnsi="ZWAdobeF" w:cs="ZWAdobeF"/>
          <w:sz w:val="2"/>
          <w:szCs w:val="2"/>
          <w:lang w:eastAsia="en-US"/>
        </w:rPr>
        <w:t>2F</w:t>
      </w:r>
      <w:r w:rsidRPr="006B7FA0">
        <w:rPr>
          <w:sz w:val="18"/>
          <w:vertAlign w:val="superscript"/>
          <w:lang w:val="fr-CH" w:eastAsia="en-US"/>
        </w:rPr>
        <w:footnoteReference w:id="4"/>
      </w:r>
    </w:p>
    <w:p w14:paraId="40574A8B" w14:textId="4D05202E" w:rsidR="00A603CF" w:rsidRPr="006B7FA0" w:rsidRDefault="00A603CF" w:rsidP="00A603CF">
      <w:pPr>
        <w:pStyle w:val="SingleTxtG"/>
        <w:rPr>
          <w:lang w:eastAsia="en-US"/>
        </w:rPr>
      </w:pPr>
      <w:r w:rsidRPr="006B7FA0">
        <w:rPr>
          <w:i/>
          <w:iCs/>
          <w:lang w:eastAsia="en-US"/>
        </w:rPr>
        <w:tab/>
        <w:t xml:space="preserve">Expressing regret, </w:t>
      </w:r>
      <w:r w:rsidRPr="006B7FA0">
        <w:rPr>
          <w:lang w:eastAsia="en-US"/>
        </w:rPr>
        <w:t>however,</w:t>
      </w:r>
      <w:r w:rsidRPr="006B7FA0">
        <w:rPr>
          <w:i/>
          <w:iCs/>
          <w:lang w:eastAsia="en-US"/>
        </w:rPr>
        <w:t xml:space="preserve"> </w:t>
      </w:r>
      <w:r w:rsidRPr="006B7FA0">
        <w:rPr>
          <w:lang w:eastAsia="en-US"/>
        </w:rPr>
        <w:t>that</w:t>
      </w:r>
      <w:r w:rsidRPr="006B7FA0">
        <w:rPr>
          <w:i/>
          <w:iCs/>
          <w:lang w:eastAsia="en-US"/>
        </w:rPr>
        <w:t xml:space="preserve"> </w:t>
      </w:r>
      <w:r w:rsidRPr="006B7FA0">
        <w:rPr>
          <w:lang w:eastAsia="en-US"/>
        </w:rPr>
        <w:t>the financial burden remained unevenly distributed, with only a few Parties providing most of the funding, the majority of Parties contributing only limited amounts compared to their economic strength</w:t>
      </w:r>
      <w:r w:rsidRPr="006B7FA0">
        <w:rPr>
          <w:vertAlign w:val="superscript"/>
          <w:lang w:eastAsia="en-US"/>
        </w:rPr>
        <w:t>3</w:t>
      </w:r>
      <w:r w:rsidRPr="006B7FA0">
        <w:rPr>
          <w:lang w:eastAsia="en-US"/>
        </w:rPr>
        <w:t xml:space="preserve"> and [1</w:t>
      </w:r>
      <w:r>
        <w:rPr>
          <w:lang w:eastAsia="en-US"/>
        </w:rPr>
        <w:t>0</w:t>
      </w:r>
      <w:r w:rsidRPr="006B7FA0">
        <w:rPr>
          <w:lang w:eastAsia="en-US"/>
        </w:rPr>
        <w:t>] Parties not contributing at all,</w:t>
      </w:r>
    </w:p>
    <w:p w14:paraId="6FD395BA" w14:textId="77777777" w:rsidR="00A603CF" w:rsidRPr="006B7FA0" w:rsidRDefault="00A603CF" w:rsidP="00A603CF">
      <w:pPr>
        <w:pStyle w:val="SingleTxtG"/>
        <w:rPr>
          <w:lang w:eastAsia="en-US"/>
        </w:rPr>
      </w:pPr>
      <w:bookmarkStart w:id="1" w:name="_Hlk32417526"/>
      <w:r w:rsidRPr="006B7FA0">
        <w:rPr>
          <w:i/>
          <w:iCs/>
          <w:lang w:eastAsia="en-US"/>
        </w:rPr>
        <w:tab/>
        <w:t xml:space="preserve">Affirming </w:t>
      </w:r>
      <w:r w:rsidRPr="006B7FA0">
        <w:rPr>
          <w:lang w:eastAsia="en-US"/>
        </w:rPr>
        <w:t xml:space="preserve">the need for all Parties to ensure stable and sufficient financial and human resources for implementation of the workplan of the Convention and its Protocol for 2024–2026, adopted through decision IX/2–V/2, </w:t>
      </w:r>
    </w:p>
    <w:p w14:paraId="2323FB9B" w14:textId="77777777" w:rsidR="00A603CF" w:rsidRPr="006B7FA0" w:rsidRDefault="00A603CF" w:rsidP="00A603CF">
      <w:pPr>
        <w:pStyle w:val="SingleTxtG"/>
        <w:rPr>
          <w:lang w:eastAsia="en-US"/>
        </w:rPr>
      </w:pPr>
      <w:r w:rsidRPr="006B7FA0">
        <w:rPr>
          <w:i/>
          <w:iCs/>
          <w:lang w:eastAsia="en-US"/>
        </w:rPr>
        <w:tab/>
      </w:r>
      <w:bookmarkEnd w:id="1"/>
      <w:r w:rsidRPr="006B7FA0">
        <w:rPr>
          <w:i/>
          <w:lang w:eastAsia="en-US"/>
        </w:rPr>
        <w:t xml:space="preserve">Aware </w:t>
      </w:r>
      <w:r w:rsidRPr="006B7FA0">
        <w:rPr>
          <w:lang w:eastAsia="en-US"/>
        </w:rPr>
        <w:t>of the importance of Parties’ wide participation in activities under the Convention and the Protocol in order to improve their effectiveness,</w:t>
      </w:r>
    </w:p>
    <w:p w14:paraId="367826AD" w14:textId="77777777" w:rsidR="00A603CF" w:rsidRPr="006B7FA0" w:rsidRDefault="00A603CF" w:rsidP="00A603CF">
      <w:pPr>
        <w:pStyle w:val="SingleTxtG"/>
        <w:rPr>
          <w:color w:val="000000"/>
          <w:lang w:eastAsia="en-US"/>
        </w:rPr>
      </w:pPr>
      <w:r w:rsidRPr="006B7FA0">
        <w:rPr>
          <w:color w:val="000000"/>
          <w:lang w:eastAsia="en-US"/>
        </w:rPr>
        <w:tab/>
      </w:r>
      <w:bookmarkStart w:id="2" w:name="_Hlk130488176"/>
      <w:r w:rsidRPr="006B7FA0">
        <w:rPr>
          <w:i/>
          <w:color w:val="000000"/>
          <w:lang w:eastAsia="en-US"/>
        </w:rPr>
        <w:t xml:space="preserve">Aware </w:t>
      </w:r>
      <w:r w:rsidRPr="006B7FA0">
        <w:rPr>
          <w:i/>
          <w:lang w:eastAsia="en-US"/>
        </w:rPr>
        <w:t>also</w:t>
      </w:r>
      <w:r w:rsidRPr="006B7FA0">
        <w:rPr>
          <w:lang w:eastAsia="en-US"/>
        </w:rPr>
        <w:t xml:space="preserve"> of the need to facilitate the participation, at meetings and in activities under the Convention and the Protocol, of several countries with economies in transition that may otherwise not be able to take part, including, to the extent feasible, of countries outside the United Nations Economic Commission for Europe (ECE) region,</w:t>
      </w:r>
    </w:p>
    <w:bookmarkEnd w:id="2"/>
    <w:p w14:paraId="3A708B9F" w14:textId="77777777" w:rsidR="00A603CF" w:rsidRPr="006B7FA0" w:rsidRDefault="00A603CF" w:rsidP="00A603CF">
      <w:pPr>
        <w:pStyle w:val="SingleTxtG"/>
        <w:rPr>
          <w:lang w:eastAsia="en-US"/>
        </w:rPr>
      </w:pPr>
      <w:r w:rsidRPr="006B7FA0">
        <w:rPr>
          <w:color w:val="000000"/>
          <w:lang w:eastAsia="en-US"/>
        </w:rPr>
        <w:tab/>
      </w:r>
      <w:r w:rsidRPr="006B7FA0">
        <w:rPr>
          <w:i/>
          <w:color w:val="000000"/>
          <w:lang w:eastAsia="en-US"/>
        </w:rPr>
        <w:t>Recalling</w:t>
      </w:r>
      <w:r w:rsidRPr="006B7FA0">
        <w:rPr>
          <w:color w:val="000000"/>
          <w:lang w:eastAsia="en-US"/>
        </w:rPr>
        <w:t xml:space="preserve"> </w:t>
      </w:r>
      <w:r w:rsidRPr="006B7FA0">
        <w:rPr>
          <w:lang w:eastAsia="en-US"/>
        </w:rPr>
        <w:t xml:space="preserve">article 23 (3) of the Protocol, which allows States Members of the United Nations not members of ECE to accede thereto, and article 17 (3) of the Convention, which </w:t>
      </w:r>
      <w:r w:rsidRPr="006B7FA0">
        <w:rPr>
          <w:lang w:eastAsia="en-US"/>
        </w:rPr>
        <w:lastRenderedPageBreak/>
        <w:t>is expected, in the current intersessional period, to also allow for accession to the Convention by non-ECE member States,</w:t>
      </w:r>
    </w:p>
    <w:p w14:paraId="0AA92543" w14:textId="77777777" w:rsidR="00A603CF" w:rsidRDefault="00A603CF" w:rsidP="00A603CF">
      <w:pPr>
        <w:pStyle w:val="SingleTxtG"/>
        <w:ind w:firstLine="567"/>
        <w:rPr>
          <w:lang w:eastAsia="en-US"/>
        </w:rPr>
      </w:pPr>
      <w:r w:rsidRPr="006B7FA0">
        <w:rPr>
          <w:lang w:eastAsia="en-US"/>
        </w:rPr>
        <w:t>1.</w:t>
      </w:r>
      <w:r w:rsidRPr="006B7FA0">
        <w:rPr>
          <w:i/>
          <w:iCs/>
          <w:lang w:eastAsia="en-US"/>
        </w:rPr>
        <w:tab/>
        <w:t>Agree</w:t>
      </w:r>
      <w:r w:rsidRPr="006B7FA0">
        <w:rPr>
          <w:lang w:eastAsia="en-US"/>
        </w:rPr>
        <w:t xml:space="preserve"> to maintain the existing financial scheme for funding the adopted workplans whereby all the Parties have a duty to contribute to the sharing of costs not covered by the United Nations regular budget</w:t>
      </w:r>
      <w:r>
        <w:rPr>
          <w:lang w:eastAsia="en-US"/>
        </w:rPr>
        <w:t xml:space="preserve">; </w:t>
      </w:r>
    </w:p>
    <w:p w14:paraId="16072E4B" w14:textId="77777777" w:rsidR="00A603CF" w:rsidRPr="006B7FA0" w:rsidRDefault="00A603CF" w:rsidP="00A603CF">
      <w:pPr>
        <w:pStyle w:val="SingleTxtG"/>
        <w:ind w:firstLine="567"/>
        <w:rPr>
          <w:lang w:eastAsia="en-US"/>
        </w:rPr>
      </w:pPr>
      <w:r>
        <w:rPr>
          <w:lang w:eastAsia="en-US"/>
        </w:rPr>
        <w:t>2.</w:t>
      </w:r>
      <w:r>
        <w:rPr>
          <w:lang w:eastAsia="en-US"/>
        </w:rPr>
        <w:tab/>
      </w:r>
      <w:r w:rsidRPr="002E1A6B">
        <w:rPr>
          <w:i/>
          <w:iCs/>
          <w:lang w:eastAsia="en-US"/>
        </w:rPr>
        <w:t>Agree</w:t>
      </w:r>
      <w:r>
        <w:rPr>
          <w:lang w:eastAsia="en-US"/>
        </w:rPr>
        <w:t xml:space="preserve"> </w:t>
      </w:r>
      <w:r w:rsidRPr="002E1A6B">
        <w:rPr>
          <w:i/>
          <w:iCs/>
          <w:lang w:eastAsia="en-US"/>
        </w:rPr>
        <w:t>also</w:t>
      </w:r>
      <w:r>
        <w:rPr>
          <w:lang w:eastAsia="en-US"/>
        </w:rPr>
        <w:t xml:space="preserve"> that the workplan for 2024–2026 should match the resources available for its implementation, and that available funds should be allocated as a priority for ensuring sufficient secretariat staffing for the delivery of the core activities; </w:t>
      </w:r>
    </w:p>
    <w:p w14:paraId="2C87BA81" w14:textId="29546390" w:rsidR="00A603CF" w:rsidRPr="006B7FA0" w:rsidRDefault="00A603CF" w:rsidP="00A603CF">
      <w:pPr>
        <w:pStyle w:val="SingleTxtG"/>
        <w:ind w:firstLine="567"/>
        <w:rPr>
          <w:lang w:eastAsia="en-US"/>
        </w:rPr>
      </w:pPr>
      <w:r>
        <w:rPr>
          <w:lang w:eastAsia="en-US"/>
        </w:rPr>
        <w:t>3</w:t>
      </w:r>
      <w:r w:rsidRPr="006B7FA0">
        <w:rPr>
          <w:lang w:eastAsia="en-US"/>
        </w:rPr>
        <w:t>.</w:t>
      </w:r>
      <w:r w:rsidRPr="006B7FA0">
        <w:rPr>
          <w:lang w:eastAsia="en-US"/>
        </w:rPr>
        <w:tab/>
      </w:r>
      <w:r w:rsidRPr="006B7FA0">
        <w:rPr>
          <w:i/>
          <w:iCs/>
          <w:lang w:eastAsia="en-US"/>
        </w:rPr>
        <w:t>Request</w:t>
      </w:r>
      <w:r w:rsidRPr="006B7FA0">
        <w:rPr>
          <w:lang w:eastAsia="en-US"/>
        </w:rPr>
        <w:t xml:space="preserve"> every Party to make yearly or multi-year contributions towards the joint workplan’s financing, in a timely manner, and at an appropriate level, in the light of their economic strength;</w:t>
      </w:r>
      <w:r w:rsidRPr="006B7FA0">
        <w:rPr>
          <w:vertAlign w:val="superscript"/>
          <w:lang w:eastAsia="en-US"/>
        </w:rPr>
        <w:t>3</w:t>
      </w:r>
    </w:p>
    <w:p w14:paraId="6E0AB6BC" w14:textId="56A41AD1" w:rsidR="00A603CF" w:rsidRPr="006B7FA0" w:rsidRDefault="00A603CF" w:rsidP="00A603CF">
      <w:pPr>
        <w:pStyle w:val="SingleTxtG"/>
        <w:ind w:firstLine="567"/>
        <w:rPr>
          <w:lang w:eastAsia="en-US"/>
        </w:rPr>
      </w:pPr>
      <w:r>
        <w:rPr>
          <w:lang w:eastAsia="en-US"/>
        </w:rPr>
        <w:t>4</w:t>
      </w:r>
      <w:r w:rsidRPr="006B7FA0">
        <w:rPr>
          <w:lang w:eastAsia="en-US"/>
        </w:rPr>
        <w:t>.</w:t>
      </w:r>
      <w:r w:rsidRPr="006B7FA0">
        <w:rPr>
          <w:lang w:eastAsia="en-US"/>
        </w:rPr>
        <w:tab/>
      </w:r>
      <w:r w:rsidRPr="006B7FA0">
        <w:rPr>
          <w:i/>
          <w:iCs/>
          <w:lang w:eastAsia="en-US"/>
        </w:rPr>
        <w:t xml:space="preserve">Express concern </w:t>
      </w:r>
      <w:r w:rsidRPr="006B7FA0">
        <w:rPr>
          <w:lang w:eastAsia="en-US"/>
        </w:rPr>
        <w:t xml:space="preserve">that [Belarus, Bosnia and Herzegovina, </w:t>
      </w:r>
      <w:r>
        <w:rPr>
          <w:lang w:eastAsia="en-US"/>
        </w:rPr>
        <w:t xml:space="preserve">Greece, </w:t>
      </w:r>
      <w:r w:rsidRPr="006B7FA0">
        <w:rPr>
          <w:lang w:eastAsia="en-US"/>
        </w:rPr>
        <w:t xml:space="preserve">Kazakhstan, Kyrgyzstan, Liechtenstein, Serbia, Ukraine and the United Kingdom of Great Britain and Northern Ireland] did not contribute financially or in kind in 2021–2023, contrary to decision VIII/1–IV/1 requesting them to do so without exception in the current intersessional period; </w:t>
      </w:r>
    </w:p>
    <w:p w14:paraId="2C113C44" w14:textId="1C8DEEE0" w:rsidR="00A603CF" w:rsidRPr="006B7FA0" w:rsidRDefault="00A603CF" w:rsidP="00A603CF">
      <w:pPr>
        <w:pStyle w:val="SingleTxtG"/>
        <w:ind w:firstLine="567"/>
        <w:rPr>
          <w:lang w:eastAsia="en-US"/>
        </w:rPr>
      </w:pPr>
      <w:r>
        <w:rPr>
          <w:lang w:eastAsia="en-US"/>
        </w:rPr>
        <w:t>5</w:t>
      </w:r>
      <w:r w:rsidRPr="006B7FA0">
        <w:rPr>
          <w:lang w:eastAsia="en-US"/>
        </w:rPr>
        <w:t>.</w:t>
      </w:r>
      <w:r w:rsidRPr="006B7FA0">
        <w:rPr>
          <w:lang w:eastAsia="en-US"/>
        </w:rPr>
        <w:tab/>
      </w:r>
      <w:r w:rsidRPr="006B7FA0">
        <w:rPr>
          <w:i/>
          <w:iCs/>
          <w:lang w:eastAsia="en-US"/>
        </w:rPr>
        <w:t>Also</w:t>
      </w:r>
      <w:r w:rsidRPr="006B7FA0">
        <w:rPr>
          <w:lang w:eastAsia="en-US"/>
        </w:rPr>
        <w:t xml:space="preserve"> </w:t>
      </w:r>
      <w:r w:rsidRPr="006B7FA0">
        <w:rPr>
          <w:i/>
          <w:iCs/>
          <w:lang w:eastAsia="en-US"/>
        </w:rPr>
        <w:t>express concern</w:t>
      </w:r>
      <w:r w:rsidRPr="006B7FA0">
        <w:rPr>
          <w:lang w:eastAsia="en-US"/>
        </w:rPr>
        <w:t xml:space="preserve"> that [</w:t>
      </w:r>
      <w:r>
        <w:rPr>
          <w:lang w:eastAsia="en-US"/>
        </w:rPr>
        <w:t>Croatia, the Republic of Moldova</w:t>
      </w:r>
      <w:r w:rsidR="00EF5749">
        <w:rPr>
          <w:lang w:eastAsia="en-US"/>
        </w:rPr>
        <w:t xml:space="preserve"> and</w:t>
      </w:r>
      <w:r w:rsidR="00E1029A">
        <w:rPr>
          <w:lang w:eastAsia="en-US"/>
        </w:rPr>
        <w:t xml:space="preserve"> </w:t>
      </w:r>
      <w:r>
        <w:rPr>
          <w:lang w:eastAsia="en-US"/>
        </w:rPr>
        <w:t>Romania</w:t>
      </w:r>
      <w:r w:rsidRPr="006B7FA0">
        <w:rPr>
          <w:lang w:eastAsia="en-US"/>
        </w:rPr>
        <w:t xml:space="preserve">] did not fully honour their pledges for funding in 2021–2023, requesting them to make their outstanding contributions as soon as possible; </w:t>
      </w:r>
    </w:p>
    <w:p w14:paraId="2C41BAD2" w14:textId="6D6B475A" w:rsidR="00A603CF" w:rsidRPr="006B7FA0" w:rsidRDefault="00A603CF" w:rsidP="00A603CF">
      <w:pPr>
        <w:pStyle w:val="SingleTxtG"/>
        <w:ind w:firstLine="567"/>
        <w:rPr>
          <w:lang w:eastAsia="en-US"/>
        </w:rPr>
      </w:pPr>
      <w:r>
        <w:rPr>
          <w:lang w:eastAsia="en-US"/>
        </w:rPr>
        <w:t>6</w:t>
      </w:r>
      <w:r w:rsidRPr="006B7FA0">
        <w:rPr>
          <w:lang w:eastAsia="en-US"/>
        </w:rPr>
        <w:t>.</w:t>
      </w:r>
      <w:r w:rsidRPr="006B7FA0">
        <w:rPr>
          <w:lang w:eastAsia="en-US"/>
        </w:rPr>
        <w:tab/>
      </w:r>
      <w:r w:rsidRPr="006B7FA0">
        <w:rPr>
          <w:i/>
          <w:iCs/>
          <w:lang w:eastAsia="en-US"/>
        </w:rPr>
        <w:t>Note with concern</w:t>
      </w:r>
      <w:r w:rsidRPr="006B7FA0">
        <w:rPr>
          <w:lang w:eastAsia="en-US"/>
        </w:rPr>
        <w:t xml:space="preserve"> that the contributions thus far have been insufficient to finance fully the joint workplan’s implementation and to ensure an adequate level of secretariat resources required for that purpose;</w:t>
      </w:r>
    </w:p>
    <w:p w14:paraId="70A8D404" w14:textId="1B718796" w:rsidR="00A603CF" w:rsidRPr="006B7FA0" w:rsidRDefault="00A603CF" w:rsidP="00A603CF">
      <w:pPr>
        <w:pStyle w:val="SingleTxtG"/>
        <w:ind w:firstLine="567"/>
        <w:rPr>
          <w:lang w:eastAsia="en-US"/>
        </w:rPr>
      </w:pPr>
      <w:r>
        <w:rPr>
          <w:lang w:eastAsia="en-US"/>
        </w:rPr>
        <w:t>7</w:t>
      </w:r>
      <w:r w:rsidRPr="006B7FA0">
        <w:rPr>
          <w:lang w:eastAsia="en-US"/>
        </w:rPr>
        <w:t>.</w:t>
      </w:r>
      <w:r w:rsidRPr="006B7FA0">
        <w:rPr>
          <w:i/>
          <w:iCs/>
          <w:lang w:eastAsia="en-US"/>
        </w:rPr>
        <w:tab/>
      </w:r>
      <w:r>
        <w:rPr>
          <w:i/>
          <w:iCs/>
          <w:lang w:eastAsia="en-US"/>
        </w:rPr>
        <w:t>Invite</w:t>
      </w:r>
      <w:r w:rsidRPr="006B7FA0">
        <w:rPr>
          <w:i/>
          <w:iCs/>
          <w:lang w:eastAsia="en-US"/>
        </w:rPr>
        <w:t xml:space="preserve"> </w:t>
      </w:r>
      <w:r w:rsidRPr="006B7FA0">
        <w:rPr>
          <w:lang w:eastAsia="en-US"/>
        </w:rPr>
        <w:t>Parties to increase the available funding to collectively finance at least one additional Professional staff post and one part-time administrative support staff post for the provision of core secretariat services for the Convention and the Protocol needed under the workplan for 2024–2026 and beyond;</w:t>
      </w:r>
    </w:p>
    <w:p w14:paraId="17DA9378" w14:textId="77777777" w:rsidR="00A603CF" w:rsidRPr="006B7FA0" w:rsidRDefault="00A603CF" w:rsidP="00A603CF">
      <w:pPr>
        <w:pStyle w:val="SingleTxtG"/>
        <w:ind w:firstLine="567"/>
        <w:rPr>
          <w:lang w:eastAsia="en-US"/>
        </w:rPr>
      </w:pPr>
      <w:r>
        <w:rPr>
          <w:lang w:eastAsia="en-US"/>
        </w:rPr>
        <w:t>8</w:t>
      </w:r>
      <w:r w:rsidRPr="006B7FA0">
        <w:rPr>
          <w:lang w:eastAsia="en-US"/>
        </w:rPr>
        <w:t>.</w:t>
      </w:r>
      <w:r w:rsidRPr="006B7FA0">
        <w:rPr>
          <w:lang w:eastAsia="en-US"/>
        </w:rPr>
        <w:tab/>
      </w:r>
      <w:r w:rsidRPr="006B7FA0">
        <w:rPr>
          <w:i/>
          <w:iCs/>
          <w:lang w:eastAsia="en-US"/>
        </w:rPr>
        <w:t xml:space="preserve">Invite </w:t>
      </w:r>
      <w:r w:rsidRPr="006B7FA0">
        <w:rPr>
          <w:lang w:eastAsia="en-US"/>
        </w:rPr>
        <w:t>national focal points under the Convention and the Protocol to</w:t>
      </w:r>
      <w:r>
        <w:rPr>
          <w:lang w:eastAsia="en-US"/>
        </w:rPr>
        <w:t>, if possible, engage in national awareness-raising and resource-mobilization activities;</w:t>
      </w:r>
      <w:r w:rsidRPr="006B7FA0">
        <w:rPr>
          <w:lang w:eastAsia="en-US"/>
        </w:rPr>
        <w:t xml:space="preserve"> </w:t>
      </w:r>
    </w:p>
    <w:p w14:paraId="3758195E" w14:textId="77777777" w:rsidR="00A603CF" w:rsidRPr="006B7FA0" w:rsidRDefault="00A603CF" w:rsidP="00A603CF">
      <w:pPr>
        <w:pStyle w:val="SingleTxtG"/>
        <w:ind w:firstLine="567"/>
        <w:rPr>
          <w:lang w:eastAsia="en-US"/>
        </w:rPr>
      </w:pPr>
      <w:r>
        <w:rPr>
          <w:lang w:eastAsia="en-US"/>
        </w:rPr>
        <w:t>9</w:t>
      </w:r>
      <w:r w:rsidRPr="006B7FA0">
        <w:rPr>
          <w:lang w:eastAsia="en-US"/>
        </w:rPr>
        <w:t>.</w:t>
      </w:r>
      <w:r w:rsidRPr="006B7FA0">
        <w:rPr>
          <w:lang w:eastAsia="en-US"/>
        </w:rPr>
        <w:tab/>
      </w:r>
      <w:r w:rsidRPr="006B7FA0">
        <w:rPr>
          <w:i/>
          <w:iCs/>
          <w:lang w:eastAsia="en-US"/>
        </w:rPr>
        <w:t xml:space="preserve">Agree </w:t>
      </w:r>
      <w:r w:rsidRPr="006B7FA0">
        <w:rPr>
          <w:lang w:eastAsia="en-US"/>
        </w:rPr>
        <w:t>that, in accordance with the financial scheme’s principles, Parties should:</w:t>
      </w:r>
    </w:p>
    <w:p w14:paraId="49D1FC85" w14:textId="77777777" w:rsidR="00A603CF" w:rsidRPr="006B7FA0" w:rsidRDefault="00A603CF" w:rsidP="00A603CF">
      <w:pPr>
        <w:pStyle w:val="SingleTxtG"/>
        <w:ind w:firstLine="567"/>
        <w:rPr>
          <w:lang w:eastAsia="en-US"/>
        </w:rPr>
      </w:pPr>
      <w:r w:rsidRPr="006B7FA0">
        <w:rPr>
          <w:lang w:eastAsia="en-US"/>
        </w:rPr>
        <w:t>(a)</w:t>
      </w:r>
      <w:r w:rsidRPr="006B7FA0">
        <w:rPr>
          <w:lang w:eastAsia="en-US"/>
        </w:rPr>
        <w:tab/>
        <w:t xml:space="preserve">Make regular contributions in cash, </w:t>
      </w:r>
      <w:r>
        <w:rPr>
          <w:lang w:eastAsia="en-US"/>
        </w:rPr>
        <w:t xml:space="preserve">preferably without </w:t>
      </w:r>
      <w:r w:rsidRPr="006B7FA0">
        <w:rPr>
          <w:lang w:eastAsia="en-US"/>
        </w:rPr>
        <w:t>earmark</w:t>
      </w:r>
      <w:r>
        <w:rPr>
          <w:lang w:eastAsia="en-US"/>
        </w:rPr>
        <w:t>ing</w:t>
      </w:r>
      <w:r w:rsidRPr="006B7FA0">
        <w:rPr>
          <w:lang w:eastAsia="en-US"/>
        </w:rPr>
        <w:t xml:space="preserve"> them for a particular activity, in order not to limit their allocation for the priority costs;</w:t>
      </w:r>
    </w:p>
    <w:p w14:paraId="17D15E33" w14:textId="77777777" w:rsidR="00A603CF" w:rsidRPr="006B7FA0" w:rsidRDefault="00A603CF" w:rsidP="00A603CF">
      <w:pPr>
        <w:pStyle w:val="SingleTxtG"/>
        <w:ind w:firstLine="567"/>
        <w:rPr>
          <w:lang w:eastAsia="en-US"/>
        </w:rPr>
      </w:pPr>
      <w:r w:rsidRPr="006B7FA0">
        <w:rPr>
          <w:lang w:eastAsia="en-US"/>
        </w:rPr>
        <w:t>(b)</w:t>
      </w:r>
      <w:r w:rsidRPr="006B7FA0">
        <w:rPr>
          <w:lang w:eastAsia="en-US"/>
        </w:rPr>
        <w:tab/>
        <w:t>Make possible additional contributions in cash, earmarking them for a particular activity or service, or in kind</w:t>
      </w:r>
      <w:r>
        <w:rPr>
          <w:lang w:eastAsia="en-US"/>
        </w:rPr>
        <w:t>,</w:t>
      </w:r>
      <w:r w:rsidRPr="006B7FA0">
        <w:rPr>
          <w:lang w:eastAsia="en-US"/>
        </w:rPr>
        <w:t xml:space="preserve"> such as sponsoring Junior Professional Officers to strengthen the secretariat support; </w:t>
      </w:r>
    </w:p>
    <w:p w14:paraId="561782DF" w14:textId="77777777" w:rsidR="00A603CF" w:rsidRPr="006B7FA0" w:rsidRDefault="00A603CF" w:rsidP="00A603CF">
      <w:pPr>
        <w:pStyle w:val="SingleTxtG"/>
        <w:ind w:firstLine="567"/>
        <w:rPr>
          <w:lang w:eastAsia="en-US"/>
        </w:rPr>
      </w:pPr>
      <w:r w:rsidRPr="006B7FA0">
        <w:rPr>
          <w:lang w:eastAsia="en-US"/>
        </w:rPr>
        <w:t>(c)</w:t>
      </w:r>
      <w:r w:rsidRPr="006B7FA0">
        <w:rPr>
          <w:lang w:eastAsia="en-US"/>
        </w:rPr>
        <w:tab/>
        <w:t xml:space="preserve">Make contributions in cash through the ECE trust fund for the Convention and its Protocol, against payment requests to be issued by the secretariat; </w:t>
      </w:r>
    </w:p>
    <w:p w14:paraId="5F0495A1" w14:textId="77777777" w:rsidR="00A603CF" w:rsidRPr="006B7FA0" w:rsidRDefault="00A603CF" w:rsidP="00A603CF">
      <w:pPr>
        <w:pStyle w:val="SingleTxtG"/>
        <w:ind w:firstLine="567"/>
        <w:rPr>
          <w:lang w:eastAsia="en-US"/>
        </w:rPr>
      </w:pPr>
      <w:r w:rsidRPr="006B7FA0">
        <w:rPr>
          <w:lang w:eastAsia="en-US"/>
        </w:rPr>
        <w:t>(d)</w:t>
      </w:r>
      <w:r w:rsidRPr="006B7FA0">
        <w:rPr>
          <w:lang w:eastAsia="en-US"/>
        </w:rPr>
        <w:tab/>
        <w:t>Insofar as possible, make contributions for a given calendar year by 1 October of the preceding year or, otherwise, in the first six months of the calendar year to which the contributions apply, so as to secure the extension of extrabudgetary secretariat staff contracts, as a priority, for the secretariat’s smooth functioning and the workplan’s timely and effective implementation;</w:t>
      </w:r>
    </w:p>
    <w:p w14:paraId="4DED1B8D" w14:textId="77777777" w:rsidR="00A603CF" w:rsidRPr="006B7FA0" w:rsidRDefault="00A603CF" w:rsidP="00A603CF">
      <w:pPr>
        <w:pStyle w:val="SingleTxtG"/>
        <w:ind w:firstLine="567"/>
        <w:rPr>
          <w:lang w:eastAsia="en-US"/>
        </w:rPr>
      </w:pPr>
      <w:r w:rsidRPr="006B7FA0">
        <w:rPr>
          <w:lang w:eastAsia="en-US"/>
        </w:rPr>
        <w:t>(e)</w:t>
      </w:r>
      <w:r w:rsidRPr="006B7FA0">
        <w:rPr>
          <w:lang w:eastAsia="en-US"/>
        </w:rPr>
        <w:tab/>
        <w:t>Pledge well in advance of the adoption of the workplan and the budget by the Meetings of the Parties, their expected yearly or multi-year financial and in-kind contributions, to ensure that the workplan matches the level of funding and to provide greater certainty for financial and project management;</w:t>
      </w:r>
    </w:p>
    <w:p w14:paraId="1C46D6CD" w14:textId="77777777" w:rsidR="00A603CF" w:rsidRPr="006B7FA0" w:rsidRDefault="00A603CF" w:rsidP="00A603CF">
      <w:pPr>
        <w:pStyle w:val="SingleTxtG"/>
        <w:ind w:firstLine="567"/>
        <w:rPr>
          <w:lang w:eastAsia="en-US"/>
        </w:rPr>
      </w:pPr>
      <w:r w:rsidRPr="006B7FA0">
        <w:rPr>
          <w:lang w:eastAsia="en-US"/>
        </w:rPr>
        <w:t>(f)</w:t>
      </w:r>
      <w:r w:rsidRPr="006B7FA0">
        <w:rPr>
          <w:lang w:eastAsia="en-US"/>
        </w:rPr>
        <w:tab/>
        <w:t xml:space="preserve">As needed, provide to the secretariat the estimated monetary values, in United States dollars, of the activities and services planned to be delivered in kind under the workplan; </w:t>
      </w:r>
    </w:p>
    <w:p w14:paraId="64AB437F" w14:textId="77777777" w:rsidR="00A603CF" w:rsidRPr="006B7FA0" w:rsidRDefault="00A603CF" w:rsidP="00A603CF">
      <w:pPr>
        <w:pStyle w:val="SingleTxtG"/>
        <w:ind w:firstLine="567"/>
        <w:rPr>
          <w:lang w:eastAsia="en-US"/>
        </w:rPr>
      </w:pPr>
      <w:r>
        <w:rPr>
          <w:lang w:eastAsia="en-US"/>
        </w:rPr>
        <w:t>10</w:t>
      </w:r>
      <w:r w:rsidRPr="006B7FA0">
        <w:rPr>
          <w:lang w:eastAsia="en-US"/>
        </w:rPr>
        <w:t>.</w:t>
      </w:r>
      <w:r w:rsidRPr="006B7FA0">
        <w:rPr>
          <w:lang w:eastAsia="en-US"/>
        </w:rPr>
        <w:tab/>
      </w:r>
      <w:r w:rsidRPr="006B7FA0">
        <w:rPr>
          <w:i/>
          <w:iCs/>
          <w:lang w:eastAsia="en-US"/>
        </w:rPr>
        <w:t>Agree</w:t>
      </w:r>
      <w:r w:rsidRPr="006B7FA0">
        <w:rPr>
          <w:lang w:eastAsia="en-US"/>
        </w:rPr>
        <w:t xml:space="preserve"> that a single contribution to the trust fund should not be less than $1,000, bearing in mind the administrative transaction costs of each payment;</w:t>
      </w:r>
    </w:p>
    <w:p w14:paraId="194954DA" w14:textId="77777777" w:rsidR="00A603CF" w:rsidRPr="00247AFB" w:rsidRDefault="00A603CF" w:rsidP="00A603CF">
      <w:pPr>
        <w:pStyle w:val="SingleTxtG"/>
        <w:ind w:firstLine="567"/>
        <w:rPr>
          <w:lang w:eastAsia="en-US"/>
        </w:rPr>
      </w:pPr>
      <w:r w:rsidRPr="00247AFB">
        <w:rPr>
          <w:lang w:eastAsia="en-US"/>
        </w:rPr>
        <w:lastRenderedPageBreak/>
        <w:t>11.</w:t>
      </w:r>
      <w:r w:rsidRPr="00247AFB">
        <w:rPr>
          <w:lang w:eastAsia="en-US"/>
        </w:rPr>
        <w:tab/>
      </w:r>
      <w:r w:rsidRPr="00247AFB">
        <w:rPr>
          <w:i/>
          <w:iCs/>
          <w:lang w:eastAsia="en-US"/>
        </w:rPr>
        <w:t>Invite</w:t>
      </w:r>
      <w:r w:rsidRPr="00247AFB">
        <w:rPr>
          <w:lang w:eastAsia="en-US"/>
        </w:rPr>
        <w:t xml:space="preserve"> signatories, other interested States, organizations and international financial institutions to also contribute financially or in kind;</w:t>
      </w:r>
    </w:p>
    <w:p w14:paraId="2D48F062" w14:textId="4A6EA7C4" w:rsidR="00A603CF" w:rsidRPr="00247AFB" w:rsidRDefault="00A603CF" w:rsidP="00A603CF">
      <w:pPr>
        <w:pStyle w:val="SingleTxtG"/>
        <w:ind w:firstLine="567"/>
        <w:rPr>
          <w:lang w:eastAsia="en-US"/>
        </w:rPr>
      </w:pPr>
      <w:r w:rsidRPr="00247AFB">
        <w:rPr>
          <w:color w:val="000000"/>
          <w:lang w:eastAsia="en-US"/>
        </w:rPr>
        <w:t>12.</w:t>
      </w:r>
      <w:r w:rsidRPr="00247AFB">
        <w:rPr>
          <w:color w:val="000000"/>
          <w:lang w:eastAsia="en-US"/>
        </w:rPr>
        <w:tab/>
      </w:r>
      <w:r w:rsidRPr="00247AFB">
        <w:rPr>
          <w:i/>
          <w:color w:val="000000"/>
          <w:lang w:eastAsia="en-US"/>
        </w:rPr>
        <w:t>Adopt</w:t>
      </w:r>
      <w:r w:rsidRPr="00247AFB">
        <w:rPr>
          <w:color w:val="000000"/>
          <w:lang w:eastAsia="en-US"/>
        </w:rPr>
        <w:t xml:space="preserve"> </w:t>
      </w:r>
      <w:r w:rsidRPr="00247AFB">
        <w:rPr>
          <w:lang w:eastAsia="en-US"/>
        </w:rPr>
        <w:t>the financial report prepared by the secretariat covering the period 2021–2023 contained in document ECE/MP.EIA/2023/2–ECE/MP.EIA/SEA/2023/2;</w:t>
      </w:r>
    </w:p>
    <w:p w14:paraId="623ABA7D" w14:textId="77777777" w:rsidR="00A603CF" w:rsidRPr="00247AFB" w:rsidRDefault="00A603CF" w:rsidP="00A603CF">
      <w:pPr>
        <w:pStyle w:val="SingleTxtG"/>
        <w:ind w:firstLine="567"/>
        <w:rPr>
          <w:lang w:eastAsia="en-US"/>
        </w:rPr>
      </w:pPr>
      <w:r w:rsidRPr="00247AFB">
        <w:rPr>
          <w:color w:val="000000"/>
          <w:lang w:eastAsia="en-US"/>
        </w:rPr>
        <w:t>13.</w:t>
      </w:r>
      <w:r w:rsidRPr="00247AFB">
        <w:rPr>
          <w:color w:val="000000"/>
          <w:lang w:eastAsia="en-US"/>
        </w:rPr>
        <w:tab/>
      </w:r>
      <w:r w:rsidRPr="00247AFB">
        <w:rPr>
          <w:i/>
          <w:color w:val="000000"/>
          <w:lang w:eastAsia="en-US"/>
        </w:rPr>
        <w:t>Decide</w:t>
      </w:r>
      <w:r w:rsidRPr="00247AFB">
        <w:rPr>
          <w:color w:val="000000"/>
          <w:lang w:eastAsia="en-US"/>
        </w:rPr>
        <w:t xml:space="preserve"> </w:t>
      </w:r>
      <w:r w:rsidRPr="00247AFB">
        <w:rPr>
          <w:lang w:eastAsia="en-US"/>
        </w:rPr>
        <w:t>that activities under the workplan for 2024–2026 and the corresponding estimated resource requirements, as set out in, respectively, annexes I and II to decision IX/2–V/2, and which are not covered by the United Nations regular budget, are to be covered by Parties’ contributions to the trust fund totalling $[1, 928,610];</w:t>
      </w:r>
    </w:p>
    <w:p w14:paraId="021133EB" w14:textId="77777777" w:rsidR="00A603CF" w:rsidRDefault="00A603CF" w:rsidP="00A603CF">
      <w:pPr>
        <w:pStyle w:val="SingleTxtG"/>
        <w:ind w:firstLine="567"/>
        <w:rPr>
          <w:lang w:eastAsia="en-US"/>
        </w:rPr>
      </w:pPr>
      <w:r w:rsidRPr="00644F0F">
        <w:rPr>
          <w:color w:val="000000"/>
          <w:lang w:eastAsia="en-US"/>
        </w:rPr>
        <w:t>14.</w:t>
      </w:r>
      <w:r w:rsidRPr="00644F0F">
        <w:rPr>
          <w:color w:val="000000"/>
          <w:lang w:eastAsia="en-US"/>
        </w:rPr>
        <w:tab/>
      </w:r>
      <w:r w:rsidRPr="00644F0F">
        <w:rPr>
          <w:i/>
          <w:lang w:eastAsia="en-US"/>
        </w:rPr>
        <w:t xml:space="preserve">Underline </w:t>
      </w:r>
      <w:r w:rsidRPr="00644F0F">
        <w:rPr>
          <w:lang w:eastAsia="en-US"/>
        </w:rPr>
        <w:t>the need for appropriate and stable secretariat staffing for planning and delivery of workplan activities by giving the highest priority to financing sufficient extrabudgetary secretariat staff, including to provide support for the Implementation Committee under the Convention and the Protocol;</w:t>
      </w:r>
    </w:p>
    <w:p w14:paraId="69015E10" w14:textId="77777777" w:rsidR="00A603CF" w:rsidRPr="00247AFB" w:rsidRDefault="00A603CF" w:rsidP="00A603CF">
      <w:pPr>
        <w:pStyle w:val="SingleTxtG"/>
        <w:ind w:firstLine="567"/>
        <w:rPr>
          <w:lang w:eastAsia="en-US"/>
        </w:rPr>
      </w:pPr>
      <w:r>
        <w:rPr>
          <w:color w:val="000000"/>
          <w:lang w:eastAsia="en-US"/>
        </w:rPr>
        <w:t>15.</w:t>
      </w:r>
      <w:r>
        <w:rPr>
          <w:color w:val="000000"/>
          <w:lang w:eastAsia="en-US"/>
        </w:rPr>
        <w:tab/>
      </w:r>
      <w:r w:rsidRPr="00CC1D0B">
        <w:rPr>
          <w:i/>
          <w:iCs/>
          <w:color w:val="000000"/>
          <w:lang w:eastAsia="en-US"/>
        </w:rPr>
        <w:t xml:space="preserve">Agree </w:t>
      </w:r>
      <w:r>
        <w:rPr>
          <w:color w:val="000000"/>
          <w:lang w:eastAsia="en-US"/>
        </w:rPr>
        <w:t>that any savings made in the previous periods may be carried over and be earmarked for secretariat staff resources;</w:t>
      </w:r>
    </w:p>
    <w:p w14:paraId="748285A5" w14:textId="77777777" w:rsidR="00A603CF" w:rsidRPr="00247AFB" w:rsidRDefault="00A603CF" w:rsidP="00A603CF">
      <w:pPr>
        <w:pStyle w:val="SingleTxtG"/>
        <w:ind w:firstLine="567"/>
        <w:rPr>
          <w:lang w:eastAsia="en-US"/>
        </w:rPr>
      </w:pPr>
      <w:r w:rsidRPr="00247AFB">
        <w:rPr>
          <w:color w:val="000000"/>
          <w:lang w:eastAsia="en-US"/>
        </w:rPr>
        <w:t>15.</w:t>
      </w:r>
      <w:r w:rsidRPr="00247AFB">
        <w:rPr>
          <w:color w:val="000000"/>
          <w:lang w:eastAsia="en-US"/>
        </w:rPr>
        <w:tab/>
      </w:r>
      <w:r w:rsidRPr="00247AFB">
        <w:rPr>
          <w:i/>
          <w:iCs/>
          <w:color w:val="000000"/>
          <w:lang w:eastAsia="en-US"/>
        </w:rPr>
        <w:t>A</w:t>
      </w:r>
      <w:r w:rsidRPr="00247AFB">
        <w:rPr>
          <w:i/>
          <w:iCs/>
          <w:lang w:eastAsia="en-US"/>
        </w:rPr>
        <w:t>gree</w:t>
      </w:r>
      <w:r>
        <w:rPr>
          <w:i/>
          <w:iCs/>
          <w:lang w:eastAsia="en-US"/>
        </w:rPr>
        <w:t xml:space="preserve"> also</w:t>
      </w:r>
      <w:r w:rsidRPr="00247AFB">
        <w:rPr>
          <w:lang w:eastAsia="en-US"/>
        </w:rPr>
        <w:t xml:space="preserve"> that, in accordance with United Nations financial rules, the secretariat should allocate the required amount of contributions in the trust fund by 1 October of each year </w:t>
      </w:r>
      <w:bookmarkStart w:id="3" w:name="_Hlk32424366"/>
      <w:r w:rsidRPr="00247AFB">
        <w:rPr>
          <w:lang w:eastAsia="en-US"/>
        </w:rPr>
        <w:t xml:space="preserve">to secure extension of extrabudgetary secretariat staff contracts, as a priority; </w:t>
      </w:r>
    </w:p>
    <w:p w14:paraId="4E4E091F" w14:textId="77777777" w:rsidR="00A603CF" w:rsidRPr="00247AFB" w:rsidRDefault="00A603CF" w:rsidP="00A603CF">
      <w:pPr>
        <w:pStyle w:val="SingleTxtG"/>
        <w:ind w:firstLine="567"/>
        <w:rPr>
          <w:lang w:eastAsia="en-US"/>
        </w:rPr>
      </w:pPr>
      <w:r w:rsidRPr="00247AFB">
        <w:rPr>
          <w:lang w:eastAsia="en-US"/>
        </w:rPr>
        <w:t>16.</w:t>
      </w:r>
      <w:r w:rsidRPr="00247AFB">
        <w:rPr>
          <w:lang w:eastAsia="en-US"/>
        </w:rPr>
        <w:tab/>
      </w:r>
      <w:r w:rsidRPr="00247AFB">
        <w:rPr>
          <w:i/>
          <w:iCs/>
          <w:lang w:eastAsia="en-US"/>
        </w:rPr>
        <w:t>Request</w:t>
      </w:r>
      <w:r w:rsidRPr="00247AFB">
        <w:rPr>
          <w:lang w:eastAsia="en-US"/>
        </w:rPr>
        <w:t xml:space="preserve"> the secretariat to provide Parties with payment requests in accordance with their Governments’ pledges by the end of March 2024, for contributions for the year 2024, and, for the years 2025 and 2026, by 15 September of the preceding year, stressing the Parties’ responsibility to ensure the timeliness of their contributions; </w:t>
      </w:r>
    </w:p>
    <w:p w14:paraId="22C0BF9B" w14:textId="77777777" w:rsidR="00A603CF" w:rsidRPr="00247AFB" w:rsidRDefault="00A603CF" w:rsidP="00A603CF">
      <w:pPr>
        <w:pStyle w:val="SingleTxtG"/>
        <w:ind w:firstLine="567"/>
        <w:rPr>
          <w:lang w:eastAsia="en-US"/>
        </w:rPr>
      </w:pPr>
      <w:r w:rsidRPr="00247AFB">
        <w:rPr>
          <w:lang w:eastAsia="en-US"/>
        </w:rPr>
        <w:t>17.</w:t>
      </w:r>
      <w:r w:rsidRPr="00247AFB">
        <w:rPr>
          <w:lang w:eastAsia="en-US"/>
        </w:rPr>
        <w:tab/>
      </w:r>
      <w:r w:rsidRPr="00247AFB">
        <w:rPr>
          <w:i/>
          <w:iCs/>
          <w:lang w:eastAsia="en-US"/>
        </w:rPr>
        <w:t>Also request</w:t>
      </w:r>
      <w:r w:rsidRPr="00247AFB">
        <w:rPr>
          <w:lang w:eastAsia="en-US"/>
        </w:rPr>
        <w:t xml:space="preserve"> the secretariat to provide Parties whose contributions have not been received by 31 December of the relevant year with timely reminders concerning outstanding pledges and possible arrears at the beginning of each year, highlighting the importance of contributing; </w:t>
      </w:r>
    </w:p>
    <w:bookmarkEnd w:id="3"/>
    <w:p w14:paraId="578372E0" w14:textId="77777777" w:rsidR="00A603CF" w:rsidRPr="00247AFB" w:rsidRDefault="00A603CF" w:rsidP="00A603CF">
      <w:pPr>
        <w:pStyle w:val="SingleTxtG"/>
        <w:ind w:firstLine="567"/>
        <w:rPr>
          <w:lang w:eastAsia="en-US"/>
        </w:rPr>
      </w:pPr>
      <w:r w:rsidRPr="00247AFB">
        <w:rPr>
          <w:lang w:eastAsia="en-US"/>
        </w:rPr>
        <w:t>18.</w:t>
      </w:r>
      <w:r w:rsidRPr="00247AFB">
        <w:rPr>
          <w:lang w:eastAsia="en-US"/>
        </w:rPr>
        <w:tab/>
      </w:r>
      <w:r w:rsidRPr="00247AFB">
        <w:rPr>
          <w:i/>
          <w:iCs/>
          <w:lang w:eastAsia="en-US"/>
        </w:rPr>
        <w:t>Further</w:t>
      </w:r>
      <w:r w:rsidRPr="00247AFB">
        <w:rPr>
          <w:lang w:eastAsia="en-US"/>
        </w:rPr>
        <w:t xml:space="preserve"> </w:t>
      </w:r>
      <w:r w:rsidRPr="00247AFB">
        <w:rPr>
          <w:i/>
          <w:lang w:eastAsia="en-US"/>
        </w:rPr>
        <w:t xml:space="preserve">request </w:t>
      </w:r>
      <w:r w:rsidRPr="00247AFB">
        <w:rPr>
          <w:lang w:eastAsia="en-US"/>
        </w:rPr>
        <w:t>the secretariat, in accordance with United Nations financial rules, and within the limits of its resources, to:</w:t>
      </w:r>
    </w:p>
    <w:p w14:paraId="68DAE5D9" w14:textId="77777777" w:rsidR="00A603CF" w:rsidRPr="00247AFB" w:rsidRDefault="00A603CF" w:rsidP="00A603CF">
      <w:pPr>
        <w:pStyle w:val="SingleTxtG"/>
        <w:ind w:firstLine="567"/>
        <w:rPr>
          <w:lang w:eastAsia="en-US"/>
        </w:rPr>
      </w:pPr>
      <w:r w:rsidRPr="00247AFB">
        <w:rPr>
          <w:lang w:eastAsia="en-US"/>
        </w:rPr>
        <w:t>(a)</w:t>
      </w:r>
      <w:r w:rsidRPr="00247AFB">
        <w:rPr>
          <w:lang w:eastAsia="en-US"/>
        </w:rPr>
        <w:tab/>
        <w:t>Monitor the use of funds, and continue to prepare and submit to the Bureau annual financial reports and request the Bureau to consider them and agree to their publication;</w:t>
      </w:r>
    </w:p>
    <w:p w14:paraId="30B093F1" w14:textId="77777777" w:rsidR="00A603CF" w:rsidRPr="00247AFB" w:rsidRDefault="00A603CF" w:rsidP="00A603CF">
      <w:pPr>
        <w:pStyle w:val="SingleTxtG"/>
        <w:ind w:firstLine="567"/>
        <w:rPr>
          <w:lang w:eastAsia="en-US"/>
        </w:rPr>
      </w:pPr>
      <w:r w:rsidRPr="00247AFB">
        <w:rPr>
          <w:lang w:eastAsia="en-US"/>
        </w:rPr>
        <w:t>(b)</w:t>
      </w:r>
      <w:r w:rsidRPr="00247AFB">
        <w:rPr>
          <w:lang w:eastAsia="en-US"/>
        </w:rPr>
        <w:tab/>
        <w:t>Include in the reports information on the resources available, including in-kind contributions (and their estimated values in United States dollars, if made available to the secretariat) and to highlight any arrears in the payment of Parties’ regular contributions during the intersessional period;</w:t>
      </w:r>
      <w:r w:rsidRPr="00247AFB">
        <w:rPr>
          <w:lang w:eastAsia="en-US"/>
        </w:rPr>
        <w:tab/>
      </w:r>
    </w:p>
    <w:p w14:paraId="012863CA" w14:textId="77777777" w:rsidR="00A603CF" w:rsidRPr="00247AFB" w:rsidRDefault="00A603CF" w:rsidP="00A603CF">
      <w:pPr>
        <w:pStyle w:val="SingleTxtG"/>
        <w:ind w:firstLine="567"/>
        <w:rPr>
          <w:lang w:eastAsia="en-US"/>
        </w:rPr>
      </w:pPr>
      <w:r w:rsidRPr="00247AFB">
        <w:rPr>
          <w:lang w:eastAsia="en-US"/>
        </w:rPr>
        <w:t>(c)</w:t>
      </w:r>
      <w:r w:rsidRPr="00247AFB">
        <w:rPr>
          <w:lang w:eastAsia="en-US"/>
        </w:rPr>
        <w:tab/>
        <w:t>Prepare a report for the next sessions of the Meetings of the Parties, based on the information contained in the annual reports and giving a clear indication of the significant developments during the period, in order that Parties can best meet future demands for resources under the Convention and its Protocol;</w:t>
      </w:r>
    </w:p>
    <w:p w14:paraId="0588EAB1" w14:textId="77777777" w:rsidR="00A603CF" w:rsidRPr="00247AFB" w:rsidRDefault="00A603CF" w:rsidP="00A603CF">
      <w:pPr>
        <w:pStyle w:val="SingleTxtG"/>
        <w:ind w:firstLine="567"/>
        <w:rPr>
          <w:lang w:eastAsia="en-US"/>
        </w:rPr>
      </w:pPr>
      <w:r w:rsidRPr="00247AFB">
        <w:rPr>
          <w:lang w:eastAsia="en-US"/>
        </w:rPr>
        <w:t>19.</w:t>
      </w:r>
      <w:r w:rsidRPr="00247AFB">
        <w:rPr>
          <w:lang w:eastAsia="en-US"/>
        </w:rPr>
        <w:tab/>
      </w:r>
      <w:r w:rsidRPr="00247AFB">
        <w:rPr>
          <w:i/>
          <w:iCs/>
          <w:lang w:eastAsia="en-US"/>
        </w:rPr>
        <w:t xml:space="preserve">Request </w:t>
      </w:r>
      <w:r w:rsidRPr="00247AFB">
        <w:rPr>
          <w:lang w:eastAsia="en-US"/>
        </w:rPr>
        <w:t xml:space="preserve">the Working Group to consider, in the light of the annual reports, whether changes would be required to the workplan’s content or time frame, in the event that the level of contributions does not match the level of funding needed;  </w:t>
      </w:r>
    </w:p>
    <w:p w14:paraId="70A04584" w14:textId="77777777" w:rsidR="00A603CF" w:rsidRPr="00247AFB" w:rsidRDefault="00A603CF" w:rsidP="00A603CF">
      <w:pPr>
        <w:pStyle w:val="SingleTxtG"/>
        <w:ind w:firstLine="567"/>
        <w:rPr>
          <w:lang w:eastAsia="en-US"/>
        </w:rPr>
      </w:pPr>
      <w:r w:rsidRPr="00247AFB">
        <w:rPr>
          <w:color w:val="000000"/>
          <w:lang w:eastAsia="en-US"/>
        </w:rPr>
        <w:t>20.</w:t>
      </w:r>
      <w:r w:rsidRPr="00247AFB">
        <w:rPr>
          <w:color w:val="000000"/>
          <w:lang w:eastAsia="en-US"/>
        </w:rPr>
        <w:tab/>
      </w:r>
      <w:r w:rsidRPr="00247AFB">
        <w:rPr>
          <w:i/>
          <w:lang w:eastAsia="en-US"/>
        </w:rPr>
        <w:t>Decide</w:t>
      </w:r>
      <w:r w:rsidRPr="00247AFB">
        <w:rPr>
          <w:lang w:eastAsia="en-US"/>
        </w:rPr>
        <w:t xml:space="preserve"> that the Executive Secretary of ECE has the authority, after consultations with the Bureau, to make transfers between the main budget lines of up to 10 per cent of the main budget line from which the transfer would be made, where such adjustments of the allocations are necessary before the next sessions of the Meetings of Parties, and that Parties must be promptly informed of such adjustments;</w:t>
      </w:r>
    </w:p>
    <w:p w14:paraId="4F97CDA6" w14:textId="77777777" w:rsidR="00A603CF" w:rsidRPr="00247AFB" w:rsidRDefault="00A603CF" w:rsidP="00A603CF">
      <w:pPr>
        <w:pStyle w:val="SingleTxtG"/>
        <w:ind w:firstLine="567"/>
        <w:rPr>
          <w:lang w:eastAsia="en-US"/>
        </w:rPr>
      </w:pPr>
      <w:r w:rsidRPr="00247AFB">
        <w:rPr>
          <w:color w:val="000000"/>
          <w:lang w:eastAsia="en-US"/>
        </w:rPr>
        <w:t>21.</w:t>
      </w:r>
      <w:r w:rsidRPr="00247AFB">
        <w:rPr>
          <w:color w:val="000000"/>
          <w:lang w:eastAsia="en-US"/>
        </w:rPr>
        <w:tab/>
      </w:r>
      <w:r w:rsidRPr="00247AFB">
        <w:rPr>
          <w:i/>
          <w:color w:val="000000"/>
          <w:lang w:eastAsia="en-US"/>
        </w:rPr>
        <w:t>R</w:t>
      </w:r>
      <w:r w:rsidRPr="00247AFB">
        <w:rPr>
          <w:i/>
          <w:iCs/>
          <w:color w:val="000000"/>
          <w:lang w:eastAsia="en-US"/>
        </w:rPr>
        <w:t>equest</w:t>
      </w:r>
      <w:r w:rsidRPr="00247AFB">
        <w:rPr>
          <w:color w:val="000000"/>
          <w:lang w:eastAsia="en-US"/>
        </w:rPr>
        <w:t xml:space="preserve"> </w:t>
      </w:r>
      <w:r w:rsidRPr="00247AFB">
        <w:rPr>
          <w:lang w:eastAsia="en-US"/>
        </w:rPr>
        <w:t>the Executive Secretary of ECE to allocate more resources to support work under the Convention and the Protocol, considering the balance in the use of regular budgetary resources in the different subprogrammes;</w:t>
      </w:r>
    </w:p>
    <w:p w14:paraId="0DB93B17" w14:textId="77777777" w:rsidR="00A603CF" w:rsidRPr="00247AFB" w:rsidRDefault="00A603CF" w:rsidP="00A603CF">
      <w:pPr>
        <w:pStyle w:val="SingleTxtG"/>
        <w:ind w:firstLine="567"/>
        <w:rPr>
          <w:lang w:eastAsia="en-US"/>
        </w:rPr>
      </w:pPr>
      <w:r w:rsidRPr="00247AFB">
        <w:rPr>
          <w:color w:val="000000"/>
          <w:lang w:eastAsia="en-US"/>
        </w:rPr>
        <w:t>22.</w:t>
      </w:r>
      <w:r w:rsidRPr="00247AFB">
        <w:rPr>
          <w:color w:val="000000"/>
          <w:lang w:eastAsia="en-US"/>
        </w:rPr>
        <w:tab/>
      </w:r>
      <w:r w:rsidRPr="00247AFB">
        <w:rPr>
          <w:i/>
          <w:lang w:eastAsia="en-US"/>
        </w:rPr>
        <w:t>Call upon</w:t>
      </w:r>
      <w:r w:rsidRPr="00247AFB">
        <w:rPr>
          <w:lang w:eastAsia="en-US"/>
        </w:rPr>
        <w:t xml:space="preserve"> countries with economies in transition to finance, to the extent possible, their own participation in the activities under the Convention and its Protocol, in order to ensure that the limited funds available are used efficiently;</w:t>
      </w:r>
    </w:p>
    <w:p w14:paraId="120A8B42" w14:textId="7B2C66B7" w:rsidR="00995079" w:rsidRDefault="00A603CF" w:rsidP="009C6C76">
      <w:pPr>
        <w:pStyle w:val="SingleTxtG"/>
        <w:ind w:firstLine="567"/>
        <w:rPr>
          <w:lang w:eastAsia="en-US"/>
        </w:rPr>
      </w:pPr>
      <w:r w:rsidRPr="00247AFB">
        <w:rPr>
          <w:color w:val="000000"/>
          <w:lang w:eastAsia="en-US"/>
        </w:rPr>
        <w:lastRenderedPageBreak/>
        <w:t>23.</w:t>
      </w:r>
      <w:r w:rsidRPr="00247AFB">
        <w:rPr>
          <w:color w:val="000000"/>
          <w:lang w:eastAsia="en-US"/>
        </w:rPr>
        <w:tab/>
      </w:r>
      <w:r w:rsidRPr="00247AFB">
        <w:rPr>
          <w:i/>
          <w:color w:val="000000"/>
          <w:lang w:eastAsia="en-US"/>
        </w:rPr>
        <w:t>Urge</w:t>
      </w:r>
      <w:r w:rsidRPr="00247AFB">
        <w:rPr>
          <w:color w:val="000000"/>
          <w:lang w:eastAsia="en-US"/>
        </w:rPr>
        <w:t xml:space="preserve"> </w:t>
      </w:r>
      <w:r w:rsidRPr="00247AFB">
        <w:rPr>
          <w:lang w:eastAsia="en-US"/>
        </w:rPr>
        <w:t xml:space="preserve">Parties and encourage non-Parties and relevant international organizations to contribute financial </w:t>
      </w:r>
      <w:r w:rsidRPr="009C6C76">
        <w:t>resources</w:t>
      </w:r>
      <w:r w:rsidRPr="00247AFB">
        <w:rPr>
          <w:lang w:eastAsia="en-US"/>
        </w:rPr>
        <w:t xml:space="preserve"> to enable countries with economies in transition and non-governmental organizations to participate in the meetings under the Convention and its Protocol;</w:t>
      </w:r>
    </w:p>
    <w:p w14:paraId="5EAD17F9" w14:textId="77777777" w:rsidR="00A603CF" w:rsidRPr="00247AFB" w:rsidRDefault="00A603CF" w:rsidP="009C6C76">
      <w:pPr>
        <w:pStyle w:val="SingleTxtG"/>
        <w:ind w:firstLine="567"/>
        <w:rPr>
          <w:lang w:eastAsia="en-US"/>
        </w:rPr>
      </w:pPr>
      <w:r w:rsidRPr="00247AFB">
        <w:rPr>
          <w:color w:val="000000"/>
          <w:lang w:eastAsia="en-US"/>
        </w:rPr>
        <w:t>24.</w:t>
      </w:r>
      <w:r w:rsidRPr="00247AFB">
        <w:rPr>
          <w:color w:val="000000"/>
          <w:lang w:eastAsia="en-US"/>
        </w:rPr>
        <w:tab/>
      </w:r>
      <w:r w:rsidRPr="00247AFB">
        <w:rPr>
          <w:i/>
          <w:color w:val="000000"/>
          <w:lang w:eastAsia="en-US"/>
        </w:rPr>
        <w:t>Recommend</w:t>
      </w:r>
      <w:r w:rsidRPr="00247AFB">
        <w:rPr>
          <w:color w:val="000000"/>
          <w:lang w:eastAsia="en-US"/>
        </w:rPr>
        <w:t xml:space="preserve"> </w:t>
      </w:r>
      <w:r w:rsidRPr="00247AFB">
        <w:rPr>
          <w:lang w:eastAsia="en-US"/>
        </w:rPr>
        <w:t>that the Convention and its Protocol apply the guiding criteria established and periodically updated by the Committee on Environmental Policy for financial assistance to support the participation of experts and representatives from countries with economies in transition in meetings under the Convention and its Protocol and other relevant activities, depending upon the availability of funds for this purpose;</w:t>
      </w:r>
    </w:p>
    <w:p w14:paraId="317D8440" w14:textId="77777777" w:rsidR="00A603CF" w:rsidRPr="00247AFB" w:rsidRDefault="00A603CF" w:rsidP="00A603CF">
      <w:pPr>
        <w:pStyle w:val="SingleTxtG"/>
        <w:ind w:firstLine="567"/>
        <w:rPr>
          <w:lang w:eastAsia="en-US"/>
        </w:rPr>
      </w:pPr>
      <w:r w:rsidRPr="00247AFB">
        <w:rPr>
          <w:lang w:eastAsia="en-US"/>
        </w:rPr>
        <w:t>25.</w:t>
      </w:r>
      <w:r w:rsidRPr="00247AFB">
        <w:rPr>
          <w:lang w:eastAsia="en-US"/>
        </w:rPr>
        <w:tab/>
      </w:r>
      <w:r w:rsidRPr="00247AFB">
        <w:rPr>
          <w:i/>
          <w:iCs/>
          <w:lang w:eastAsia="en-US"/>
        </w:rPr>
        <w:t xml:space="preserve">Agree </w:t>
      </w:r>
      <w:r w:rsidRPr="00247AFB">
        <w:rPr>
          <w:lang w:eastAsia="en-US"/>
        </w:rPr>
        <w:t>that, if required, and on an exceptional basis, travel-related expenses for meetings of treaty bodies of elected officers from countries not eligible for financial support could be funded from the trust fund</w:t>
      </w:r>
      <w:r>
        <w:rPr>
          <w:lang w:eastAsia="en-US"/>
        </w:rPr>
        <w:t xml:space="preserve">, should there be sufficient money therein to cover the expense in question;  </w:t>
      </w:r>
    </w:p>
    <w:p w14:paraId="37474818" w14:textId="77777777" w:rsidR="00A603CF" w:rsidRPr="00247AFB" w:rsidRDefault="00A603CF" w:rsidP="00A603CF">
      <w:pPr>
        <w:pStyle w:val="SingleTxtG"/>
        <w:ind w:firstLine="567"/>
        <w:rPr>
          <w:lang w:eastAsia="en-US"/>
        </w:rPr>
      </w:pPr>
      <w:r w:rsidRPr="00247AFB">
        <w:rPr>
          <w:lang w:eastAsia="en-US"/>
        </w:rPr>
        <w:t>26.</w:t>
      </w:r>
      <w:r w:rsidRPr="00247AFB">
        <w:rPr>
          <w:lang w:eastAsia="en-US"/>
        </w:rPr>
        <w:tab/>
      </w:r>
      <w:r w:rsidRPr="00247AFB">
        <w:rPr>
          <w:i/>
          <w:iCs/>
          <w:lang w:eastAsia="en-US"/>
        </w:rPr>
        <w:t xml:space="preserve">Decide </w:t>
      </w:r>
      <w:r w:rsidRPr="00247AFB">
        <w:rPr>
          <w:lang w:eastAsia="en-US"/>
        </w:rPr>
        <w:t xml:space="preserve">that, contingent on the availability of funds for this purpose, financial support is to be provided for participation in formal meetings of representatives of non-governmental organizations and of developing and least-developed countries from outside the ECE region, in accordance with the agreed budget and criteria to be set by the Bureau; and, for non-ECE countries, subject to a case-by-case examination by the Bureau; </w:t>
      </w:r>
    </w:p>
    <w:p w14:paraId="44A58714" w14:textId="77777777" w:rsidR="00A603CF" w:rsidRPr="00247AFB" w:rsidRDefault="00A603CF" w:rsidP="00A603CF">
      <w:pPr>
        <w:pStyle w:val="SingleTxtG"/>
        <w:ind w:firstLine="567"/>
        <w:rPr>
          <w:lang w:eastAsia="en-US"/>
        </w:rPr>
      </w:pPr>
      <w:r w:rsidRPr="00247AFB">
        <w:rPr>
          <w:lang w:eastAsia="en-US"/>
        </w:rPr>
        <w:t>27.</w:t>
      </w:r>
      <w:r w:rsidRPr="00247AFB">
        <w:rPr>
          <w:lang w:eastAsia="en-US"/>
        </w:rPr>
        <w:tab/>
      </w:r>
      <w:r w:rsidRPr="00247AFB">
        <w:rPr>
          <w:i/>
          <w:iCs/>
          <w:lang w:eastAsia="en-US"/>
        </w:rPr>
        <w:t>Also decide</w:t>
      </w:r>
      <w:r w:rsidRPr="00247AFB">
        <w:rPr>
          <w:lang w:eastAsia="en-US"/>
        </w:rPr>
        <w:t xml:space="preserve"> that the Working Group on Environmental Impact Assessment and Strategic Environmental Assessment should agree on a further draft decision on financial arrangements for adoption by the Meetings of the Parties to the Convention and the Protocol at their tenth and sixth sessions, respectively, based on experience gained in the interim period;</w:t>
      </w:r>
    </w:p>
    <w:p w14:paraId="716D70CA" w14:textId="45C3A56E" w:rsidR="00A603CF" w:rsidRDefault="00A603CF" w:rsidP="009C6C76">
      <w:pPr>
        <w:pStyle w:val="SingleTxtG"/>
        <w:ind w:firstLine="567"/>
        <w:rPr>
          <w:lang w:eastAsia="en-US"/>
        </w:rPr>
      </w:pPr>
      <w:r w:rsidRPr="00247AFB">
        <w:rPr>
          <w:lang w:eastAsia="en-US"/>
        </w:rPr>
        <w:t>28.</w:t>
      </w:r>
      <w:r w:rsidRPr="00247AFB">
        <w:rPr>
          <w:lang w:eastAsia="en-US"/>
        </w:rPr>
        <w:tab/>
      </w:r>
      <w:r w:rsidRPr="00247AFB">
        <w:rPr>
          <w:i/>
          <w:iCs/>
          <w:lang w:eastAsia="en-US"/>
        </w:rPr>
        <w:t>Agree</w:t>
      </w:r>
      <w:r w:rsidRPr="00247AFB">
        <w:rPr>
          <w:lang w:eastAsia="en-US"/>
        </w:rPr>
        <w:t xml:space="preserve"> to review the operation of the financial scheme at the tenth and sixth sessions of the Meetings of the Parties to the Convention and the Protocol, respectively.</w:t>
      </w:r>
    </w:p>
    <w:p w14:paraId="229CAF9C" w14:textId="77777777" w:rsidR="00A603CF" w:rsidRDefault="00A603CF" w:rsidP="00A603CF">
      <w:pPr>
        <w:pStyle w:val="SingleTxtG"/>
        <w:sectPr w:rsidR="00A603CF" w:rsidSect="00CC557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993" w:left="1134" w:header="680" w:footer="567" w:gutter="0"/>
          <w:cols w:space="720"/>
          <w:titlePg/>
          <w:docGrid w:linePitch="272"/>
        </w:sectPr>
      </w:pPr>
    </w:p>
    <w:p w14:paraId="0CB0A724" w14:textId="3149EE09" w:rsidR="00C01580" w:rsidRDefault="00A603CF" w:rsidP="00A603CF">
      <w:pPr>
        <w:pStyle w:val="HChG"/>
      </w:pPr>
      <w:r>
        <w:lastRenderedPageBreak/>
        <w:tab/>
      </w:r>
      <w:r w:rsidRPr="00A603CF">
        <w:t>Annex</w:t>
      </w:r>
      <w:bookmarkStart w:id="4" w:name="_Hlk137660906"/>
    </w:p>
    <w:p w14:paraId="387D6925" w14:textId="086EE336" w:rsidR="00A603CF" w:rsidRPr="00CC62EC" w:rsidRDefault="00C01580" w:rsidP="00C01580">
      <w:pPr>
        <w:pStyle w:val="HChG"/>
        <w:rPr>
          <w:lang w:eastAsia="en-US"/>
        </w:rPr>
      </w:pPr>
      <w:r>
        <w:rPr>
          <w:lang w:eastAsia="en-US"/>
        </w:rPr>
        <w:tab/>
      </w:r>
      <w:r>
        <w:rPr>
          <w:lang w:eastAsia="en-US"/>
        </w:rPr>
        <w:tab/>
      </w:r>
      <w:r w:rsidR="00A603CF" w:rsidRPr="00CC62EC">
        <w:rPr>
          <w:lang w:eastAsia="en-US"/>
        </w:rPr>
        <w:t>Indicative scale for annual contributions by State Parties to the Espoo Convention to fund the proposed budget for 2024–2026</w:t>
      </w:r>
      <w:r w:rsidR="00A603CF">
        <w:rPr>
          <w:lang w:eastAsia="en-US"/>
        </w:rPr>
        <w:t xml:space="preserve"> </w:t>
      </w:r>
      <w:r w:rsidR="00A603CF" w:rsidRPr="00A603CF">
        <w:t>(for Parties to refer to on a voluntary basis)</w:t>
      </w:r>
      <w:bookmarkEnd w:id="4"/>
    </w:p>
    <w:tbl>
      <w:tblPr>
        <w:tblW w:w="8789" w:type="dxa"/>
        <w:tblInd w:w="567" w:type="dxa"/>
        <w:tblLayout w:type="fixed"/>
        <w:tblCellMar>
          <w:left w:w="0" w:type="dxa"/>
          <w:right w:w="0" w:type="dxa"/>
        </w:tblCellMar>
        <w:tblLook w:val="04A0" w:firstRow="1" w:lastRow="0" w:firstColumn="1" w:lastColumn="0" w:noHBand="0" w:noVBand="1"/>
      </w:tblPr>
      <w:tblGrid>
        <w:gridCol w:w="1701"/>
        <w:gridCol w:w="1843"/>
        <w:gridCol w:w="1559"/>
        <w:gridCol w:w="1843"/>
        <w:gridCol w:w="1843"/>
      </w:tblGrid>
      <w:tr w:rsidR="00A603CF" w:rsidRPr="00D46C32" w14:paraId="7AB6020E" w14:textId="77777777" w:rsidTr="00441519">
        <w:trPr>
          <w:tblHeader/>
        </w:trPr>
        <w:tc>
          <w:tcPr>
            <w:tcW w:w="1701" w:type="dxa"/>
            <w:tcBorders>
              <w:top w:val="single" w:sz="4" w:space="0" w:color="auto"/>
              <w:bottom w:val="single" w:sz="12" w:space="0" w:color="auto"/>
            </w:tcBorders>
            <w:shd w:val="clear" w:color="auto" w:fill="auto"/>
            <w:vAlign w:val="bottom"/>
            <w:hideMark/>
          </w:tcPr>
          <w:p w14:paraId="3E5743CA" w14:textId="77777777" w:rsidR="00A603CF" w:rsidRPr="00D46C32" w:rsidRDefault="00A603CF">
            <w:pPr>
              <w:spacing w:before="80" w:after="80" w:line="200" w:lineRule="exact"/>
              <w:rPr>
                <w:i/>
                <w:iCs/>
                <w:sz w:val="16"/>
                <w:szCs w:val="16"/>
                <w:lang w:eastAsia="zh-CN"/>
              </w:rPr>
            </w:pPr>
            <w:bookmarkStart w:id="5" w:name="_Hlk130551098"/>
            <w:r w:rsidRPr="00D46C32">
              <w:rPr>
                <w:i/>
                <w:iCs/>
                <w:sz w:val="16"/>
                <w:szCs w:val="16"/>
                <w:lang w:eastAsia="zh-CN"/>
              </w:rPr>
              <w:t>Column A</w:t>
            </w:r>
          </w:p>
        </w:tc>
        <w:tc>
          <w:tcPr>
            <w:tcW w:w="1843" w:type="dxa"/>
            <w:tcBorders>
              <w:top w:val="single" w:sz="4" w:space="0" w:color="auto"/>
              <w:bottom w:val="single" w:sz="12" w:space="0" w:color="auto"/>
            </w:tcBorders>
            <w:shd w:val="clear" w:color="auto" w:fill="auto"/>
            <w:vAlign w:val="bottom"/>
            <w:hideMark/>
          </w:tcPr>
          <w:p w14:paraId="34D05F72" w14:textId="77777777" w:rsidR="00A603CF" w:rsidRPr="00D46C32" w:rsidRDefault="00A603CF">
            <w:pPr>
              <w:spacing w:before="80" w:after="80" w:line="200" w:lineRule="exact"/>
              <w:jc w:val="right"/>
              <w:rPr>
                <w:i/>
                <w:iCs/>
                <w:sz w:val="16"/>
                <w:szCs w:val="16"/>
                <w:lang w:eastAsia="zh-CN"/>
              </w:rPr>
            </w:pPr>
            <w:r w:rsidRPr="00D46C32">
              <w:rPr>
                <w:i/>
                <w:iCs/>
                <w:sz w:val="16"/>
                <w:szCs w:val="16"/>
                <w:lang w:eastAsia="zh-CN"/>
              </w:rPr>
              <w:t>Column B</w:t>
            </w:r>
          </w:p>
        </w:tc>
        <w:tc>
          <w:tcPr>
            <w:tcW w:w="1559" w:type="dxa"/>
            <w:tcBorders>
              <w:top w:val="single" w:sz="4" w:space="0" w:color="auto"/>
              <w:bottom w:val="single" w:sz="12" w:space="0" w:color="auto"/>
            </w:tcBorders>
            <w:shd w:val="clear" w:color="auto" w:fill="auto"/>
            <w:vAlign w:val="bottom"/>
            <w:hideMark/>
          </w:tcPr>
          <w:p w14:paraId="38EA61B2" w14:textId="77777777" w:rsidR="00A603CF" w:rsidRPr="00D46C32" w:rsidRDefault="00A603CF">
            <w:pPr>
              <w:spacing w:before="80" w:after="80" w:line="200" w:lineRule="exact"/>
              <w:jc w:val="right"/>
              <w:rPr>
                <w:i/>
                <w:iCs/>
                <w:sz w:val="16"/>
                <w:szCs w:val="16"/>
                <w:lang w:eastAsia="zh-CN"/>
              </w:rPr>
            </w:pPr>
            <w:r w:rsidRPr="00D46C32">
              <w:rPr>
                <w:i/>
                <w:iCs/>
                <w:sz w:val="16"/>
                <w:szCs w:val="16"/>
                <w:lang w:eastAsia="zh-CN"/>
              </w:rPr>
              <w:t>Column C</w:t>
            </w:r>
          </w:p>
        </w:tc>
        <w:tc>
          <w:tcPr>
            <w:tcW w:w="1843" w:type="dxa"/>
            <w:tcBorders>
              <w:top w:val="single" w:sz="4" w:space="0" w:color="auto"/>
              <w:bottom w:val="single" w:sz="12" w:space="0" w:color="auto"/>
            </w:tcBorders>
            <w:shd w:val="clear" w:color="auto" w:fill="auto"/>
            <w:vAlign w:val="bottom"/>
          </w:tcPr>
          <w:p w14:paraId="12B2B5DF" w14:textId="77777777" w:rsidR="00A603CF" w:rsidRPr="00D46C32" w:rsidRDefault="00A603CF">
            <w:pPr>
              <w:spacing w:before="80" w:after="80" w:line="200" w:lineRule="exact"/>
              <w:jc w:val="right"/>
              <w:rPr>
                <w:i/>
                <w:iCs/>
                <w:sz w:val="16"/>
                <w:szCs w:val="16"/>
                <w:lang w:eastAsia="zh-CN"/>
              </w:rPr>
            </w:pPr>
            <w:r w:rsidRPr="00D46C32">
              <w:rPr>
                <w:i/>
                <w:iCs/>
                <w:sz w:val="16"/>
                <w:szCs w:val="16"/>
                <w:lang w:eastAsia="zh-CN"/>
              </w:rPr>
              <w:t>Column D</w:t>
            </w:r>
          </w:p>
        </w:tc>
        <w:tc>
          <w:tcPr>
            <w:tcW w:w="1843" w:type="dxa"/>
            <w:tcBorders>
              <w:top w:val="single" w:sz="4" w:space="0" w:color="auto"/>
              <w:bottom w:val="single" w:sz="12" w:space="0" w:color="auto"/>
            </w:tcBorders>
            <w:shd w:val="clear" w:color="auto" w:fill="auto"/>
            <w:vAlign w:val="bottom"/>
          </w:tcPr>
          <w:p w14:paraId="6CF7D512" w14:textId="77777777" w:rsidR="00A603CF" w:rsidRPr="00D46C32" w:rsidRDefault="00A603CF">
            <w:pPr>
              <w:spacing w:before="80" w:after="80" w:line="200" w:lineRule="exact"/>
              <w:jc w:val="right"/>
              <w:rPr>
                <w:i/>
                <w:iCs/>
                <w:sz w:val="16"/>
                <w:szCs w:val="16"/>
                <w:lang w:eastAsia="zh-CN"/>
              </w:rPr>
            </w:pPr>
            <w:r w:rsidRPr="00D46C32">
              <w:rPr>
                <w:i/>
                <w:iCs/>
                <w:sz w:val="16"/>
                <w:szCs w:val="16"/>
                <w:lang w:eastAsia="zh-CN"/>
              </w:rPr>
              <w:t>Column E</w:t>
            </w:r>
          </w:p>
        </w:tc>
      </w:tr>
      <w:tr w:rsidR="00A603CF" w:rsidRPr="00D46C32" w14:paraId="19414BA0" w14:textId="77777777" w:rsidTr="00441519">
        <w:trPr>
          <w:trHeight w:hRule="exact" w:val="113"/>
          <w:tblHeader/>
        </w:trPr>
        <w:tc>
          <w:tcPr>
            <w:tcW w:w="1701" w:type="dxa"/>
            <w:tcBorders>
              <w:top w:val="single" w:sz="12" w:space="0" w:color="auto"/>
            </w:tcBorders>
            <w:shd w:val="clear" w:color="auto" w:fill="auto"/>
            <w:vAlign w:val="bottom"/>
          </w:tcPr>
          <w:p w14:paraId="3379D04B" w14:textId="77777777" w:rsidR="00A603CF" w:rsidRPr="00D46C32" w:rsidRDefault="00A603CF">
            <w:pPr>
              <w:spacing w:before="80" w:after="80" w:line="200" w:lineRule="exact"/>
              <w:rPr>
                <w:i/>
                <w:iCs/>
                <w:sz w:val="16"/>
                <w:szCs w:val="16"/>
                <w:lang w:eastAsia="zh-CN"/>
              </w:rPr>
            </w:pPr>
          </w:p>
        </w:tc>
        <w:tc>
          <w:tcPr>
            <w:tcW w:w="1843" w:type="dxa"/>
            <w:tcBorders>
              <w:top w:val="single" w:sz="12" w:space="0" w:color="auto"/>
            </w:tcBorders>
            <w:shd w:val="clear" w:color="auto" w:fill="auto"/>
            <w:vAlign w:val="bottom"/>
          </w:tcPr>
          <w:p w14:paraId="633894CD" w14:textId="77777777" w:rsidR="00A603CF" w:rsidRPr="00D46C32" w:rsidRDefault="00A603CF">
            <w:pPr>
              <w:spacing w:before="80" w:after="80" w:line="200" w:lineRule="exact"/>
              <w:jc w:val="right"/>
              <w:rPr>
                <w:i/>
                <w:iCs/>
                <w:sz w:val="16"/>
                <w:szCs w:val="16"/>
                <w:lang w:eastAsia="zh-CN"/>
              </w:rPr>
            </w:pPr>
          </w:p>
        </w:tc>
        <w:tc>
          <w:tcPr>
            <w:tcW w:w="1559" w:type="dxa"/>
            <w:tcBorders>
              <w:top w:val="single" w:sz="12" w:space="0" w:color="auto"/>
            </w:tcBorders>
            <w:shd w:val="clear" w:color="auto" w:fill="auto"/>
            <w:vAlign w:val="bottom"/>
          </w:tcPr>
          <w:p w14:paraId="0CB16839" w14:textId="77777777" w:rsidR="00A603CF" w:rsidRPr="00D46C32" w:rsidRDefault="00A603CF">
            <w:pPr>
              <w:spacing w:before="80" w:after="80" w:line="200" w:lineRule="exact"/>
              <w:jc w:val="right"/>
              <w:rPr>
                <w:i/>
                <w:iCs/>
                <w:sz w:val="16"/>
                <w:szCs w:val="16"/>
                <w:lang w:eastAsia="zh-CN"/>
              </w:rPr>
            </w:pPr>
          </w:p>
        </w:tc>
        <w:tc>
          <w:tcPr>
            <w:tcW w:w="1843" w:type="dxa"/>
            <w:tcBorders>
              <w:top w:val="single" w:sz="12" w:space="0" w:color="auto"/>
            </w:tcBorders>
            <w:shd w:val="clear" w:color="auto" w:fill="auto"/>
            <w:vAlign w:val="bottom"/>
          </w:tcPr>
          <w:p w14:paraId="0CF80DD4" w14:textId="77777777" w:rsidR="00A603CF" w:rsidRPr="00D46C32" w:rsidRDefault="00A603CF">
            <w:pPr>
              <w:spacing w:before="80" w:after="80" w:line="200" w:lineRule="exact"/>
              <w:jc w:val="right"/>
              <w:rPr>
                <w:i/>
                <w:iCs/>
                <w:sz w:val="16"/>
                <w:szCs w:val="16"/>
                <w:lang w:eastAsia="zh-CN"/>
              </w:rPr>
            </w:pPr>
          </w:p>
        </w:tc>
        <w:tc>
          <w:tcPr>
            <w:tcW w:w="1843" w:type="dxa"/>
            <w:tcBorders>
              <w:top w:val="single" w:sz="12" w:space="0" w:color="auto"/>
            </w:tcBorders>
            <w:shd w:val="clear" w:color="auto" w:fill="auto"/>
            <w:vAlign w:val="bottom"/>
          </w:tcPr>
          <w:p w14:paraId="23373D8F" w14:textId="77777777" w:rsidR="00A603CF" w:rsidRPr="00D46C32" w:rsidRDefault="00A603CF">
            <w:pPr>
              <w:spacing w:before="80" w:after="80" w:line="200" w:lineRule="exact"/>
              <w:jc w:val="right"/>
              <w:rPr>
                <w:i/>
                <w:iCs/>
                <w:sz w:val="16"/>
                <w:szCs w:val="16"/>
                <w:lang w:eastAsia="zh-CN"/>
              </w:rPr>
            </w:pPr>
          </w:p>
        </w:tc>
      </w:tr>
      <w:tr w:rsidR="00A603CF" w:rsidRPr="00D46C32" w14:paraId="630188EF" w14:textId="77777777" w:rsidTr="00441519">
        <w:tc>
          <w:tcPr>
            <w:tcW w:w="1701" w:type="dxa"/>
            <w:shd w:val="clear" w:color="auto" w:fill="auto"/>
            <w:hideMark/>
          </w:tcPr>
          <w:p w14:paraId="78FF0732" w14:textId="77777777" w:rsidR="00A603CF" w:rsidRPr="00D46C32" w:rsidRDefault="00A603CF">
            <w:pPr>
              <w:spacing w:before="40" w:after="40" w:line="220" w:lineRule="exact"/>
              <w:rPr>
                <w:i/>
                <w:iCs/>
                <w:sz w:val="18"/>
                <w:lang w:eastAsia="zh-CN"/>
              </w:rPr>
            </w:pPr>
          </w:p>
          <w:p w14:paraId="6AC413B4" w14:textId="77777777" w:rsidR="00A603CF" w:rsidRPr="00D46C32" w:rsidRDefault="00A603CF">
            <w:pPr>
              <w:spacing w:before="40" w:after="40" w:line="220" w:lineRule="exact"/>
              <w:rPr>
                <w:i/>
                <w:iCs/>
                <w:sz w:val="18"/>
                <w:lang w:eastAsia="zh-CN"/>
              </w:rPr>
            </w:pPr>
          </w:p>
          <w:p w14:paraId="7F34DB0B" w14:textId="77777777" w:rsidR="00A603CF" w:rsidRPr="00D46C32" w:rsidRDefault="00A603CF">
            <w:pPr>
              <w:spacing w:before="40" w:after="40" w:line="220" w:lineRule="exact"/>
              <w:rPr>
                <w:i/>
                <w:iCs/>
                <w:sz w:val="18"/>
                <w:lang w:eastAsia="zh-CN"/>
              </w:rPr>
            </w:pPr>
          </w:p>
          <w:p w14:paraId="29C44276" w14:textId="77777777" w:rsidR="00A603CF" w:rsidRPr="00D46C32" w:rsidRDefault="00A603CF">
            <w:pPr>
              <w:spacing w:before="40" w:after="40" w:line="220" w:lineRule="exact"/>
              <w:rPr>
                <w:i/>
                <w:iCs/>
                <w:sz w:val="18"/>
                <w:lang w:eastAsia="zh-CN"/>
              </w:rPr>
            </w:pPr>
          </w:p>
          <w:p w14:paraId="6936804E" w14:textId="77777777" w:rsidR="00A603CF" w:rsidRPr="00D46C32" w:rsidRDefault="00A603CF">
            <w:pPr>
              <w:spacing w:before="40" w:after="40" w:line="220" w:lineRule="exact"/>
              <w:rPr>
                <w:i/>
                <w:iCs/>
                <w:sz w:val="18"/>
                <w:lang w:eastAsia="zh-CN"/>
              </w:rPr>
            </w:pPr>
          </w:p>
          <w:p w14:paraId="6AE52F90" w14:textId="77777777" w:rsidR="00A603CF" w:rsidRPr="00D46C32" w:rsidRDefault="00A603CF">
            <w:pPr>
              <w:spacing w:before="40" w:after="40" w:line="220" w:lineRule="exact"/>
              <w:rPr>
                <w:i/>
                <w:iCs/>
                <w:sz w:val="18"/>
                <w:lang w:eastAsia="zh-CN"/>
              </w:rPr>
            </w:pPr>
          </w:p>
          <w:p w14:paraId="755E917C" w14:textId="77777777" w:rsidR="00A603CF" w:rsidRPr="00D46C32" w:rsidRDefault="00A603CF">
            <w:pPr>
              <w:spacing w:before="40" w:after="40" w:line="220" w:lineRule="exact"/>
              <w:rPr>
                <w:i/>
                <w:iCs/>
                <w:sz w:val="18"/>
                <w:lang w:eastAsia="zh-CN"/>
              </w:rPr>
            </w:pPr>
          </w:p>
          <w:p w14:paraId="48002AB9" w14:textId="77777777" w:rsidR="00A603CF" w:rsidRPr="00D46C32" w:rsidRDefault="00A603CF">
            <w:pPr>
              <w:spacing w:before="40" w:after="40" w:line="220" w:lineRule="exact"/>
              <w:rPr>
                <w:i/>
                <w:iCs/>
                <w:sz w:val="18"/>
                <w:lang w:eastAsia="zh-CN"/>
              </w:rPr>
            </w:pPr>
          </w:p>
          <w:p w14:paraId="4973CB9B" w14:textId="77777777" w:rsidR="00A603CF" w:rsidRPr="00D46C32" w:rsidRDefault="00A603CF">
            <w:pPr>
              <w:spacing w:before="40" w:after="40" w:line="220" w:lineRule="exact"/>
              <w:rPr>
                <w:i/>
                <w:iCs/>
                <w:sz w:val="18"/>
                <w:lang w:eastAsia="zh-CN"/>
              </w:rPr>
            </w:pPr>
            <w:r w:rsidRPr="00D46C32">
              <w:rPr>
                <w:i/>
                <w:iCs/>
                <w:sz w:val="18"/>
                <w:lang w:eastAsia="zh-CN"/>
              </w:rPr>
              <w:t>Parties</w:t>
            </w:r>
          </w:p>
        </w:tc>
        <w:tc>
          <w:tcPr>
            <w:tcW w:w="1843" w:type="dxa"/>
            <w:shd w:val="clear" w:color="auto" w:fill="auto"/>
            <w:vAlign w:val="bottom"/>
            <w:hideMark/>
          </w:tcPr>
          <w:p w14:paraId="7A56CF53" w14:textId="77777777" w:rsidR="00A603CF" w:rsidRPr="00D46C32" w:rsidRDefault="00A603CF" w:rsidP="007668D1">
            <w:pPr>
              <w:spacing w:before="40" w:after="40" w:line="220" w:lineRule="exact"/>
              <w:jc w:val="right"/>
              <w:rPr>
                <w:i/>
                <w:iCs/>
                <w:sz w:val="18"/>
                <w:lang w:eastAsia="zh-CN"/>
              </w:rPr>
            </w:pPr>
            <w:r w:rsidRPr="00D46C32">
              <w:rPr>
                <w:i/>
                <w:iCs/>
                <w:sz w:val="18"/>
                <w:lang w:eastAsia="zh-CN"/>
              </w:rPr>
              <w:t xml:space="preserve">United Nations scale </w:t>
            </w:r>
            <w:r w:rsidRPr="00D46C32">
              <w:rPr>
                <w:i/>
                <w:iCs/>
                <w:sz w:val="18"/>
                <w:lang w:eastAsia="zh-CN"/>
              </w:rPr>
              <w:br/>
              <w:t>of assessment (percentage)</w:t>
            </w:r>
            <w:r w:rsidRPr="00D46C32">
              <w:rPr>
                <w:i/>
                <w:iCs/>
                <w:sz w:val="18"/>
                <w:vertAlign w:val="superscript"/>
                <w:lang w:eastAsia="zh-CN"/>
              </w:rPr>
              <w:t>a</w:t>
            </w:r>
          </w:p>
        </w:tc>
        <w:tc>
          <w:tcPr>
            <w:tcW w:w="1559" w:type="dxa"/>
            <w:shd w:val="clear" w:color="auto" w:fill="auto"/>
            <w:vAlign w:val="bottom"/>
            <w:hideMark/>
          </w:tcPr>
          <w:p w14:paraId="6F5C9112" w14:textId="77777777" w:rsidR="00A603CF" w:rsidRPr="00D46C32" w:rsidRDefault="00A603CF" w:rsidP="007668D1">
            <w:pPr>
              <w:spacing w:before="40" w:after="40" w:line="220" w:lineRule="exact"/>
              <w:jc w:val="right"/>
              <w:rPr>
                <w:i/>
                <w:iCs/>
                <w:sz w:val="18"/>
                <w:lang w:eastAsia="zh-CN"/>
              </w:rPr>
            </w:pPr>
            <w:r w:rsidRPr="00D46C32">
              <w:rPr>
                <w:i/>
                <w:iCs/>
                <w:sz w:val="18"/>
                <w:lang w:eastAsia="zh-CN"/>
              </w:rPr>
              <w:t xml:space="preserve">Espoo Convention </w:t>
            </w:r>
          </w:p>
          <w:p w14:paraId="4D364B5C" w14:textId="77777777" w:rsidR="00A603CF" w:rsidRPr="00D46C32" w:rsidRDefault="00A603CF" w:rsidP="007668D1">
            <w:pPr>
              <w:spacing w:before="40" w:after="40" w:line="220" w:lineRule="exact"/>
              <w:jc w:val="right"/>
              <w:rPr>
                <w:b/>
                <w:bCs/>
                <w:sz w:val="18"/>
                <w:lang w:eastAsia="zh-CN"/>
              </w:rPr>
            </w:pPr>
            <w:r w:rsidRPr="00D46C32">
              <w:rPr>
                <w:i/>
                <w:iCs/>
                <w:sz w:val="18"/>
                <w:lang w:eastAsia="zh-CN"/>
              </w:rPr>
              <w:t>Adjusted scale (percentage)</w:t>
            </w:r>
            <w:r w:rsidRPr="00D46C32">
              <w:rPr>
                <w:i/>
                <w:iCs/>
                <w:sz w:val="18"/>
                <w:vertAlign w:val="superscript"/>
                <w:lang w:eastAsia="zh-CN"/>
              </w:rPr>
              <w:t>b</w:t>
            </w:r>
          </w:p>
        </w:tc>
        <w:tc>
          <w:tcPr>
            <w:tcW w:w="1843" w:type="dxa"/>
            <w:shd w:val="clear" w:color="auto" w:fill="auto"/>
            <w:vAlign w:val="bottom"/>
          </w:tcPr>
          <w:p w14:paraId="36F5F0F3" w14:textId="77777777" w:rsidR="00A603CF" w:rsidRPr="00D46C32" w:rsidRDefault="00A603CF" w:rsidP="007668D1">
            <w:pPr>
              <w:spacing w:before="40" w:after="40" w:line="220" w:lineRule="exact"/>
              <w:jc w:val="right"/>
              <w:rPr>
                <w:b/>
                <w:bCs/>
                <w:sz w:val="18"/>
                <w:lang w:eastAsia="zh-CN"/>
              </w:rPr>
            </w:pPr>
          </w:p>
          <w:p w14:paraId="14295CAB" w14:textId="77777777" w:rsidR="00A603CF" w:rsidRPr="00D46C32" w:rsidRDefault="00A603CF" w:rsidP="007668D1">
            <w:pPr>
              <w:spacing w:before="40" w:after="40" w:line="220" w:lineRule="exact"/>
              <w:jc w:val="right"/>
              <w:rPr>
                <w:b/>
                <w:bCs/>
                <w:sz w:val="18"/>
                <w:lang w:eastAsia="zh-CN"/>
              </w:rPr>
            </w:pPr>
          </w:p>
          <w:p w14:paraId="11D4BD0D" w14:textId="77777777" w:rsidR="00A603CF" w:rsidRPr="00D46C32" w:rsidRDefault="00A603CF" w:rsidP="007668D1">
            <w:pPr>
              <w:spacing w:before="40" w:after="40" w:line="220" w:lineRule="exact"/>
              <w:jc w:val="right"/>
              <w:rPr>
                <w:i/>
                <w:iCs/>
                <w:sz w:val="18"/>
                <w:lang w:eastAsia="zh-CN"/>
              </w:rPr>
            </w:pPr>
            <w:r w:rsidRPr="00D46C32">
              <w:rPr>
                <w:i/>
                <w:iCs/>
                <w:sz w:val="18"/>
                <w:lang w:eastAsia="zh-CN"/>
              </w:rPr>
              <w:t xml:space="preserve">Indicative annual contribution (for 2024) </w:t>
            </w:r>
            <w:r w:rsidRPr="00D46C32">
              <w:rPr>
                <w:i/>
                <w:iCs/>
                <w:sz w:val="18"/>
                <w:lang w:eastAsia="zh-CN"/>
              </w:rPr>
              <w:br/>
              <w:t>(US dollars) based on adjusted scale + draft budget for 2024</w:t>
            </w:r>
            <w:r w:rsidRPr="00D46C32">
              <w:rPr>
                <w:i/>
                <w:iCs/>
                <w:sz w:val="18"/>
                <w:lang w:eastAsia="en-US"/>
              </w:rPr>
              <w:t>–</w:t>
            </w:r>
            <w:r w:rsidRPr="00D46C32">
              <w:rPr>
                <w:i/>
                <w:iCs/>
                <w:sz w:val="18"/>
                <w:lang w:eastAsia="zh-CN"/>
              </w:rPr>
              <w:t xml:space="preserve">2026 </w:t>
            </w:r>
          </w:p>
          <w:p w14:paraId="296566A7" w14:textId="77777777" w:rsidR="00A603CF" w:rsidRPr="00D46C32" w:rsidRDefault="00A603CF" w:rsidP="007668D1">
            <w:pPr>
              <w:spacing w:before="40" w:after="40" w:line="220" w:lineRule="exact"/>
              <w:jc w:val="right"/>
              <w:rPr>
                <w:b/>
                <w:bCs/>
                <w:sz w:val="18"/>
                <w:lang w:eastAsia="zh-CN"/>
              </w:rPr>
            </w:pPr>
          </w:p>
        </w:tc>
        <w:tc>
          <w:tcPr>
            <w:tcW w:w="1843" w:type="dxa"/>
            <w:shd w:val="clear" w:color="auto" w:fill="auto"/>
            <w:vAlign w:val="bottom"/>
          </w:tcPr>
          <w:p w14:paraId="321FE0B9" w14:textId="77777777" w:rsidR="00A603CF" w:rsidRPr="00D46C32" w:rsidRDefault="00A603CF" w:rsidP="007668D1">
            <w:pPr>
              <w:spacing w:before="40" w:after="40" w:line="220" w:lineRule="exact"/>
              <w:jc w:val="right"/>
              <w:rPr>
                <w:i/>
                <w:iCs/>
                <w:sz w:val="18"/>
                <w:lang w:eastAsia="zh-CN"/>
              </w:rPr>
            </w:pPr>
          </w:p>
          <w:p w14:paraId="0BFCDAB3" w14:textId="77777777" w:rsidR="00A603CF" w:rsidRPr="00D46C32" w:rsidRDefault="00A603CF" w:rsidP="007668D1">
            <w:pPr>
              <w:spacing w:before="40" w:after="40" w:line="220" w:lineRule="exact"/>
              <w:jc w:val="right"/>
              <w:rPr>
                <w:i/>
                <w:iCs/>
                <w:sz w:val="18"/>
                <w:lang w:eastAsia="zh-CN"/>
              </w:rPr>
            </w:pPr>
          </w:p>
          <w:p w14:paraId="7E5EAF0F" w14:textId="77777777" w:rsidR="00A603CF" w:rsidRPr="00D46C32" w:rsidRDefault="00A603CF" w:rsidP="007668D1">
            <w:pPr>
              <w:spacing w:before="40" w:after="40" w:line="220" w:lineRule="exact"/>
              <w:jc w:val="right"/>
              <w:rPr>
                <w:i/>
                <w:iCs/>
                <w:sz w:val="18"/>
                <w:lang w:eastAsia="zh-CN"/>
              </w:rPr>
            </w:pPr>
            <w:r w:rsidRPr="00D46C32">
              <w:rPr>
                <w:i/>
                <w:iCs/>
                <w:sz w:val="18"/>
                <w:lang w:eastAsia="zh-CN"/>
              </w:rPr>
              <w:t xml:space="preserve">Indicative annual contribution (for 2024) (US dollars) based on adjusted scale + draft budget for 2024–2026 </w:t>
            </w:r>
          </w:p>
          <w:p w14:paraId="116ECED5" w14:textId="35576F91" w:rsidR="00A603CF" w:rsidRPr="00D46C32" w:rsidRDefault="00A603CF" w:rsidP="007668D1">
            <w:pPr>
              <w:spacing w:before="40" w:after="40" w:line="220" w:lineRule="exact"/>
              <w:jc w:val="right"/>
              <w:rPr>
                <w:i/>
                <w:iCs/>
                <w:sz w:val="18"/>
                <w:lang w:eastAsia="zh-CN"/>
              </w:rPr>
            </w:pPr>
            <w:r w:rsidRPr="00D46C32">
              <w:rPr>
                <w:i/>
                <w:iCs/>
                <w:sz w:val="18"/>
                <w:lang w:eastAsia="zh-CN"/>
              </w:rPr>
              <w:t>(Small amounts increased to $1,000)</w:t>
            </w:r>
          </w:p>
        </w:tc>
      </w:tr>
      <w:tr w:rsidR="00A603CF" w:rsidRPr="00D46C32" w14:paraId="196C6AE6" w14:textId="77777777" w:rsidTr="00441519">
        <w:tc>
          <w:tcPr>
            <w:tcW w:w="1701" w:type="dxa"/>
            <w:shd w:val="clear" w:color="auto" w:fill="auto"/>
            <w:noWrap/>
            <w:hideMark/>
          </w:tcPr>
          <w:p w14:paraId="4CEF2492" w14:textId="77777777" w:rsidR="00A603CF" w:rsidRPr="00D46C32" w:rsidRDefault="00A603CF">
            <w:pPr>
              <w:spacing w:before="40" w:after="40" w:line="220" w:lineRule="exact"/>
              <w:rPr>
                <w:sz w:val="18"/>
                <w:lang w:eastAsia="zh-CN"/>
              </w:rPr>
            </w:pPr>
            <w:r w:rsidRPr="00D46C32">
              <w:rPr>
                <w:sz w:val="18"/>
                <w:lang w:eastAsia="zh-CN"/>
              </w:rPr>
              <w:t>Albania</w:t>
            </w:r>
          </w:p>
        </w:tc>
        <w:tc>
          <w:tcPr>
            <w:tcW w:w="1843" w:type="dxa"/>
            <w:shd w:val="clear" w:color="auto" w:fill="auto"/>
            <w:noWrap/>
            <w:vAlign w:val="bottom"/>
            <w:hideMark/>
          </w:tcPr>
          <w:p w14:paraId="0D5AD686" w14:textId="77777777" w:rsidR="00A603CF" w:rsidRPr="00D46C32" w:rsidRDefault="00A603CF">
            <w:pPr>
              <w:spacing w:before="40" w:after="40" w:line="220" w:lineRule="exact"/>
              <w:jc w:val="right"/>
              <w:rPr>
                <w:sz w:val="18"/>
                <w:lang w:eastAsia="zh-CN"/>
              </w:rPr>
            </w:pPr>
            <w:r w:rsidRPr="00D46C32">
              <w:rPr>
                <w:sz w:val="18"/>
                <w:lang w:eastAsia="zh-CN"/>
              </w:rPr>
              <w:t>0.008</w:t>
            </w:r>
          </w:p>
        </w:tc>
        <w:tc>
          <w:tcPr>
            <w:tcW w:w="1559" w:type="dxa"/>
            <w:shd w:val="clear" w:color="auto" w:fill="auto"/>
            <w:noWrap/>
            <w:vAlign w:val="bottom"/>
            <w:hideMark/>
          </w:tcPr>
          <w:p w14:paraId="70E49237" w14:textId="77777777" w:rsidR="00A603CF" w:rsidRPr="00D46C32" w:rsidRDefault="00A603CF">
            <w:pPr>
              <w:spacing w:before="40" w:after="40" w:line="220" w:lineRule="exact"/>
              <w:jc w:val="right"/>
              <w:rPr>
                <w:sz w:val="18"/>
                <w:lang w:eastAsia="zh-CN"/>
              </w:rPr>
            </w:pPr>
            <w:r w:rsidRPr="00D46C32">
              <w:rPr>
                <w:sz w:val="18"/>
                <w:lang w:eastAsia="zh-CN"/>
              </w:rPr>
              <w:t>0.024</w:t>
            </w:r>
          </w:p>
        </w:tc>
        <w:tc>
          <w:tcPr>
            <w:tcW w:w="1843" w:type="dxa"/>
            <w:shd w:val="clear" w:color="auto" w:fill="auto"/>
            <w:vAlign w:val="bottom"/>
          </w:tcPr>
          <w:p w14:paraId="0BCA4963" w14:textId="77777777" w:rsidR="00A603CF" w:rsidRPr="00D46C32" w:rsidRDefault="00A603CF">
            <w:pPr>
              <w:spacing w:before="40" w:after="40" w:line="220" w:lineRule="exact"/>
              <w:jc w:val="right"/>
              <w:rPr>
                <w:sz w:val="18"/>
                <w:lang w:eastAsia="zh-CN"/>
              </w:rPr>
            </w:pPr>
            <w:r w:rsidRPr="00D46C32">
              <w:rPr>
                <w:sz w:val="18"/>
                <w:lang w:eastAsia="zh-CN"/>
              </w:rPr>
              <w:t>160</w:t>
            </w:r>
          </w:p>
        </w:tc>
        <w:tc>
          <w:tcPr>
            <w:tcW w:w="1843" w:type="dxa"/>
            <w:shd w:val="clear" w:color="auto" w:fill="auto"/>
            <w:vAlign w:val="bottom"/>
          </w:tcPr>
          <w:p w14:paraId="6A6E02C0" w14:textId="77777777" w:rsidR="00A603CF" w:rsidRPr="00D46C32" w:rsidRDefault="00A603CF">
            <w:pPr>
              <w:spacing w:before="40" w:after="40" w:line="220" w:lineRule="exact"/>
              <w:jc w:val="right"/>
              <w:rPr>
                <w:sz w:val="18"/>
                <w:lang w:eastAsia="zh-CN"/>
              </w:rPr>
            </w:pPr>
            <w:r w:rsidRPr="00D46C32">
              <w:rPr>
                <w:sz w:val="18"/>
                <w:lang w:eastAsia="zh-CN"/>
              </w:rPr>
              <w:t>1,000</w:t>
            </w:r>
          </w:p>
        </w:tc>
      </w:tr>
      <w:tr w:rsidR="00A603CF" w:rsidRPr="00D46C32" w14:paraId="1F5EDBAC" w14:textId="77777777" w:rsidTr="00441519">
        <w:tc>
          <w:tcPr>
            <w:tcW w:w="1701" w:type="dxa"/>
            <w:shd w:val="clear" w:color="auto" w:fill="auto"/>
            <w:noWrap/>
            <w:hideMark/>
          </w:tcPr>
          <w:p w14:paraId="6F4DC9A7" w14:textId="77777777" w:rsidR="00A603CF" w:rsidRPr="00D46C32" w:rsidRDefault="00A603CF">
            <w:pPr>
              <w:spacing w:before="40" w:after="40" w:line="220" w:lineRule="exact"/>
              <w:rPr>
                <w:sz w:val="18"/>
                <w:lang w:eastAsia="zh-CN"/>
              </w:rPr>
            </w:pPr>
            <w:r w:rsidRPr="00D46C32">
              <w:rPr>
                <w:sz w:val="18"/>
                <w:lang w:eastAsia="zh-CN"/>
              </w:rPr>
              <w:t>Armenia</w:t>
            </w:r>
          </w:p>
        </w:tc>
        <w:tc>
          <w:tcPr>
            <w:tcW w:w="1843" w:type="dxa"/>
            <w:shd w:val="clear" w:color="auto" w:fill="auto"/>
            <w:noWrap/>
            <w:vAlign w:val="bottom"/>
            <w:hideMark/>
          </w:tcPr>
          <w:p w14:paraId="163DEC2E" w14:textId="77777777" w:rsidR="00A603CF" w:rsidRPr="00D46C32" w:rsidRDefault="00A603CF">
            <w:pPr>
              <w:spacing w:before="40" w:after="40" w:line="220" w:lineRule="exact"/>
              <w:jc w:val="right"/>
              <w:rPr>
                <w:sz w:val="18"/>
                <w:lang w:eastAsia="zh-CN"/>
              </w:rPr>
            </w:pPr>
            <w:r w:rsidRPr="00D46C32">
              <w:rPr>
                <w:sz w:val="18"/>
                <w:lang w:eastAsia="zh-CN"/>
              </w:rPr>
              <w:t>0.007</w:t>
            </w:r>
          </w:p>
        </w:tc>
        <w:tc>
          <w:tcPr>
            <w:tcW w:w="1559" w:type="dxa"/>
            <w:shd w:val="clear" w:color="auto" w:fill="auto"/>
            <w:noWrap/>
            <w:vAlign w:val="bottom"/>
            <w:hideMark/>
          </w:tcPr>
          <w:p w14:paraId="609A5263" w14:textId="77777777" w:rsidR="00A603CF" w:rsidRPr="00D46C32" w:rsidRDefault="00A603CF">
            <w:pPr>
              <w:spacing w:before="40" w:after="40" w:line="220" w:lineRule="exact"/>
              <w:jc w:val="right"/>
              <w:rPr>
                <w:sz w:val="18"/>
                <w:lang w:eastAsia="zh-CN"/>
              </w:rPr>
            </w:pPr>
            <w:r w:rsidRPr="00D46C32">
              <w:rPr>
                <w:sz w:val="18"/>
                <w:lang w:eastAsia="zh-CN"/>
              </w:rPr>
              <w:t>0.021</w:t>
            </w:r>
          </w:p>
        </w:tc>
        <w:tc>
          <w:tcPr>
            <w:tcW w:w="1843" w:type="dxa"/>
            <w:shd w:val="clear" w:color="auto" w:fill="auto"/>
            <w:vAlign w:val="bottom"/>
          </w:tcPr>
          <w:p w14:paraId="1B578A37" w14:textId="77777777" w:rsidR="00A603CF" w:rsidRPr="00D46C32" w:rsidRDefault="00A603CF">
            <w:pPr>
              <w:spacing w:before="40" w:after="40" w:line="220" w:lineRule="exact"/>
              <w:jc w:val="right"/>
              <w:rPr>
                <w:sz w:val="18"/>
                <w:lang w:eastAsia="zh-CN"/>
              </w:rPr>
            </w:pPr>
            <w:r w:rsidRPr="00D46C32">
              <w:rPr>
                <w:sz w:val="18"/>
                <w:lang w:eastAsia="zh-CN"/>
              </w:rPr>
              <w:t>140</w:t>
            </w:r>
          </w:p>
        </w:tc>
        <w:tc>
          <w:tcPr>
            <w:tcW w:w="1843" w:type="dxa"/>
            <w:shd w:val="clear" w:color="auto" w:fill="auto"/>
            <w:vAlign w:val="bottom"/>
          </w:tcPr>
          <w:p w14:paraId="085E2930" w14:textId="77777777" w:rsidR="00A603CF" w:rsidRPr="00D46C32" w:rsidRDefault="00A603CF">
            <w:pPr>
              <w:spacing w:before="40" w:after="40" w:line="220" w:lineRule="exact"/>
              <w:jc w:val="right"/>
              <w:rPr>
                <w:sz w:val="18"/>
                <w:lang w:eastAsia="zh-CN"/>
              </w:rPr>
            </w:pPr>
            <w:r w:rsidRPr="00D46C32">
              <w:rPr>
                <w:sz w:val="18"/>
                <w:lang w:eastAsia="zh-CN"/>
              </w:rPr>
              <w:t>1,000</w:t>
            </w:r>
          </w:p>
        </w:tc>
      </w:tr>
      <w:tr w:rsidR="00A603CF" w:rsidRPr="00D46C32" w14:paraId="10EAC4B5" w14:textId="77777777" w:rsidTr="00441519">
        <w:tc>
          <w:tcPr>
            <w:tcW w:w="1701" w:type="dxa"/>
            <w:shd w:val="clear" w:color="auto" w:fill="auto"/>
            <w:noWrap/>
            <w:hideMark/>
          </w:tcPr>
          <w:p w14:paraId="151E2908" w14:textId="77777777" w:rsidR="00A603CF" w:rsidRPr="00D46C32" w:rsidRDefault="00A603CF">
            <w:pPr>
              <w:spacing w:before="40" w:after="40" w:line="220" w:lineRule="exact"/>
              <w:rPr>
                <w:sz w:val="18"/>
                <w:lang w:eastAsia="zh-CN"/>
              </w:rPr>
            </w:pPr>
            <w:r w:rsidRPr="00D46C32">
              <w:rPr>
                <w:sz w:val="18"/>
                <w:lang w:eastAsia="zh-CN"/>
              </w:rPr>
              <w:t>Austria</w:t>
            </w:r>
          </w:p>
        </w:tc>
        <w:tc>
          <w:tcPr>
            <w:tcW w:w="1843" w:type="dxa"/>
            <w:shd w:val="clear" w:color="auto" w:fill="auto"/>
            <w:noWrap/>
            <w:vAlign w:val="bottom"/>
            <w:hideMark/>
          </w:tcPr>
          <w:p w14:paraId="4118DFB0" w14:textId="77777777" w:rsidR="00A603CF" w:rsidRPr="00D46C32" w:rsidRDefault="00A603CF">
            <w:pPr>
              <w:spacing w:before="40" w:after="40" w:line="220" w:lineRule="exact"/>
              <w:jc w:val="right"/>
              <w:rPr>
                <w:sz w:val="18"/>
                <w:lang w:eastAsia="zh-CN"/>
              </w:rPr>
            </w:pPr>
            <w:r w:rsidRPr="00D46C32">
              <w:rPr>
                <w:sz w:val="18"/>
                <w:lang w:eastAsia="zh-CN"/>
              </w:rPr>
              <w:t>0.679</w:t>
            </w:r>
          </w:p>
        </w:tc>
        <w:tc>
          <w:tcPr>
            <w:tcW w:w="1559" w:type="dxa"/>
            <w:shd w:val="clear" w:color="auto" w:fill="auto"/>
            <w:noWrap/>
            <w:vAlign w:val="bottom"/>
            <w:hideMark/>
          </w:tcPr>
          <w:p w14:paraId="724A3D39" w14:textId="77777777" w:rsidR="00A603CF" w:rsidRPr="00D46C32" w:rsidRDefault="00A603CF">
            <w:pPr>
              <w:spacing w:before="40" w:after="40" w:line="220" w:lineRule="exact"/>
              <w:jc w:val="right"/>
              <w:rPr>
                <w:sz w:val="18"/>
                <w:lang w:eastAsia="zh-CN"/>
              </w:rPr>
            </w:pPr>
            <w:r w:rsidRPr="00D46C32">
              <w:rPr>
                <w:sz w:val="18"/>
                <w:lang w:eastAsia="zh-CN"/>
              </w:rPr>
              <w:t>2.056</w:t>
            </w:r>
          </w:p>
        </w:tc>
        <w:tc>
          <w:tcPr>
            <w:tcW w:w="1843" w:type="dxa"/>
            <w:shd w:val="clear" w:color="auto" w:fill="auto"/>
            <w:vAlign w:val="bottom"/>
          </w:tcPr>
          <w:p w14:paraId="251BAF31" w14:textId="77777777" w:rsidR="00A603CF" w:rsidRPr="00D46C32" w:rsidRDefault="00A603CF">
            <w:pPr>
              <w:spacing w:before="40" w:after="40" w:line="220" w:lineRule="exact"/>
              <w:jc w:val="right"/>
              <w:rPr>
                <w:sz w:val="18"/>
                <w:lang w:eastAsia="zh-CN"/>
              </w:rPr>
            </w:pPr>
            <w:r w:rsidRPr="00D46C32">
              <w:rPr>
                <w:sz w:val="18"/>
                <w:lang w:eastAsia="zh-CN"/>
              </w:rPr>
              <w:t>13,220</w:t>
            </w:r>
          </w:p>
        </w:tc>
        <w:tc>
          <w:tcPr>
            <w:tcW w:w="1843" w:type="dxa"/>
            <w:shd w:val="clear" w:color="auto" w:fill="auto"/>
            <w:vAlign w:val="bottom"/>
          </w:tcPr>
          <w:p w14:paraId="321CAB77" w14:textId="77777777" w:rsidR="00A603CF" w:rsidRPr="00D46C32" w:rsidRDefault="00A603CF">
            <w:pPr>
              <w:spacing w:before="40" w:after="40" w:line="220" w:lineRule="exact"/>
              <w:jc w:val="right"/>
              <w:rPr>
                <w:sz w:val="18"/>
                <w:lang w:eastAsia="zh-CN"/>
              </w:rPr>
            </w:pPr>
            <w:r w:rsidRPr="00D46C32">
              <w:rPr>
                <w:sz w:val="18"/>
                <w:lang w:eastAsia="zh-CN"/>
              </w:rPr>
              <w:t>12,910</w:t>
            </w:r>
          </w:p>
        </w:tc>
      </w:tr>
      <w:tr w:rsidR="00A603CF" w:rsidRPr="00D46C32" w14:paraId="6867F4B2" w14:textId="77777777" w:rsidTr="00441519">
        <w:tc>
          <w:tcPr>
            <w:tcW w:w="1701" w:type="dxa"/>
            <w:shd w:val="clear" w:color="auto" w:fill="auto"/>
            <w:noWrap/>
            <w:hideMark/>
          </w:tcPr>
          <w:p w14:paraId="19890A61" w14:textId="77777777" w:rsidR="00A603CF" w:rsidRPr="00D46C32" w:rsidRDefault="00A603CF">
            <w:pPr>
              <w:spacing w:before="40" w:after="40" w:line="220" w:lineRule="exact"/>
              <w:rPr>
                <w:sz w:val="18"/>
                <w:lang w:eastAsia="zh-CN"/>
              </w:rPr>
            </w:pPr>
            <w:r w:rsidRPr="00D46C32">
              <w:rPr>
                <w:sz w:val="18"/>
                <w:lang w:eastAsia="zh-CN"/>
              </w:rPr>
              <w:t>Azerbaijan</w:t>
            </w:r>
          </w:p>
        </w:tc>
        <w:tc>
          <w:tcPr>
            <w:tcW w:w="1843" w:type="dxa"/>
            <w:shd w:val="clear" w:color="auto" w:fill="auto"/>
            <w:noWrap/>
            <w:vAlign w:val="bottom"/>
            <w:hideMark/>
          </w:tcPr>
          <w:p w14:paraId="395FEEAD" w14:textId="77777777" w:rsidR="00A603CF" w:rsidRPr="00D46C32" w:rsidRDefault="00A603CF">
            <w:pPr>
              <w:spacing w:before="40" w:after="40" w:line="220" w:lineRule="exact"/>
              <w:jc w:val="right"/>
              <w:rPr>
                <w:sz w:val="18"/>
                <w:lang w:eastAsia="zh-CN"/>
              </w:rPr>
            </w:pPr>
            <w:r w:rsidRPr="00D46C32">
              <w:rPr>
                <w:sz w:val="18"/>
                <w:lang w:eastAsia="zh-CN"/>
              </w:rPr>
              <w:t>0.03</w:t>
            </w:r>
          </w:p>
        </w:tc>
        <w:tc>
          <w:tcPr>
            <w:tcW w:w="1559" w:type="dxa"/>
            <w:shd w:val="clear" w:color="auto" w:fill="auto"/>
            <w:noWrap/>
            <w:vAlign w:val="bottom"/>
            <w:hideMark/>
          </w:tcPr>
          <w:p w14:paraId="3054289B" w14:textId="77777777" w:rsidR="00A603CF" w:rsidRPr="00D46C32" w:rsidRDefault="00A603CF">
            <w:pPr>
              <w:spacing w:before="40" w:after="40" w:line="220" w:lineRule="exact"/>
              <w:jc w:val="right"/>
              <w:rPr>
                <w:sz w:val="18"/>
                <w:lang w:eastAsia="zh-CN"/>
              </w:rPr>
            </w:pPr>
            <w:r w:rsidRPr="00D46C32">
              <w:rPr>
                <w:sz w:val="18"/>
                <w:lang w:eastAsia="zh-CN"/>
              </w:rPr>
              <w:t>0.091</w:t>
            </w:r>
          </w:p>
        </w:tc>
        <w:tc>
          <w:tcPr>
            <w:tcW w:w="1843" w:type="dxa"/>
            <w:shd w:val="clear" w:color="auto" w:fill="auto"/>
            <w:vAlign w:val="bottom"/>
          </w:tcPr>
          <w:p w14:paraId="27A6A045" w14:textId="77777777" w:rsidR="00A603CF" w:rsidRPr="00D46C32" w:rsidRDefault="00A603CF">
            <w:pPr>
              <w:spacing w:before="40" w:after="40" w:line="220" w:lineRule="exact"/>
              <w:jc w:val="right"/>
              <w:rPr>
                <w:sz w:val="18"/>
                <w:lang w:eastAsia="zh-CN"/>
              </w:rPr>
            </w:pPr>
            <w:r w:rsidRPr="00D46C32">
              <w:rPr>
                <w:sz w:val="18"/>
                <w:lang w:eastAsia="zh-CN"/>
              </w:rPr>
              <w:t>600</w:t>
            </w:r>
          </w:p>
        </w:tc>
        <w:tc>
          <w:tcPr>
            <w:tcW w:w="1843" w:type="dxa"/>
            <w:shd w:val="clear" w:color="auto" w:fill="auto"/>
            <w:vAlign w:val="bottom"/>
          </w:tcPr>
          <w:p w14:paraId="3E5F485D" w14:textId="77777777" w:rsidR="00A603CF" w:rsidRPr="00D46C32" w:rsidRDefault="00A603CF">
            <w:pPr>
              <w:spacing w:before="40" w:after="40" w:line="220" w:lineRule="exact"/>
              <w:jc w:val="right"/>
              <w:rPr>
                <w:sz w:val="18"/>
                <w:lang w:eastAsia="zh-CN"/>
              </w:rPr>
            </w:pPr>
            <w:r w:rsidRPr="00D46C32">
              <w:rPr>
                <w:sz w:val="18"/>
                <w:lang w:eastAsia="zh-CN"/>
              </w:rPr>
              <w:t>1,000</w:t>
            </w:r>
          </w:p>
        </w:tc>
      </w:tr>
      <w:tr w:rsidR="00A603CF" w:rsidRPr="00D46C32" w14:paraId="1757079D" w14:textId="77777777" w:rsidTr="00441519">
        <w:tc>
          <w:tcPr>
            <w:tcW w:w="1701" w:type="dxa"/>
            <w:shd w:val="clear" w:color="auto" w:fill="auto"/>
            <w:noWrap/>
            <w:hideMark/>
          </w:tcPr>
          <w:p w14:paraId="7723337E" w14:textId="77777777" w:rsidR="00A603CF" w:rsidRPr="00D46C32" w:rsidRDefault="00A603CF">
            <w:pPr>
              <w:spacing w:before="40" w:after="40" w:line="220" w:lineRule="exact"/>
              <w:rPr>
                <w:sz w:val="18"/>
                <w:lang w:eastAsia="zh-CN"/>
              </w:rPr>
            </w:pPr>
            <w:r w:rsidRPr="00D46C32">
              <w:rPr>
                <w:sz w:val="18"/>
                <w:lang w:eastAsia="zh-CN"/>
              </w:rPr>
              <w:t>Belarus</w:t>
            </w:r>
          </w:p>
        </w:tc>
        <w:tc>
          <w:tcPr>
            <w:tcW w:w="1843" w:type="dxa"/>
            <w:shd w:val="clear" w:color="auto" w:fill="auto"/>
            <w:noWrap/>
            <w:vAlign w:val="bottom"/>
            <w:hideMark/>
          </w:tcPr>
          <w:p w14:paraId="1C7B5905" w14:textId="77777777" w:rsidR="00A603CF" w:rsidRPr="00D46C32" w:rsidRDefault="00A603CF">
            <w:pPr>
              <w:spacing w:before="40" w:after="40" w:line="220" w:lineRule="exact"/>
              <w:jc w:val="right"/>
              <w:rPr>
                <w:sz w:val="18"/>
                <w:lang w:eastAsia="zh-CN"/>
              </w:rPr>
            </w:pPr>
            <w:r w:rsidRPr="00D46C32">
              <w:rPr>
                <w:sz w:val="18"/>
                <w:lang w:eastAsia="zh-CN"/>
              </w:rPr>
              <w:t>0.041</w:t>
            </w:r>
          </w:p>
        </w:tc>
        <w:tc>
          <w:tcPr>
            <w:tcW w:w="1559" w:type="dxa"/>
            <w:shd w:val="clear" w:color="auto" w:fill="auto"/>
            <w:noWrap/>
            <w:vAlign w:val="bottom"/>
            <w:hideMark/>
          </w:tcPr>
          <w:p w14:paraId="4312CC30" w14:textId="77777777" w:rsidR="00A603CF" w:rsidRPr="00D46C32" w:rsidRDefault="00A603CF">
            <w:pPr>
              <w:spacing w:before="40" w:after="40" w:line="220" w:lineRule="exact"/>
              <w:jc w:val="right"/>
              <w:rPr>
                <w:sz w:val="18"/>
                <w:lang w:eastAsia="zh-CN"/>
              </w:rPr>
            </w:pPr>
            <w:r w:rsidRPr="00D46C32">
              <w:rPr>
                <w:sz w:val="18"/>
                <w:lang w:eastAsia="zh-CN"/>
              </w:rPr>
              <w:t>0.124</w:t>
            </w:r>
          </w:p>
        </w:tc>
        <w:tc>
          <w:tcPr>
            <w:tcW w:w="1843" w:type="dxa"/>
            <w:shd w:val="clear" w:color="auto" w:fill="auto"/>
            <w:vAlign w:val="bottom"/>
          </w:tcPr>
          <w:p w14:paraId="43303031" w14:textId="77777777" w:rsidR="00A603CF" w:rsidRPr="00D46C32" w:rsidRDefault="00A603CF">
            <w:pPr>
              <w:spacing w:before="40" w:after="40" w:line="220" w:lineRule="exact"/>
              <w:jc w:val="right"/>
              <w:rPr>
                <w:sz w:val="18"/>
                <w:lang w:eastAsia="zh-CN"/>
              </w:rPr>
            </w:pPr>
            <w:r w:rsidRPr="00D46C32">
              <w:rPr>
                <w:sz w:val="18"/>
                <w:lang w:eastAsia="zh-CN"/>
              </w:rPr>
              <w:t>800</w:t>
            </w:r>
          </w:p>
        </w:tc>
        <w:tc>
          <w:tcPr>
            <w:tcW w:w="1843" w:type="dxa"/>
            <w:shd w:val="clear" w:color="auto" w:fill="auto"/>
            <w:vAlign w:val="bottom"/>
          </w:tcPr>
          <w:p w14:paraId="2AB5B114" w14:textId="77777777" w:rsidR="00A603CF" w:rsidRPr="00D46C32" w:rsidRDefault="00A603CF">
            <w:pPr>
              <w:spacing w:before="40" w:after="40" w:line="220" w:lineRule="exact"/>
              <w:jc w:val="right"/>
              <w:rPr>
                <w:sz w:val="18"/>
                <w:lang w:eastAsia="zh-CN"/>
              </w:rPr>
            </w:pPr>
            <w:r w:rsidRPr="00D46C32">
              <w:rPr>
                <w:sz w:val="18"/>
                <w:lang w:eastAsia="zh-CN"/>
              </w:rPr>
              <w:t>1,000</w:t>
            </w:r>
          </w:p>
        </w:tc>
      </w:tr>
      <w:tr w:rsidR="00A603CF" w:rsidRPr="00D46C32" w14:paraId="038C404E" w14:textId="77777777" w:rsidTr="00441519">
        <w:tc>
          <w:tcPr>
            <w:tcW w:w="1701" w:type="dxa"/>
            <w:shd w:val="clear" w:color="auto" w:fill="auto"/>
            <w:noWrap/>
            <w:hideMark/>
          </w:tcPr>
          <w:p w14:paraId="00CBC01F" w14:textId="77777777" w:rsidR="00A603CF" w:rsidRPr="00D46C32" w:rsidRDefault="00A603CF">
            <w:pPr>
              <w:spacing w:before="40" w:after="40" w:line="220" w:lineRule="exact"/>
              <w:rPr>
                <w:sz w:val="18"/>
                <w:lang w:eastAsia="zh-CN"/>
              </w:rPr>
            </w:pPr>
            <w:r w:rsidRPr="00D46C32">
              <w:rPr>
                <w:sz w:val="18"/>
                <w:lang w:eastAsia="zh-CN"/>
              </w:rPr>
              <w:t>Belgium</w:t>
            </w:r>
          </w:p>
        </w:tc>
        <w:tc>
          <w:tcPr>
            <w:tcW w:w="1843" w:type="dxa"/>
            <w:shd w:val="clear" w:color="auto" w:fill="auto"/>
            <w:noWrap/>
            <w:vAlign w:val="bottom"/>
            <w:hideMark/>
          </w:tcPr>
          <w:p w14:paraId="23960D93" w14:textId="77777777" w:rsidR="00A603CF" w:rsidRPr="00D46C32" w:rsidRDefault="00A603CF">
            <w:pPr>
              <w:spacing w:before="40" w:after="40" w:line="220" w:lineRule="exact"/>
              <w:jc w:val="right"/>
              <w:rPr>
                <w:sz w:val="18"/>
                <w:lang w:eastAsia="zh-CN"/>
              </w:rPr>
            </w:pPr>
            <w:r w:rsidRPr="00D46C32">
              <w:rPr>
                <w:sz w:val="18"/>
                <w:lang w:eastAsia="zh-CN"/>
              </w:rPr>
              <w:t>0.821</w:t>
            </w:r>
          </w:p>
        </w:tc>
        <w:tc>
          <w:tcPr>
            <w:tcW w:w="1559" w:type="dxa"/>
            <w:shd w:val="clear" w:color="auto" w:fill="auto"/>
            <w:noWrap/>
            <w:vAlign w:val="bottom"/>
            <w:hideMark/>
          </w:tcPr>
          <w:p w14:paraId="4E938F9A" w14:textId="77777777" w:rsidR="00A603CF" w:rsidRPr="00D46C32" w:rsidRDefault="00A603CF">
            <w:pPr>
              <w:spacing w:before="40" w:after="40" w:line="220" w:lineRule="exact"/>
              <w:jc w:val="right"/>
              <w:rPr>
                <w:sz w:val="18"/>
                <w:lang w:eastAsia="zh-CN"/>
              </w:rPr>
            </w:pPr>
            <w:r w:rsidRPr="00D46C32">
              <w:rPr>
                <w:sz w:val="18"/>
                <w:lang w:eastAsia="zh-CN"/>
              </w:rPr>
              <w:t>2.486</w:t>
            </w:r>
          </w:p>
        </w:tc>
        <w:tc>
          <w:tcPr>
            <w:tcW w:w="1843" w:type="dxa"/>
            <w:shd w:val="clear" w:color="auto" w:fill="auto"/>
            <w:vAlign w:val="bottom"/>
          </w:tcPr>
          <w:p w14:paraId="0DF8EC10" w14:textId="77777777" w:rsidR="00A603CF" w:rsidRPr="00D46C32" w:rsidRDefault="00A603CF">
            <w:pPr>
              <w:spacing w:before="40" w:after="40" w:line="220" w:lineRule="exact"/>
              <w:jc w:val="right"/>
              <w:rPr>
                <w:sz w:val="18"/>
                <w:lang w:eastAsia="zh-CN"/>
              </w:rPr>
            </w:pPr>
            <w:r w:rsidRPr="00D46C32">
              <w:rPr>
                <w:sz w:val="18"/>
                <w:lang w:eastAsia="zh-CN"/>
              </w:rPr>
              <w:t>15,990</w:t>
            </w:r>
          </w:p>
        </w:tc>
        <w:tc>
          <w:tcPr>
            <w:tcW w:w="1843" w:type="dxa"/>
            <w:shd w:val="clear" w:color="auto" w:fill="auto"/>
            <w:vAlign w:val="bottom"/>
          </w:tcPr>
          <w:p w14:paraId="2184ED31" w14:textId="77777777" w:rsidR="00A603CF" w:rsidRPr="00D46C32" w:rsidRDefault="00A603CF">
            <w:pPr>
              <w:spacing w:before="40" w:after="40" w:line="220" w:lineRule="exact"/>
              <w:jc w:val="right"/>
              <w:rPr>
                <w:sz w:val="18"/>
                <w:lang w:eastAsia="zh-CN"/>
              </w:rPr>
            </w:pPr>
            <w:r w:rsidRPr="00D46C32">
              <w:rPr>
                <w:sz w:val="18"/>
                <w:lang w:eastAsia="zh-CN"/>
              </w:rPr>
              <w:t>15,600</w:t>
            </w:r>
          </w:p>
        </w:tc>
      </w:tr>
      <w:tr w:rsidR="00A603CF" w:rsidRPr="00D46C32" w14:paraId="1F32DCE5" w14:textId="77777777" w:rsidTr="00441519">
        <w:tc>
          <w:tcPr>
            <w:tcW w:w="1701" w:type="dxa"/>
            <w:shd w:val="clear" w:color="auto" w:fill="auto"/>
            <w:noWrap/>
            <w:hideMark/>
          </w:tcPr>
          <w:p w14:paraId="368B9919" w14:textId="77777777" w:rsidR="00A603CF" w:rsidRPr="00D46C32" w:rsidRDefault="00A603CF">
            <w:pPr>
              <w:spacing w:before="40" w:after="40" w:line="220" w:lineRule="exact"/>
              <w:rPr>
                <w:sz w:val="18"/>
                <w:lang w:eastAsia="zh-CN"/>
              </w:rPr>
            </w:pPr>
            <w:r w:rsidRPr="00D46C32">
              <w:rPr>
                <w:sz w:val="18"/>
                <w:lang w:eastAsia="zh-CN"/>
              </w:rPr>
              <w:t>Bosnia and Herzegovina</w:t>
            </w:r>
          </w:p>
        </w:tc>
        <w:tc>
          <w:tcPr>
            <w:tcW w:w="1843" w:type="dxa"/>
            <w:shd w:val="clear" w:color="auto" w:fill="auto"/>
            <w:noWrap/>
            <w:vAlign w:val="bottom"/>
            <w:hideMark/>
          </w:tcPr>
          <w:p w14:paraId="247D26BB" w14:textId="77777777" w:rsidR="00A603CF" w:rsidRPr="00D46C32" w:rsidRDefault="00A603CF">
            <w:pPr>
              <w:spacing w:before="40" w:after="40" w:line="220" w:lineRule="exact"/>
              <w:jc w:val="right"/>
              <w:rPr>
                <w:sz w:val="18"/>
                <w:lang w:eastAsia="zh-CN"/>
              </w:rPr>
            </w:pPr>
            <w:r w:rsidRPr="00D46C32">
              <w:rPr>
                <w:sz w:val="18"/>
                <w:lang w:eastAsia="zh-CN"/>
              </w:rPr>
              <w:t>0.012</w:t>
            </w:r>
          </w:p>
        </w:tc>
        <w:tc>
          <w:tcPr>
            <w:tcW w:w="1559" w:type="dxa"/>
            <w:shd w:val="clear" w:color="auto" w:fill="auto"/>
            <w:noWrap/>
            <w:vAlign w:val="bottom"/>
            <w:hideMark/>
          </w:tcPr>
          <w:p w14:paraId="704394D2" w14:textId="77777777" w:rsidR="00A603CF" w:rsidRPr="00D46C32" w:rsidRDefault="00A603CF">
            <w:pPr>
              <w:spacing w:before="40" w:after="40" w:line="220" w:lineRule="exact"/>
              <w:jc w:val="right"/>
              <w:rPr>
                <w:sz w:val="18"/>
                <w:lang w:eastAsia="zh-CN"/>
              </w:rPr>
            </w:pPr>
            <w:r w:rsidRPr="00D46C32">
              <w:rPr>
                <w:sz w:val="18"/>
                <w:lang w:eastAsia="zh-CN"/>
              </w:rPr>
              <w:t>0.036</w:t>
            </w:r>
          </w:p>
        </w:tc>
        <w:tc>
          <w:tcPr>
            <w:tcW w:w="1843" w:type="dxa"/>
            <w:shd w:val="clear" w:color="auto" w:fill="auto"/>
            <w:vAlign w:val="bottom"/>
          </w:tcPr>
          <w:p w14:paraId="6BB121AA" w14:textId="77777777" w:rsidR="00A603CF" w:rsidRPr="00D46C32" w:rsidRDefault="00A603CF">
            <w:pPr>
              <w:spacing w:before="40" w:after="40" w:line="220" w:lineRule="exact"/>
              <w:jc w:val="right"/>
              <w:rPr>
                <w:sz w:val="18"/>
                <w:lang w:eastAsia="zh-CN"/>
              </w:rPr>
            </w:pPr>
            <w:r w:rsidRPr="00D46C32">
              <w:rPr>
                <w:sz w:val="18"/>
                <w:lang w:eastAsia="zh-CN"/>
              </w:rPr>
              <w:t>230</w:t>
            </w:r>
          </w:p>
        </w:tc>
        <w:tc>
          <w:tcPr>
            <w:tcW w:w="1843" w:type="dxa"/>
            <w:shd w:val="clear" w:color="auto" w:fill="auto"/>
            <w:vAlign w:val="bottom"/>
          </w:tcPr>
          <w:p w14:paraId="05656DD3" w14:textId="77777777" w:rsidR="00A603CF" w:rsidRPr="00D46C32" w:rsidRDefault="00A603CF">
            <w:pPr>
              <w:spacing w:before="40" w:after="40" w:line="220" w:lineRule="exact"/>
              <w:jc w:val="right"/>
              <w:rPr>
                <w:sz w:val="18"/>
                <w:lang w:eastAsia="zh-CN"/>
              </w:rPr>
            </w:pPr>
            <w:r w:rsidRPr="00D46C32">
              <w:rPr>
                <w:sz w:val="18"/>
                <w:lang w:eastAsia="zh-CN"/>
              </w:rPr>
              <w:t>1,000</w:t>
            </w:r>
          </w:p>
        </w:tc>
      </w:tr>
      <w:tr w:rsidR="00A603CF" w:rsidRPr="00D46C32" w14:paraId="34E18153" w14:textId="77777777" w:rsidTr="00441519">
        <w:tc>
          <w:tcPr>
            <w:tcW w:w="1701" w:type="dxa"/>
            <w:shd w:val="clear" w:color="auto" w:fill="auto"/>
            <w:noWrap/>
            <w:hideMark/>
          </w:tcPr>
          <w:p w14:paraId="7D50FB3B" w14:textId="77777777" w:rsidR="00A603CF" w:rsidRPr="00D46C32" w:rsidRDefault="00A603CF">
            <w:pPr>
              <w:spacing w:before="40" w:after="40" w:line="220" w:lineRule="exact"/>
              <w:rPr>
                <w:sz w:val="18"/>
                <w:lang w:eastAsia="zh-CN"/>
              </w:rPr>
            </w:pPr>
            <w:r w:rsidRPr="00D46C32">
              <w:rPr>
                <w:sz w:val="18"/>
                <w:lang w:eastAsia="zh-CN"/>
              </w:rPr>
              <w:t>Bulgaria</w:t>
            </w:r>
          </w:p>
        </w:tc>
        <w:tc>
          <w:tcPr>
            <w:tcW w:w="1843" w:type="dxa"/>
            <w:shd w:val="clear" w:color="auto" w:fill="auto"/>
            <w:noWrap/>
            <w:vAlign w:val="bottom"/>
            <w:hideMark/>
          </w:tcPr>
          <w:p w14:paraId="26C2EF8F" w14:textId="77777777" w:rsidR="00A603CF" w:rsidRPr="00D46C32" w:rsidRDefault="00A603CF">
            <w:pPr>
              <w:spacing w:before="40" w:after="40" w:line="220" w:lineRule="exact"/>
              <w:jc w:val="right"/>
              <w:rPr>
                <w:sz w:val="18"/>
                <w:lang w:eastAsia="zh-CN"/>
              </w:rPr>
            </w:pPr>
            <w:r w:rsidRPr="00D46C32">
              <w:rPr>
                <w:sz w:val="18"/>
                <w:lang w:eastAsia="zh-CN"/>
              </w:rPr>
              <w:t>0.056</w:t>
            </w:r>
          </w:p>
        </w:tc>
        <w:tc>
          <w:tcPr>
            <w:tcW w:w="1559" w:type="dxa"/>
            <w:shd w:val="clear" w:color="auto" w:fill="auto"/>
            <w:noWrap/>
            <w:vAlign w:val="bottom"/>
            <w:hideMark/>
          </w:tcPr>
          <w:p w14:paraId="1F6D14CC" w14:textId="77777777" w:rsidR="00A603CF" w:rsidRPr="00D46C32" w:rsidRDefault="00A603CF">
            <w:pPr>
              <w:spacing w:before="40" w:after="40" w:line="220" w:lineRule="exact"/>
              <w:jc w:val="right"/>
              <w:rPr>
                <w:sz w:val="18"/>
                <w:lang w:eastAsia="zh-CN"/>
              </w:rPr>
            </w:pPr>
            <w:r w:rsidRPr="00D46C32">
              <w:rPr>
                <w:sz w:val="18"/>
                <w:lang w:eastAsia="zh-CN"/>
              </w:rPr>
              <w:t>0.170</w:t>
            </w:r>
          </w:p>
        </w:tc>
        <w:tc>
          <w:tcPr>
            <w:tcW w:w="1843" w:type="dxa"/>
            <w:shd w:val="clear" w:color="auto" w:fill="auto"/>
            <w:vAlign w:val="bottom"/>
          </w:tcPr>
          <w:p w14:paraId="36C39367" w14:textId="77777777" w:rsidR="00A603CF" w:rsidRPr="00D46C32" w:rsidRDefault="00A603CF">
            <w:pPr>
              <w:spacing w:before="40" w:after="40" w:line="220" w:lineRule="exact"/>
              <w:jc w:val="right"/>
              <w:rPr>
                <w:sz w:val="18"/>
                <w:lang w:eastAsia="zh-CN"/>
              </w:rPr>
            </w:pPr>
            <w:r w:rsidRPr="00D46C32">
              <w:rPr>
                <w:sz w:val="18"/>
                <w:lang w:eastAsia="zh-CN"/>
              </w:rPr>
              <w:t>1,090</w:t>
            </w:r>
          </w:p>
        </w:tc>
        <w:tc>
          <w:tcPr>
            <w:tcW w:w="1843" w:type="dxa"/>
            <w:shd w:val="clear" w:color="auto" w:fill="auto"/>
            <w:vAlign w:val="bottom"/>
          </w:tcPr>
          <w:p w14:paraId="07FAA03A" w14:textId="77777777" w:rsidR="00A603CF" w:rsidRPr="00D46C32" w:rsidRDefault="00A603CF">
            <w:pPr>
              <w:spacing w:before="40" w:after="40" w:line="220" w:lineRule="exact"/>
              <w:jc w:val="right"/>
              <w:rPr>
                <w:sz w:val="18"/>
                <w:lang w:eastAsia="zh-CN"/>
              </w:rPr>
            </w:pPr>
            <w:r w:rsidRPr="00D46C32">
              <w:rPr>
                <w:sz w:val="18"/>
                <w:lang w:eastAsia="zh-CN"/>
              </w:rPr>
              <w:t>1,065</w:t>
            </w:r>
          </w:p>
        </w:tc>
      </w:tr>
      <w:tr w:rsidR="00A603CF" w:rsidRPr="00D46C32" w14:paraId="4010DD2B" w14:textId="77777777" w:rsidTr="00441519">
        <w:tc>
          <w:tcPr>
            <w:tcW w:w="1701" w:type="dxa"/>
            <w:shd w:val="clear" w:color="auto" w:fill="auto"/>
            <w:noWrap/>
            <w:hideMark/>
          </w:tcPr>
          <w:p w14:paraId="4A2B2618" w14:textId="77777777" w:rsidR="00A603CF" w:rsidRPr="00D46C32" w:rsidRDefault="00A603CF">
            <w:pPr>
              <w:spacing w:before="40" w:after="40" w:line="220" w:lineRule="exact"/>
              <w:rPr>
                <w:sz w:val="18"/>
                <w:lang w:eastAsia="zh-CN"/>
              </w:rPr>
            </w:pPr>
            <w:r w:rsidRPr="00D46C32">
              <w:rPr>
                <w:sz w:val="18"/>
                <w:lang w:eastAsia="zh-CN"/>
              </w:rPr>
              <w:t>Canada</w:t>
            </w:r>
          </w:p>
        </w:tc>
        <w:tc>
          <w:tcPr>
            <w:tcW w:w="1843" w:type="dxa"/>
            <w:shd w:val="clear" w:color="auto" w:fill="auto"/>
            <w:noWrap/>
            <w:vAlign w:val="bottom"/>
            <w:hideMark/>
          </w:tcPr>
          <w:p w14:paraId="7461317F" w14:textId="77777777" w:rsidR="00A603CF" w:rsidRPr="00D46C32" w:rsidRDefault="00A603CF">
            <w:pPr>
              <w:spacing w:before="40" w:after="40" w:line="220" w:lineRule="exact"/>
              <w:jc w:val="right"/>
              <w:rPr>
                <w:sz w:val="18"/>
                <w:lang w:eastAsia="zh-CN"/>
              </w:rPr>
            </w:pPr>
            <w:r w:rsidRPr="00D46C32">
              <w:rPr>
                <w:sz w:val="18"/>
                <w:lang w:eastAsia="zh-CN"/>
              </w:rPr>
              <w:t>2.628</w:t>
            </w:r>
          </w:p>
        </w:tc>
        <w:tc>
          <w:tcPr>
            <w:tcW w:w="1559" w:type="dxa"/>
            <w:shd w:val="clear" w:color="auto" w:fill="auto"/>
            <w:noWrap/>
            <w:vAlign w:val="bottom"/>
            <w:hideMark/>
          </w:tcPr>
          <w:p w14:paraId="4FB4B99D" w14:textId="77777777" w:rsidR="00A603CF" w:rsidRPr="00D46C32" w:rsidRDefault="00A603CF">
            <w:pPr>
              <w:spacing w:before="40" w:after="40" w:line="220" w:lineRule="exact"/>
              <w:jc w:val="right"/>
              <w:rPr>
                <w:sz w:val="18"/>
                <w:lang w:eastAsia="zh-CN"/>
              </w:rPr>
            </w:pPr>
            <w:r w:rsidRPr="00D46C32">
              <w:rPr>
                <w:sz w:val="18"/>
                <w:lang w:eastAsia="zh-CN"/>
              </w:rPr>
              <w:t>7.958</w:t>
            </w:r>
          </w:p>
        </w:tc>
        <w:tc>
          <w:tcPr>
            <w:tcW w:w="1843" w:type="dxa"/>
            <w:shd w:val="clear" w:color="auto" w:fill="auto"/>
            <w:vAlign w:val="bottom"/>
          </w:tcPr>
          <w:p w14:paraId="6341AC33" w14:textId="77777777" w:rsidR="00A603CF" w:rsidRPr="00D46C32" w:rsidRDefault="00A603CF">
            <w:pPr>
              <w:spacing w:before="40" w:after="40" w:line="220" w:lineRule="exact"/>
              <w:jc w:val="right"/>
              <w:rPr>
                <w:sz w:val="18"/>
                <w:lang w:eastAsia="zh-CN"/>
              </w:rPr>
            </w:pPr>
            <w:r w:rsidRPr="00D46C32">
              <w:rPr>
                <w:sz w:val="18"/>
                <w:lang w:eastAsia="zh-CN"/>
              </w:rPr>
              <w:t>51,160</w:t>
            </w:r>
          </w:p>
        </w:tc>
        <w:tc>
          <w:tcPr>
            <w:tcW w:w="1843" w:type="dxa"/>
            <w:shd w:val="clear" w:color="auto" w:fill="auto"/>
            <w:vAlign w:val="bottom"/>
          </w:tcPr>
          <w:p w14:paraId="69781D81" w14:textId="77777777" w:rsidR="00A603CF" w:rsidRPr="00D46C32" w:rsidRDefault="00A603CF">
            <w:pPr>
              <w:spacing w:before="40" w:after="40" w:line="220" w:lineRule="exact"/>
              <w:jc w:val="right"/>
              <w:rPr>
                <w:sz w:val="18"/>
                <w:lang w:eastAsia="zh-CN"/>
              </w:rPr>
            </w:pPr>
            <w:r w:rsidRPr="00D46C32">
              <w:rPr>
                <w:sz w:val="18"/>
                <w:lang w:eastAsia="zh-CN"/>
              </w:rPr>
              <w:t>49,960</w:t>
            </w:r>
          </w:p>
        </w:tc>
      </w:tr>
      <w:tr w:rsidR="00A603CF" w:rsidRPr="00D46C32" w14:paraId="47C565EC" w14:textId="77777777" w:rsidTr="00441519">
        <w:tc>
          <w:tcPr>
            <w:tcW w:w="1701" w:type="dxa"/>
            <w:shd w:val="clear" w:color="auto" w:fill="auto"/>
            <w:noWrap/>
            <w:hideMark/>
          </w:tcPr>
          <w:p w14:paraId="62018566" w14:textId="77777777" w:rsidR="00A603CF" w:rsidRPr="00D46C32" w:rsidRDefault="00A603CF">
            <w:pPr>
              <w:spacing w:before="40" w:after="40" w:line="220" w:lineRule="exact"/>
              <w:rPr>
                <w:sz w:val="18"/>
                <w:lang w:eastAsia="zh-CN"/>
              </w:rPr>
            </w:pPr>
            <w:r w:rsidRPr="00D46C32">
              <w:rPr>
                <w:sz w:val="18"/>
                <w:lang w:eastAsia="zh-CN"/>
              </w:rPr>
              <w:t>Croatia</w:t>
            </w:r>
          </w:p>
        </w:tc>
        <w:tc>
          <w:tcPr>
            <w:tcW w:w="1843" w:type="dxa"/>
            <w:shd w:val="clear" w:color="auto" w:fill="auto"/>
            <w:noWrap/>
            <w:vAlign w:val="bottom"/>
            <w:hideMark/>
          </w:tcPr>
          <w:p w14:paraId="6F677E88" w14:textId="77777777" w:rsidR="00A603CF" w:rsidRPr="00D46C32" w:rsidRDefault="00A603CF">
            <w:pPr>
              <w:spacing w:before="40" w:after="40" w:line="220" w:lineRule="exact"/>
              <w:jc w:val="right"/>
              <w:rPr>
                <w:sz w:val="18"/>
                <w:lang w:eastAsia="zh-CN"/>
              </w:rPr>
            </w:pPr>
            <w:r w:rsidRPr="00D46C32">
              <w:rPr>
                <w:sz w:val="18"/>
                <w:lang w:eastAsia="zh-CN"/>
              </w:rPr>
              <w:t>0.091</w:t>
            </w:r>
          </w:p>
        </w:tc>
        <w:tc>
          <w:tcPr>
            <w:tcW w:w="1559" w:type="dxa"/>
            <w:shd w:val="clear" w:color="auto" w:fill="auto"/>
            <w:noWrap/>
            <w:vAlign w:val="bottom"/>
            <w:hideMark/>
          </w:tcPr>
          <w:p w14:paraId="706E177F" w14:textId="77777777" w:rsidR="00A603CF" w:rsidRPr="00D46C32" w:rsidRDefault="00A603CF">
            <w:pPr>
              <w:spacing w:before="40" w:after="40" w:line="220" w:lineRule="exact"/>
              <w:jc w:val="right"/>
              <w:rPr>
                <w:sz w:val="18"/>
                <w:lang w:eastAsia="zh-CN"/>
              </w:rPr>
            </w:pPr>
            <w:r w:rsidRPr="00D46C32">
              <w:rPr>
                <w:sz w:val="18"/>
                <w:lang w:eastAsia="zh-CN"/>
              </w:rPr>
              <w:t>0.276</w:t>
            </w:r>
          </w:p>
        </w:tc>
        <w:tc>
          <w:tcPr>
            <w:tcW w:w="1843" w:type="dxa"/>
            <w:shd w:val="clear" w:color="auto" w:fill="auto"/>
            <w:vAlign w:val="bottom"/>
          </w:tcPr>
          <w:p w14:paraId="4A885926" w14:textId="77777777" w:rsidR="00A603CF" w:rsidRPr="00D46C32" w:rsidRDefault="00A603CF">
            <w:pPr>
              <w:spacing w:before="40" w:after="40" w:line="220" w:lineRule="exact"/>
              <w:jc w:val="right"/>
              <w:rPr>
                <w:sz w:val="18"/>
                <w:lang w:eastAsia="zh-CN"/>
              </w:rPr>
            </w:pPr>
            <w:r w:rsidRPr="00D46C32">
              <w:rPr>
                <w:sz w:val="18"/>
                <w:lang w:eastAsia="zh-CN"/>
              </w:rPr>
              <w:t>1,780</w:t>
            </w:r>
          </w:p>
        </w:tc>
        <w:tc>
          <w:tcPr>
            <w:tcW w:w="1843" w:type="dxa"/>
            <w:shd w:val="clear" w:color="auto" w:fill="auto"/>
            <w:vAlign w:val="bottom"/>
          </w:tcPr>
          <w:p w14:paraId="6BD0E3F0" w14:textId="77777777" w:rsidR="00A603CF" w:rsidRPr="00D46C32" w:rsidRDefault="00A603CF">
            <w:pPr>
              <w:spacing w:before="40" w:after="40" w:line="220" w:lineRule="exact"/>
              <w:jc w:val="right"/>
              <w:rPr>
                <w:sz w:val="18"/>
                <w:lang w:eastAsia="zh-CN"/>
              </w:rPr>
            </w:pPr>
            <w:r w:rsidRPr="00D46C32">
              <w:rPr>
                <w:sz w:val="18"/>
                <w:lang w:eastAsia="zh-CN"/>
              </w:rPr>
              <w:t>1,730</w:t>
            </w:r>
          </w:p>
        </w:tc>
      </w:tr>
      <w:tr w:rsidR="00A603CF" w:rsidRPr="00D46C32" w14:paraId="64FC64C6" w14:textId="77777777" w:rsidTr="00441519">
        <w:tc>
          <w:tcPr>
            <w:tcW w:w="1701" w:type="dxa"/>
            <w:shd w:val="clear" w:color="auto" w:fill="auto"/>
            <w:noWrap/>
            <w:hideMark/>
          </w:tcPr>
          <w:p w14:paraId="7AE3F2C3" w14:textId="77777777" w:rsidR="00A603CF" w:rsidRPr="00D46C32" w:rsidRDefault="00A603CF">
            <w:pPr>
              <w:spacing w:before="40" w:after="40" w:line="220" w:lineRule="exact"/>
              <w:rPr>
                <w:sz w:val="18"/>
                <w:lang w:eastAsia="zh-CN"/>
              </w:rPr>
            </w:pPr>
            <w:r w:rsidRPr="00D46C32">
              <w:rPr>
                <w:sz w:val="18"/>
                <w:lang w:eastAsia="zh-CN"/>
              </w:rPr>
              <w:t>Cyprus</w:t>
            </w:r>
          </w:p>
        </w:tc>
        <w:tc>
          <w:tcPr>
            <w:tcW w:w="1843" w:type="dxa"/>
            <w:shd w:val="clear" w:color="auto" w:fill="auto"/>
            <w:noWrap/>
            <w:vAlign w:val="bottom"/>
            <w:hideMark/>
          </w:tcPr>
          <w:p w14:paraId="15E50F7D" w14:textId="77777777" w:rsidR="00A603CF" w:rsidRPr="00D46C32" w:rsidRDefault="00A603CF">
            <w:pPr>
              <w:spacing w:before="40" w:after="40" w:line="220" w:lineRule="exact"/>
              <w:jc w:val="right"/>
              <w:rPr>
                <w:sz w:val="18"/>
                <w:lang w:eastAsia="zh-CN"/>
              </w:rPr>
            </w:pPr>
            <w:r w:rsidRPr="00D46C32">
              <w:rPr>
                <w:sz w:val="18"/>
                <w:lang w:eastAsia="zh-CN"/>
              </w:rPr>
              <w:t>0.036</w:t>
            </w:r>
          </w:p>
        </w:tc>
        <w:tc>
          <w:tcPr>
            <w:tcW w:w="1559" w:type="dxa"/>
            <w:shd w:val="clear" w:color="auto" w:fill="auto"/>
            <w:noWrap/>
            <w:vAlign w:val="bottom"/>
            <w:hideMark/>
          </w:tcPr>
          <w:p w14:paraId="0F8FF093" w14:textId="77777777" w:rsidR="00A603CF" w:rsidRPr="00D46C32" w:rsidRDefault="00A603CF">
            <w:pPr>
              <w:spacing w:before="40" w:after="40" w:line="220" w:lineRule="exact"/>
              <w:jc w:val="right"/>
              <w:rPr>
                <w:sz w:val="18"/>
                <w:lang w:eastAsia="zh-CN"/>
              </w:rPr>
            </w:pPr>
            <w:r w:rsidRPr="00D46C32">
              <w:rPr>
                <w:sz w:val="18"/>
                <w:lang w:eastAsia="zh-CN"/>
              </w:rPr>
              <w:t>0.109</w:t>
            </w:r>
          </w:p>
        </w:tc>
        <w:tc>
          <w:tcPr>
            <w:tcW w:w="1843" w:type="dxa"/>
            <w:shd w:val="clear" w:color="auto" w:fill="auto"/>
            <w:vAlign w:val="bottom"/>
          </w:tcPr>
          <w:p w14:paraId="200CF9CB" w14:textId="77777777" w:rsidR="00A603CF" w:rsidRPr="00D46C32" w:rsidRDefault="00A603CF">
            <w:pPr>
              <w:spacing w:before="40" w:after="40" w:line="220" w:lineRule="exact"/>
              <w:jc w:val="right"/>
              <w:rPr>
                <w:sz w:val="18"/>
                <w:lang w:eastAsia="zh-CN"/>
              </w:rPr>
            </w:pPr>
            <w:r w:rsidRPr="00D46C32">
              <w:rPr>
                <w:sz w:val="18"/>
                <w:lang w:eastAsia="zh-CN"/>
              </w:rPr>
              <w:t>700</w:t>
            </w:r>
          </w:p>
        </w:tc>
        <w:tc>
          <w:tcPr>
            <w:tcW w:w="1843" w:type="dxa"/>
            <w:shd w:val="clear" w:color="auto" w:fill="auto"/>
            <w:vAlign w:val="bottom"/>
          </w:tcPr>
          <w:p w14:paraId="2CD791AD" w14:textId="77777777" w:rsidR="00A603CF" w:rsidRPr="00D46C32" w:rsidRDefault="00A603CF">
            <w:pPr>
              <w:spacing w:before="40" w:after="40" w:line="220" w:lineRule="exact"/>
              <w:jc w:val="right"/>
              <w:rPr>
                <w:sz w:val="18"/>
                <w:lang w:eastAsia="zh-CN"/>
              </w:rPr>
            </w:pPr>
            <w:r w:rsidRPr="00D46C32">
              <w:rPr>
                <w:sz w:val="18"/>
                <w:lang w:eastAsia="zh-CN"/>
              </w:rPr>
              <w:t>1,000</w:t>
            </w:r>
          </w:p>
        </w:tc>
      </w:tr>
      <w:tr w:rsidR="00A603CF" w:rsidRPr="00D46C32" w14:paraId="53C7F5B2" w14:textId="77777777" w:rsidTr="00441519">
        <w:tc>
          <w:tcPr>
            <w:tcW w:w="1701" w:type="dxa"/>
            <w:shd w:val="clear" w:color="auto" w:fill="auto"/>
            <w:noWrap/>
            <w:hideMark/>
          </w:tcPr>
          <w:p w14:paraId="41B2F258" w14:textId="77777777" w:rsidR="00A603CF" w:rsidRPr="00D46C32" w:rsidRDefault="00A603CF">
            <w:pPr>
              <w:spacing w:before="40" w:after="40" w:line="220" w:lineRule="exact"/>
              <w:rPr>
                <w:sz w:val="18"/>
                <w:lang w:eastAsia="zh-CN"/>
              </w:rPr>
            </w:pPr>
            <w:r w:rsidRPr="00D46C32">
              <w:rPr>
                <w:sz w:val="18"/>
                <w:lang w:eastAsia="zh-CN"/>
              </w:rPr>
              <w:t>Czechia</w:t>
            </w:r>
          </w:p>
        </w:tc>
        <w:tc>
          <w:tcPr>
            <w:tcW w:w="1843" w:type="dxa"/>
            <w:shd w:val="clear" w:color="auto" w:fill="auto"/>
            <w:noWrap/>
            <w:vAlign w:val="bottom"/>
            <w:hideMark/>
          </w:tcPr>
          <w:p w14:paraId="090801D3" w14:textId="77777777" w:rsidR="00A603CF" w:rsidRPr="00D46C32" w:rsidRDefault="00A603CF">
            <w:pPr>
              <w:spacing w:before="40" w:after="40" w:line="220" w:lineRule="exact"/>
              <w:jc w:val="right"/>
              <w:rPr>
                <w:sz w:val="18"/>
                <w:lang w:eastAsia="zh-CN"/>
              </w:rPr>
            </w:pPr>
            <w:r w:rsidRPr="00D46C32">
              <w:rPr>
                <w:sz w:val="18"/>
                <w:lang w:eastAsia="zh-CN"/>
              </w:rPr>
              <w:t>0.34</w:t>
            </w:r>
          </w:p>
        </w:tc>
        <w:tc>
          <w:tcPr>
            <w:tcW w:w="1559" w:type="dxa"/>
            <w:shd w:val="clear" w:color="auto" w:fill="auto"/>
            <w:noWrap/>
            <w:vAlign w:val="bottom"/>
            <w:hideMark/>
          </w:tcPr>
          <w:p w14:paraId="133AA5B1" w14:textId="77777777" w:rsidR="00A603CF" w:rsidRPr="00D46C32" w:rsidRDefault="00A603CF">
            <w:pPr>
              <w:spacing w:before="40" w:after="40" w:line="220" w:lineRule="exact"/>
              <w:jc w:val="right"/>
              <w:rPr>
                <w:sz w:val="18"/>
                <w:lang w:eastAsia="zh-CN"/>
              </w:rPr>
            </w:pPr>
            <w:r w:rsidRPr="00D46C32">
              <w:rPr>
                <w:sz w:val="18"/>
                <w:lang w:eastAsia="zh-CN"/>
              </w:rPr>
              <w:t>1.030</w:t>
            </w:r>
          </w:p>
        </w:tc>
        <w:tc>
          <w:tcPr>
            <w:tcW w:w="1843" w:type="dxa"/>
            <w:shd w:val="clear" w:color="auto" w:fill="auto"/>
            <w:vAlign w:val="bottom"/>
          </w:tcPr>
          <w:p w14:paraId="4BF326F4" w14:textId="77777777" w:rsidR="00A603CF" w:rsidRPr="00D46C32" w:rsidRDefault="00A603CF">
            <w:pPr>
              <w:spacing w:before="40" w:after="40" w:line="220" w:lineRule="exact"/>
              <w:jc w:val="right"/>
              <w:rPr>
                <w:sz w:val="18"/>
                <w:lang w:eastAsia="zh-CN"/>
              </w:rPr>
            </w:pPr>
            <w:r w:rsidRPr="00D46C32">
              <w:rPr>
                <w:sz w:val="18"/>
                <w:lang w:eastAsia="zh-CN"/>
              </w:rPr>
              <w:t>6,620</w:t>
            </w:r>
          </w:p>
        </w:tc>
        <w:tc>
          <w:tcPr>
            <w:tcW w:w="1843" w:type="dxa"/>
            <w:shd w:val="clear" w:color="auto" w:fill="auto"/>
            <w:vAlign w:val="bottom"/>
          </w:tcPr>
          <w:p w14:paraId="4A2A4C8F" w14:textId="77777777" w:rsidR="00A603CF" w:rsidRPr="00D46C32" w:rsidRDefault="00A603CF">
            <w:pPr>
              <w:spacing w:before="40" w:after="40" w:line="220" w:lineRule="exact"/>
              <w:jc w:val="right"/>
              <w:rPr>
                <w:sz w:val="18"/>
                <w:lang w:eastAsia="zh-CN"/>
              </w:rPr>
            </w:pPr>
            <w:r w:rsidRPr="00D46C32">
              <w:rPr>
                <w:sz w:val="18"/>
                <w:lang w:eastAsia="zh-CN"/>
              </w:rPr>
              <w:t>6,460</w:t>
            </w:r>
          </w:p>
        </w:tc>
      </w:tr>
      <w:tr w:rsidR="00A603CF" w:rsidRPr="00D46C32" w14:paraId="7BC38BB3" w14:textId="77777777" w:rsidTr="00441519">
        <w:tc>
          <w:tcPr>
            <w:tcW w:w="1701" w:type="dxa"/>
            <w:shd w:val="clear" w:color="auto" w:fill="auto"/>
            <w:noWrap/>
            <w:hideMark/>
          </w:tcPr>
          <w:p w14:paraId="39298F26" w14:textId="77777777" w:rsidR="00A603CF" w:rsidRPr="00D46C32" w:rsidRDefault="00A603CF">
            <w:pPr>
              <w:spacing w:before="40" w:after="40" w:line="220" w:lineRule="exact"/>
              <w:rPr>
                <w:sz w:val="18"/>
                <w:lang w:eastAsia="zh-CN"/>
              </w:rPr>
            </w:pPr>
            <w:r w:rsidRPr="00D46C32">
              <w:rPr>
                <w:sz w:val="18"/>
                <w:lang w:eastAsia="zh-CN"/>
              </w:rPr>
              <w:t>Denmark</w:t>
            </w:r>
          </w:p>
        </w:tc>
        <w:tc>
          <w:tcPr>
            <w:tcW w:w="1843" w:type="dxa"/>
            <w:shd w:val="clear" w:color="auto" w:fill="auto"/>
            <w:noWrap/>
            <w:vAlign w:val="bottom"/>
            <w:hideMark/>
          </w:tcPr>
          <w:p w14:paraId="0A656459" w14:textId="77777777" w:rsidR="00A603CF" w:rsidRPr="00D46C32" w:rsidRDefault="00A603CF">
            <w:pPr>
              <w:spacing w:before="40" w:after="40" w:line="220" w:lineRule="exact"/>
              <w:jc w:val="right"/>
              <w:rPr>
                <w:sz w:val="18"/>
                <w:lang w:eastAsia="zh-CN"/>
              </w:rPr>
            </w:pPr>
            <w:r w:rsidRPr="00D46C32">
              <w:rPr>
                <w:sz w:val="18"/>
                <w:lang w:eastAsia="zh-CN"/>
              </w:rPr>
              <w:t>0.553</w:t>
            </w:r>
          </w:p>
        </w:tc>
        <w:tc>
          <w:tcPr>
            <w:tcW w:w="1559" w:type="dxa"/>
            <w:shd w:val="clear" w:color="auto" w:fill="auto"/>
            <w:noWrap/>
            <w:vAlign w:val="bottom"/>
            <w:hideMark/>
          </w:tcPr>
          <w:p w14:paraId="6EC75F01" w14:textId="77777777" w:rsidR="00A603CF" w:rsidRPr="00D46C32" w:rsidRDefault="00A603CF">
            <w:pPr>
              <w:spacing w:before="40" w:after="40" w:line="220" w:lineRule="exact"/>
              <w:jc w:val="right"/>
              <w:rPr>
                <w:sz w:val="18"/>
                <w:lang w:eastAsia="zh-CN"/>
              </w:rPr>
            </w:pPr>
            <w:r w:rsidRPr="00D46C32">
              <w:rPr>
                <w:sz w:val="18"/>
                <w:lang w:eastAsia="zh-CN"/>
              </w:rPr>
              <w:t>1.674</w:t>
            </w:r>
          </w:p>
        </w:tc>
        <w:tc>
          <w:tcPr>
            <w:tcW w:w="1843" w:type="dxa"/>
            <w:shd w:val="clear" w:color="auto" w:fill="auto"/>
            <w:vAlign w:val="bottom"/>
          </w:tcPr>
          <w:p w14:paraId="71949DCD" w14:textId="77777777" w:rsidR="00A603CF" w:rsidRPr="00D46C32" w:rsidRDefault="00A603CF">
            <w:pPr>
              <w:spacing w:before="40" w:after="40" w:line="220" w:lineRule="exact"/>
              <w:jc w:val="right"/>
              <w:rPr>
                <w:sz w:val="18"/>
                <w:lang w:eastAsia="zh-CN"/>
              </w:rPr>
            </w:pPr>
            <w:r w:rsidRPr="00D46C32">
              <w:rPr>
                <w:sz w:val="18"/>
                <w:lang w:eastAsia="zh-CN"/>
              </w:rPr>
              <w:t>10,760</w:t>
            </w:r>
          </w:p>
        </w:tc>
        <w:tc>
          <w:tcPr>
            <w:tcW w:w="1843" w:type="dxa"/>
            <w:shd w:val="clear" w:color="auto" w:fill="auto"/>
            <w:vAlign w:val="bottom"/>
          </w:tcPr>
          <w:p w14:paraId="6D76A5CD" w14:textId="77777777" w:rsidR="00A603CF" w:rsidRPr="00D46C32" w:rsidRDefault="00A603CF">
            <w:pPr>
              <w:spacing w:before="40" w:after="40" w:line="220" w:lineRule="exact"/>
              <w:jc w:val="right"/>
              <w:rPr>
                <w:sz w:val="18"/>
                <w:lang w:eastAsia="zh-CN"/>
              </w:rPr>
            </w:pPr>
            <w:r w:rsidRPr="00D46C32">
              <w:rPr>
                <w:sz w:val="18"/>
                <w:lang w:eastAsia="zh-CN"/>
              </w:rPr>
              <w:t>10,510</w:t>
            </w:r>
          </w:p>
        </w:tc>
      </w:tr>
      <w:tr w:rsidR="00A603CF" w:rsidRPr="00D46C32" w14:paraId="3D4706A2" w14:textId="77777777" w:rsidTr="00441519">
        <w:tc>
          <w:tcPr>
            <w:tcW w:w="1701" w:type="dxa"/>
            <w:shd w:val="clear" w:color="auto" w:fill="auto"/>
            <w:noWrap/>
            <w:hideMark/>
          </w:tcPr>
          <w:p w14:paraId="17D35754" w14:textId="77777777" w:rsidR="00A603CF" w:rsidRPr="00D46C32" w:rsidRDefault="00A603CF">
            <w:pPr>
              <w:spacing w:before="40" w:after="40" w:line="220" w:lineRule="exact"/>
              <w:rPr>
                <w:sz w:val="18"/>
                <w:lang w:eastAsia="zh-CN"/>
              </w:rPr>
            </w:pPr>
            <w:r w:rsidRPr="00D46C32">
              <w:rPr>
                <w:sz w:val="18"/>
                <w:lang w:eastAsia="zh-CN"/>
              </w:rPr>
              <w:t>Estonia</w:t>
            </w:r>
          </w:p>
        </w:tc>
        <w:tc>
          <w:tcPr>
            <w:tcW w:w="1843" w:type="dxa"/>
            <w:shd w:val="clear" w:color="auto" w:fill="auto"/>
            <w:noWrap/>
            <w:vAlign w:val="bottom"/>
            <w:hideMark/>
          </w:tcPr>
          <w:p w14:paraId="21C9EA63" w14:textId="77777777" w:rsidR="00A603CF" w:rsidRPr="00D46C32" w:rsidRDefault="00A603CF">
            <w:pPr>
              <w:spacing w:before="40" w:after="40" w:line="220" w:lineRule="exact"/>
              <w:jc w:val="right"/>
              <w:rPr>
                <w:sz w:val="18"/>
                <w:lang w:eastAsia="zh-CN"/>
              </w:rPr>
            </w:pPr>
            <w:r w:rsidRPr="00D46C32">
              <w:rPr>
                <w:sz w:val="18"/>
                <w:lang w:eastAsia="zh-CN"/>
              </w:rPr>
              <w:t>0.044</w:t>
            </w:r>
          </w:p>
        </w:tc>
        <w:tc>
          <w:tcPr>
            <w:tcW w:w="1559" w:type="dxa"/>
            <w:shd w:val="clear" w:color="auto" w:fill="auto"/>
            <w:noWrap/>
            <w:vAlign w:val="bottom"/>
            <w:hideMark/>
          </w:tcPr>
          <w:p w14:paraId="5A31ACA2" w14:textId="77777777" w:rsidR="00A603CF" w:rsidRPr="00D46C32" w:rsidRDefault="00A603CF">
            <w:pPr>
              <w:spacing w:before="40" w:after="40" w:line="220" w:lineRule="exact"/>
              <w:jc w:val="right"/>
              <w:rPr>
                <w:sz w:val="18"/>
                <w:lang w:eastAsia="zh-CN"/>
              </w:rPr>
            </w:pPr>
            <w:r w:rsidRPr="00D46C32">
              <w:rPr>
                <w:sz w:val="18"/>
                <w:lang w:eastAsia="zh-CN"/>
              </w:rPr>
              <w:t>0.133</w:t>
            </w:r>
          </w:p>
        </w:tc>
        <w:tc>
          <w:tcPr>
            <w:tcW w:w="1843" w:type="dxa"/>
            <w:shd w:val="clear" w:color="auto" w:fill="auto"/>
            <w:vAlign w:val="bottom"/>
          </w:tcPr>
          <w:p w14:paraId="3EB8A66F" w14:textId="77777777" w:rsidR="00A603CF" w:rsidRPr="00D46C32" w:rsidRDefault="00A603CF">
            <w:pPr>
              <w:spacing w:before="40" w:after="40" w:line="220" w:lineRule="exact"/>
              <w:jc w:val="right"/>
              <w:rPr>
                <w:sz w:val="18"/>
                <w:lang w:eastAsia="zh-CN"/>
              </w:rPr>
            </w:pPr>
            <w:r w:rsidRPr="00D46C32">
              <w:rPr>
                <w:sz w:val="18"/>
                <w:lang w:eastAsia="zh-CN"/>
              </w:rPr>
              <w:t>860</w:t>
            </w:r>
          </w:p>
        </w:tc>
        <w:tc>
          <w:tcPr>
            <w:tcW w:w="1843" w:type="dxa"/>
            <w:shd w:val="clear" w:color="auto" w:fill="auto"/>
            <w:vAlign w:val="bottom"/>
          </w:tcPr>
          <w:p w14:paraId="4CD5B329" w14:textId="77777777" w:rsidR="00A603CF" w:rsidRPr="00D46C32" w:rsidRDefault="00A603CF">
            <w:pPr>
              <w:spacing w:before="40" w:after="40" w:line="220" w:lineRule="exact"/>
              <w:jc w:val="right"/>
              <w:rPr>
                <w:sz w:val="18"/>
                <w:lang w:eastAsia="zh-CN"/>
              </w:rPr>
            </w:pPr>
            <w:r w:rsidRPr="00D46C32">
              <w:rPr>
                <w:sz w:val="18"/>
                <w:lang w:eastAsia="zh-CN"/>
              </w:rPr>
              <w:t>1,000</w:t>
            </w:r>
          </w:p>
        </w:tc>
      </w:tr>
      <w:tr w:rsidR="00A603CF" w:rsidRPr="00D46C32" w14:paraId="6E3840A0" w14:textId="77777777" w:rsidTr="00441519">
        <w:tc>
          <w:tcPr>
            <w:tcW w:w="1701" w:type="dxa"/>
            <w:shd w:val="clear" w:color="auto" w:fill="auto"/>
            <w:noWrap/>
            <w:hideMark/>
          </w:tcPr>
          <w:p w14:paraId="68D64D6A" w14:textId="77777777" w:rsidR="00A603CF" w:rsidRPr="00D46C32" w:rsidRDefault="00A603CF">
            <w:pPr>
              <w:spacing w:before="40" w:after="40" w:line="220" w:lineRule="exact"/>
              <w:rPr>
                <w:sz w:val="18"/>
                <w:lang w:eastAsia="zh-CN"/>
              </w:rPr>
            </w:pPr>
            <w:r w:rsidRPr="00D46C32">
              <w:rPr>
                <w:sz w:val="18"/>
                <w:lang w:eastAsia="zh-CN"/>
              </w:rPr>
              <w:t>Finland</w:t>
            </w:r>
          </w:p>
        </w:tc>
        <w:tc>
          <w:tcPr>
            <w:tcW w:w="1843" w:type="dxa"/>
            <w:shd w:val="clear" w:color="auto" w:fill="auto"/>
            <w:noWrap/>
            <w:vAlign w:val="bottom"/>
            <w:hideMark/>
          </w:tcPr>
          <w:p w14:paraId="0064D02D" w14:textId="77777777" w:rsidR="00A603CF" w:rsidRPr="00D46C32" w:rsidRDefault="00A603CF">
            <w:pPr>
              <w:spacing w:before="40" w:after="40" w:line="220" w:lineRule="exact"/>
              <w:jc w:val="right"/>
              <w:rPr>
                <w:sz w:val="18"/>
                <w:lang w:eastAsia="zh-CN"/>
              </w:rPr>
            </w:pPr>
            <w:r w:rsidRPr="00D46C32">
              <w:rPr>
                <w:sz w:val="18"/>
                <w:lang w:eastAsia="zh-CN"/>
              </w:rPr>
              <w:t>0.417</w:t>
            </w:r>
          </w:p>
        </w:tc>
        <w:tc>
          <w:tcPr>
            <w:tcW w:w="1559" w:type="dxa"/>
            <w:shd w:val="clear" w:color="auto" w:fill="auto"/>
            <w:noWrap/>
            <w:vAlign w:val="bottom"/>
            <w:hideMark/>
          </w:tcPr>
          <w:p w14:paraId="3692FAB5" w14:textId="77777777" w:rsidR="00A603CF" w:rsidRPr="00D46C32" w:rsidRDefault="00A603CF">
            <w:pPr>
              <w:spacing w:before="40" w:after="40" w:line="220" w:lineRule="exact"/>
              <w:jc w:val="right"/>
              <w:rPr>
                <w:sz w:val="18"/>
                <w:lang w:eastAsia="zh-CN"/>
              </w:rPr>
            </w:pPr>
            <w:r w:rsidRPr="00D46C32">
              <w:rPr>
                <w:sz w:val="18"/>
                <w:lang w:eastAsia="zh-CN"/>
              </w:rPr>
              <w:t>1.263</w:t>
            </w:r>
          </w:p>
        </w:tc>
        <w:tc>
          <w:tcPr>
            <w:tcW w:w="1843" w:type="dxa"/>
            <w:shd w:val="clear" w:color="auto" w:fill="auto"/>
            <w:vAlign w:val="bottom"/>
          </w:tcPr>
          <w:p w14:paraId="3FA8B99D" w14:textId="77777777" w:rsidR="00A603CF" w:rsidRPr="00D46C32" w:rsidRDefault="00A603CF">
            <w:pPr>
              <w:spacing w:before="40" w:after="40" w:line="220" w:lineRule="exact"/>
              <w:jc w:val="right"/>
              <w:rPr>
                <w:sz w:val="18"/>
                <w:lang w:eastAsia="zh-CN"/>
              </w:rPr>
            </w:pPr>
            <w:r w:rsidRPr="00D46C32">
              <w:rPr>
                <w:sz w:val="18"/>
                <w:lang w:eastAsia="zh-CN"/>
              </w:rPr>
              <w:t>8,120</w:t>
            </w:r>
          </w:p>
        </w:tc>
        <w:tc>
          <w:tcPr>
            <w:tcW w:w="1843" w:type="dxa"/>
            <w:shd w:val="clear" w:color="auto" w:fill="auto"/>
            <w:vAlign w:val="bottom"/>
          </w:tcPr>
          <w:p w14:paraId="46E58551" w14:textId="77777777" w:rsidR="00A603CF" w:rsidRPr="00D46C32" w:rsidRDefault="00A603CF">
            <w:pPr>
              <w:spacing w:before="40" w:after="40" w:line="220" w:lineRule="exact"/>
              <w:jc w:val="right"/>
              <w:rPr>
                <w:sz w:val="18"/>
                <w:lang w:eastAsia="zh-CN"/>
              </w:rPr>
            </w:pPr>
            <w:r w:rsidRPr="00D46C32">
              <w:rPr>
                <w:sz w:val="18"/>
                <w:lang w:eastAsia="zh-CN"/>
              </w:rPr>
              <w:t>7,930</w:t>
            </w:r>
          </w:p>
        </w:tc>
      </w:tr>
      <w:tr w:rsidR="00A603CF" w:rsidRPr="00D46C32" w14:paraId="0AC9A0FB" w14:textId="77777777" w:rsidTr="00441519">
        <w:tc>
          <w:tcPr>
            <w:tcW w:w="1701" w:type="dxa"/>
            <w:shd w:val="clear" w:color="auto" w:fill="auto"/>
            <w:noWrap/>
            <w:hideMark/>
          </w:tcPr>
          <w:p w14:paraId="7F142FE9" w14:textId="77777777" w:rsidR="00A603CF" w:rsidRPr="00D46C32" w:rsidRDefault="00A603CF">
            <w:pPr>
              <w:spacing w:before="40" w:after="40" w:line="220" w:lineRule="exact"/>
              <w:rPr>
                <w:sz w:val="18"/>
                <w:lang w:eastAsia="zh-CN"/>
              </w:rPr>
            </w:pPr>
            <w:r w:rsidRPr="00D46C32">
              <w:rPr>
                <w:sz w:val="18"/>
                <w:lang w:eastAsia="zh-CN"/>
              </w:rPr>
              <w:t>France</w:t>
            </w:r>
          </w:p>
        </w:tc>
        <w:tc>
          <w:tcPr>
            <w:tcW w:w="1843" w:type="dxa"/>
            <w:shd w:val="clear" w:color="auto" w:fill="auto"/>
            <w:noWrap/>
            <w:vAlign w:val="bottom"/>
            <w:hideMark/>
          </w:tcPr>
          <w:p w14:paraId="447EEC2A" w14:textId="77777777" w:rsidR="00A603CF" w:rsidRPr="00D46C32" w:rsidRDefault="00A603CF">
            <w:pPr>
              <w:spacing w:before="40" w:after="40" w:line="220" w:lineRule="exact"/>
              <w:jc w:val="right"/>
              <w:rPr>
                <w:sz w:val="18"/>
                <w:lang w:eastAsia="zh-CN"/>
              </w:rPr>
            </w:pPr>
            <w:r w:rsidRPr="00D46C32">
              <w:rPr>
                <w:sz w:val="18"/>
                <w:lang w:eastAsia="zh-CN"/>
              </w:rPr>
              <w:t>4.318</w:t>
            </w:r>
          </w:p>
        </w:tc>
        <w:tc>
          <w:tcPr>
            <w:tcW w:w="1559" w:type="dxa"/>
            <w:shd w:val="clear" w:color="auto" w:fill="auto"/>
            <w:noWrap/>
            <w:vAlign w:val="bottom"/>
            <w:hideMark/>
          </w:tcPr>
          <w:p w14:paraId="5436DE19" w14:textId="77777777" w:rsidR="00A603CF" w:rsidRPr="00D46C32" w:rsidRDefault="00A603CF">
            <w:pPr>
              <w:spacing w:before="40" w:after="40" w:line="220" w:lineRule="exact"/>
              <w:jc w:val="right"/>
              <w:rPr>
                <w:sz w:val="18"/>
                <w:lang w:eastAsia="zh-CN"/>
              </w:rPr>
            </w:pPr>
            <w:r w:rsidRPr="00D46C32">
              <w:rPr>
                <w:sz w:val="18"/>
                <w:lang w:eastAsia="zh-CN"/>
              </w:rPr>
              <w:t>13.075</w:t>
            </w:r>
          </w:p>
        </w:tc>
        <w:tc>
          <w:tcPr>
            <w:tcW w:w="1843" w:type="dxa"/>
            <w:shd w:val="clear" w:color="auto" w:fill="auto"/>
            <w:vAlign w:val="bottom"/>
          </w:tcPr>
          <w:p w14:paraId="57F352ED" w14:textId="77777777" w:rsidR="00A603CF" w:rsidRPr="00D46C32" w:rsidRDefault="00A603CF">
            <w:pPr>
              <w:spacing w:before="40" w:after="40" w:line="220" w:lineRule="exact"/>
              <w:jc w:val="right"/>
              <w:rPr>
                <w:sz w:val="18"/>
                <w:lang w:eastAsia="zh-CN"/>
              </w:rPr>
            </w:pPr>
            <w:r w:rsidRPr="00D46C32">
              <w:rPr>
                <w:sz w:val="18"/>
                <w:lang w:eastAsia="zh-CN"/>
              </w:rPr>
              <w:t>84,060</w:t>
            </w:r>
          </w:p>
        </w:tc>
        <w:tc>
          <w:tcPr>
            <w:tcW w:w="1843" w:type="dxa"/>
            <w:shd w:val="clear" w:color="auto" w:fill="auto"/>
            <w:vAlign w:val="bottom"/>
          </w:tcPr>
          <w:p w14:paraId="2CC132E1" w14:textId="77777777" w:rsidR="00A603CF" w:rsidRPr="00D46C32" w:rsidRDefault="00A603CF">
            <w:pPr>
              <w:spacing w:before="40" w:after="40" w:line="220" w:lineRule="exact"/>
              <w:jc w:val="right"/>
              <w:rPr>
                <w:sz w:val="18"/>
                <w:lang w:eastAsia="zh-CN"/>
              </w:rPr>
            </w:pPr>
            <w:r w:rsidRPr="00D46C32">
              <w:rPr>
                <w:sz w:val="18"/>
                <w:lang w:eastAsia="zh-CN"/>
              </w:rPr>
              <w:t>82,090</w:t>
            </w:r>
          </w:p>
        </w:tc>
      </w:tr>
      <w:tr w:rsidR="00A603CF" w:rsidRPr="00D46C32" w14:paraId="5EA4C345" w14:textId="77777777" w:rsidTr="00441519">
        <w:tc>
          <w:tcPr>
            <w:tcW w:w="1701" w:type="dxa"/>
            <w:shd w:val="clear" w:color="auto" w:fill="auto"/>
            <w:noWrap/>
            <w:hideMark/>
          </w:tcPr>
          <w:p w14:paraId="74317C58" w14:textId="77777777" w:rsidR="00A603CF" w:rsidRPr="00D46C32" w:rsidRDefault="00A603CF">
            <w:pPr>
              <w:spacing w:before="40" w:after="40" w:line="220" w:lineRule="exact"/>
              <w:rPr>
                <w:sz w:val="18"/>
                <w:lang w:eastAsia="zh-CN"/>
              </w:rPr>
            </w:pPr>
            <w:r w:rsidRPr="00D46C32">
              <w:rPr>
                <w:sz w:val="18"/>
                <w:lang w:eastAsia="zh-CN"/>
              </w:rPr>
              <w:t>Germany</w:t>
            </w:r>
          </w:p>
        </w:tc>
        <w:tc>
          <w:tcPr>
            <w:tcW w:w="1843" w:type="dxa"/>
            <w:shd w:val="clear" w:color="auto" w:fill="auto"/>
            <w:noWrap/>
            <w:vAlign w:val="bottom"/>
            <w:hideMark/>
          </w:tcPr>
          <w:p w14:paraId="297C40E5" w14:textId="77777777" w:rsidR="00A603CF" w:rsidRPr="00D46C32" w:rsidRDefault="00A603CF">
            <w:pPr>
              <w:spacing w:before="40" w:after="40" w:line="220" w:lineRule="exact"/>
              <w:jc w:val="right"/>
              <w:rPr>
                <w:sz w:val="18"/>
                <w:lang w:eastAsia="zh-CN"/>
              </w:rPr>
            </w:pPr>
            <w:r w:rsidRPr="00D46C32">
              <w:rPr>
                <w:sz w:val="18"/>
                <w:lang w:eastAsia="zh-CN"/>
              </w:rPr>
              <w:t>6.111</w:t>
            </w:r>
          </w:p>
        </w:tc>
        <w:tc>
          <w:tcPr>
            <w:tcW w:w="1559" w:type="dxa"/>
            <w:shd w:val="clear" w:color="auto" w:fill="auto"/>
            <w:noWrap/>
            <w:vAlign w:val="bottom"/>
            <w:hideMark/>
          </w:tcPr>
          <w:p w14:paraId="1ED24DA9" w14:textId="77777777" w:rsidR="00A603CF" w:rsidRPr="00D46C32" w:rsidRDefault="00A603CF">
            <w:pPr>
              <w:spacing w:before="40" w:after="40" w:line="220" w:lineRule="exact"/>
              <w:jc w:val="right"/>
              <w:rPr>
                <w:sz w:val="18"/>
                <w:lang w:eastAsia="zh-CN"/>
              </w:rPr>
            </w:pPr>
            <w:r w:rsidRPr="00D46C32">
              <w:rPr>
                <w:sz w:val="18"/>
                <w:lang w:eastAsia="zh-CN"/>
              </w:rPr>
              <w:t>18.504</w:t>
            </w:r>
          </w:p>
        </w:tc>
        <w:tc>
          <w:tcPr>
            <w:tcW w:w="1843" w:type="dxa"/>
            <w:shd w:val="clear" w:color="auto" w:fill="auto"/>
            <w:vAlign w:val="bottom"/>
          </w:tcPr>
          <w:p w14:paraId="04FA1647" w14:textId="77777777" w:rsidR="00A603CF" w:rsidRPr="00D46C32" w:rsidRDefault="00A603CF">
            <w:pPr>
              <w:spacing w:before="40" w:after="40" w:line="220" w:lineRule="exact"/>
              <w:jc w:val="right"/>
              <w:rPr>
                <w:sz w:val="18"/>
                <w:lang w:eastAsia="zh-CN"/>
              </w:rPr>
            </w:pPr>
            <w:r w:rsidRPr="00D46C32">
              <w:rPr>
                <w:sz w:val="18"/>
                <w:lang w:eastAsia="zh-CN"/>
              </w:rPr>
              <w:t>118,960</w:t>
            </w:r>
          </w:p>
        </w:tc>
        <w:tc>
          <w:tcPr>
            <w:tcW w:w="1843" w:type="dxa"/>
            <w:shd w:val="clear" w:color="auto" w:fill="auto"/>
            <w:vAlign w:val="bottom"/>
          </w:tcPr>
          <w:p w14:paraId="09355905" w14:textId="77777777" w:rsidR="00A603CF" w:rsidRPr="00D46C32" w:rsidRDefault="00A603CF">
            <w:pPr>
              <w:spacing w:before="40" w:after="40" w:line="220" w:lineRule="exact"/>
              <w:jc w:val="right"/>
              <w:rPr>
                <w:sz w:val="18"/>
                <w:lang w:eastAsia="zh-CN"/>
              </w:rPr>
            </w:pPr>
            <w:r w:rsidRPr="00D46C32">
              <w:rPr>
                <w:sz w:val="18"/>
                <w:lang w:eastAsia="zh-CN"/>
              </w:rPr>
              <w:t>116,180</w:t>
            </w:r>
          </w:p>
        </w:tc>
      </w:tr>
      <w:tr w:rsidR="00A603CF" w:rsidRPr="00D46C32" w14:paraId="6FC8DDA0" w14:textId="77777777" w:rsidTr="00441519">
        <w:tc>
          <w:tcPr>
            <w:tcW w:w="1701" w:type="dxa"/>
            <w:shd w:val="clear" w:color="auto" w:fill="auto"/>
            <w:noWrap/>
            <w:hideMark/>
          </w:tcPr>
          <w:p w14:paraId="71E41F94" w14:textId="77777777" w:rsidR="00A603CF" w:rsidRPr="00D46C32" w:rsidRDefault="00A603CF">
            <w:pPr>
              <w:spacing w:before="40" w:after="40" w:line="220" w:lineRule="exact"/>
              <w:rPr>
                <w:sz w:val="18"/>
                <w:lang w:eastAsia="zh-CN"/>
              </w:rPr>
            </w:pPr>
            <w:r w:rsidRPr="00D46C32">
              <w:rPr>
                <w:sz w:val="18"/>
                <w:lang w:eastAsia="zh-CN"/>
              </w:rPr>
              <w:t>Greece</w:t>
            </w:r>
          </w:p>
        </w:tc>
        <w:tc>
          <w:tcPr>
            <w:tcW w:w="1843" w:type="dxa"/>
            <w:shd w:val="clear" w:color="auto" w:fill="auto"/>
            <w:noWrap/>
            <w:vAlign w:val="bottom"/>
            <w:hideMark/>
          </w:tcPr>
          <w:p w14:paraId="579C7816" w14:textId="77777777" w:rsidR="00A603CF" w:rsidRPr="00D46C32" w:rsidRDefault="00A603CF">
            <w:pPr>
              <w:spacing w:before="40" w:after="40" w:line="220" w:lineRule="exact"/>
              <w:jc w:val="right"/>
              <w:rPr>
                <w:sz w:val="18"/>
                <w:lang w:eastAsia="zh-CN"/>
              </w:rPr>
            </w:pPr>
            <w:r w:rsidRPr="00D46C32">
              <w:rPr>
                <w:sz w:val="18"/>
                <w:lang w:eastAsia="zh-CN"/>
              </w:rPr>
              <w:t>0.325</w:t>
            </w:r>
          </w:p>
        </w:tc>
        <w:tc>
          <w:tcPr>
            <w:tcW w:w="1559" w:type="dxa"/>
            <w:shd w:val="clear" w:color="auto" w:fill="auto"/>
            <w:noWrap/>
            <w:vAlign w:val="bottom"/>
            <w:hideMark/>
          </w:tcPr>
          <w:p w14:paraId="28B7BFA2" w14:textId="77777777" w:rsidR="00A603CF" w:rsidRPr="00D46C32" w:rsidRDefault="00A603CF">
            <w:pPr>
              <w:spacing w:before="40" w:after="40" w:line="220" w:lineRule="exact"/>
              <w:jc w:val="right"/>
              <w:rPr>
                <w:sz w:val="18"/>
                <w:lang w:eastAsia="zh-CN"/>
              </w:rPr>
            </w:pPr>
            <w:r w:rsidRPr="00D46C32">
              <w:rPr>
                <w:sz w:val="18"/>
                <w:lang w:eastAsia="zh-CN"/>
              </w:rPr>
              <w:t>0.984</w:t>
            </w:r>
          </w:p>
        </w:tc>
        <w:tc>
          <w:tcPr>
            <w:tcW w:w="1843" w:type="dxa"/>
            <w:shd w:val="clear" w:color="auto" w:fill="auto"/>
            <w:vAlign w:val="bottom"/>
          </w:tcPr>
          <w:p w14:paraId="2C3F62F3" w14:textId="77777777" w:rsidR="00A603CF" w:rsidRPr="00D46C32" w:rsidRDefault="00A603CF">
            <w:pPr>
              <w:spacing w:before="40" w:after="40" w:line="220" w:lineRule="exact"/>
              <w:jc w:val="right"/>
              <w:rPr>
                <w:sz w:val="18"/>
                <w:lang w:eastAsia="zh-CN"/>
              </w:rPr>
            </w:pPr>
            <w:r w:rsidRPr="00D46C32">
              <w:rPr>
                <w:sz w:val="18"/>
                <w:lang w:eastAsia="zh-CN"/>
              </w:rPr>
              <w:t>6,330</w:t>
            </w:r>
          </w:p>
        </w:tc>
        <w:tc>
          <w:tcPr>
            <w:tcW w:w="1843" w:type="dxa"/>
            <w:shd w:val="clear" w:color="auto" w:fill="auto"/>
            <w:vAlign w:val="bottom"/>
          </w:tcPr>
          <w:p w14:paraId="16C3C77E" w14:textId="77777777" w:rsidR="00A603CF" w:rsidRPr="00D46C32" w:rsidRDefault="00A603CF">
            <w:pPr>
              <w:spacing w:before="40" w:after="40" w:line="220" w:lineRule="exact"/>
              <w:jc w:val="right"/>
              <w:rPr>
                <w:sz w:val="18"/>
                <w:lang w:eastAsia="zh-CN"/>
              </w:rPr>
            </w:pPr>
            <w:r w:rsidRPr="00D46C32">
              <w:rPr>
                <w:sz w:val="18"/>
                <w:lang w:eastAsia="zh-CN"/>
              </w:rPr>
              <w:t>6,180</w:t>
            </w:r>
          </w:p>
        </w:tc>
      </w:tr>
      <w:tr w:rsidR="00A603CF" w:rsidRPr="00D46C32" w14:paraId="00AF8076" w14:textId="77777777" w:rsidTr="00441519">
        <w:tc>
          <w:tcPr>
            <w:tcW w:w="1701" w:type="dxa"/>
            <w:shd w:val="clear" w:color="auto" w:fill="auto"/>
            <w:noWrap/>
            <w:hideMark/>
          </w:tcPr>
          <w:p w14:paraId="07EB2D74" w14:textId="77777777" w:rsidR="00A603CF" w:rsidRPr="00D46C32" w:rsidRDefault="00A603CF">
            <w:pPr>
              <w:spacing w:before="40" w:after="40" w:line="220" w:lineRule="exact"/>
              <w:rPr>
                <w:sz w:val="18"/>
                <w:lang w:eastAsia="zh-CN"/>
              </w:rPr>
            </w:pPr>
            <w:r w:rsidRPr="00D46C32">
              <w:rPr>
                <w:sz w:val="18"/>
                <w:lang w:eastAsia="zh-CN"/>
              </w:rPr>
              <w:t>Hungary</w:t>
            </w:r>
          </w:p>
        </w:tc>
        <w:tc>
          <w:tcPr>
            <w:tcW w:w="1843" w:type="dxa"/>
            <w:shd w:val="clear" w:color="auto" w:fill="auto"/>
            <w:noWrap/>
            <w:vAlign w:val="bottom"/>
            <w:hideMark/>
          </w:tcPr>
          <w:p w14:paraId="643B6506" w14:textId="77777777" w:rsidR="00A603CF" w:rsidRPr="00D46C32" w:rsidRDefault="00A603CF">
            <w:pPr>
              <w:spacing w:before="40" w:after="40" w:line="220" w:lineRule="exact"/>
              <w:jc w:val="right"/>
              <w:rPr>
                <w:sz w:val="18"/>
                <w:lang w:eastAsia="zh-CN"/>
              </w:rPr>
            </w:pPr>
            <w:r w:rsidRPr="00D46C32">
              <w:rPr>
                <w:sz w:val="18"/>
                <w:lang w:eastAsia="zh-CN"/>
              </w:rPr>
              <w:t>0.228</w:t>
            </w:r>
          </w:p>
        </w:tc>
        <w:tc>
          <w:tcPr>
            <w:tcW w:w="1559" w:type="dxa"/>
            <w:shd w:val="clear" w:color="auto" w:fill="auto"/>
            <w:noWrap/>
            <w:vAlign w:val="bottom"/>
            <w:hideMark/>
          </w:tcPr>
          <w:p w14:paraId="559F859F" w14:textId="77777777" w:rsidR="00A603CF" w:rsidRPr="00D46C32" w:rsidRDefault="00A603CF">
            <w:pPr>
              <w:spacing w:before="40" w:after="40" w:line="220" w:lineRule="exact"/>
              <w:jc w:val="right"/>
              <w:rPr>
                <w:sz w:val="18"/>
                <w:lang w:eastAsia="zh-CN"/>
              </w:rPr>
            </w:pPr>
            <w:r w:rsidRPr="00D46C32">
              <w:rPr>
                <w:sz w:val="18"/>
                <w:lang w:eastAsia="zh-CN"/>
              </w:rPr>
              <w:t>0.690</w:t>
            </w:r>
          </w:p>
        </w:tc>
        <w:tc>
          <w:tcPr>
            <w:tcW w:w="1843" w:type="dxa"/>
            <w:shd w:val="clear" w:color="auto" w:fill="auto"/>
            <w:vAlign w:val="bottom"/>
          </w:tcPr>
          <w:p w14:paraId="63D61AEC" w14:textId="77777777" w:rsidR="00A603CF" w:rsidRPr="00D46C32" w:rsidRDefault="00A603CF">
            <w:pPr>
              <w:spacing w:before="40" w:after="40" w:line="220" w:lineRule="exact"/>
              <w:jc w:val="right"/>
              <w:rPr>
                <w:sz w:val="18"/>
                <w:lang w:eastAsia="zh-CN"/>
              </w:rPr>
            </w:pPr>
            <w:r w:rsidRPr="00D46C32">
              <w:rPr>
                <w:sz w:val="18"/>
                <w:lang w:eastAsia="zh-CN"/>
              </w:rPr>
              <w:t>4,440</w:t>
            </w:r>
          </w:p>
        </w:tc>
        <w:tc>
          <w:tcPr>
            <w:tcW w:w="1843" w:type="dxa"/>
            <w:shd w:val="clear" w:color="auto" w:fill="auto"/>
            <w:vAlign w:val="bottom"/>
          </w:tcPr>
          <w:p w14:paraId="27D3BABC" w14:textId="77777777" w:rsidR="00A603CF" w:rsidRPr="00D46C32" w:rsidRDefault="00A603CF">
            <w:pPr>
              <w:spacing w:before="40" w:after="40" w:line="220" w:lineRule="exact"/>
              <w:jc w:val="right"/>
              <w:rPr>
                <w:sz w:val="18"/>
                <w:lang w:eastAsia="zh-CN"/>
              </w:rPr>
            </w:pPr>
            <w:r w:rsidRPr="00D46C32">
              <w:rPr>
                <w:sz w:val="18"/>
                <w:lang w:eastAsia="zh-CN"/>
              </w:rPr>
              <w:t>4,340</w:t>
            </w:r>
          </w:p>
        </w:tc>
      </w:tr>
      <w:tr w:rsidR="00A603CF" w:rsidRPr="00D46C32" w14:paraId="61C311E0" w14:textId="77777777" w:rsidTr="00441519">
        <w:tc>
          <w:tcPr>
            <w:tcW w:w="1701" w:type="dxa"/>
            <w:shd w:val="clear" w:color="auto" w:fill="auto"/>
            <w:noWrap/>
            <w:hideMark/>
          </w:tcPr>
          <w:p w14:paraId="67DFF140" w14:textId="77777777" w:rsidR="00A603CF" w:rsidRPr="00D46C32" w:rsidRDefault="00A603CF">
            <w:pPr>
              <w:spacing w:before="40" w:after="40" w:line="220" w:lineRule="exact"/>
              <w:rPr>
                <w:sz w:val="18"/>
                <w:lang w:eastAsia="zh-CN"/>
              </w:rPr>
            </w:pPr>
            <w:r w:rsidRPr="00D46C32">
              <w:rPr>
                <w:sz w:val="18"/>
                <w:lang w:eastAsia="zh-CN"/>
              </w:rPr>
              <w:t>Ireland</w:t>
            </w:r>
          </w:p>
        </w:tc>
        <w:tc>
          <w:tcPr>
            <w:tcW w:w="1843" w:type="dxa"/>
            <w:shd w:val="clear" w:color="auto" w:fill="auto"/>
            <w:noWrap/>
            <w:vAlign w:val="bottom"/>
            <w:hideMark/>
          </w:tcPr>
          <w:p w14:paraId="153721E9" w14:textId="77777777" w:rsidR="00A603CF" w:rsidRPr="00D46C32" w:rsidRDefault="00A603CF">
            <w:pPr>
              <w:spacing w:before="40" w:after="40" w:line="220" w:lineRule="exact"/>
              <w:jc w:val="right"/>
              <w:rPr>
                <w:sz w:val="18"/>
                <w:lang w:eastAsia="zh-CN"/>
              </w:rPr>
            </w:pPr>
            <w:r w:rsidRPr="00D46C32">
              <w:rPr>
                <w:sz w:val="18"/>
                <w:lang w:eastAsia="zh-CN"/>
              </w:rPr>
              <w:t>0.439</w:t>
            </w:r>
          </w:p>
        </w:tc>
        <w:tc>
          <w:tcPr>
            <w:tcW w:w="1559" w:type="dxa"/>
            <w:shd w:val="clear" w:color="auto" w:fill="auto"/>
            <w:noWrap/>
            <w:vAlign w:val="bottom"/>
            <w:hideMark/>
          </w:tcPr>
          <w:p w14:paraId="7F1C97AC" w14:textId="77777777" w:rsidR="00A603CF" w:rsidRPr="00D46C32" w:rsidRDefault="00A603CF">
            <w:pPr>
              <w:spacing w:before="40" w:after="40" w:line="220" w:lineRule="exact"/>
              <w:jc w:val="right"/>
              <w:rPr>
                <w:sz w:val="18"/>
                <w:lang w:eastAsia="zh-CN"/>
              </w:rPr>
            </w:pPr>
            <w:r w:rsidRPr="00D46C32">
              <w:rPr>
                <w:sz w:val="18"/>
                <w:lang w:eastAsia="zh-CN"/>
              </w:rPr>
              <w:t>1.329</w:t>
            </w:r>
          </w:p>
        </w:tc>
        <w:tc>
          <w:tcPr>
            <w:tcW w:w="1843" w:type="dxa"/>
            <w:shd w:val="clear" w:color="auto" w:fill="auto"/>
            <w:vAlign w:val="bottom"/>
          </w:tcPr>
          <w:p w14:paraId="06F38BE3" w14:textId="77777777" w:rsidR="00A603CF" w:rsidRPr="00D46C32" w:rsidRDefault="00A603CF">
            <w:pPr>
              <w:spacing w:before="40" w:after="40" w:line="220" w:lineRule="exact"/>
              <w:jc w:val="right"/>
              <w:rPr>
                <w:sz w:val="18"/>
                <w:lang w:eastAsia="zh-CN"/>
              </w:rPr>
            </w:pPr>
            <w:r w:rsidRPr="00D46C32">
              <w:rPr>
                <w:sz w:val="18"/>
                <w:lang w:eastAsia="zh-CN"/>
              </w:rPr>
              <w:t>8,550</w:t>
            </w:r>
          </w:p>
        </w:tc>
        <w:tc>
          <w:tcPr>
            <w:tcW w:w="1843" w:type="dxa"/>
            <w:shd w:val="clear" w:color="auto" w:fill="auto"/>
            <w:vAlign w:val="bottom"/>
          </w:tcPr>
          <w:p w14:paraId="484A343E" w14:textId="77777777" w:rsidR="00A603CF" w:rsidRPr="00D46C32" w:rsidRDefault="00A603CF">
            <w:pPr>
              <w:spacing w:before="40" w:after="40" w:line="220" w:lineRule="exact"/>
              <w:jc w:val="right"/>
              <w:rPr>
                <w:sz w:val="18"/>
                <w:lang w:eastAsia="zh-CN"/>
              </w:rPr>
            </w:pPr>
            <w:r w:rsidRPr="00D46C32">
              <w:rPr>
                <w:sz w:val="18"/>
                <w:lang w:eastAsia="zh-CN"/>
              </w:rPr>
              <w:t>8,340</w:t>
            </w:r>
          </w:p>
        </w:tc>
      </w:tr>
      <w:tr w:rsidR="00A603CF" w:rsidRPr="00D46C32" w14:paraId="3246C872" w14:textId="77777777" w:rsidTr="00441519">
        <w:tc>
          <w:tcPr>
            <w:tcW w:w="1701" w:type="dxa"/>
            <w:shd w:val="clear" w:color="auto" w:fill="auto"/>
            <w:noWrap/>
            <w:hideMark/>
          </w:tcPr>
          <w:p w14:paraId="1391B909" w14:textId="77777777" w:rsidR="00A603CF" w:rsidRPr="00D46C32" w:rsidRDefault="00A603CF">
            <w:pPr>
              <w:spacing w:before="40" w:after="40" w:line="220" w:lineRule="exact"/>
              <w:rPr>
                <w:sz w:val="18"/>
                <w:lang w:eastAsia="zh-CN"/>
              </w:rPr>
            </w:pPr>
            <w:r w:rsidRPr="00D46C32">
              <w:rPr>
                <w:sz w:val="18"/>
                <w:lang w:eastAsia="zh-CN"/>
              </w:rPr>
              <w:t>Italy</w:t>
            </w:r>
          </w:p>
        </w:tc>
        <w:tc>
          <w:tcPr>
            <w:tcW w:w="1843" w:type="dxa"/>
            <w:shd w:val="clear" w:color="auto" w:fill="auto"/>
            <w:noWrap/>
            <w:vAlign w:val="bottom"/>
            <w:hideMark/>
          </w:tcPr>
          <w:p w14:paraId="58744F02" w14:textId="77777777" w:rsidR="00A603CF" w:rsidRPr="00D46C32" w:rsidRDefault="00A603CF">
            <w:pPr>
              <w:spacing w:before="40" w:after="40" w:line="220" w:lineRule="exact"/>
              <w:jc w:val="right"/>
              <w:rPr>
                <w:sz w:val="18"/>
                <w:lang w:eastAsia="zh-CN"/>
              </w:rPr>
            </w:pPr>
            <w:r w:rsidRPr="00D46C32">
              <w:rPr>
                <w:sz w:val="18"/>
                <w:lang w:eastAsia="zh-CN"/>
              </w:rPr>
              <w:t>3.189</w:t>
            </w:r>
          </w:p>
        </w:tc>
        <w:tc>
          <w:tcPr>
            <w:tcW w:w="1559" w:type="dxa"/>
            <w:shd w:val="clear" w:color="auto" w:fill="auto"/>
            <w:noWrap/>
            <w:vAlign w:val="bottom"/>
            <w:hideMark/>
          </w:tcPr>
          <w:p w14:paraId="0107D72C" w14:textId="77777777" w:rsidR="00A603CF" w:rsidRPr="00D46C32" w:rsidRDefault="00A603CF">
            <w:pPr>
              <w:spacing w:before="40" w:after="40" w:line="220" w:lineRule="exact"/>
              <w:jc w:val="right"/>
              <w:rPr>
                <w:sz w:val="18"/>
                <w:lang w:eastAsia="zh-CN"/>
              </w:rPr>
            </w:pPr>
            <w:r w:rsidRPr="00D46C32">
              <w:rPr>
                <w:sz w:val="18"/>
                <w:lang w:eastAsia="zh-CN"/>
              </w:rPr>
              <w:t>9.656</w:t>
            </w:r>
          </w:p>
        </w:tc>
        <w:tc>
          <w:tcPr>
            <w:tcW w:w="1843" w:type="dxa"/>
            <w:shd w:val="clear" w:color="auto" w:fill="auto"/>
            <w:vAlign w:val="bottom"/>
          </w:tcPr>
          <w:p w14:paraId="24D6657D" w14:textId="77777777" w:rsidR="00A603CF" w:rsidRPr="00D46C32" w:rsidRDefault="00A603CF">
            <w:pPr>
              <w:spacing w:before="40" w:after="40" w:line="220" w:lineRule="exact"/>
              <w:jc w:val="right"/>
              <w:rPr>
                <w:sz w:val="18"/>
                <w:lang w:eastAsia="zh-CN"/>
              </w:rPr>
            </w:pPr>
            <w:r w:rsidRPr="00D46C32">
              <w:rPr>
                <w:sz w:val="18"/>
                <w:lang w:eastAsia="zh-CN"/>
              </w:rPr>
              <w:t>62,080</w:t>
            </w:r>
          </w:p>
        </w:tc>
        <w:tc>
          <w:tcPr>
            <w:tcW w:w="1843" w:type="dxa"/>
            <w:shd w:val="clear" w:color="auto" w:fill="auto"/>
            <w:vAlign w:val="bottom"/>
          </w:tcPr>
          <w:p w14:paraId="50003039" w14:textId="77777777" w:rsidR="00A603CF" w:rsidRPr="00D46C32" w:rsidRDefault="00A603CF">
            <w:pPr>
              <w:spacing w:before="40" w:after="40" w:line="220" w:lineRule="exact"/>
              <w:jc w:val="right"/>
              <w:rPr>
                <w:sz w:val="18"/>
                <w:lang w:eastAsia="zh-CN"/>
              </w:rPr>
            </w:pPr>
            <w:r w:rsidRPr="00D46C32">
              <w:rPr>
                <w:sz w:val="18"/>
                <w:lang w:eastAsia="zh-CN"/>
              </w:rPr>
              <w:t>60,630</w:t>
            </w:r>
          </w:p>
        </w:tc>
      </w:tr>
      <w:tr w:rsidR="00A603CF" w:rsidRPr="00D46C32" w14:paraId="54612F85" w14:textId="77777777" w:rsidTr="00441519">
        <w:tc>
          <w:tcPr>
            <w:tcW w:w="1701" w:type="dxa"/>
            <w:shd w:val="clear" w:color="auto" w:fill="auto"/>
            <w:noWrap/>
            <w:hideMark/>
          </w:tcPr>
          <w:p w14:paraId="60849561" w14:textId="77777777" w:rsidR="00A603CF" w:rsidRPr="00D46C32" w:rsidRDefault="00A603CF">
            <w:pPr>
              <w:spacing w:before="40" w:after="40" w:line="220" w:lineRule="exact"/>
              <w:rPr>
                <w:sz w:val="18"/>
                <w:lang w:eastAsia="zh-CN"/>
              </w:rPr>
            </w:pPr>
            <w:r w:rsidRPr="00D46C32">
              <w:rPr>
                <w:sz w:val="18"/>
                <w:lang w:eastAsia="zh-CN"/>
              </w:rPr>
              <w:t>Kazakhstan</w:t>
            </w:r>
          </w:p>
        </w:tc>
        <w:tc>
          <w:tcPr>
            <w:tcW w:w="1843" w:type="dxa"/>
            <w:shd w:val="clear" w:color="auto" w:fill="auto"/>
            <w:noWrap/>
            <w:vAlign w:val="bottom"/>
            <w:hideMark/>
          </w:tcPr>
          <w:p w14:paraId="59638D84" w14:textId="77777777" w:rsidR="00A603CF" w:rsidRPr="00D46C32" w:rsidRDefault="00A603CF">
            <w:pPr>
              <w:spacing w:before="40" w:after="40" w:line="220" w:lineRule="exact"/>
              <w:jc w:val="right"/>
              <w:rPr>
                <w:sz w:val="18"/>
                <w:lang w:eastAsia="zh-CN"/>
              </w:rPr>
            </w:pPr>
            <w:r w:rsidRPr="00D46C32">
              <w:rPr>
                <w:sz w:val="18"/>
                <w:lang w:eastAsia="zh-CN"/>
              </w:rPr>
              <w:t>0.133</w:t>
            </w:r>
          </w:p>
        </w:tc>
        <w:tc>
          <w:tcPr>
            <w:tcW w:w="1559" w:type="dxa"/>
            <w:shd w:val="clear" w:color="auto" w:fill="auto"/>
            <w:noWrap/>
            <w:vAlign w:val="bottom"/>
            <w:hideMark/>
          </w:tcPr>
          <w:p w14:paraId="5B38F4A4" w14:textId="77777777" w:rsidR="00A603CF" w:rsidRPr="00D46C32" w:rsidRDefault="00A603CF">
            <w:pPr>
              <w:spacing w:before="40" w:after="40" w:line="220" w:lineRule="exact"/>
              <w:jc w:val="right"/>
              <w:rPr>
                <w:sz w:val="18"/>
                <w:lang w:eastAsia="zh-CN"/>
              </w:rPr>
            </w:pPr>
            <w:r w:rsidRPr="00D46C32">
              <w:rPr>
                <w:sz w:val="18"/>
                <w:lang w:eastAsia="zh-CN"/>
              </w:rPr>
              <w:t>0.403</w:t>
            </w:r>
          </w:p>
        </w:tc>
        <w:tc>
          <w:tcPr>
            <w:tcW w:w="1843" w:type="dxa"/>
            <w:shd w:val="clear" w:color="auto" w:fill="auto"/>
            <w:vAlign w:val="bottom"/>
          </w:tcPr>
          <w:p w14:paraId="330E22CD" w14:textId="77777777" w:rsidR="00A603CF" w:rsidRPr="00D46C32" w:rsidRDefault="00A603CF">
            <w:pPr>
              <w:spacing w:before="40" w:after="40" w:line="220" w:lineRule="exact"/>
              <w:jc w:val="right"/>
              <w:rPr>
                <w:sz w:val="18"/>
                <w:lang w:eastAsia="zh-CN"/>
              </w:rPr>
            </w:pPr>
            <w:r w:rsidRPr="00D46C32">
              <w:rPr>
                <w:sz w:val="18"/>
                <w:lang w:eastAsia="zh-CN"/>
              </w:rPr>
              <w:t>2,600</w:t>
            </w:r>
          </w:p>
        </w:tc>
        <w:tc>
          <w:tcPr>
            <w:tcW w:w="1843" w:type="dxa"/>
            <w:shd w:val="clear" w:color="auto" w:fill="auto"/>
            <w:vAlign w:val="bottom"/>
          </w:tcPr>
          <w:p w14:paraId="4059E98A" w14:textId="77777777" w:rsidR="00A603CF" w:rsidRPr="00D46C32" w:rsidRDefault="00A603CF">
            <w:pPr>
              <w:spacing w:before="40" w:after="40" w:line="220" w:lineRule="exact"/>
              <w:jc w:val="right"/>
              <w:rPr>
                <w:sz w:val="18"/>
                <w:lang w:eastAsia="zh-CN"/>
              </w:rPr>
            </w:pPr>
            <w:r w:rsidRPr="00D46C32">
              <w:rPr>
                <w:sz w:val="18"/>
                <w:lang w:eastAsia="zh-CN"/>
              </w:rPr>
              <w:t>2,530</w:t>
            </w:r>
          </w:p>
        </w:tc>
      </w:tr>
      <w:tr w:rsidR="00A603CF" w:rsidRPr="00D46C32" w14:paraId="7FF941CF" w14:textId="77777777" w:rsidTr="00441519">
        <w:tc>
          <w:tcPr>
            <w:tcW w:w="1701" w:type="dxa"/>
            <w:shd w:val="clear" w:color="auto" w:fill="auto"/>
            <w:noWrap/>
            <w:hideMark/>
          </w:tcPr>
          <w:p w14:paraId="2F68D9BC" w14:textId="77777777" w:rsidR="00A603CF" w:rsidRPr="00D46C32" w:rsidRDefault="00A603CF">
            <w:pPr>
              <w:spacing w:before="40" w:after="40" w:line="220" w:lineRule="exact"/>
              <w:rPr>
                <w:sz w:val="18"/>
                <w:lang w:eastAsia="zh-CN"/>
              </w:rPr>
            </w:pPr>
            <w:r w:rsidRPr="00D46C32">
              <w:rPr>
                <w:sz w:val="18"/>
                <w:lang w:eastAsia="zh-CN"/>
              </w:rPr>
              <w:t>Kyrgyzstan</w:t>
            </w:r>
          </w:p>
        </w:tc>
        <w:tc>
          <w:tcPr>
            <w:tcW w:w="1843" w:type="dxa"/>
            <w:shd w:val="clear" w:color="auto" w:fill="auto"/>
            <w:noWrap/>
            <w:vAlign w:val="bottom"/>
            <w:hideMark/>
          </w:tcPr>
          <w:p w14:paraId="6475C1A9" w14:textId="77777777" w:rsidR="00A603CF" w:rsidRPr="00D46C32" w:rsidRDefault="00A603CF">
            <w:pPr>
              <w:spacing w:before="40" w:after="40" w:line="220" w:lineRule="exact"/>
              <w:jc w:val="right"/>
              <w:rPr>
                <w:sz w:val="18"/>
                <w:lang w:eastAsia="zh-CN"/>
              </w:rPr>
            </w:pPr>
            <w:r w:rsidRPr="00D46C32">
              <w:rPr>
                <w:sz w:val="18"/>
                <w:lang w:eastAsia="zh-CN"/>
              </w:rPr>
              <w:t>0.002</w:t>
            </w:r>
          </w:p>
        </w:tc>
        <w:tc>
          <w:tcPr>
            <w:tcW w:w="1559" w:type="dxa"/>
            <w:shd w:val="clear" w:color="auto" w:fill="auto"/>
            <w:noWrap/>
            <w:vAlign w:val="bottom"/>
            <w:hideMark/>
          </w:tcPr>
          <w:p w14:paraId="14934B5C" w14:textId="77777777" w:rsidR="00A603CF" w:rsidRPr="00D46C32" w:rsidRDefault="00A603CF">
            <w:pPr>
              <w:spacing w:before="40" w:after="40" w:line="220" w:lineRule="exact"/>
              <w:jc w:val="right"/>
              <w:rPr>
                <w:sz w:val="18"/>
                <w:lang w:eastAsia="zh-CN"/>
              </w:rPr>
            </w:pPr>
            <w:r w:rsidRPr="00D46C32">
              <w:rPr>
                <w:sz w:val="18"/>
                <w:lang w:eastAsia="zh-CN"/>
              </w:rPr>
              <w:t>0.006</w:t>
            </w:r>
          </w:p>
        </w:tc>
        <w:tc>
          <w:tcPr>
            <w:tcW w:w="1843" w:type="dxa"/>
            <w:shd w:val="clear" w:color="auto" w:fill="auto"/>
            <w:vAlign w:val="bottom"/>
          </w:tcPr>
          <w:p w14:paraId="71BECF87" w14:textId="77777777" w:rsidR="00A603CF" w:rsidRPr="00D46C32" w:rsidRDefault="00A603CF">
            <w:pPr>
              <w:spacing w:before="40" w:after="40" w:line="220" w:lineRule="exact"/>
              <w:jc w:val="right"/>
              <w:rPr>
                <w:sz w:val="18"/>
                <w:lang w:eastAsia="zh-CN"/>
              </w:rPr>
            </w:pPr>
            <w:r w:rsidRPr="00D46C32">
              <w:rPr>
                <w:sz w:val="18"/>
                <w:lang w:eastAsia="zh-CN"/>
              </w:rPr>
              <w:t>40</w:t>
            </w:r>
          </w:p>
        </w:tc>
        <w:tc>
          <w:tcPr>
            <w:tcW w:w="1843" w:type="dxa"/>
            <w:shd w:val="clear" w:color="auto" w:fill="auto"/>
            <w:vAlign w:val="bottom"/>
          </w:tcPr>
          <w:p w14:paraId="402C5658" w14:textId="77777777" w:rsidR="00A603CF" w:rsidRPr="00D46C32" w:rsidRDefault="00A603CF">
            <w:pPr>
              <w:spacing w:before="40" w:after="40" w:line="220" w:lineRule="exact"/>
              <w:jc w:val="right"/>
              <w:rPr>
                <w:sz w:val="18"/>
                <w:lang w:eastAsia="zh-CN"/>
              </w:rPr>
            </w:pPr>
            <w:r w:rsidRPr="00D46C32">
              <w:rPr>
                <w:sz w:val="18"/>
                <w:lang w:eastAsia="zh-CN"/>
              </w:rPr>
              <w:t>1,000</w:t>
            </w:r>
          </w:p>
        </w:tc>
      </w:tr>
      <w:tr w:rsidR="00A603CF" w:rsidRPr="00D46C32" w14:paraId="12465638" w14:textId="77777777" w:rsidTr="00441519">
        <w:tc>
          <w:tcPr>
            <w:tcW w:w="1701" w:type="dxa"/>
            <w:shd w:val="clear" w:color="auto" w:fill="auto"/>
            <w:noWrap/>
            <w:hideMark/>
          </w:tcPr>
          <w:p w14:paraId="185EAC38" w14:textId="77777777" w:rsidR="00A603CF" w:rsidRPr="00D46C32" w:rsidRDefault="00A603CF">
            <w:pPr>
              <w:spacing w:before="40" w:after="40" w:line="220" w:lineRule="exact"/>
              <w:rPr>
                <w:sz w:val="18"/>
                <w:lang w:eastAsia="zh-CN"/>
              </w:rPr>
            </w:pPr>
            <w:r w:rsidRPr="00D46C32">
              <w:rPr>
                <w:sz w:val="18"/>
                <w:lang w:eastAsia="zh-CN"/>
              </w:rPr>
              <w:t>Latvia</w:t>
            </w:r>
          </w:p>
        </w:tc>
        <w:tc>
          <w:tcPr>
            <w:tcW w:w="1843" w:type="dxa"/>
            <w:shd w:val="clear" w:color="auto" w:fill="auto"/>
            <w:noWrap/>
            <w:vAlign w:val="bottom"/>
            <w:hideMark/>
          </w:tcPr>
          <w:p w14:paraId="0301AA4D" w14:textId="77777777" w:rsidR="00A603CF" w:rsidRPr="00D46C32" w:rsidRDefault="00A603CF">
            <w:pPr>
              <w:spacing w:before="40" w:after="40" w:line="220" w:lineRule="exact"/>
              <w:jc w:val="right"/>
              <w:rPr>
                <w:sz w:val="18"/>
                <w:lang w:eastAsia="zh-CN"/>
              </w:rPr>
            </w:pPr>
            <w:r w:rsidRPr="00D46C32">
              <w:rPr>
                <w:sz w:val="18"/>
                <w:lang w:eastAsia="zh-CN"/>
              </w:rPr>
              <w:t>0.05</w:t>
            </w:r>
          </w:p>
        </w:tc>
        <w:tc>
          <w:tcPr>
            <w:tcW w:w="1559" w:type="dxa"/>
            <w:shd w:val="clear" w:color="auto" w:fill="auto"/>
            <w:noWrap/>
            <w:vAlign w:val="bottom"/>
            <w:hideMark/>
          </w:tcPr>
          <w:p w14:paraId="71EF0A29" w14:textId="77777777" w:rsidR="00A603CF" w:rsidRPr="00D46C32" w:rsidRDefault="00A603CF">
            <w:pPr>
              <w:spacing w:before="40" w:after="40" w:line="220" w:lineRule="exact"/>
              <w:jc w:val="right"/>
              <w:rPr>
                <w:sz w:val="18"/>
                <w:lang w:eastAsia="zh-CN"/>
              </w:rPr>
            </w:pPr>
            <w:r w:rsidRPr="00D46C32">
              <w:rPr>
                <w:sz w:val="18"/>
                <w:lang w:eastAsia="zh-CN"/>
              </w:rPr>
              <w:t>0.151</w:t>
            </w:r>
          </w:p>
        </w:tc>
        <w:tc>
          <w:tcPr>
            <w:tcW w:w="1843" w:type="dxa"/>
            <w:shd w:val="clear" w:color="auto" w:fill="auto"/>
            <w:vAlign w:val="bottom"/>
          </w:tcPr>
          <w:p w14:paraId="7A65BDF4" w14:textId="77777777" w:rsidR="00A603CF" w:rsidRPr="00D46C32" w:rsidRDefault="00A603CF">
            <w:pPr>
              <w:spacing w:before="40" w:after="40" w:line="220" w:lineRule="exact"/>
              <w:jc w:val="right"/>
              <w:rPr>
                <w:sz w:val="18"/>
                <w:lang w:eastAsia="zh-CN"/>
              </w:rPr>
            </w:pPr>
            <w:r w:rsidRPr="00D46C32">
              <w:rPr>
                <w:sz w:val="18"/>
                <w:lang w:eastAsia="zh-CN"/>
              </w:rPr>
              <w:t>970</w:t>
            </w:r>
          </w:p>
        </w:tc>
        <w:tc>
          <w:tcPr>
            <w:tcW w:w="1843" w:type="dxa"/>
            <w:shd w:val="clear" w:color="auto" w:fill="auto"/>
            <w:vAlign w:val="bottom"/>
          </w:tcPr>
          <w:p w14:paraId="2C354289" w14:textId="77777777" w:rsidR="00A603CF" w:rsidRPr="00D46C32" w:rsidRDefault="00A603CF">
            <w:pPr>
              <w:spacing w:before="40" w:after="40" w:line="220" w:lineRule="exact"/>
              <w:jc w:val="right"/>
              <w:rPr>
                <w:sz w:val="18"/>
                <w:lang w:eastAsia="zh-CN"/>
              </w:rPr>
            </w:pPr>
            <w:r w:rsidRPr="00D46C32">
              <w:rPr>
                <w:sz w:val="18"/>
                <w:lang w:eastAsia="zh-CN"/>
              </w:rPr>
              <w:t>1,000</w:t>
            </w:r>
          </w:p>
        </w:tc>
      </w:tr>
      <w:tr w:rsidR="00A603CF" w:rsidRPr="00D46C32" w14:paraId="6CC8CBA4" w14:textId="77777777" w:rsidTr="00441519">
        <w:tc>
          <w:tcPr>
            <w:tcW w:w="1701" w:type="dxa"/>
            <w:shd w:val="clear" w:color="auto" w:fill="auto"/>
            <w:noWrap/>
            <w:hideMark/>
          </w:tcPr>
          <w:p w14:paraId="2F664AA8" w14:textId="77777777" w:rsidR="00A603CF" w:rsidRPr="00D46C32" w:rsidRDefault="00A603CF">
            <w:pPr>
              <w:spacing w:before="40" w:after="40" w:line="220" w:lineRule="exact"/>
              <w:rPr>
                <w:sz w:val="18"/>
                <w:lang w:eastAsia="zh-CN"/>
              </w:rPr>
            </w:pPr>
            <w:r w:rsidRPr="00D46C32">
              <w:rPr>
                <w:sz w:val="18"/>
                <w:lang w:eastAsia="zh-CN"/>
              </w:rPr>
              <w:t>Liechtenstein</w:t>
            </w:r>
          </w:p>
        </w:tc>
        <w:tc>
          <w:tcPr>
            <w:tcW w:w="1843" w:type="dxa"/>
            <w:shd w:val="clear" w:color="auto" w:fill="auto"/>
            <w:noWrap/>
            <w:vAlign w:val="bottom"/>
            <w:hideMark/>
          </w:tcPr>
          <w:p w14:paraId="024ADE3C" w14:textId="77777777" w:rsidR="00A603CF" w:rsidRPr="00D46C32" w:rsidRDefault="00A603CF">
            <w:pPr>
              <w:spacing w:before="40" w:after="40" w:line="220" w:lineRule="exact"/>
              <w:jc w:val="right"/>
              <w:rPr>
                <w:sz w:val="18"/>
                <w:lang w:eastAsia="zh-CN"/>
              </w:rPr>
            </w:pPr>
            <w:r w:rsidRPr="00D46C32">
              <w:rPr>
                <w:sz w:val="18"/>
                <w:lang w:eastAsia="zh-CN"/>
              </w:rPr>
              <w:t>0.01</w:t>
            </w:r>
          </w:p>
        </w:tc>
        <w:tc>
          <w:tcPr>
            <w:tcW w:w="1559" w:type="dxa"/>
            <w:shd w:val="clear" w:color="auto" w:fill="auto"/>
            <w:noWrap/>
            <w:vAlign w:val="bottom"/>
            <w:hideMark/>
          </w:tcPr>
          <w:p w14:paraId="0D3C570D" w14:textId="77777777" w:rsidR="00A603CF" w:rsidRPr="00D46C32" w:rsidRDefault="00A603CF">
            <w:pPr>
              <w:spacing w:before="40" w:after="40" w:line="220" w:lineRule="exact"/>
              <w:jc w:val="right"/>
              <w:rPr>
                <w:sz w:val="18"/>
                <w:lang w:eastAsia="zh-CN"/>
              </w:rPr>
            </w:pPr>
            <w:r w:rsidRPr="00D46C32">
              <w:rPr>
                <w:sz w:val="18"/>
                <w:lang w:eastAsia="zh-CN"/>
              </w:rPr>
              <w:t>0.030</w:t>
            </w:r>
          </w:p>
        </w:tc>
        <w:tc>
          <w:tcPr>
            <w:tcW w:w="1843" w:type="dxa"/>
            <w:shd w:val="clear" w:color="auto" w:fill="auto"/>
            <w:vAlign w:val="bottom"/>
          </w:tcPr>
          <w:p w14:paraId="5EE44A7E" w14:textId="77777777" w:rsidR="00A603CF" w:rsidRPr="00D46C32" w:rsidRDefault="00A603CF">
            <w:pPr>
              <w:spacing w:before="40" w:after="40" w:line="220" w:lineRule="exact"/>
              <w:jc w:val="right"/>
              <w:rPr>
                <w:sz w:val="18"/>
                <w:lang w:eastAsia="zh-CN"/>
              </w:rPr>
            </w:pPr>
            <w:r w:rsidRPr="00D46C32">
              <w:rPr>
                <w:sz w:val="18"/>
                <w:lang w:eastAsia="zh-CN"/>
              </w:rPr>
              <w:t>200</w:t>
            </w:r>
          </w:p>
        </w:tc>
        <w:tc>
          <w:tcPr>
            <w:tcW w:w="1843" w:type="dxa"/>
            <w:shd w:val="clear" w:color="auto" w:fill="auto"/>
            <w:vAlign w:val="bottom"/>
          </w:tcPr>
          <w:p w14:paraId="770A9A27" w14:textId="77777777" w:rsidR="00A603CF" w:rsidRPr="00D46C32" w:rsidRDefault="00A603CF">
            <w:pPr>
              <w:spacing w:before="40" w:after="40" w:line="220" w:lineRule="exact"/>
              <w:jc w:val="right"/>
              <w:rPr>
                <w:sz w:val="18"/>
                <w:lang w:eastAsia="zh-CN"/>
              </w:rPr>
            </w:pPr>
            <w:r w:rsidRPr="00D46C32">
              <w:rPr>
                <w:sz w:val="18"/>
                <w:lang w:eastAsia="zh-CN"/>
              </w:rPr>
              <w:t>1,000</w:t>
            </w:r>
          </w:p>
        </w:tc>
      </w:tr>
      <w:tr w:rsidR="00A603CF" w:rsidRPr="00D46C32" w14:paraId="7D84E5CB" w14:textId="77777777" w:rsidTr="00441519">
        <w:tc>
          <w:tcPr>
            <w:tcW w:w="1701" w:type="dxa"/>
            <w:shd w:val="clear" w:color="auto" w:fill="auto"/>
            <w:noWrap/>
            <w:hideMark/>
          </w:tcPr>
          <w:p w14:paraId="6E394DFC" w14:textId="77777777" w:rsidR="00A603CF" w:rsidRPr="00D46C32" w:rsidRDefault="00A603CF">
            <w:pPr>
              <w:spacing w:before="40" w:after="40" w:line="220" w:lineRule="exact"/>
              <w:rPr>
                <w:sz w:val="18"/>
                <w:lang w:eastAsia="zh-CN"/>
              </w:rPr>
            </w:pPr>
            <w:r w:rsidRPr="00D46C32">
              <w:rPr>
                <w:sz w:val="18"/>
                <w:lang w:eastAsia="zh-CN"/>
              </w:rPr>
              <w:t>Lithuania</w:t>
            </w:r>
          </w:p>
        </w:tc>
        <w:tc>
          <w:tcPr>
            <w:tcW w:w="1843" w:type="dxa"/>
            <w:shd w:val="clear" w:color="auto" w:fill="auto"/>
            <w:noWrap/>
            <w:vAlign w:val="bottom"/>
            <w:hideMark/>
          </w:tcPr>
          <w:p w14:paraId="27719CAF" w14:textId="77777777" w:rsidR="00A603CF" w:rsidRPr="00D46C32" w:rsidRDefault="00A603CF">
            <w:pPr>
              <w:spacing w:before="40" w:after="40" w:line="220" w:lineRule="exact"/>
              <w:jc w:val="right"/>
              <w:rPr>
                <w:sz w:val="18"/>
                <w:lang w:eastAsia="zh-CN"/>
              </w:rPr>
            </w:pPr>
            <w:r w:rsidRPr="00D46C32">
              <w:rPr>
                <w:sz w:val="18"/>
                <w:lang w:eastAsia="zh-CN"/>
              </w:rPr>
              <w:t>0.077</w:t>
            </w:r>
          </w:p>
        </w:tc>
        <w:tc>
          <w:tcPr>
            <w:tcW w:w="1559" w:type="dxa"/>
            <w:shd w:val="clear" w:color="auto" w:fill="auto"/>
            <w:noWrap/>
            <w:vAlign w:val="bottom"/>
            <w:hideMark/>
          </w:tcPr>
          <w:p w14:paraId="4C949AD9" w14:textId="77777777" w:rsidR="00A603CF" w:rsidRPr="00D46C32" w:rsidRDefault="00A603CF">
            <w:pPr>
              <w:spacing w:before="40" w:after="40" w:line="220" w:lineRule="exact"/>
              <w:jc w:val="right"/>
              <w:rPr>
                <w:sz w:val="18"/>
                <w:lang w:eastAsia="zh-CN"/>
              </w:rPr>
            </w:pPr>
            <w:r w:rsidRPr="00D46C32">
              <w:rPr>
                <w:sz w:val="18"/>
                <w:lang w:eastAsia="zh-CN"/>
              </w:rPr>
              <w:t>0.233</w:t>
            </w:r>
          </w:p>
        </w:tc>
        <w:tc>
          <w:tcPr>
            <w:tcW w:w="1843" w:type="dxa"/>
            <w:shd w:val="clear" w:color="auto" w:fill="auto"/>
            <w:vAlign w:val="bottom"/>
          </w:tcPr>
          <w:p w14:paraId="7C05564A" w14:textId="77777777" w:rsidR="00A603CF" w:rsidRPr="00D46C32" w:rsidRDefault="00A603CF">
            <w:pPr>
              <w:spacing w:before="40" w:after="40" w:line="220" w:lineRule="exact"/>
              <w:jc w:val="right"/>
              <w:rPr>
                <w:sz w:val="18"/>
                <w:lang w:eastAsia="zh-CN"/>
              </w:rPr>
            </w:pPr>
            <w:r w:rsidRPr="00D46C32">
              <w:rPr>
                <w:sz w:val="18"/>
                <w:lang w:eastAsia="zh-CN"/>
              </w:rPr>
              <w:t>1,500</w:t>
            </w:r>
          </w:p>
        </w:tc>
        <w:tc>
          <w:tcPr>
            <w:tcW w:w="1843" w:type="dxa"/>
            <w:shd w:val="clear" w:color="auto" w:fill="auto"/>
            <w:vAlign w:val="bottom"/>
          </w:tcPr>
          <w:p w14:paraId="73CC3E74" w14:textId="77777777" w:rsidR="00A603CF" w:rsidRPr="00D46C32" w:rsidRDefault="00A603CF">
            <w:pPr>
              <w:spacing w:before="40" w:after="40" w:line="220" w:lineRule="exact"/>
              <w:jc w:val="right"/>
              <w:rPr>
                <w:sz w:val="18"/>
                <w:lang w:eastAsia="zh-CN"/>
              </w:rPr>
            </w:pPr>
            <w:r w:rsidRPr="00D46C32">
              <w:rPr>
                <w:sz w:val="18"/>
                <w:lang w:eastAsia="zh-CN"/>
              </w:rPr>
              <w:t>1,460</w:t>
            </w:r>
          </w:p>
        </w:tc>
      </w:tr>
      <w:tr w:rsidR="00A603CF" w:rsidRPr="00D46C32" w14:paraId="282587F5" w14:textId="77777777" w:rsidTr="00441519">
        <w:tc>
          <w:tcPr>
            <w:tcW w:w="1701" w:type="dxa"/>
            <w:shd w:val="clear" w:color="auto" w:fill="auto"/>
            <w:noWrap/>
            <w:hideMark/>
          </w:tcPr>
          <w:p w14:paraId="6E708E1C" w14:textId="77777777" w:rsidR="00A603CF" w:rsidRPr="00D46C32" w:rsidRDefault="00A603CF">
            <w:pPr>
              <w:spacing w:before="40" w:after="40" w:line="220" w:lineRule="exact"/>
              <w:rPr>
                <w:sz w:val="18"/>
                <w:lang w:eastAsia="zh-CN"/>
              </w:rPr>
            </w:pPr>
            <w:r w:rsidRPr="00D46C32">
              <w:rPr>
                <w:sz w:val="18"/>
                <w:lang w:eastAsia="zh-CN"/>
              </w:rPr>
              <w:t>Luxembourg</w:t>
            </w:r>
          </w:p>
        </w:tc>
        <w:tc>
          <w:tcPr>
            <w:tcW w:w="1843" w:type="dxa"/>
            <w:shd w:val="clear" w:color="auto" w:fill="auto"/>
            <w:noWrap/>
            <w:vAlign w:val="bottom"/>
            <w:hideMark/>
          </w:tcPr>
          <w:p w14:paraId="6F08C1A1" w14:textId="77777777" w:rsidR="00A603CF" w:rsidRPr="00D46C32" w:rsidRDefault="00A603CF">
            <w:pPr>
              <w:spacing w:before="40" w:after="40" w:line="220" w:lineRule="exact"/>
              <w:jc w:val="right"/>
              <w:rPr>
                <w:sz w:val="18"/>
                <w:lang w:eastAsia="zh-CN"/>
              </w:rPr>
            </w:pPr>
            <w:r w:rsidRPr="00D46C32">
              <w:rPr>
                <w:sz w:val="18"/>
                <w:lang w:eastAsia="zh-CN"/>
              </w:rPr>
              <w:t>0.068</w:t>
            </w:r>
          </w:p>
        </w:tc>
        <w:tc>
          <w:tcPr>
            <w:tcW w:w="1559" w:type="dxa"/>
            <w:shd w:val="clear" w:color="auto" w:fill="auto"/>
            <w:noWrap/>
            <w:vAlign w:val="bottom"/>
            <w:hideMark/>
          </w:tcPr>
          <w:p w14:paraId="3DF92843" w14:textId="77777777" w:rsidR="00A603CF" w:rsidRPr="00D46C32" w:rsidRDefault="00A603CF">
            <w:pPr>
              <w:spacing w:before="40" w:after="40" w:line="220" w:lineRule="exact"/>
              <w:jc w:val="right"/>
              <w:rPr>
                <w:sz w:val="18"/>
                <w:lang w:eastAsia="zh-CN"/>
              </w:rPr>
            </w:pPr>
            <w:r w:rsidRPr="00D46C32">
              <w:rPr>
                <w:sz w:val="18"/>
                <w:lang w:eastAsia="zh-CN"/>
              </w:rPr>
              <w:t>0.206</w:t>
            </w:r>
          </w:p>
        </w:tc>
        <w:tc>
          <w:tcPr>
            <w:tcW w:w="1843" w:type="dxa"/>
            <w:shd w:val="clear" w:color="auto" w:fill="auto"/>
            <w:vAlign w:val="bottom"/>
          </w:tcPr>
          <w:p w14:paraId="1A8A660A" w14:textId="77777777" w:rsidR="00A603CF" w:rsidRPr="00D46C32" w:rsidRDefault="00A603CF">
            <w:pPr>
              <w:spacing w:before="40" w:after="40" w:line="220" w:lineRule="exact"/>
              <w:jc w:val="right"/>
              <w:rPr>
                <w:sz w:val="18"/>
                <w:lang w:eastAsia="zh-CN"/>
              </w:rPr>
            </w:pPr>
            <w:r w:rsidRPr="00D46C32">
              <w:rPr>
                <w:sz w:val="18"/>
                <w:lang w:eastAsia="zh-CN"/>
              </w:rPr>
              <w:t>1,350</w:t>
            </w:r>
          </w:p>
        </w:tc>
        <w:tc>
          <w:tcPr>
            <w:tcW w:w="1843" w:type="dxa"/>
            <w:shd w:val="clear" w:color="auto" w:fill="auto"/>
            <w:vAlign w:val="bottom"/>
          </w:tcPr>
          <w:p w14:paraId="4A793CFD" w14:textId="77777777" w:rsidR="00A603CF" w:rsidRPr="00D46C32" w:rsidRDefault="00A603CF">
            <w:pPr>
              <w:spacing w:before="40" w:after="40" w:line="220" w:lineRule="exact"/>
              <w:jc w:val="right"/>
              <w:rPr>
                <w:sz w:val="18"/>
                <w:lang w:eastAsia="zh-CN"/>
              </w:rPr>
            </w:pPr>
            <w:r w:rsidRPr="00D46C32">
              <w:rPr>
                <w:sz w:val="18"/>
                <w:lang w:eastAsia="zh-CN"/>
              </w:rPr>
              <w:t>1,300</w:t>
            </w:r>
          </w:p>
        </w:tc>
      </w:tr>
      <w:tr w:rsidR="00A603CF" w:rsidRPr="00D46C32" w14:paraId="4A9C01EF" w14:textId="77777777" w:rsidTr="00441519">
        <w:tc>
          <w:tcPr>
            <w:tcW w:w="1701" w:type="dxa"/>
            <w:shd w:val="clear" w:color="auto" w:fill="auto"/>
            <w:noWrap/>
            <w:hideMark/>
          </w:tcPr>
          <w:p w14:paraId="42DD97DF" w14:textId="77777777" w:rsidR="00A603CF" w:rsidRPr="00D46C32" w:rsidRDefault="00A603CF">
            <w:pPr>
              <w:spacing w:before="40" w:after="40" w:line="220" w:lineRule="exact"/>
              <w:rPr>
                <w:sz w:val="18"/>
                <w:lang w:eastAsia="zh-CN"/>
              </w:rPr>
            </w:pPr>
            <w:r w:rsidRPr="00D46C32">
              <w:rPr>
                <w:sz w:val="18"/>
                <w:lang w:eastAsia="zh-CN"/>
              </w:rPr>
              <w:t>Malta</w:t>
            </w:r>
          </w:p>
        </w:tc>
        <w:tc>
          <w:tcPr>
            <w:tcW w:w="1843" w:type="dxa"/>
            <w:shd w:val="clear" w:color="auto" w:fill="auto"/>
            <w:noWrap/>
            <w:vAlign w:val="bottom"/>
            <w:hideMark/>
          </w:tcPr>
          <w:p w14:paraId="4A1825FF" w14:textId="77777777" w:rsidR="00A603CF" w:rsidRPr="00D46C32" w:rsidRDefault="00A603CF">
            <w:pPr>
              <w:spacing w:before="40" w:after="40" w:line="220" w:lineRule="exact"/>
              <w:jc w:val="right"/>
              <w:rPr>
                <w:sz w:val="18"/>
                <w:lang w:eastAsia="zh-CN"/>
              </w:rPr>
            </w:pPr>
            <w:r w:rsidRPr="00D46C32">
              <w:rPr>
                <w:sz w:val="18"/>
                <w:lang w:eastAsia="zh-CN"/>
              </w:rPr>
              <w:t>0.019</w:t>
            </w:r>
          </w:p>
        </w:tc>
        <w:tc>
          <w:tcPr>
            <w:tcW w:w="1559" w:type="dxa"/>
            <w:shd w:val="clear" w:color="auto" w:fill="auto"/>
            <w:noWrap/>
            <w:vAlign w:val="bottom"/>
            <w:hideMark/>
          </w:tcPr>
          <w:p w14:paraId="1B767544" w14:textId="77777777" w:rsidR="00A603CF" w:rsidRPr="00D46C32" w:rsidRDefault="00A603CF">
            <w:pPr>
              <w:spacing w:before="40" w:after="40" w:line="220" w:lineRule="exact"/>
              <w:jc w:val="right"/>
              <w:rPr>
                <w:sz w:val="18"/>
                <w:lang w:eastAsia="zh-CN"/>
              </w:rPr>
            </w:pPr>
            <w:r w:rsidRPr="00D46C32">
              <w:rPr>
                <w:sz w:val="18"/>
                <w:lang w:eastAsia="zh-CN"/>
              </w:rPr>
              <w:t>0.058</w:t>
            </w:r>
          </w:p>
        </w:tc>
        <w:tc>
          <w:tcPr>
            <w:tcW w:w="1843" w:type="dxa"/>
            <w:shd w:val="clear" w:color="auto" w:fill="auto"/>
            <w:vAlign w:val="bottom"/>
          </w:tcPr>
          <w:p w14:paraId="2A7D6C13" w14:textId="77777777" w:rsidR="00A603CF" w:rsidRPr="00D46C32" w:rsidRDefault="00A603CF">
            <w:pPr>
              <w:spacing w:before="40" w:after="40" w:line="220" w:lineRule="exact"/>
              <w:jc w:val="right"/>
              <w:rPr>
                <w:sz w:val="18"/>
                <w:lang w:eastAsia="zh-CN"/>
              </w:rPr>
            </w:pPr>
            <w:r w:rsidRPr="00D46C32">
              <w:rPr>
                <w:sz w:val="18"/>
                <w:lang w:eastAsia="zh-CN"/>
              </w:rPr>
              <w:t>370</w:t>
            </w:r>
          </w:p>
        </w:tc>
        <w:tc>
          <w:tcPr>
            <w:tcW w:w="1843" w:type="dxa"/>
            <w:shd w:val="clear" w:color="auto" w:fill="auto"/>
            <w:vAlign w:val="bottom"/>
          </w:tcPr>
          <w:p w14:paraId="28A7DB7D" w14:textId="77777777" w:rsidR="00A603CF" w:rsidRPr="00D46C32" w:rsidRDefault="00A603CF">
            <w:pPr>
              <w:spacing w:before="40" w:after="40" w:line="220" w:lineRule="exact"/>
              <w:jc w:val="right"/>
              <w:rPr>
                <w:sz w:val="18"/>
                <w:lang w:eastAsia="zh-CN"/>
              </w:rPr>
            </w:pPr>
            <w:r w:rsidRPr="00D46C32">
              <w:rPr>
                <w:sz w:val="18"/>
                <w:lang w:eastAsia="zh-CN"/>
              </w:rPr>
              <w:t>1,000</w:t>
            </w:r>
          </w:p>
        </w:tc>
      </w:tr>
      <w:tr w:rsidR="00A603CF" w:rsidRPr="00D46C32" w14:paraId="74A6CBC0" w14:textId="77777777" w:rsidTr="00441519">
        <w:tc>
          <w:tcPr>
            <w:tcW w:w="1701" w:type="dxa"/>
            <w:shd w:val="clear" w:color="auto" w:fill="auto"/>
            <w:noWrap/>
            <w:hideMark/>
          </w:tcPr>
          <w:p w14:paraId="5E02F827" w14:textId="77777777" w:rsidR="00A603CF" w:rsidRPr="00D46C32" w:rsidRDefault="00A603CF">
            <w:pPr>
              <w:spacing w:before="40" w:after="40" w:line="220" w:lineRule="exact"/>
              <w:rPr>
                <w:sz w:val="18"/>
                <w:lang w:eastAsia="zh-CN"/>
              </w:rPr>
            </w:pPr>
            <w:r w:rsidRPr="00D46C32">
              <w:rPr>
                <w:sz w:val="18"/>
                <w:lang w:eastAsia="zh-CN"/>
              </w:rPr>
              <w:t>Montenegro</w:t>
            </w:r>
          </w:p>
        </w:tc>
        <w:tc>
          <w:tcPr>
            <w:tcW w:w="1843" w:type="dxa"/>
            <w:shd w:val="clear" w:color="auto" w:fill="auto"/>
            <w:noWrap/>
            <w:vAlign w:val="bottom"/>
            <w:hideMark/>
          </w:tcPr>
          <w:p w14:paraId="32F6D134" w14:textId="77777777" w:rsidR="00A603CF" w:rsidRPr="00D46C32" w:rsidRDefault="00A603CF">
            <w:pPr>
              <w:spacing w:before="40" w:after="40" w:line="220" w:lineRule="exact"/>
              <w:jc w:val="right"/>
              <w:rPr>
                <w:sz w:val="18"/>
                <w:lang w:eastAsia="zh-CN"/>
              </w:rPr>
            </w:pPr>
            <w:r w:rsidRPr="00D46C32">
              <w:rPr>
                <w:sz w:val="18"/>
                <w:lang w:eastAsia="zh-CN"/>
              </w:rPr>
              <w:t>0.004</w:t>
            </w:r>
          </w:p>
        </w:tc>
        <w:tc>
          <w:tcPr>
            <w:tcW w:w="1559" w:type="dxa"/>
            <w:shd w:val="clear" w:color="auto" w:fill="auto"/>
            <w:noWrap/>
            <w:vAlign w:val="bottom"/>
            <w:hideMark/>
          </w:tcPr>
          <w:p w14:paraId="41C473FC" w14:textId="77777777" w:rsidR="00A603CF" w:rsidRPr="00D46C32" w:rsidRDefault="00A603CF">
            <w:pPr>
              <w:spacing w:before="40" w:after="40" w:line="220" w:lineRule="exact"/>
              <w:jc w:val="right"/>
              <w:rPr>
                <w:sz w:val="18"/>
                <w:lang w:eastAsia="zh-CN"/>
              </w:rPr>
            </w:pPr>
            <w:r w:rsidRPr="00D46C32">
              <w:rPr>
                <w:sz w:val="18"/>
                <w:lang w:eastAsia="zh-CN"/>
              </w:rPr>
              <w:t>0.012</w:t>
            </w:r>
          </w:p>
        </w:tc>
        <w:tc>
          <w:tcPr>
            <w:tcW w:w="1843" w:type="dxa"/>
            <w:shd w:val="clear" w:color="auto" w:fill="auto"/>
            <w:vAlign w:val="bottom"/>
          </w:tcPr>
          <w:p w14:paraId="28A257F3" w14:textId="77777777" w:rsidR="00A603CF" w:rsidRPr="00D46C32" w:rsidRDefault="00A603CF">
            <w:pPr>
              <w:spacing w:before="40" w:after="40" w:line="220" w:lineRule="exact"/>
              <w:jc w:val="right"/>
              <w:rPr>
                <w:sz w:val="18"/>
                <w:lang w:eastAsia="zh-CN"/>
              </w:rPr>
            </w:pPr>
            <w:r w:rsidRPr="00D46C32">
              <w:rPr>
                <w:sz w:val="18"/>
                <w:lang w:eastAsia="zh-CN"/>
              </w:rPr>
              <w:t>80</w:t>
            </w:r>
          </w:p>
        </w:tc>
        <w:tc>
          <w:tcPr>
            <w:tcW w:w="1843" w:type="dxa"/>
            <w:shd w:val="clear" w:color="auto" w:fill="auto"/>
            <w:vAlign w:val="bottom"/>
          </w:tcPr>
          <w:p w14:paraId="7714D11A" w14:textId="77777777" w:rsidR="00A603CF" w:rsidRPr="00D46C32" w:rsidRDefault="00A603CF">
            <w:pPr>
              <w:spacing w:before="40" w:after="40" w:line="220" w:lineRule="exact"/>
              <w:jc w:val="right"/>
              <w:rPr>
                <w:sz w:val="18"/>
                <w:lang w:eastAsia="zh-CN"/>
              </w:rPr>
            </w:pPr>
            <w:r w:rsidRPr="00D46C32">
              <w:rPr>
                <w:sz w:val="18"/>
                <w:lang w:eastAsia="zh-CN"/>
              </w:rPr>
              <w:t>1,000</w:t>
            </w:r>
          </w:p>
        </w:tc>
      </w:tr>
      <w:tr w:rsidR="00A603CF" w:rsidRPr="00D46C32" w14:paraId="67148685" w14:textId="77777777" w:rsidTr="00441519">
        <w:tc>
          <w:tcPr>
            <w:tcW w:w="1701" w:type="dxa"/>
            <w:shd w:val="clear" w:color="auto" w:fill="auto"/>
            <w:noWrap/>
            <w:hideMark/>
          </w:tcPr>
          <w:p w14:paraId="3DE387F3" w14:textId="77777777" w:rsidR="00A603CF" w:rsidRPr="00D46C32" w:rsidRDefault="00A603CF">
            <w:pPr>
              <w:spacing w:before="40" w:after="40" w:line="220" w:lineRule="exact"/>
              <w:rPr>
                <w:sz w:val="18"/>
                <w:lang w:eastAsia="zh-CN"/>
              </w:rPr>
            </w:pPr>
            <w:r w:rsidRPr="00D46C32">
              <w:rPr>
                <w:sz w:val="18"/>
                <w:lang w:eastAsia="zh-CN"/>
              </w:rPr>
              <w:t>Netherlands</w:t>
            </w:r>
          </w:p>
        </w:tc>
        <w:tc>
          <w:tcPr>
            <w:tcW w:w="1843" w:type="dxa"/>
            <w:shd w:val="clear" w:color="auto" w:fill="auto"/>
            <w:noWrap/>
            <w:vAlign w:val="bottom"/>
            <w:hideMark/>
          </w:tcPr>
          <w:p w14:paraId="5CE35137" w14:textId="77777777" w:rsidR="00A603CF" w:rsidRPr="00D46C32" w:rsidRDefault="00A603CF">
            <w:pPr>
              <w:spacing w:before="40" w:after="40" w:line="220" w:lineRule="exact"/>
              <w:jc w:val="right"/>
              <w:rPr>
                <w:sz w:val="18"/>
                <w:lang w:eastAsia="zh-CN"/>
              </w:rPr>
            </w:pPr>
            <w:r w:rsidRPr="00D46C32">
              <w:rPr>
                <w:sz w:val="18"/>
                <w:lang w:eastAsia="zh-CN"/>
              </w:rPr>
              <w:t>1.377</w:t>
            </w:r>
          </w:p>
        </w:tc>
        <w:tc>
          <w:tcPr>
            <w:tcW w:w="1559" w:type="dxa"/>
            <w:shd w:val="clear" w:color="auto" w:fill="auto"/>
            <w:noWrap/>
            <w:vAlign w:val="bottom"/>
            <w:hideMark/>
          </w:tcPr>
          <w:p w14:paraId="17AF7FF4" w14:textId="77777777" w:rsidR="00A603CF" w:rsidRPr="00D46C32" w:rsidRDefault="00A603CF">
            <w:pPr>
              <w:spacing w:before="40" w:after="40" w:line="220" w:lineRule="exact"/>
              <w:jc w:val="right"/>
              <w:rPr>
                <w:sz w:val="18"/>
                <w:lang w:eastAsia="zh-CN"/>
              </w:rPr>
            </w:pPr>
            <w:r w:rsidRPr="00D46C32">
              <w:rPr>
                <w:sz w:val="18"/>
                <w:lang w:eastAsia="zh-CN"/>
              </w:rPr>
              <w:t>4.170</w:t>
            </w:r>
          </w:p>
        </w:tc>
        <w:tc>
          <w:tcPr>
            <w:tcW w:w="1843" w:type="dxa"/>
            <w:shd w:val="clear" w:color="auto" w:fill="auto"/>
            <w:vAlign w:val="bottom"/>
          </w:tcPr>
          <w:p w14:paraId="42CC665E" w14:textId="77777777" w:rsidR="00A603CF" w:rsidRPr="00D46C32" w:rsidRDefault="00A603CF">
            <w:pPr>
              <w:spacing w:before="40" w:after="40" w:line="220" w:lineRule="exact"/>
              <w:jc w:val="right"/>
              <w:rPr>
                <w:sz w:val="18"/>
                <w:lang w:eastAsia="zh-CN"/>
              </w:rPr>
            </w:pPr>
            <w:r w:rsidRPr="00D46C32">
              <w:rPr>
                <w:sz w:val="18"/>
                <w:lang w:eastAsia="zh-CN"/>
              </w:rPr>
              <w:t>26,800</w:t>
            </w:r>
          </w:p>
        </w:tc>
        <w:tc>
          <w:tcPr>
            <w:tcW w:w="1843" w:type="dxa"/>
            <w:shd w:val="clear" w:color="auto" w:fill="auto"/>
            <w:vAlign w:val="bottom"/>
          </w:tcPr>
          <w:p w14:paraId="367FFCDD" w14:textId="77777777" w:rsidR="00A603CF" w:rsidRPr="00D46C32" w:rsidRDefault="00A603CF">
            <w:pPr>
              <w:spacing w:before="40" w:after="40" w:line="220" w:lineRule="exact"/>
              <w:jc w:val="right"/>
              <w:rPr>
                <w:sz w:val="18"/>
                <w:lang w:eastAsia="zh-CN"/>
              </w:rPr>
            </w:pPr>
            <w:r w:rsidRPr="00D46C32">
              <w:rPr>
                <w:sz w:val="18"/>
                <w:lang w:eastAsia="zh-CN"/>
              </w:rPr>
              <w:t>26,180</w:t>
            </w:r>
          </w:p>
        </w:tc>
      </w:tr>
      <w:tr w:rsidR="00A603CF" w:rsidRPr="00D46C32" w14:paraId="6F65F476" w14:textId="77777777" w:rsidTr="00441519">
        <w:tc>
          <w:tcPr>
            <w:tcW w:w="1701" w:type="dxa"/>
            <w:shd w:val="clear" w:color="auto" w:fill="auto"/>
            <w:noWrap/>
            <w:hideMark/>
          </w:tcPr>
          <w:p w14:paraId="19798D29" w14:textId="77777777" w:rsidR="00A603CF" w:rsidRPr="00D46C32" w:rsidRDefault="00A603CF">
            <w:pPr>
              <w:spacing w:before="40" w:after="40" w:line="220" w:lineRule="exact"/>
              <w:rPr>
                <w:sz w:val="18"/>
                <w:lang w:eastAsia="zh-CN"/>
              </w:rPr>
            </w:pPr>
            <w:r w:rsidRPr="00D46C32">
              <w:rPr>
                <w:sz w:val="18"/>
                <w:lang w:eastAsia="zh-CN"/>
              </w:rPr>
              <w:lastRenderedPageBreak/>
              <w:t>North Macedonia</w:t>
            </w:r>
          </w:p>
        </w:tc>
        <w:tc>
          <w:tcPr>
            <w:tcW w:w="1843" w:type="dxa"/>
            <w:shd w:val="clear" w:color="auto" w:fill="auto"/>
            <w:noWrap/>
            <w:vAlign w:val="bottom"/>
            <w:hideMark/>
          </w:tcPr>
          <w:p w14:paraId="6729267F" w14:textId="77777777" w:rsidR="00A603CF" w:rsidRPr="00D46C32" w:rsidRDefault="00A603CF">
            <w:pPr>
              <w:spacing w:before="40" w:after="40" w:line="220" w:lineRule="exact"/>
              <w:jc w:val="right"/>
              <w:rPr>
                <w:sz w:val="18"/>
                <w:lang w:eastAsia="zh-CN"/>
              </w:rPr>
            </w:pPr>
            <w:r w:rsidRPr="00D46C32">
              <w:rPr>
                <w:sz w:val="18"/>
                <w:lang w:eastAsia="zh-CN"/>
              </w:rPr>
              <w:t>0.007</w:t>
            </w:r>
          </w:p>
        </w:tc>
        <w:tc>
          <w:tcPr>
            <w:tcW w:w="1559" w:type="dxa"/>
            <w:shd w:val="clear" w:color="auto" w:fill="auto"/>
            <w:noWrap/>
            <w:vAlign w:val="bottom"/>
            <w:hideMark/>
          </w:tcPr>
          <w:p w14:paraId="30B6D6B7" w14:textId="77777777" w:rsidR="00A603CF" w:rsidRPr="00D46C32" w:rsidRDefault="00A603CF">
            <w:pPr>
              <w:spacing w:before="40" w:after="40" w:line="220" w:lineRule="exact"/>
              <w:jc w:val="right"/>
              <w:rPr>
                <w:sz w:val="18"/>
                <w:lang w:eastAsia="zh-CN"/>
              </w:rPr>
            </w:pPr>
            <w:r w:rsidRPr="00D46C32">
              <w:rPr>
                <w:sz w:val="18"/>
                <w:lang w:eastAsia="zh-CN"/>
              </w:rPr>
              <w:t>0.021</w:t>
            </w:r>
          </w:p>
        </w:tc>
        <w:tc>
          <w:tcPr>
            <w:tcW w:w="1843" w:type="dxa"/>
            <w:shd w:val="clear" w:color="auto" w:fill="auto"/>
            <w:vAlign w:val="bottom"/>
          </w:tcPr>
          <w:p w14:paraId="7157F8A1" w14:textId="77777777" w:rsidR="00A603CF" w:rsidRPr="00D46C32" w:rsidRDefault="00A603CF">
            <w:pPr>
              <w:spacing w:before="40" w:after="40" w:line="220" w:lineRule="exact"/>
              <w:jc w:val="right"/>
              <w:rPr>
                <w:sz w:val="18"/>
                <w:lang w:eastAsia="zh-CN"/>
              </w:rPr>
            </w:pPr>
            <w:r w:rsidRPr="00D46C32">
              <w:rPr>
                <w:sz w:val="18"/>
                <w:lang w:eastAsia="zh-CN"/>
              </w:rPr>
              <w:t>140</w:t>
            </w:r>
          </w:p>
        </w:tc>
        <w:tc>
          <w:tcPr>
            <w:tcW w:w="1843" w:type="dxa"/>
            <w:shd w:val="clear" w:color="auto" w:fill="auto"/>
            <w:vAlign w:val="bottom"/>
          </w:tcPr>
          <w:p w14:paraId="56EA23A2" w14:textId="77777777" w:rsidR="00A603CF" w:rsidRPr="00D46C32" w:rsidRDefault="00A603CF">
            <w:pPr>
              <w:spacing w:before="40" w:after="40" w:line="220" w:lineRule="exact"/>
              <w:jc w:val="right"/>
              <w:rPr>
                <w:sz w:val="18"/>
                <w:lang w:eastAsia="zh-CN"/>
              </w:rPr>
            </w:pPr>
            <w:r w:rsidRPr="00D46C32">
              <w:rPr>
                <w:sz w:val="18"/>
                <w:lang w:eastAsia="zh-CN"/>
              </w:rPr>
              <w:t>1,000</w:t>
            </w:r>
          </w:p>
        </w:tc>
      </w:tr>
      <w:tr w:rsidR="00A603CF" w:rsidRPr="00D46C32" w14:paraId="135BD295" w14:textId="77777777" w:rsidTr="00441519">
        <w:tc>
          <w:tcPr>
            <w:tcW w:w="1701" w:type="dxa"/>
            <w:shd w:val="clear" w:color="auto" w:fill="auto"/>
            <w:noWrap/>
            <w:hideMark/>
          </w:tcPr>
          <w:p w14:paraId="35604150" w14:textId="77777777" w:rsidR="00A603CF" w:rsidRPr="00D46C32" w:rsidRDefault="00A603CF">
            <w:pPr>
              <w:spacing w:before="40" w:after="40" w:line="220" w:lineRule="exact"/>
              <w:rPr>
                <w:sz w:val="18"/>
                <w:lang w:eastAsia="zh-CN"/>
              </w:rPr>
            </w:pPr>
            <w:r w:rsidRPr="00D46C32">
              <w:rPr>
                <w:sz w:val="18"/>
                <w:lang w:eastAsia="zh-CN"/>
              </w:rPr>
              <w:t>Norway</w:t>
            </w:r>
          </w:p>
        </w:tc>
        <w:tc>
          <w:tcPr>
            <w:tcW w:w="1843" w:type="dxa"/>
            <w:shd w:val="clear" w:color="auto" w:fill="auto"/>
            <w:noWrap/>
            <w:vAlign w:val="bottom"/>
            <w:hideMark/>
          </w:tcPr>
          <w:p w14:paraId="48B66A03" w14:textId="77777777" w:rsidR="00A603CF" w:rsidRPr="00D46C32" w:rsidRDefault="00A603CF">
            <w:pPr>
              <w:spacing w:before="40" w:after="40" w:line="220" w:lineRule="exact"/>
              <w:jc w:val="right"/>
              <w:rPr>
                <w:sz w:val="18"/>
                <w:lang w:eastAsia="zh-CN"/>
              </w:rPr>
            </w:pPr>
            <w:r w:rsidRPr="00D46C32">
              <w:rPr>
                <w:sz w:val="18"/>
                <w:lang w:eastAsia="zh-CN"/>
              </w:rPr>
              <w:t>0.679</w:t>
            </w:r>
          </w:p>
        </w:tc>
        <w:tc>
          <w:tcPr>
            <w:tcW w:w="1559" w:type="dxa"/>
            <w:shd w:val="clear" w:color="auto" w:fill="auto"/>
            <w:noWrap/>
            <w:vAlign w:val="bottom"/>
            <w:hideMark/>
          </w:tcPr>
          <w:p w14:paraId="190DC7AA" w14:textId="77777777" w:rsidR="00A603CF" w:rsidRPr="00D46C32" w:rsidRDefault="00A603CF">
            <w:pPr>
              <w:spacing w:before="40" w:after="40" w:line="220" w:lineRule="exact"/>
              <w:jc w:val="right"/>
              <w:rPr>
                <w:sz w:val="18"/>
                <w:lang w:eastAsia="zh-CN"/>
              </w:rPr>
            </w:pPr>
            <w:r w:rsidRPr="00D46C32">
              <w:rPr>
                <w:sz w:val="18"/>
                <w:lang w:eastAsia="zh-CN"/>
              </w:rPr>
              <w:t>2.056</w:t>
            </w:r>
          </w:p>
        </w:tc>
        <w:tc>
          <w:tcPr>
            <w:tcW w:w="1843" w:type="dxa"/>
            <w:shd w:val="clear" w:color="auto" w:fill="auto"/>
            <w:vAlign w:val="bottom"/>
          </w:tcPr>
          <w:p w14:paraId="40B17EAD" w14:textId="77777777" w:rsidR="00A603CF" w:rsidRPr="00D46C32" w:rsidRDefault="00A603CF">
            <w:pPr>
              <w:spacing w:before="40" w:after="40" w:line="220" w:lineRule="exact"/>
              <w:jc w:val="right"/>
              <w:rPr>
                <w:sz w:val="18"/>
                <w:lang w:eastAsia="zh-CN"/>
              </w:rPr>
            </w:pPr>
            <w:r w:rsidRPr="00D46C32">
              <w:rPr>
                <w:sz w:val="18"/>
                <w:lang w:eastAsia="zh-CN"/>
              </w:rPr>
              <w:t>13,220</w:t>
            </w:r>
          </w:p>
        </w:tc>
        <w:tc>
          <w:tcPr>
            <w:tcW w:w="1843" w:type="dxa"/>
            <w:shd w:val="clear" w:color="auto" w:fill="auto"/>
            <w:vAlign w:val="bottom"/>
          </w:tcPr>
          <w:p w14:paraId="74559C58" w14:textId="77777777" w:rsidR="00A603CF" w:rsidRPr="00D46C32" w:rsidRDefault="00A603CF">
            <w:pPr>
              <w:spacing w:before="40" w:after="40" w:line="220" w:lineRule="exact"/>
              <w:jc w:val="right"/>
              <w:rPr>
                <w:sz w:val="18"/>
                <w:lang w:eastAsia="zh-CN"/>
              </w:rPr>
            </w:pPr>
            <w:r w:rsidRPr="00D46C32">
              <w:rPr>
                <w:sz w:val="18"/>
                <w:lang w:eastAsia="zh-CN"/>
              </w:rPr>
              <w:t>12,900</w:t>
            </w:r>
          </w:p>
        </w:tc>
      </w:tr>
      <w:tr w:rsidR="00A603CF" w:rsidRPr="00D46C32" w14:paraId="639177AD" w14:textId="77777777" w:rsidTr="00441519">
        <w:tc>
          <w:tcPr>
            <w:tcW w:w="1701" w:type="dxa"/>
            <w:shd w:val="clear" w:color="auto" w:fill="auto"/>
            <w:noWrap/>
            <w:hideMark/>
          </w:tcPr>
          <w:p w14:paraId="44AA6649" w14:textId="77777777" w:rsidR="00A603CF" w:rsidRPr="00D46C32" w:rsidRDefault="00A603CF">
            <w:pPr>
              <w:spacing w:before="40" w:after="40" w:line="220" w:lineRule="exact"/>
              <w:rPr>
                <w:sz w:val="18"/>
                <w:lang w:eastAsia="zh-CN"/>
              </w:rPr>
            </w:pPr>
            <w:r w:rsidRPr="00D46C32">
              <w:rPr>
                <w:sz w:val="18"/>
                <w:lang w:eastAsia="zh-CN"/>
              </w:rPr>
              <w:t>Poland</w:t>
            </w:r>
          </w:p>
        </w:tc>
        <w:tc>
          <w:tcPr>
            <w:tcW w:w="1843" w:type="dxa"/>
            <w:shd w:val="clear" w:color="auto" w:fill="auto"/>
            <w:noWrap/>
            <w:vAlign w:val="bottom"/>
            <w:hideMark/>
          </w:tcPr>
          <w:p w14:paraId="5822D549" w14:textId="77777777" w:rsidR="00A603CF" w:rsidRPr="00D46C32" w:rsidRDefault="00A603CF">
            <w:pPr>
              <w:spacing w:before="40" w:after="40" w:line="220" w:lineRule="exact"/>
              <w:jc w:val="right"/>
              <w:rPr>
                <w:sz w:val="18"/>
                <w:lang w:eastAsia="zh-CN"/>
              </w:rPr>
            </w:pPr>
            <w:r w:rsidRPr="00D46C32">
              <w:rPr>
                <w:sz w:val="18"/>
                <w:lang w:eastAsia="zh-CN"/>
              </w:rPr>
              <w:t>0.837</w:t>
            </w:r>
          </w:p>
        </w:tc>
        <w:tc>
          <w:tcPr>
            <w:tcW w:w="1559" w:type="dxa"/>
            <w:shd w:val="clear" w:color="auto" w:fill="auto"/>
            <w:noWrap/>
            <w:vAlign w:val="bottom"/>
            <w:hideMark/>
          </w:tcPr>
          <w:p w14:paraId="4B5D3865" w14:textId="77777777" w:rsidR="00A603CF" w:rsidRPr="00D46C32" w:rsidRDefault="00A603CF">
            <w:pPr>
              <w:spacing w:before="40" w:after="40" w:line="220" w:lineRule="exact"/>
              <w:jc w:val="right"/>
              <w:rPr>
                <w:sz w:val="18"/>
                <w:lang w:eastAsia="zh-CN"/>
              </w:rPr>
            </w:pPr>
            <w:r w:rsidRPr="00D46C32">
              <w:rPr>
                <w:sz w:val="18"/>
                <w:lang w:eastAsia="zh-CN"/>
              </w:rPr>
              <w:t>2.534</w:t>
            </w:r>
          </w:p>
        </w:tc>
        <w:tc>
          <w:tcPr>
            <w:tcW w:w="1843" w:type="dxa"/>
            <w:shd w:val="clear" w:color="auto" w:fill="auto"/>
            <w:vAlign w:val="bottom"/>
          </w:tcPr>
          <w:p w14:paraId="52496397" w14:textId="77777777" w:rsidR="00A603CF" w:rsidRPr="00D46C32" w:rsidRDefault="00A603CF">
            <w:pPr>
              <w:spacing w:before="40" w:after="40" w:line="220" w:lineRule="exact"/>
              <w:jc w:val="right"/>
              <w:rPr>
                <w:sz w:val="18"/>
                <w:lang w:eastAsia="zh-CN"/>
              </w:rPr>
            </w:pPr>
            <w:r w:rsidRPr="00D46C32">
              <w:rPr>
                <w:sz w:val="18"/>
                <w:lang w:eastAsia="zh-CN"/>
              </w:rPr>
              <w:t>16,300</w:t>
            </w:r>
          </w:p>
        </w:tc>
        <w:tc>
          <w:tcPr>
            <w:tcW w:w="1843" w:type="dxa"/>
            <w:shd w:val="clear" w:color="auto" w:fill="auto"/>
            <w:vAlign w:val="bottom"/>
          </w:tcPr>
          <w:p w14:paraId="647E7D15" w14:textId="77777777" w:rsidR="00A603CF" w:rsidRPr="00D46C32" w:rsidRDefault="00A603CF">
            <w:pPr>
              <w:spacing w:before="40" w:after="40" w:line="220" w:lineRule="exact"/>
              <w:jc w:val="right"/>
              <w:rPr>
                <w:sz w:val="18"/>
                <w:lang w:eastAsia="zh-CN"/>
              </w:rPr>
            </w:pPr>
            <w:r w:rsidRPr="00D46C32">
              <w:rPr>
                <w:sz w:val="18"/>
                <w:lang w:eastAsia="zh-CN"/>
              </w:rPr>
              <w:t>15,920</w:t>
            </w:r>
          </w:p>
        </w:tc>
      </w:tr>
      <w:tr w:rsidR="00A603CF" w:rsidRPr="00D46C32" w14:paraId="09B41B53" w14:textId="77777777" w:rsidTr="00441519">
        <w:tc>
          <w:tcPr>
            <w:tcW w:w="1701" w:type="dxa"/>
            <w:shd w:val="clear" w:color="auto" w:fill="auto"/>
            <w:noWrap/>
            <w:hideMark/>
          </w:tcPr>
          <w:p w14:paraId="5EA91B03" w14:textId="77777777" w:rsidR="00A603CF" w:rsidRPr="00D46C32" w:rsidRDefault="00A603CF">
            <w:pPr>
              <w:spacing w:before="40" w:after="40" w:line="220" w:lineRule="exact"/>
              <w:rPr>
                <w:sz w:val="18"/>
                <w:lang w:eastAsia="zh-CN"/>
              </w:rPr>
            </w:pPr>
            <w:r w:rsidRPr="00D46C32">
              <w:rPr>
                <w:sz w:val="18"/>
                <w:lang w:eastAsia="zh-CN"/>
              </w:rPr>
              <w:t>Portugal</w:t>
            </w:r>
          </w:p>
        </w:tc>
        <w:tc>
          <w:tcPr>
            <w:tcW w:w="1843" w:type="dxa"/>
            <w:shd w:val="clear" w:color="auto" w:fill="auto"/>
            <w:noWrap/>
            <w:vAlign w:val="bottom"/>
            <w:hideMark/>
          </w:tcPr>
          <w:p w14:paraId="187E22E6" w14:textId="77777777" w:rsidR="00A603CF" w:rsidRPr="00D46C32" w:rsidRDefault="00A603CF">
            <w:pPr>
              <w:spacing w:before="40" w:after="40" w:line="220" w:lineRule="exact"/>
              <w:jc w:val="right"/>
              <w:rPr>
                <w:sz w:val="18"/>
                <w:lang w:eastAsia="zh-CN"/>
              </w:rPr>
            </w:pPr>
            <w:r w:rsidRPr="00D46C32">
              <w:rPr>
                <w:sz w:val="18"/>
                <w:lang w:eastAsia="zh-CN"/>
              </w:rPr>
              <w:t>0.353</w:t>
            </w:r>
          </w:p>
        </w:tc>
        <w:tc>
          <w:tcPr>
            <w:tcW w:w="1559" w:type="dxa"/>
            <w:shd w:val="clear" w:color="auto" w:fill="auto"/>
            <w:noWrap/>
            <w:vAlign w:val="bottom"/>
            <w:hideMark/>
          </w:tcPr>
          <w:p w14:paraId="3A0D9F1B" w14:textId="77777777" w:rsidR="00A603CF" w:rsidRPr="00D46C32" w:rsidRDefault="00A603CF">
            <w:pPr>
              <w:spacing w:before="40" w:after="40" w:line="220" w:lineRule="exact"/>
              <w:jc w:val="right"/>
              <w:rPr>
                <w:sz w:val="18"/>
                <w:lang w:eastAsia="zh-CN"/>
              </w:rPr>
            </w:pPr>
            <w:r w:rsidRPr="00D46C32">
              <w:rPr>
                <w:sz w:val="18"/>
                <w:lang w:eastAsia="zh-CN"/>
              </w:rPr>
              <w:t>1.069</w:t>
            </w:r>
          </w:p>
        </w:tc>
        <w:tc>
          <w:tcPr>
            <w:tcW w:w="1843" w:type="dxa"/>
            <w:shd w:val="clear" w:color="auto" w:fill="auto"/>
            <w:vAlign w:val="bottom"/>
          </w:tcPr>
          <w:p w14:paraId="379DA893" w14:textId="77777777" w:rsidR="00A603CF" w:rsidRPr="00D46C32" w:rsidRDefault="00A603CF">
            <w:pPr>
              <w:spacing w:before="40" w:after="40" w:line="220" w:lineRule="exact"/>
              <w:jc w:val="right"/>
              <w:rPr>
                <w:sz w:val="18"/>
                <w:lang w:eastAsia="zh-CN"/>
              </w:rPr>
            </w:pPr>
            <w:r w:rsidRPr="00D46C32">
              <w:rPr>
                <w:sz w:val="18"/>
                <w:lang w:eastAsia="zh-CN"/>
              </w:rPr>
              <w:t>6,870</w:t>
            </w:r>
          </w:p>
        </w:tc>
        <w:tc>
          <w:tcPr>
            <w:tcW w:w="1843" w:type="dxa"/>
            <w:shd w:val="clear" w:color="auto" w:fill="auto"/>
            <w:vAlign w:val="bottom"/>
          </w:tcPr>
          <w:p w14:paraId="3658DA1B" w14:textId="77777777" w:rsidR="00A603CF" w:rsidRPr="00D46C32" w:rsidRDefault="00A603CF">
            <w:pPr>
              <w:spacing w:before="40" w:after="40" w:line="220" w:lineRule="exact"/>
              <w:jc w:val="right"/>
              <w:rPr>
                <w:sz w:val="18"/>
                <w:lang w:eastAsia="zh-CN"/>
              </w:rPr>
            </w:pPr>
            <w:r w:rsidRPr="00D46C32">
              <w:rPr>
                <w:sz w:val="18"/>
                <w:lang w:eastAsia="zh-CN"/>
              </w:rPr>
              <w:t>6,700</w:t>
            </w:r>
          </w:p>
        </w:tc>
      </w:tr>
      <w:tr w:rsidR="00A603CF" w:rsidRPr="00D46C32" w14:paraId="11D6FF07" w14:textId="77777777" w:rsidTr="00441519">
        <w:tc>
          <w:tcPr>
            <w:tcW w:w="1701" w:type="dxa"/>
            <w:shd w:val="clear" w:color="auto" w:fill="auto"/>
            <w:noWrap/>
            <w:hideMark/>
          </w:tcPr>
          <w:p w14:paraId="5D88E6A3" w14:textId="77777777" w:rsidR="00A603CF" w:rsidRPr="00D46C32" w:rsidRDefault="00A603CF">
            <w:pPr>
              <w:spacing w:before="40" w:after="40" w:line="220" w:lineRule="exact"/>
              <w:rPr>
                <w:sz w:val="18"/>
                <w:lang w:eastAsia="zh-CN"/>
              </w:rPr>
            </w:pPr>
            <w:r w:rsidRPr="00D46C32">
              <w:rPr>
                <w:sz w:val="18"/>
                <w:lang w:eastAsia="zh-CN"/>
              </w:rPr>
              <w:t>Rep. of Moldova</w:t>
            </w:r>
          </w:p>
        </w:tc>
        <w:tc>
          <w:tcPr>
            <w:tcW w:w="1843" w:type="dxa"/>
            <w:shd w:val="clear" w:color="auto" w:fill="auto"/>
            <w:noWrap/>
            <w:vAlign w:val="bottom"/>
            <w:hideMark/>
          </w:tcPr>
          <w:p w14:paraId="6804F0DA" w14:textId="77777777" w:rsidR="00A603CF" w:rsidRPr="00D46C32" w:rsidRDefault="00A603CF">
            <w:pPr>
              <w:spacing w:before="40" w:after="40" w:line="220" w:lineRule="exact"/>
              <w:jc w:val="right"/>
              <w:rPr>
                <w:sz w:val="18"/>
                <w:lang w:eastAsia="zh-CN"/>
              </w:rPr>
            </w:pPr>
            <w:r w:rsidRPr="00D46C32">
              <w:rPr>
                <w:sz w:val="18"/>
                <w:lang w:eastAsia="zh-CN"/>
              </w:rPr>
              <w:t>0.005</w:t>
            </w:r>
          </w:p>
        </w:tc>
        <w:tc>
          <w:tcPr>
            <w:tcW w:w="1559" w:type="dxa"/>
            <w:shd w:val="clear" w:color="auto" w:fill="auto"/>
            <w:noWrap/>
            <w:vAlign w:val="bottom"/>
            <w:hideMark/>
          </w:tcPr>
          <w:p w14:paraId="2098BBC8" w14:textId="77777777" w:rsidR="00A603CF" w:rsidRPr="00D46C32" w:rsidRDefault="00A603CF">
            <w:pPr>
              <w:spacing w:before="40" w:after="40" w:line="220" w:lineRule="exact"/>
              <w:jc w:val="right"/>
              <w:rPr>
                <w:sz w:val="18"/>
                <w:lang w:eastAsia="zh-CN"/>
              </w:rPr>
            </w:pPr>
            <w:r w:rsidRPr="00D46C32">
              <w:rPr>
                <w:sz w:val="18"/>
                <w:lang w:eastAsia="zh-CN"/>
              </w:rPr>
              <w:t>0.015</w:t>
            </w:r>
          </w:p>
        </w:tc>
        <w:tc>
          <w:tcPr>
            <w:tcW w:w="1843" w:type="dxa"/>
            <w:shd w:val="clear" w:color="auto" w:fill="auto"/>
            <w:vAlign w:val="bottom"/>
          </w:tcPr>
          <w:p w14:paraId="1E68A04E" w14:textId="77777777" w:rsidR="00A603CF" w:rsidRPr="00D46C32" w:rsidRDefault="00A603CF">
            <w:pPr>
              <w:spacing w:before="40" w:after="40" w:line="220" w:lineRule="exact"/>
              <w:jc w:val="right"/>
              <w:rPr>
                <w:sz w:val="18"/>
                <w:lang w:eastAsia="zh-CN"/>
              </w:rPr>
            </w:pPr>
            <w:r w:rsidRPr="00D46C32">
              <w:rPr>
                <w:sz w:val="18"/>
                <w:lang w:eastAsia="zh-CN"/>
              </w:rPr>
              <w:t>100</w:t>
            </w:r>
          </w:p>
        </w:tc>
        <w:tc>
          <w:tcPr>
            <w:tcW w:w="1843" w:type="dxa"/>
            <w:shd w:val="clear" w:color="auto" w:fill="auto"/>
            <w:vAlign w:val="bottom"/>
          </w:tcPr>
          <w:p w14:paraId="2EDA901A" w14:textId="77777777" w:rsidR="00A603CF" w:rsidRPr="00D46C32" w:rsidRDefault="00A603CF">
            <w:pPr>
              <w:spacing w:before="40" w:after="40" w:line="220" w:lineRule="exact"/>
              <w:jc w:val="right"/>
              <w:rPr>
                <w:sz w:val="18"/>
                <w:lang w:eastAsia="zh-CN"/>
              </w:rPr>
            </w:pPr>
            <w:r w:rsidRPr="00D46C32">
              <w:rPr>
                <w:sz w:val="18"/>
                <w:lang w:eastAsia="zh-CN"/>
              </w:rPr>
              <w:t>1,000</w:t>
            </w:r>
          </w:p>
        </w:tc>
      </w:tr>
      <w:tr w:rsidR="00A603CF" w:rsidRPr="00D46C32" w14:paraId="1F7A5A94" w14:textId="77777777" w:rsidTr="00441519">
        <w:tc>
          <w:tcPr>
            <w:tcW w:w="1701" w:type="dxa"/>
            <w:shd w:val="clear" w:color="auto" w:fill="auto"/>
            <w:noWrap/>
            <w:hideMark/>
          </w:tcPr>
          <w:p w14:paraId="00027142" w14:textId="77777777" w:rsidR="00A603CF" w:rsidRPr="00D46C32" w:rsidRDefault="00A603CF">
            <w:pPr>
              <w:spacing w:before="40" w:after="40" w:line="220" w:lineRule="exact"/>
              <w:rPr>
                <w:sz w:val="18"/>
                <w:lang w:eastAsia="zh-CN"/>
              </w:rPr>
            </w:pPr>
            <w:r w:rsidRPr="00D46C32">
              <w:rPr>
                <w:sz w:val="18"/>
                <w:lang w:eastAsia="zh-CN"/>
              </w:rPr>
              <w:t>Romania</w:t>
            </w:r>
          </w:p>
        </w:tc>
        <w:tc>
          <w:tcPr>
            <w:tcW w:w="1843" w:type="dxa"/>
            <w:shd w:val="clear" w:color="auto" w:fill="auto"/>
            <w:noWrap/>
            <w:vAlign w:val="bottom"/>
            <w:hideMark/>
          </w:tcPr>
          <w:p w14:paraId="78BFAFEA" w14:textId="77777777" w:rsidR="00A603CF" w:rsidRPr="00D46C32" w:rsidRDefault="00A603CF">
            <w:pPr>
              <w:spacing w:before="40" w:after="40" w:line="220" w:lineRule="exact"/>
              <w:jc w:val="right"/>
              <w:rPr>
                <w:sz w:val="18"/>
                <w:lang w:eastAsia="zh-CN"/>
              </w:rPr>
            </w:pPr>
            <w:r w:rsidRPr="00D46C32">
              <w:rPr>
                <w:sz w:val="18"/>
                <w:lang w:eastAsia="zh-CN"/>
              </w:rPr>
              <w:t>0.198</w:t>
            </w:r>
          </w:p>
        </w:tc>
        <w:tc>
          <w:tcPr>
            <w:tcW w:w="1559" w:type="dxa"/>
            <w:shd w:val="clear" w:color="auto" w:fill="auto"/>
            <w:noWrap/>
            <w:vAlign w:val="bottom"/>
            <w:hideMark/>
          </w:tcPr>
          <w:p w14:paraId="6CCC9406" w14:textId="77777777" w:rsidR="00A603CF" w:rsidRPr="00D46C32" w:rsidRDefault="00A603CF">
            <w:pPr>
              <w:spacing w:before="40" w:after="40" w:line="220" w:lineRule="exact"/>
              <w:jc w:val="right"/>
              <w:rPr>
                <w:sz w:val="18"/>
                <w:lang w:eastAsia="zh-CN"/>
              </w:rPr>
            </w:pPr>
            <w:r w:rsidRPr="00D46C32">
              <w:rPr>
                <w:sz w:val="18"/>
                <w:lang w:eastAsia="zh-CN"/>
              </w:rPr>
              <w:t>0.600</w:t>
            </w:r>
          </w:p>
        </w:tc>
        <w:tc>
          <w:tcPr>
            <w:tcW w:w="1843" w:type="dxa"/>
            <w:shd w:val="clear" w:color="auto" w:fill="auto"/>
            <w:vAlign w:val="bottom"/>
          </w:tcPr>
          <w:p w14:paraId="7F57A715" w14:textId="77777777" w:rsidR="00A603CF" w:rsidRPr="00D46C32" w:rsidRDefault="00A603CF">
            <w:pPr>
              <w:spacing w:before="40" w:after="40" w:line="220" w:lineRule="exact"/>
              <w:jc w:val="right"/>
              <w:rPr>
                <w:sz w:val="18"/>
                <w:lang w:eastAsia="zh-CN"/>
              </w:rPr>
            </w:pPr>
            <w:r w:rsidRPr="00D46C32">
              <w:rPr>
                <w:sz w:val="18"/>
                <w:lang w:eastAsia="zh-CN"/>
              </w:rPr>
              <w:t>3,850</w:t>
            </w:r>
          </w:p>
        </w:tc>
        <w:tc>
          <w:tcPr>
            <w:tcW w:w="1843" w:type="dxa"/>
            <w:shd w:val="clear" w:color="auto" w:fill="auto"/>
            <w:vAlign w:val="bottom"/>
          </w:tcPr>
          <w:p w14:paraId="60B1C909" w14:textId="77777777" w:rsidR="00A603CF" w:rsidRPr="00D46C32" w:rsidRDefault="00A603CF">
            <w:pPr>
              <w:spacing w:before="40" w:after="40" w:line="220" w:lineRule="exact"/>
              <w:jc w:val="right"/>
              <w:rPr>
                <w:sz w:val="18"/>
                <w:lang w:eastAsia="zh-CN"/>
              </w:rPr>
            </w:pPr>
            <w:r w:rsidRPr="00D46C32">
              <w:rPr>
                <w:sz w:val="18"/>
                <w:lang w:eastAsia="zh-CN"/>
              </w:rPr>
              <w:t>3,760</w:t>
            </w:r>
          </w:p>
        </w:tc>
      </w:tr>
      <w:tr w:rsidR="00A603CF" w:rsidRPr="00D46C32" w14:paraId="2C3169E7" w14:textId="77777777" w:rsidTr="00441519">
        <w:tc>
          <w:tcPr>
            <w:tcW w:w="1701" w:type="dxa"/>
            <w:shd w:val="clear" w:color="auto" w:fill="auto"/>
            <w:noWrap/>
            <w:hideMark/>
          </w:tcPr>
          <w:p w14:paraId="33F1A05B" w14:textId="77777777" w:rsidR="00A603CF" w:rsidRPr="00D46C32" w:rsidRDefault="00A603CF">
            <w:pPr>
              <w:spacing w:before="40" w:after="40" w:line="220" w:lineRule="exact"/>
              <w:rPr>
                <w:sz w:val="18"/>
                <w:lang w:eastAsia="zh-CN"/>
              </w:rPr>
            </w:pPr>
            <w:r w:rsidRPr="00D46C32">
              <w:rPr>
                <w:sz w:val="18"/>
                <w:lang w:eastAsia="zh-CN"/>
              </w:rPr>
              <w:t>Serbia</w:t>
            </w:r>
          </w:p>
        </w:tc>
        <w:tc>
          <w:tcPr>
            <w:tcW w:w="1843" w:type="dxa"/>
            <w:shd w:val="clear" w:color="auto" w:fill="auto"/>
            <w:noWrap/>
            <w:vAlign w:val="bottom"/>
            <w:hideMark/>
          </w:tcPr>
          <w:p w14:paraId="57A18C90" w14:textId="77777777" w:rsidR="00A603CF" w:rsidRPr="00D46C32" w:rsidRDefault="00A603CF">
            <w:pPr>
              <w:spacing w:before="40" w:after="40" w:line="220" w:lineRule="exact"/>
              <w:jc w:val="right"/>
              <w:rPr>
                <w:sz w:val="18"/>
                <w:lang w:eastAsia="zh-CN"/>
              </w:rPr>
            </w:pPr>
            <w:r w:rsidRPr="00D46C32">
              <w:rPr>
                <w:sz w:val="18"/>
                <w:lang w:eastAsia="zh-CN"/>
              </w:rPr>
              <w:t>0.028</w:t>
            </w:r>
          </w:p>
        </w:tc>
        <w:tc>
          <w:tcPr>
            <w:tcW w:w="1559" w:type="dxa"/>
            <w:shd w:val="clear" w:color="auto" w:fill="auto"/>
            <w:noWrap/>
            <w:vAlign w:val="bottom"/>
            <w:hideMark/>
          </w:tcPr>
          <w:p w14:paraId="6B9A516B" w14:textId="77777777" w:rsidR="00A603CF" w:rsidRPr="00D46C32" w:rsidRDefault="00A603CF">
            <w:pPr>
              <w:spacing w:before="40" w:after="40" w:line="220" w:lineRule="exact"/>
              <w:jc w:val="right"/>
              <w:rPr>
                <w:sz w:val="18"/>
                <w:lang w:eastAsia="zh-CN"/>
              </w:rPr>
            </w:pPr>
            <w:r w:rsidRPr="00D46C32">
              <w:rPr>
                <w:sz w:val="18"/>
                <w:lang w:eastAsia="zh-CN"/>
              </w:rPr>
              <w:t>0.085</w:t>
            </w:r>
          </w:p>
        </w:tc>
        <w:tc>
          <w:tcPr>
            <w:tcW w:w="1843" w:type="dxa"/>
            <w:shd w:val="clear" w:color="auto" w:fill="auto"/>
            <w:vAlign w:val="bottom"/>
          </w:tcPr>
          <w:p w14:paraId="1A325F4C" w14:textId="77777777" w:rsidR="00A603CF" w:rsidRPr="00D46C32" w:rsidRDefault="00A603CF">
            <w:pPr>
              <w:spacing w:before="40" w:after="40" w:line="220" w:lineRule="exact"/>
              <w:jc w:val="right"/>
              <w:rPr>
                <w:sz w:val="18"/>
                <w:lang w:eastAsia="zh-CN"/>
              </w:rPr>
            </w:pPr>
            <w:r w:rsidRPr="00D46C32">
              <w:rPr>
                <w:sz w:val="18"/>
                <w:lang w:eastAsia="zh-CN"/>
              </w:rPr>
              <w:t>550</w:t>
            </w:r>
          </w:p>
        </w:tc>
        <w:tc>
          <w:tcPr>
            <w:tcW w:w="1843" w:type="dxa"/>
            <w:shd w:val="clear" w:color="auto" w:fill="auto"/>
            <w:vAlign w:val="bottom"/>
          </w:tcPr>
          <w:p w14:paraId="197EAFF8" w14:textId="77777777" w:rsidR="00A603CF" w:rsidRPr="00D46C32" w:rsidRDefault="00A603CF">
            <w:pPr>
              <w:spacing w:before="40" w:after="40" w:line="220" w:lineRule="exact"/>
              <w:jc w:val="right"/>
              <w:rPr>
                <w:sz w:val="18"/>
                <w:lang w:eastAsia="zh-CN"/>
              </w:rPr>
            </w:pPr>
            <w:r w:rsidRPr="00D46C32">
              <w:rPr>
                <w:sz w:val="18"/>
                <w:lang w:eastAsia="zh-CN"/>
              </w:rPr>
              <w:t>1,000</w:t>
            </w:r>
          </w:p>
        </w:tc>
      </w:tr>
      <w:tr w:rsidR="00A603CF" w:rsidRPr="00D46C32" w14:paraId="31C0D8C2" w14:textId="77777777" w:rsidTr="00441519">
        <w:tc>
          <w:tcPr>
            <w:tcW w:w="1701" w:type="dxa"/>
            <w:shd w:val="clear" w:color="auto" w:fill="auto"/>
            <w:noWrap/>
            <w:hideMark/>
          </w:tcPr>
          <w:p w14:paraId="7EB88E38" w14:textId="77777777" w:rsidR="00A603CF" w:rsidRPr="00D46C32" w:rsidRDefault="00A603CF">
            <w:pPr>
              <w:spacing w:before="40" w:after="40" w:line="220" w:lineRule="exact"/>
              <w:rPr>
                <w:sz w:val="18"/>
                <w:lang w:eastAsia="zh-CN"/>
              </w:rPr>
            </w:pPr>
            <w:r w:rsidRPr="00D46C32">
              <w:rPr>
                <w:sz w:val="18"/>
                <w:lang w:eastAsia="zh-CN"/>
              </w:rPr>
              <w:t>Slovakia</w:t>
            </w:r>
          </w:p>
        </w:tc>
        <w:tc>
          <w:tcPr>
            <w:tcW w:w="1843" w:type="dxa"/>
            <w:shd w:val="clear" w:color="auto" w:fill="auto"/>
            <w:noWrap/>
            <w:vAlign w:val="bottom"/>
            <w:hideMark/>
          </w:tcPr>
          <w:p w14:paraId="0934E93E" w14:textId="77777777" w:rsidR="00A603CF" w:rsidRPr="00D46C32" w:rsidRDefault="00A603CF">
            <w:pPr>
              <w:spacing w:before="40" w:after="40" w:line="220" w:lineRule="exact"/>
              <w:jc w:val="right"/>
              <w:rPr>
                <w:sz w:val="18"/>
                <w:lang w:eastAsia="zh-CN"/>
              </w:rPr>
            </w:pPr>
            <w:r w:rsidRPr="00D46C32">
              <w:rPr>
                <w:sz w:val="18"/>
                <w:lang w:eastAsia="zh-CN"/>
              </w:rPr>
              <w:t>0.155</w:t>
            </w:r>
          </w:p>
        </w:tc>
        <w:tc>
          <w:tcPr>
            <w:tcW w:w="1559" w:type="dxa"/>
            <w:shd w:val="clear" w:color="auto" w:fill="auto"/>
            <w:noWrap/>
            <w:vAlign w:val="bottom"/>
            <w:hideMark/>
          </w:tcPr>
          <w:p w14:paraId="4DE49C68" w14:textId="77777777" w:rsidR="00A603CF" w:rsidRPr="00D46C32" w:rsidRDefault="00A603CF">
            <w:pPr>
              <w:spacing w:before="40" w:after="40" w:line="220" w:lineRule="exact"/>
              <w:jc w:val="right"/>
              <w:rPr>
                <w:sz w:val="18"/>
                <w:lang w:eastAsia="zh-CN"/>
              </w:rPr>
            </w:pPr>
            <w:r w:rsidRPr="00D46C32">
              <w:rPr>
                <w:sz w:val="18"/>
                <w:lang w:eastAsia="zh-CN"/>
              </w:rPr>
              <w:t>0.469</w:t>
            </w:r>
          </w:p>
        </w:tc>
        <w:tc>
          <w:tcPr>
            <w:tcW w:w="1843" w:type="dxa"/>
            <w:shd w:val="clear" w:color="auto" w:fill="auto"/>
            <w:vAlign w:val="bottom"/>
          </w:tcPr>
          <w:p w14:paraId="5651140D" w14:textId="77777777" w:rsidR="00A603CF" w:rsidRPr="00D46C32" w:rsidRDefault="00A603CF">
            <w:pPr>
              <w:spacing w:before="40" w:after="40" w:line="220" w:lineRule="exact"/>
              <w:jc w:val="right"/>
              <w:rPr>
                <w:sz w:val="18"/>
                <w:lang w:eastAsia="zh-CN"/>
              </w:rPr>
            </w:pPr>
            <w:r w:rsidRPr="00D46C32">
              <w:rPr>
                <w:sz w:val="18"/>
                <w:lang w:eastAsia="zh-CN"/>
              </w:rPr>
              <w:t>3,020</w:t>
            </w:r>
          </w:p>
        </w:tc>
        <w:tc>
          <w:tcPr>
            <w:tcW w:w="1843" w:type="dxa"/>
            <w:shd w:val="clear" w:color="auto" w:fill="auto"/>
            <w:vAlign w:val="bottom"/>
          </w:tcPr>
          <w:p w14:paraId="7F7B217E" w14:textId="77777777" w:rsidR="00A603CF" w:rsidRPr="00D46C32" w:rsidRDefault="00A603CF">
            <w:pPr>
              <w:spacing w:before="40" w:after="40" w:line="220" w:lineRule="exact"/>
              <w:jc w:val="right"/>
              <w:rPr>
                <w:sz w:val="18"/>
                <w:lang w:eastAsia="zh-CN"/>
              </w:rPr>
            </w:pPr>
            <w:r w:rsidRPr="00D46C32">
              <w:rPr>
                <w:sz w:val="18"/>
                <w:lang w:eastAsia="zh-CN"/>
              </w:rPr>
              <w:t>2,950</w:t>
            </w:r>
          </w:p>
        </w:tc>
      </w:tr>
      <w:tr w:rsidR="00A603CF" w:rsidRPr="00D46C32" w14:paraId="64FBA1EA" w14:textId="77777777" w:rsidTr="00441519">
        <w:tc>
          <w:tcPr>
            <w:tcW w:w="1701" w:type="dxa"/>
            <w:shd w:val="clear" w:color="auto" w:fill="auto"/>
            <w:noWrap/>
            <w:hideMark/>
          </w:tcPr>
          <w:p w14:paraId="4E48593A" w14:textId="77777777" w:rsidR="00A603CF" w:rsidRPr="00D46C32" w:rsidRDefault="00A603CF">
            <w:pPr>
              <w:spacing w:before="40" w:after="40" w:line="220" w:lineRule="exact"/>
              <w:rPr>
                <w:sz w:val="18"/>
                <w:lang w:eastAsia="zh-CN"/>
              </w:rPr>
            </w:pPr>
            <w:r w:rsidRPr="00D46C32">
              <w:rPr>
                <w:sz w:val="18"/>
                <w:lang w:eastAsia="zh-CN"/>
              </w:rPr>
              <w:t>Slovenia</w:t>
            </w:r>
          </w:p>
        </w:tc>
        <w:tc>
          <w:tcPr>
            <w:tcW w:w="1843" w:type="dxa"/>
            <w:shd w:val="clear" w:color="auto" w:fill="auto"/>
            <w:noWrap/>
            <w:vAlign w:val="bottom"/>
            <w:hideMark/>
          </w:tcPr>
          <w:p w14:paraId="4893DC3D" w14:textId="77777777" w:rsidR="00A603CF" w:rsidRPr="00D46C32" w:rsidRDefault="00A603CF">
            <w:pPr>
              <w:spacing w:before="40" w:after="40" w:line="220" w:lineRule="exact"/>
              <w:jc w:val="right"/>
              <w:rPr>
                <w:sz w:val="18"/>
                <w:lang w:eastAsia="zh-CN"/>
              </w:rPr>
            </w:pPr>
            <w:r w:rsidRPr="00D46C32">
              <w:rPr>
                <w:sz w:val="18"/>
                <w:lang w:eastAsia="zh-CN"/>
              </w:rPr>
              <w:t>0.079</w:t>
            </w:r>
          </w:p>
        </w:tc>
        <w:tc>
          <w:tcPr>
            <w:tcW w:w="1559" w:type="dxa"/>
            <w:shd w:val="clear" w:color="auto" w:fill="auto"/>
            <w:noWrap/>
            <w:vAlign w:val="bottom"/>
            <w:hideMark/>
          </w:tcPr>
          <w:p w14:paraId="6B74E5A7" w14:textId="77777777" w:rsidR="00A603CF" w:rsidRPr="00D46C32" w:rsidRDefault="00A603CF">
            <w:pPr>
              <w:spacing w:before="40" w:after="40" w:line="220" w:lineRule="exact"/>
              <w:jc w:val="right"/>
              <w:rPr>
                <w:sz w:val="18"/>
                <w:lang w:eastAsia="zh-CN"/>
              </w:rPr>
            </w:pPr>
            <w:r w:rsidRPr="00D46C32">
              <w:rPr>
                <w:sz w:val="18"/>
                <w:lang w:eastAsia="zh-CN"/>
              </w:rPr>
              <w:t>0.239</w:t>
            </w:r>
          </w:p>
        </w:tc>
        <w:tc>
          <w:tcPr>
            <w:tcW w:w="1843" w:type="dxa"/>
            <w:shd w:val="clear" w:color="auto" w:fill="auto"/>
            <w:vAlign w:val="bottom"/>
          </w:tcPr>
          <w:p w14:paraId="7E9B1B2B" w14:textId="77777777" w:rsidR="00A603CF" w:rsidRPr="00D46C32" w:rsidRDefault="00A603CF">
            <w:pPr>
              <w:spacing w:before="40" w:after="40" w:line="220" w:lineRule="exact"/>
              <w:jc w:val="right"/>
              <w:rPr>
                <w:sz w:val="18"/>
                <w:lang w:eastAsia="zh-CN"/>
              </w:rPr>
            </w:pPr>
            <w:r w:rsidRPr="00D46C32">
              <w:rPr>
                <w:sz w:val="18"/>
                <w:lang w:eastAsia="zh-CN"/>
              </w:rPr>
              <w:t>1,540</w:t>
            </w:r>
          </w:p>
        </w:tc>
        <w:tc>
          <w:tcPr>
            <w:tcW w:w="1843" w:type="dxa"/>
            <w:shd w:val="clear" w:color="auto" w:fill="auto"/>
            <w:vAlign w:val="bottom"/>
          </w:tcPr>
          <w:p w14:paraId="1F6E4938" w14:textId="77777777" w:rsidR="00A603CF" w:rsidRPr="00D46C32" w:rsidRDefault="00A603CF">
            <w:pPr>
              <w:spacing w:before="40" w:after="40" w:line="220" w:lineRule="exact"/>
              <w:jc w:val="right"/>
              <w:rPr>
                <w:sz w:val="18"/>
                <w:lang w:eastAsia="zh-CN"/>
              </w:rPr>
            </w:pPr>
            <w:r w:rsidRPr="00D46C32">
              <w:rPr>
                <w:sz w:val="18"/>
                <w:lang w:eastAsia="zh-CN"/>
              </w:rPr>
              <w:t>1,500</w:t>
            </w:r>
          </w:p>
        </w:tc>
      </w:tr>
      <w:tr w:rsidR="00A603CF" w:rsidRPr="00D46C32" w14:paraId="7A6D0341" w14:textId="77777777" w:rsidTr="00441519">
        <w:tc>
          <w:tcPr>
            <w:tcW w:w="1701" w:type="dxa"/>
            <w:shd w:val="clear" w:color="auto" w:fill="auto"/>
            <w:noWrap/>
            <w:hideMark/>
          </w:tcPr>
          <w:p w14:paraId="247F6D2B" w14:textId="77777777" w:rsidR="00A603CF" w:rsidRPr="00D46C32" w:rsidRDefault="00A603CF">
            <w:pPr>
              <w:spacing w:before="40" w:after="40" w:line="220" w:lineRule="exact"/>
              <w:rPr>
                <w:sz w:val="18"/>
                <w:lang w:eastAsia="zh-CN"/>
              </w:rPr>
            </w:pPr>
            <w:r w:rsidRPr="00D46C32">
              <w:rPr>
                <w:sz w:val="18"/>
                <w:lang w:eastAsia="zh-CN"/>
              </w:rPr>
              <w:t>Spain</w:t>
            </w:r>
          </w:p>
        </w:tc>
        <w:tc>
          <w:tcPr>
            <w:tcW w:w="1843" w:type="dxa"/>
            <w:shd w:val="clear" w:color="auto" w:fill="auto"/>
            <w:noWrap/>
            <w:vAlign w:val="bottom"/>
            <w:hideMark/>
          </w:tcPr>
          <w:p w14:paraId="478BD852" w14:textId="77777777" w:rsidR="00A603CF" w:rsidRPr="00D46C32" w:rsidRDefault="00A603CF">
            <w:pPr>
              <w:spacing w:before="40" w:after="40" w:line="220" w:lineRule="exact"/>
              <w:jc w:val="right"/>
              <w:rPr>
                <w:sz w:val="18"/>
                <w:lang w:eastAsia="zh-CN"/>
              </w:rPr>
            </w:pPr>
            <w:r w:rsidRPr="00D46C32">
              <w:rPr>
                <w:sz w:val="18"/>
                <w:lang w:eastAsia="zh-CN"/>
              </w:rPr>
              <w:t>2.134</w:t>
            </w:r>
          </w:p>
        </w:tc>
        <w:tc>
          <w:tcPr>
            <w:tcW w:w="1559" w:type="dxa"/>
            <w:shd w:val="clear" w:color="auto" w:fill="auto"/>
            <w:noWrap/>
            <w:vAlign w:val="bottom"/>
            <w:hideMark/>
          </w:tcPr>
          <w:p w14:paraId="5AF6A97D" w14:textId="77777777" w:rsidR="00A603CF" w:rsidRPr="00D46C32" w:rsidRDefault="00A603CF">
            <w:pPr>
              <w:spacing w:before="40" w:after="40" w:line="220" w:lineRule="exact"/>
              <w:jc w:val="right"/>
              <w:rPr>
                <w:sz w:val="18"/>
                <w:lang w:eastAsia="zh-CN"/>
              </w:rPr>
            </w:pPr>
            <w:r w:rsidRPr="00D46C32">
              <w:rPr>
                <w:sz w:val="18"/>
                <w:lang w:eastAsia="zh-CN"/>
              </w:rPr>
              <w:t>6.462</w:t>
            </w:r>
          </w:p>
        </w:tc>
        <w:tc>
          <w:tcPr>
            <w:tcW w:w="1843" w:type="dxa"/>
            <w:shd w:val="clear" w:color="auto" w:fill="auto"/>
            <w:vAlign w:val="bottom"/>
          </w:tcPr>
          <w:p w14:paraId="43D1093C" w14:textId="77777777" w:rsidR="00A603CF" w:rsidRPr="00D46C32" w:rsidRDefault="00A603CF">
            <w:pPr>
              <w:spacing w:before="40" w:after="40" w:line="220" w:lineRule="exact"/>
              <w:jc w:val="right"/>
              <w:rPr>
                <w:sz w:val="18"/>
                <w:lang w:eastAsia="zh-CN"/>
              </w:rPr>
            </w:pPr>
            <w:r w:rsidRPr="00D46C32">
              <w:rPr>
                <w:sz w:val="18"/>
                <w:lang w:eastAsia="zh-CN"/>
              </w:rPr>
              <w:t>41,540</w:t>
            </w:r>
          </w:p>
        </w:tc>
        <w:tc>
          <w:tcPr>
            <w:tcW w:w="1843" w:type="dxa"/>
            <w:shd w:val="clear" w:color="auto" w:fill="auto"/>
            <w:vAlign w:val="bottom"/>
          </w:tcPr>
          <w:p w14:paraId="455C210F" w14:textId="77777777" w:rsidR="00A603CF" w:rsidRPr="00D46C32" w:rsidRDefault="00A603CF">
            <w:pPr>
              <w:spacing w:before="40" w:after="40" w:line="220" w:lineRule="exact"/>
              <w:jc w:val="right"/>
              <w:rPr>
                <w:sz w:val="18"/>
                <w:lang w:eastAsia="zh-CN"/>
              </w:rPr>
            </w:pPr>
            <w:r w:rsidRPr="00D46C32">
              <w:rPr>
                <w:sz w:val="18"/>
                <w:lang w:eastAsia="zh-CN"/>
              </w:rPr>
              <w:t>40,570</w:t>
            </w:r>
          </w:p>
        </w:tc>
      </w:tr>
      <w:tr w:rsidR="00A603CF" w:rsidRPr="00D46C32" w14:paraId="3071AE3E" w14:textId="77777777" w:rsidTr="00441519">
        <w:tc>
          <w:tcPr>
            <w:tcW w:w="1701" w:type="dxa"/>
            <w:shd w:val="clear" w:color="auto" w:fill="auto"/>
            <w:noWrap/>
            <w:hideMark/>
          </w:tcPr>
          <w:p w14:paraId="4322C767" w14:textId="77777777" w:rsidR="00A603CF" w:rsidRPr="00D46C32" w:rsidRDefault="00A603CF">
            <w:pPr>
              <w:spacing w:before="40" w:after="40" w:line="220" w:lineRule="exact"/>
              <w:rPr>
                <w:sz w:val="18"/>
                <w:lang w:eastAsia="zh-CN"/>
              </w:rPr>
            </w:pPr>
            <w:r w:rsidRPr="00D46C32">
              <w:rPr>
                <w:sz w:val="18"/>
                <w:lang w:eastAsia="zh-CN"/>
              </w:rPr>
              <w:t>Sweden</w:t>
            </w:r>
          </w:p>
        </w:tc>
        <w:tc>
          <w:tcPr>
            <w:tcW w:w="1843" w:type="dxa"/>
            <w:shd w:val="clear" w:color="auto" w:fill="auto"/>
            <w:noWrap/>
            <w:vAlign w:val="bottom"/>
            <w:hideMark/>
          </w:tcPr>
          <w:p w14:paraId="28489EC0" w14:textId="77777777" w:rsidR="00A603CF" w:rsidRPr="00D46C32" w:rsidRDefault="00A603CF">
            <w:pPr>
              <w:spacing w:before="40" w:after="40" w:line="220" w:lineRule="exact"/>
              <w:jc w:val="right"/>
              <w:rPr>
                <w:sz w:val="18"/>
                <w:lang w:eastAsia="zh-CN"/>
              </w:rPr>
            </w:pPr>
            <w:r w:rsidRPr="00D46C32">
              <w:rPr>
                <w:sz w:val="18"/>
                <w:lang w:eastAsia="zh-CN"/>
              </w:rPr>
              <w:t>0.871</w:t>
            </w:r>
          </w:p>
        </w:tc>
        <w:tc>
          <w:tcPr>
            <w:tcW w:w="1559" w:type="dxa"/>
            <w:shd w:val="clear" w:color="auto" w:fill="auto"/>
            <w:noWrap/>
            <w:vAlign w:val="bottom"/>
            <w:hideMark/>
          </w:tcPr>
          <w:p w14:paraId="04FEE78C" w14:textId="77777777" w:rsidR="00A603CF" w:rsidRPr="00D46C32" w:rsidRDefault="00A603CF">
            <w:pPr>
              <w:spacing w:before="40" w:after="40" w:line="220" w:lineRule="exact"/>
              <w:jc w:val="right"/>
              <w:rPr>
                <w:sz w:val="18"/>
                <w:lang w:eastAsia="zh-CN"/>
              </w:rPr>
            </w:pPr>
            <w:r w:rsidRPr="00D46C32">
              <w:rPr>
                <w:sz w:val="18"/>
                <w:lang w:eastAsia="zh-CN"/>
              </w:rPr>
              <w:t>2.637</w:t>
            </w:r>
          </w:p>
        </w:tc>
        <w:tc>
          <w:tcPr>
            <w:tcW w:w="1843" w:type="dxa"/>
            <w:shd w:val="clear" w:color="auto" w:fill="auto"/>
            <w:vAlign w:val="bottom"/>
          </w:tcPr>
          <w:p w14:paraId="42059763" w14:textId="77777777" w:rsidR="00A603CF" w:rsidRPr="00D46C32" w:rsidRDefault="00A603CF">
            <w:pPr>
              <w:spacing w:before="40" w:after="40" w:line="220" w:lineRule="exact"/>
              <w:jc w:val="right"/>
              <w:rPr>
                <w:sz w:val="18"/>
                <w:lang w:eastAsia="zh-CN"/>
              </w:rPr>
            </w:pPr>
            <w:r w:rsidRPr="00D46C32">
              <w:rPr>
                <w:sz w:val="18"/>
                <w:lang w:eastAsia="zh-CN"/>
              </w:rPr>
              <w:t>16,960</w:t>
            </w:r>
          </w:p>
        </w:tc>
        <w:tc>
          <w:tcPr>
            <w:tcW w:w="1843" w:type="dxa"/>
            <w:shd w:val="clear" w:color="auto" w:fill="auto"/>
            <w:vAlign w:val="bottom"/>
          </w:tcPr>
          <w:p w14:paraId="6B8D8D46" w14:textId="77777777" w:rsidR="00A603CF" w:rsidRPr="00D46C32" w:rsidRDefault="00A603CF">
            <w:pPr>
              <w:spacing w:before="40" w:after="40" w:line="220" w:lineRule="exact"/>
              <w:jc w:val="right"/>
              <w:rPr>
                <w:sz w:val="18"/>
                <w:lang w:eastAsia="zh-CN"/>
              </w:rPr>
            </w:pPr>
            <w:r w:rsidRPr="00D46C32">
              <w:rPr>
                <w:sz w:val="18"/>
                <w:lang w:eastAsia="zh-CN"/>
              </w:rPr>
              <w:t>16,560</w:t>
            </w:r>
          </w:p>
        </w:tc>
      </w:tr>
      <w:tr w:rsidR="00A603CF" w:rsidRPr="00D46C32" w14:paraId="36857BE3" w14:textId="77777777" w:rsidTr="00441519">
        <w:tc>
          <w:tcPr>
            <w:tcW w:w="1701" w:type="dxa"/>
            <w:shd w:val="clear" w:color="auto" w:fill="auto"/>
            <w:noWrap/>
            <w:hideMark/>
          </w:tcPr>
          <w:p w14:paraId="14364516" w14:textId="77777777" w:rsidR="00A603CF" w:rsidRPr="00D46C32" w:rsidRDefault="00A603CF">
            <w:pPr>
              <w:spacing w:before="40" w:after="40" w:line="220" w:lineRule="exact"/>
              <w:rPr>
                <w:sz w:val="18"/>
                <w:lang w:eastAsia="zh-CN"/>
              </w:rPr>
            </w:pPr>
            <w:r w:rsidRPr="00D46C32">
              <w:rPr>
                <w:sz w:val="18"/>
                <w:lang w:eastAsia="zh-CN"/>
              </w:rPr>
              <w:t>Switzerland</w:t>
            </w:r>
          </w:p>
        </w:tc>
        <w:tc>
          <w:tcPr>
            <w:tcW w:w="1843" w:type="dxa"/>
            <w:shd w:val="clear" w:color="auto" w:fill="auto"/>
            <w:noWrap/>
            <w:vAlign w:val="bottom"/>
            <w:hideMark/>
          </w:tcPr>
          <w:p w14:paraId="01051831" w14:textId="77777777" w:rsidR="00A603CF" w:rsidRPr="00D46C32" w:rsidRDefault="00A603CF">
            <w:pPr>
              <w:spacing w:before="40" w:after="40" w:line="220" w:lineRule="exact"/>
              <w:jc w:val="right"/>
              <w:rPr>
                <w:sz w:val="18"/>
                <w:lang w:eastAsia="zh-CN"/>
              </w:rPr>
            </w:pPr>
            <w:r w:rsidRPr="00D46C32">
              <w:rPr>
                <w:sz w:val="18"/>
                <w:lang w:eastAsia="zh-CN"/>
              </w:rPr>
              <w:t>1.134</w:t>
            </w:r>
          </w:p>
        </w:tc>
        <w:tc>
          <w:tcPr>
            <w:tcW w:w="1559" w:type="dxa"/>
            <w:shd w:val="clear" w:color="auto" w:fill="auto"/>
            <w:noWrap/>
            <w:vAlign w:val="bottom"/>
            <w:hideMark/>
          </w:tcPr>
          <w:p w14:paraId="3B7DAFF2" w14:textId="77777777" w:rsidR="00A603CF" w:rsidRPr="00D46C32" w:rsidRDefault="00A603CF">
            <w:pPr>
              <w:spacing w:before="40" w:after="40" w:line="220" w:lineRule="exact"/>
              <w:jc w:val="right"/>
              <w:rPr>
                <w:sz w:val="18"/>
                <w:lang w:eastAsia="zh-CN"/>
              </w:rPr>
            </w:pPr>
            <w:r w:rsidRPr="00D46C32">
              <w:rPr>
                <w:sz w:val="18"/>
                <w:lang w:eastAsia="zh-CN"/>
              </w:rPr>
              <w:t>3.434</w:t>
            </w:r>
          </w:p>
        </w:tc>
        <w:tc>
          <w:tcPr>
            <w:tcW w:w="1843" w:type="dxa"/>
            <w:shd w:val="clear" w:color="auto" w:fill="auto"/>
            <w:vAlign w:val="bottom"/>
          </w:tcPr>
          <w:p w14:paraId="5FD3ADD5" w14:textId="77777777" w:rsidR="00A603CF" w:rsidRPr="00D46C32" w:rsidRDefault="00A603CF">
            <w:pPr>
              <w:spacing w:before="40" w:after="40" w:line="220" w:lineRule="exact"/>
              <w:jc w:val="right"/>
              <w:rPr>
                <w:sz w:val="18"/>
                <w:lang w:eastAsia="zh-CN"/>
              </w:rPr>
            </w:pPr>
            <w:r w:rsidRPr="00D46C32">
              <w:rPr>
                <w:sz w:val="18"/>
                <w:lang w:eastAsia="zh-CN"/>
              </w:rPr>
              <w:t>22,080</w:t>
            </w:r>
          </w:p>
        </w:tc>
        <w:tc>
          <w:tcPr>
            <w:tcW w:w="1843" w:type="dxa"/>
            <w:shd w:val="clear" w:color="auto" w:fill="auto"/>
            <w:vAlign w:val="bottom"/>
          </w:tcPr>
          <w:p w14:paraId="56C09E4B" w14:textId="77777777" w:rsidR="00A603CF" w:rsidRPr="00D46C32" w:rsidRDefault="00A603CF">
            <w:pPr>
              <w:spacing w:before="40" w:after="40" w:line="220" w:lineRule="exact"/>
              <w:jc w:val="right"/>
              <w:rPr>
                <w:sz w:val="18"/>
                <w:lang w:eastAsia="zh-CN"/>
              </w:rPr>
            </w:pPr>
            <w:r w:rsidRPr="00D46C32">
              <w:rPr>
                <w:sz w:val="18"/>
                <w:lang w:eastAsia="zh-CN"/>
              </w:rPr>
              <w:t>21,560</w:t>
            </w:r>
          </w:p>
        </w:tc>
      </w:tr>
      <w:tr w:rsidR="00A603CF" w:rsidRPr="00D46C32" w14:paraId="47A01CEC" w14:textId="77777777" w:rsidTr="00441519">
        <w:tc>
          <w:tcPr>
            <w:tcW w:w="1701" w:type="dxa"/>
            <w:shd w:val="clear" w:color="auto" w:fill="auto"/>
            <w:noWrap/>
            <w:hideMark/>
          </w:tcPr>
          <w:p w14:paraId="39EE88BC" w14:textId="77777777" w:rsidR="00A603CF" w:rsidRPr="00D46C32" w:rsidRDefault="00A603CF">
            <w:pPr>
              <w:spacing w:before="40" w:after="40" w:line="220" w:lineRule="exact"/>
              <w:rPr>
                <w:sz w:val="18"/>
                <w:lang w:eastAsia="zh-CN"/>
              </w:rPr>
            </w:pPr>
            <w:r w:rsidRPr="00D46C32">
              <w:rPr>
                <w:sz w:val="18"/>
                <w:lang w:eastAsia="zh-CN"/>
              </w:rPr>
              <w:t>Ukraine</w:t>
            </w:r>
          </w:p>
        </w:tc>
        <w:tc>
          <w:tcPr>
            <w:tcW w:w="1843" w:type="dxa"/>
            <w:shd w:val="clear" w:color="auto" w:fill="auto"/>
            <w:noWrap/>
            <w:vAlign w:val="bottom"/>
            <w:hideMark/>
          </w:tcPr>
          <w:p w14:paraId="0F0062E6" w14:textId="77777777" w:rsidR="00A603CF" w:rsidRPr="00D46C32" w:rsidRDefault="00A603CF">
            <w:pPr>
              <w:spacing w:before="40" w:after="40" w:line="220" w:lineRule="exact"/>
              <w:jc w:val="right"/>
              <w:rPr>
                <w:sz w:val="18"/>
                <w:lang w:eastAsia="zh-CN"/>
              </w:rPr>
            </w:pPr>
            <w:r w:rsidRPr="00D46C32">
              <w:rPr>
                <w:sz w:val="18"/>
                <w:lang w:eastAsia="zh-CN"/>
              </w:rPr>
              <w:t>0.056</w:t>
            </w:r>
          </w:p>
        </w:tc>
        <w:tc>
          <w:tcPr>
            <w:tcW w:w="1559" w:type="dxa"/>
            <w:shd w:val="clear" w:color="auto" w:fill="auto"/>
            <w:noWrap/>
            <w:vAlign w:val="bottom"/>
            <w:hideMark/>
          </w:tcPr>
          <w:p w14:paraId="1CDED9CA" w14:textId="77777777" w:rsidR="00A603CF" w:rsidRPr="00D46C32" w:rsidRDefault="00A603CF">
            <w:pPr>
              <w:spacing w:before="40" w:after="40" w:line="220" w:lineRule="exact"/>
              <w:jc w:val="right"/>
              <w:rPr>
                <w:sz w:val="18"/>
                <w:lang w:eastAsia="zh-CN"/>
              </w:rPr>
            </w:pPr>
            <w:r w:rsidRPr="00D46C32">
              <w:rPr>
                <w:sz w:val="18"/>
                <w:lang w:eastAsia="zh-CN"/>
              </w:rPr>
              <w:t>0.170</w:t>
            </w:r>
          </w:p>
        </w:tc>
        <w:tc>
          <w:tcPr>
            <w:tcW w:w="1843" w:type="dxa"/>
            <w:shd w:val="clear" w:color="auto" w:fill="auto"/>
            <w:vAlign w:val="bottom"/>
          </w:tcPr>
          <w:p w14:paraId="2C55D1C2" w14:textId="77777777" w:rsidR="00A603CF" w:rsidRPr="00D46C32" w:rsidRDefault="00A603CF">
            <w:pPr>
              <w:spacing w:before="40" w:after="40" w:line="220" w:lineRule="exact"/>
              <w:jc w:val="right"/>
              <w:rPr>
                <w:sz w:val="18"/>
                <w:lang w:eastAsia="zh-CN"/>
              </w:rPr>
            </w:pPr>
            <w:r w:rsidRPr="00D46C32">
              <w:rPr>
                <w:sz w:val="18"/>
                <w:lang w:eastAsia="zh-CN"/>
              </w:rPr>
              <w:t>1,090</w:t>
            </w:r>
          </w:p>
        </w:tc>
        <w:tc>
          <w:tcPr>
            <w:tcW w:w="1843" w:type="dxa"/>
            <w:shd w:val="clear" w:color="auto" w:fill="auto"/>
            <w:vAlign w:val="bottom"/>
          </w:tcPr>
          <w:p w14:paraId="735CBBDE" w14:textId="77777777" w:rsidR="00A603CF" w:rsidRPr="00D46C32" w:rsidRDefault="00A603CF">
            <w:pPr>
              <w:spacing w:before="40" w:after="40" w:line="220" w:lineRule="exact"/>
              <w:jc w:val="right"/>
              <w:rPr>
                <w:sz w:val="18"/>
                <w:lang w:eastAsia="zh-CN"/>
              </w:rPr>
            </w:pPr>
            <w:r w:rsidRPr="00D46C32">
              <w:rPr>
                <w:sz w:val="18"/>
                <w:lang w:eastAsia="zh-CN"/>
              </w:rPr>
              <w:t>1,060</w:t>
            </w:r>
          </w:p>
        </w:tc>
      </w:tr>
      <w:tr w:rsidR="00A603CF" w:rsidRPr="00D46C32" w14:paraId="14BA3638" w14:textId="77777777" w:rsidTr="00441519">
        <w:tc>
          <w:tcPr>
            <w:tcW w:w="1701" w:type="dxa"/>
            <w:shd w:val="clear" w:color="auto" w:fill="auto"/>
            <w:hideMark/>
          </w:tcPr>
          <w:p w14:paraId="64826B84" w14:textId="77777777" w:rsidR="00A603CF" w:rsidRPr="00D46C32" w:rsidRDefault="00A603CF">
            <w:pPr>
              <w:spacing w:before="40" w:after="40" w:line="220" w:lineRule="exact"/>
              <w:rPr>
                <w:sz w:val="18"/>
                <w:lang w:eastAsia="zh-CN"/>
              </w:rPr>
            </w:pPr>
            <w:r w:rsidRPr="00D46C32">
              <w:rPr>
                <w:sz w:val="18"/>
                <w:lang w:eastAsia="zh-CN"/>
              </w:rPr>
              <w:t xml:space="preserve">United Kingdom </w:t>
            </w:r>
          </w:p>
        </w:tc>
        <w:tc>
          <w:tcPr>
            <w:tcW w:w="1843" w:type="dxa"/>
            <w:shd w:val="clear" w:color="auto" w:fill="auto"/>
            <w:noWrap/>
            <w:vAlign w:val="bottom"/>
            <w:hideMark/>
          </w:tcPr>
          <w:p w14:paraId="7A63825D" w14:textId="77777777" w:rsidR="00A603CF" w:rsidRPr="00D46C32" w:rsidRDefault="00A603CF">
            <w:pPr>
              <w:spacing w:before="40" w:after="40" w:line="220" w:lineRule="exact"/>
              <w:jc w:val="right"/>
              <w:rPr>
                <w:sz w:val="18"/>
                <w:lang w:eastAsia="zh-CN"/>
              </w:rPr>
            </w:pPr>
            <w:r w:rsidRPr="00D46C32">
              <w:rPr>
                <w:sz w:val="18"/>
                <w:lang w:eastAsia="zh-CN"/>
              </w:rPr>
              <w:t>4.375</w:t>
            </w:r>
          </w:p>
        </w:tc>
        <w:tc>
          <w:tcPr>
            <w:tcW w:w="1559" w:type="dxa"/>
            <w:shd w:val="clear" w:color="auto" w:fill="auto"/>
            <w:noWrap/>
            <w:vAlign w:val="bottom"/>
            <w:hideMark/>
          </w:tcPr>
          <w:p w14:paraId="568D1AB3" w14:textId="77777777" w:rsidR="00A603CF" w:rsidRPr="00D46C32" w:rsidRDefault="00A603CF">
            <w:pPr>
              <w:spacing w:before="40" w:after="40" w:line="220" w:lineRule="exact"/>
              <w:jc w:val="right"/>
              <w:rPr>
                <w:sz w:val="18"/>
                <w:lang w:eastAsia="zh-CN"/>
              </w:rPr>
            </w:pPr>
            <w:r w:rsidRPr="00D46C32">
              <w:rPr>
                <w:sz w:val="18"/>
                <w:lang w:eastAsia="zh-CN"/>
              </w:rPr>
              <w:t>13.248</w:t>
            </w:r>
          </w:p>
        </w:tc>
        <w:tc>
          <w:tcPr>
            <w:tcW w:w="1843" w:type="dxa"/>
            <w:shd w:val="clear" w:color="auto" w:fill="auto"/>
            <w:vAlign w:val="bottom"/>
          </w:tcPr>
          <w:p w14:paraId="7E463B09" w14:textId="77777777" w:rsidR="00A603CF" w:rsidRPr="00D46C32" w:rsidRDefault="00A603CF">
            <w:pPr>
              <w:spacing w:before="40" w:after="40" w:line="220" w:lineRule="exact"/>
              <w:jc w:val="right"/>
              <w:rPr>
                <w:sz w:val="18"/>
                <w:lang w:eastAsia="zh-CN"/>
              </w:rPr>
            </w:pPr>
            <w:r w:rsidRPr="00D46C32">
              <w:rPr>
                <w:sz w:val="18"/>
                <w:lang w:eastAsia="zh-CN"/>
              </w:rPr>
              <w:br/>
              <w:t>85,170</w:t>
            </w:r>
          </w:p>
        </w:tc>
        <w:tc>
          <w:tcPr>
            <w:tcW w:w="1843" w:type="dxa"/>
            <w:shd w:val="clear" w:color="auto" w:fill="auto"/>
            <w:vAlign w:val="bottom"/>
          </w:tcPr>
          <w:p w14:paraId="6753CBB1" w14:textId="77777777" w:rsidR="00A603CF" w:rsidRPr="00D46C32" w:rsidRDefault="00A603CF">
            <w:pPr>
              <w:spacing w:before="40" w:after="40" w:line="220" w:lineRule="exact"/>
              <w:jc w:val="right"/>
              <w:rPr>
                <w:sz w:val="18"/>
                <w:lang w:eastAsia="zh-CN"/>
              </w:rPr>
            </w:pPr>
            <w:r w:rsidRPr="00D46C32">
              <w:rPr>
                <w:sz w:val="18"/>
                <w:lang w:eastAsia="zh-CN"/>
              </w:rPr>
              <w:br/>
              <w:t>83,180</w:t>
            </w:r>
          </w:p>
        </w:tc>
      </w:tr>
      <w:tr w:rsidR="00A603CF" w:rsidRPr="00D46C32" w14:paraId="5DFB6234" w14:textId="77777777" w:rsidTr="00441519">
        <w:tc>
          <w:tcPr>
            <w:tcW w:w="1701" w:type="dxa"/>
            <w:shd w:val="clear" w:color="auto" w:fill="auto"/>
            <w:noWrap/>
            <w:hideMark/>
          </w:tcPr>
          <w:p w14:paraId="46BED1EB" w14:textId="77777777" w:rsidR="00A603CF" w:rsidRPr="00D46C32" w:rsidRDefault="00A603CF">
            <w:pPr>
              <w:spacing w:before="40" w:after="40" w:line="220" w:lineRule="exact"/>
              <w:rPr>
                <w:sz w:val="18"/>
                <w:lang w:eastAsia="zh-CN"/>
              </w:rPr>
            </w:pPr>
            <w:r w:rsidRPr="00D46C32">
              <w:rPr>
                <w:sz w:val="18"/>
                <w:lang w:eastAsia="zh-CN"/>
              </w:rPr>
              <w:t>European Union</w:t>
            </w:r>
            <w:r w:rsidRPr="00D46C32">
              <w:rPr>
                <w:sz w:val="18"/>
                <w:vertAlign w:val="superscript"/>
                <w:lang w:eastAsia="zh-CN"/>
              </w:rPr>
              <w:t>c, d</w:t>
            </w:r>
          </w:p>
        </w:tc>
        <w:tc>
          <w:tcPr>
            <w:tcW w:w="1843" w:type="dxa"/>
            <w:shd w:val="clear" w:color="auto" w:fill="auto"/>
            <w:noWrap/>
            <w:vAlign w:val="bottom"/>
            <w:hideMark/>
          </w:tcPr>
          <w:p w14:paraId="2187FA77" w14:textId="77777777" w:rsidR="00A603CF" w:rsidRPr="00D46C32" w:rsidRDefault="00A603CF">
            <w:pPr>
              <w:spacing w:before="40" w:after="40" w:line="220" w:lineRule="exact"/>
              <w:jc w:val="right"/>
              <w:rPr>
                <w:sz w:val="18"/>
                <w:lang w:eastAsia="zh-CN"/>
              </w:rPr>
            </w:pPr>
            <w:r w:rsidRPr="00D46C32">
              <w:rPr>
                <w:sz w:val="18"/>
                <w:lang w:eastAsia="zh-CN"/>
              </w:rPr>
              <w:t>—</w:t>
            </w:r>
          </w:p>
        </w:tc>
        <w:tc>
          <w:tcPr>
            <w:tcW w:w="1559" w:type="dxa"/>
            <w:shd w:val="clear" w:color="auto" w:fill="auto"/>
            <w:noWrap/>
            <w:vAlign w:val="bottom"/>
            <w:hideMark/>
          </w:tcPr>
          <w:p w14:paraId="78A075C1" w14:textId="77777777" w:rsidR="00A603CF" w:rsidRPr="00D46C32" w:rsidRDefault="00A603CF">
            <w:pPr>
              <w:spacing w:before="40" w:after="40" w:line="220" w:lineRule="exact"/>
              <w:jc w:val="right"/>
              <w:rPr>
                <w:sz w:val="18"/>
                <w:lang w:eastAsia="zh-CN"/>
              </w:rPr>
            </w:pPr>
            <w:r w:rsidRPr="00D46C32">
              <w:rPr>
                <w:sz w:val="18"/>
                <w:lang w:eastAsia="zh-CN"/>
              </w:rPr>
              <w:t>—</w:t>
            </w:r>
          </w:p>
        </w:tc>
        <w:tc>
          <w:tcPr>
            <w:tcW w:w="1843" w:type="dxa"/>
            <w:shd w:val="clear" w:color="auto" w:fill="auto"/>
            <w:vAlign w:val="bottom"/>
          </w:tcPr>
          <w:p w14:paraId="3ED254BD" w14:textId="77777777" w:rsidR="00A603CF" w:rsidRPr="00D46C32" w:rsidRDefault="00A603CF">
            <w:pPr>
              <w:spacing w:before="40" w:after="40" w:line="220" w:lineRule="exact"/>
              <w:jc w:val="right"/>
              <w:rPr>
                <w:sz w:val="18"/>
                <w:lang w:eastAsia="zh-CN"/>
              </w:rPr>
            </w:pPr>
            <w:r w:rsidRPr="00D46C32">
              <w:rPr>
                <w:sz w:val="18"/>
                <w:lang w:eastAsia="zh-CN"/>
              </w:rPr>
              <w:t>—</w:t>
            </w:r>
          </w:p>
        </w:tc>
        <w:tc>
          <w:tcPr>
            <w:tcW w:w="1843" w:type="dxa"/>
            <w:shd w:val="clear" w:color="auto" w:fill="auto"/>
            <w:vAlign w:val="bottom"/>
          </w:tcPr>
          <w:p w14:paraId="2609B898" w14:textId="77777777" w:rsidR="00A603CF" w:rsidRPr="00D46C32" w:rsidRDefault="00A603CF">
            <w:pPr>
              <w:spacing w:before="40" w:after="40" w:line="220" w:lineRule="exact"/>
              <w:jc w:val="right"/>
              <w:rPr>
                <w:sz w:val="18"/>
                <w:lang w:eastAsia="zh-CN"/>
              </w:rPr>
            </w:pPr>
          </w:p>
        </w:tc>
      </w:tr>
      <w:tr w:rsidR="00A603CF" w:rsidRPr="00D46C32" w14:paraId="60D01B99" w14:textId="77777777" w:rsidTr="00441519">
        <w:tc>
          <w:tcPr>
            <w:tcW w:w="1701" w:type="dxa"/>
            <w:tcBorders>
              <w:bottom w:val="single" w:sz="12" w:space="0" w:color="auto"/>
            </w:tcBorders>
            <w:shd w:val="clear" w:color="auto" w:fill="auto"/>
            <w:noWrap/>
            <w:hideMark/>
          </w:tcPr>
          <w:p w14:paraId="0FF34D92" w14:textId="77777777" w:rsidR="00A603CF" w:rsidRPr="00D46C32" w:rsidRDefault="00A603CF">
            <w:pPr>
              <w:spacing w:before="40" w:after="40" w:line="220" w:lineRule="exact"/>
              <w:rPr>
                <w:b/>
                <w:bCs/>
                <w:sz w:val="18"/>
                <w:lang w:eastAsia="zh-CN"/>
              </w:rPr>
            </w:pPr>
            <w:r w:rsidRPr="00D46C32">
              <w:rPr>
                <w:b/>
                <w:bCs/>
                <w:sz w:val="18"/>
                <w:lang w:eastAsia="zh-CN"/>
              </w:rPr>
              <w:t>Total</w:t>
            </w:r>
          </w:p>
        </w:tc>
        <w:tc>
          <w:tcPr>
            <w:tcW w:w="1843" w:type="dxa"/>
            <w:tcBorders>
              <w:bottom w:val="single" w:sz="12" w:space="0" w:color="auto"/>
            </w:tcBorders>
            <w:shd w:val="clear" w:color="auto" w:fill="auto"/>
            <w:noWrap/>
            <w:vAlign w:val="bottom"/>
            <w:hideMark/>
          </w:tcPr>
          <w:p w14:paraId="03F38401" w14:textId="77777777" w:rsidR="00A603CF" w:rsidRPr="00D46C32" w:rsidRDefault="00A603CF">
            <w:pPr>
              <w:spacing w:before="40" w:after="40" w:line="220" w:lineRule="exact"/>
              <w:jc w:val="right"/>
              <w:rPr>
                <w:b/>
                <w:bCs/>
                <w:sz w:val="18"/>
                <w:lang w:eastAsia="zh-CN"/>
              </w:rPr>
            </w:pPr>
            <w:r w:rsidRPr="00D46C32">
              <w:rPr>
                <w:b/>
                <w:bCs/>
                <w:sz w:val="18"/>
                <w:lang w:eastAsia="zh-CN"/>
              </w:rPr>
              <w:t>33.024</w:t>
            </w:r>
          </w:p>
        </w:tc>
        <w:tc>
          <w:tcPr>
            <w:tcW w:w="1559" w:type="dxa"/>
            <w:tcBorders>
              <w:bottom w:val="single" w:sz="12" w:space="0" w:color="auto"/>
            </w:tcBorders>
            <w:shd w:val="clear" w:color="auto" w:fill="auto"/>
            <w:noWrap/>
            <w:vAlign w:val="bottom"/>
            <w:hideMark/>
          </w:tcPr>
          <w:p w14:paraId="301BC30D" w14:textId="77777777" w:rsidR="00A603CF" w:rsidRPr="00D46C32" w:rsidRDefault="00A603CF">
            <w:pPr>
              <w:spacing w:before="40" w:after="40" w:line="220" w:lineRule="exact"/>
              <w:jc w:val="right"/>
              <w:rPr>
                <w:b/>
                <w:bCs/>
                <w:sz w:val="18"/>
                <w:lang w:eastAsia="zh-CN"/>
              </w:rPr>
            </w:pPr>
            <w:r w:rsidRPr="00D46C32">
              <w:rPr>
                <w:b/>
                <w:bCs/>
                <w:sz w:val="18"/>
                <w:lang w:eastAsia="zh-CN"/>
              </w:rPr>
              <w:t>100</w:t>
            </w:r>
          </w:p>
        </w:tc>
        <w:tc>
          <w:tcPr>
            <w:tcW w:w="1843" w:type="dxa"/>
            <w:tcBorders>
              <w:bottom w:val="single" w:sz="12" w:space="0" w:color="auto"/>
            </w:tcBorders>
            <w:shd w:val="clear" w:color="auto" w:fill="auto"/>
            <w:vAlign w:val="bottom"/>
          </w:tcPr>
          <w:p w14:paraId="34169567" w14:textId="77777777" w:rsidR="00A603CF" w:rsidRPr="00D46C32" w:rsidRDefault="00A603CF">
            <w:pPr>
              <w:spacing w:before="40" w:after="40" w:line="220" w:lineRule="exact"/>
              <w:jc w:val="right"/>
              <w:rPr>
                <w:b/>
                <w:bCs/>
                <w:sz w:val="18"/>
                <w:lang w:eastAsia="zh-CN"/>
              </w:rPr>
            </w:pPr>
            <w:r w:rsidRPr="00D46C32">
              <w:rPr>
                <w:b/>
                <w:bCs/>
                <w:sz w:val="18"/>
                <w:lang w:eastAsia="zh-CN"/>
              </w:rPr>
              <w:t>642,870</w:t>
            </w:r>
          </w:p>
        </w:tc>
        <w:tc>
          <w:tcPr>
            <w:tcW w:w="1843" w:type="dxa"/>
            <w:tcBorders>
              <w:bottom w:val="single" w:sz="12" w:space="0" w:color="auto"/>
            </w:tcBorders>
            <w:shd w:val="clear" w:color="auto" w:fill="auto"/>
            <w:vAlign w:val="bottom"/>
          </w:tcPr>
          <w:p w14:paraId="616E556D" w14:textId="77777777" w:rsidR="00A603CF" w:rsidRPr="00D46C32" w:rsidRDefault="00A603CF">
            <w:pPr>
              <w:spacing w:before="40" w:after="40" w:line="220" w:lineRule="exact"/>
              <w:jc w:val="right"/>
              <w:rPr>
                <w:b/>
                <w:bCs/>
                <w:sz w:val="18"/>
                <w:lang w:eastAsia="zh-CN"/>
              </w:rPr>
            </w:pPr>
            <w:r w:rsidRPr="00D46C32">
              <w:rPr>
                <w:b/>
                <w:bCs/>
                <w:sz w:val="18"/>
                <w:lang w:eastAsia="zh-CN"/>
              </w:rPr>
              <w:t>642,870</w:t>
            </w:r>
          </w:p>
        </w:tc>
      </w:tr>
    </w:tbl>
    <w:bookmarkEnd w:id="5"/>
    <w:p w14:paraId="6FAED9C7" w14:textId="77777777" w:rsidR="00A603CF" w:rsidRPr="00C53BE5" w:rsidRDefault="00A603CF" w:rsidP="00E47394">
      <w:pPr>
        <w:spacing w:before="120" w:line="240" w:lineRule="auto"/>
        <w:ind w:leftChars="354" w:left="708"/>
        <w:rPr>
          <w:color w:val="000000"/>
          <w:sz w:val="18"/>
          <w:szCs w:val="18"/>
          <w:lang w:eastAsia="zh-CN"/>
        </w:rPr>
      </w:pPr>
      <w:r w:rsidRPr="00C53BE5">
        <w:rPr>
          <w:i/>
          <w:iCs/>
          <w:color w:val="000000"/>
          <w:sz w:val="18"/>
          <w:szCs w:val="18"/>
          <w:vertAlign w:val="superscript"/>
          <w:lang w:eastAsia="zh-CN"/>
        </w:rPr>
        <w:t>a</w:t>
      </w:r>
      <w:r w:rsidRPr="00C53BE5">
        <w:rPr>
          <w:color w:val="000000"/>
          <w:sz w:val="18"/>
          <w:szCs w:val="18"/>
          <w:lang w:eastAsia="zh-CN"/>
        </w:rPr>
        <w:t xml:space="preserve">  Figures in column B reproduce the United Nations scale of assessments for 2022–2024 (General Assembly resolution</w:t>
      </w:r>
      <w:r>
        <w:rPr>
          <w:color w:val="000000"/>
          <w:sz w:val="18"/>
          <w:szCs w:val="18"/>
          <w:lang w:eastAsia="zh-CN"/>
        </w:rPr>
        <w:t xml:space="preserve"> </w:t>
      </w:r>
      <w:r w:rsidRPr="00C53BE5">
        <w:rPr>
          <w:color w:val="000000"/>
          <w:sz w:val="18"/>
          <w:szCs w:val="18"/>
          <w:lang w:eastAsia="zh-CN"/>
        </w:rPr>
        <w:t>76/238 (A/RES/76/238) to calculate the contributions of the 193 States Members of the United Nations to the regular budget of the United Nations for 2022, 2023 and 2024. The scale of assessment is based on estimates of gross national income and constitutes an objective reference for the apportionment of expenses according to capacity to pay.</w:t>
      </w:r>
    </w:p>
    <w:p w14:paraId="21E59225" w14:textId="77777777" w:rsidR="00A603CF" w:rsidRPr="00C53BE5" w:rsidRDefault="00A603CF" w:rsidP="00E47394">
      <w:pPr>
        <w:spacing w:line="240" w:lineRule="auto"/>
        <w:ind w:leftChars="354" w:left="708"/>
        <w:rPr>
          <w:i/>
          <w:iCs/>
          <w:color w:val="000000"/>
          <w:sz w:val="18"/>
          <w:szCs w:val="18"/>
          <w:lang w:eastAsia="zh-CN"/>
        </w:rPr>
      </w:pPr>
      <w:r w:rsidRPr="00C53BE5">
        <w:rPr>
          <w:i/>
          <w:iCs/>
          <w:color w:val="000000"/>
          <w:sz w:val="18"/>
          <w:szCs w:val="18"/>
          <w:vertAlign w:val="superscript"/>
          <w:lang w:eastAsia="zh-CN"/>
        </w:rPr>
        <w:t>b</w:t>
      </w:r>
      <w:r w:rsidRPr="00C53BE5">
        <w:rPr>
          <w:color w:val="000000"/>
          <w:sz w:val="18"/>
          <w:szCs w:val="18"/>
          <w:lang w:eastAsia="zh-CN"/>
        </w:rPr>
        <w:t xml:space="preserve">  The percentages from the United Nations scale of assessments have been adjusted for (the 44 States parties to) the Espoo Convention by using a multiplier of </w:t>
      </w:r>
      <w:r w:rsidRPr="00C53BE5">
        <w:rPr>
          <w:sz w:val="18"/>
          <w:szCs w:val="18"/>
          <w:lang w:eastAsia="zh-CN"/>
        </w:rPr>
        <w:t xml:space="preserve">3.028 </w:t>
      </w:r>
      <w:r w:rsidRPr="00C53BE5">
        <w:rPr>
          <w:color w:val="000000"/>
          <w:sz w:val="18"/>
          <w:szCs w:val="18"/>
          <w:lang w:eastAsia="zh-CN"/>
        </w:rPr>
        <w:t>in order to arrive at a total of 100 per cent.</w:t>
      </w:r>
    </w:p>
    <w:p w14:paraId="7F2449D0" w14:textId="77777777" w:rsidR="00A603CF" w:rsidRPr="00C53BE5" w:rsidRDefault="00A603CF" w:rsidP="00E47394">
      <w:pPr>
        <w:spacing w:line="240" w:lineRule="auto"/>
        <w:ind w:leftChars="354" w:left="708"/>
        <w:rPr>
          <w:i/>
          <w:iCs/>
          <w:color w:val="000000"/>
          <w:sz w:val="18"/>
          <w:szCs w:val="18"/>
          <w:lang w:eastAsia="zh-CN"/>
        </w:rPr>
      </w:pPr>
      <w:r w:rsidRPr="00C53BE5">
        <w:rPr>
          <w:i/>
          <w:iCs/>
          <w:color w:val="000000"/>
          <w:sz w:val="18"/>
          <w:szCs w:val="18"/>
          <w:vertAlign w:val="superscript"/>
          <w:lang w:eastAsia="zh-CN"/>
        </w:rPr>
        <w:t>c</w:t>
      </w:r>
      <w:r w:rsidRPr="00C53BE5">
        <w:rPr>
          <w:color w:val="000000"/>
          <w:sz w:val="18"/>
          <w:szCs w:val="18"/>
          <w:lang w:eastAsia="zh-CN"/>
        </w:rPr>
        <w:t xml:space="preserve">  Subject to footnote d below on the contribution of the European Union, the figures in column D give an indication of annual contributions of the Parties to the proposed annual budget in 2024, based on their economic strength. The figures were derived by multiplying the adjusted scale/percentage value in column C by the proposed annual cost requirements of the draft workplan for 2024–2026 (see proposed resource requirements in draft decisions IX/1–V/1, para. 13, and IX/2–V/2, annexes I–II). </w:t>
      </w:r>
    </w:p>
    <w:p w14:paraId="7DAE4BBE" w14:textId="14EA20F5" w:rsidR="00A603CF" w:rsidRDefault="00A603CF" w:rsidP="00E47394">
      <w:pPr>
        <w:pStyle w:val="SingleTxtG"/>
        <w:ind w:leftChars="354" w:left="708"/>
        <w:rPr>
          <w:color w:val="000000"/>
          <w:sz w:val="18"/>
          <w:szCs w:val="18"/>
          <w:lang w:eastAsia="zh-CN"/>
        </w:rPr>
      </w:pPr>
      <w:r w:rsidRPr="00C53BE5">
        <w:rPr>
          <w:i/>
          <w:iCs/>
          <w:color w:val="000000"/>
          <w:sz w:val="18"/>
          <w:szCs w:val="18"/>
          <w:vertAlign w:val="superscript"/>
          <w:lang w:eastAsia="zh-CN"/>
        </w:rPr>
        <w:t>d</w:t>
      </w:r>
      <w:r w:rsidRPr="00C53BE5">
        <w:rPr>
          <w:color w:val="000000"/>
          <w:sz w:val="18"/>
          <w:szCs w:val="18"/>
          <w:lang w:eastAsia="zh-CN"/>
        </w:rPr>
        <w:t xml:space="preserve">  A percentage has not been assigned to the European Union, since the European Union is not included in the United Nations scale of assessments. Consequently, it is not possible to calculate the level of its contribution on the same basis as with the other Parties.</w:t>
      </w:r>
    </w:p>
    <w:p w14:paraId="74FF1A5D" w14:textId="07E5476C" w:rsidR="00A603CF" w:rsidRDefault="00A603CF" w:rsidP="00A603CF">
      <w:pPr>
        <w:pStyle w:val="SingleTxtG"/>
        <w:ind w:left="1418"/>
        <w:rPr>
          <w:color w:val="000000"/>
          <w:sz w:val="18"/>
          <w:szCs w:val="18"/>
          <w:lang w:eastAsia="zh-CN"/>
        </w:rPr>
      </w:pPr>
      <w:r>
        <w:rPr>
          <w:color w:val="000000"/>
          <w:sz w:val="18"/>
          <w:szCs w:val="18"/>
          <w:lang w:eastAsia="zh-CN"/>
        </w:rPr>
        <w:br w:type="page"/>
      </w:r>
    </w:p>
    <w:p w14:paraId="2F8B224B" w14:textId="5CFE8E92" w:rsidR="00A603CF" w:rsidRPr="00B87F6B" w:rsidRDefault="00A603CF" w:rsidP="00A603CF">
      <w:pPr>
        <w:pStyle w:val="HChG"/>
        <w:rPr>
          <w:lang w:eastAsia="en-US"/>
        </w:rPr>
      </w:pPr>
      <w:r>
        <w:rPr>
          <w:lang w:eastAsia="en-US"/>
        </w:rPr>
        <w:lastRenderedPageBreak/>
        <w:tab/>
      </w:r>
      <w:r>
        <w:rPr>
          <w:lang w:eastAsia="en-US"/>
        </w:rPr>
        <w:tab/>
      </w:r>
      <w:r w:rsidRPr="00B87F6B">
        <w:rPr>
          <w:lang w:eastAsia="en-US"/>
        </w:rPr>
        <w:t>Decision IX/2–V/2</w:t>
      </w:r>
    </w:p>
    <w:p w14:paraId="07AF7596" w14:textId="77777777" w:rsidR="00A603CF" w:rsidRPr="00B87F6B" w:rsidRDefault="00A603CF" w:rsidP="00A603CF">
      <w:pPr>
        <w:pStyle w:val="H1G"/>
        <w:rPr>
          <w:lang w:eastAsia="en-US"/>
        </w:rPr>
      </w:pPr>
      <w:r w:rsidRPr="00B87F6B">
        <w:rPr>
          <w:iCs/>
          <w:lang w:eastAsia="en-US"/>
        </w:rPr>
        <w:tab/>
      </w:r>
      <w:r w:rsidRPr="00B87F6B">
        <w:rPr>
          <w:iCs/>
          <w:lang w:eastAsia="en-US"/>
        </w:rPr>
        <w:tab/>
      </w:r>
      <w:r w:rsidRPr="00B87F6B">
        <w:rPr>
          <w:bCs/>
          <w:szCs w:val="24"/>
          <w:lang w:eastAsia="en-US"/>
        </w:rPr>
        <w:tab/>
      </w:r>
      <w:r w:rsidRPr="00A603CF">
        <w:t>Workplan</w:t>
      </w:r>
      <w:r w:rsidRPr="00B87F6B">
        <w:rPr>
          <w:lang w:eastAsia="en-US"/>
        </w:rPr>
        <w:t xml:space="preserve"> for 2024–2026</w:t>
      </w:r>
    </w:p>
    <w:p w14:paraId="713EA2E7" w14:textId="77777777" w:rsidR="00A603CF" w:rsidRPr="009C6C76" w:rsidRDefault="00A603CF" w:rsidP="009C6C76">
      <w:pPr>
        <w:pStyle w:val="SingleTxtG"/>
        <w:rPr>
          <w:i/>
          <w:iCs/>
          <w:lang w:eastAsia="en-US"/>
        </w:rPr>
      </w:pPr>
      <w:r w:rsidRPr="00B87F6B">
        <w:rPr>
          <w:lang w:eastAsia="en-US"/>
        </w:rPr>
        <w:tab/>
      </w:r>
      <w:r w:rsidRPr="009C6C76">
        <w:rPr>
          <w:i/>
          <w:iCs/>
          <w:lang w:eastAsia="en-US"/>
        </w:rPr>
        <w:t>The Meeting of the Parties to the Convention and the Meeting of the Parties to the Convention serving as the Meeting of the Parties to the Protocol (Meeting of the Parties to the Protocol), meeting in joint session,</w:t>
      </w:r>
    </w:p>
    <w:p w14:paraId="0AFC6697" w14:textId="77777777" w:rsidR="00A603CF" w:rsidRPr="00B87F6B" w:rsidRDefault="00A603CF" w:rsidP="00A603CF">
      <w:pPr>
        <w:pStyle w:val="SingleTxtG"/>
        <w:rPr>
          <w:lang w:eastAsia="en-US"/>
        </w:rPr>
      </w:pPr>
      <w:r w:rsidRPr="00B87F6B">
        <w:rPr>
          <w:lang w:eastAsia="en-US"/>
        </w:rPr>
        <w:tab/>
      </w:r>
      <w:r w:rsidRPr="00B87F6B">
        <w:rPr>
          <w:i/>
          <w:lang w:eastAsia="en-US"/>
        </w:rPr>
        <w:t>Recalling</w:t>
      </w:r>
      <w:r w:rsidRPr="00B87F6B">
        <w:rPr>
          <w:lang w:eastAsia="en-US"/>
        </w:rPr>
        <w:t xml:space="preserve"> article 11 (2) (f) of the Convention on Environmental Impact Assessment in a Transboundary Context, stipulating that the Meeting of the Parties thereto will consider and undertake any additional action that may be required to achieve the Convention’s purposes,</w:t>
      </w:r>
    </w:p>
    <w:p w14:paraId="0FF86D46" w14:textId="77777777" w:rsidR="00A603CF" w:rsidRPr="00B87F6B" w:rsidRDefault="00A603CF" w:rsidP="00A603CF">
      <w:pPr>
        <w:pStyle w:val="SingleTxtG"/>
        <w:rPr>
          <w:lang w:eastAsia="en-US"/>
        </w:rPr>
      </w:pPr>
      <w:r w:rsidRPr="00B87F6B">
        <w:rPr>
          <w:lang w:eastAsia="en-US"/>
        </w:rPr>
        <w:tab/>
      </w:r>
      <w:r w:rsidRPr="00B87F6B">
        <w:rPr>
          <w:i/>
          <w:lang w:eastAsia="en-US"/>
        </w:rPr>
        <w:t>Recalling also</w:t>
      </w:r>
      <w:r w:rsidRPr="00B87F6B">
        <w:rPr>
          <w:lang w:eastAsia="en-US"/>
        </w:rPr>
        <w:t xml:space="preserve"> article 14 (4) (f) of the Protocol on Strategic Environmental Assessment, stipulating that the Meeting of the Parties thereto will consider and undertake any additional action, including action to be carried out jointly under the Protocol and the Convention, that may be required to achieve the Protocol’s purposes,</w:t>
      </w:r>
    </w:p>
    <w:p w14:paraId="4884D5AB" w14:textId="77777777" w:rsidR="00A603CF" w:rsidRPr="00B87F6B" w:rsidRDefault="00A603CF" w:rsidP="00A603CF">
      <w:pPr>
        <w:pStyle w:val="SingleTxtG"/>
        <w:rPr>
          <w:lang w:eastAsia="en-US"/>
        </w:rPr>
      </w:pPr>
      <w:r w:rsidRPr="00B87F6B">
        <w:rPr>
          <w:i/>
          <w:lang w:eastAsia="en-US"/>
        </w:rPr>
        <w:tab/>
        <w:t>Acknowledging</w:t>
      </w:r>
      <w:r w:rsidRPr="00B87F6B">
        <w:rPr>
          <w:lang w:eastAsia="en-US"/>
        </w:rPr>
        <w:t xml:space="preserve"> that the Convention and its Protocol provide a framework for the integration of environmental, including health, concerns into proposed activities, plans and programmes and, where appropriate, into policies and legislation across the economic sectors and that, consequently, their effective application contributes to supporting countries in achieving the Sustainable Development Goals, greening the post-coronavirus disease (COVID-19) pandemic recovery, as well as global commitments related to climate and biodiversity,</w:t>
      </w:r>
    </w:p>
    <w:p w14:paraId="2B05E6A7" w14:textId="77777777" w:rsidR="00A603CF" w:rsidRPr="00B87F6B" w:rsidRDefault="00A603CF" w:rsidP="00A603CF">
      <w:pPr>
        <w:pStyle w:val="SingleTxtG"/>
        <w:rPr>
          <w:lang w:eastAsia="en-US"/>
        </w:rPr>
      </w:pPr>
      <w:r w:rsidRPr="00B87F6B">
        <w:rPr>
          <w:lang w:eastAsia="en-US"/>
        </w:rPr>
        <w:tab/>
      </w:r>
      <w:r w:rsidRPr="00B87F6B">
        <w:rPr>
          <w:i/>
          <w:lang w:eastAsia="en-US"/>
        </w:rPr>
        <w:t>Welcoming</w:t>
      </w:r>
      <w:r w:rsidRPr="00B87F6B">
        <w:rPr>
          <w:lang w:eastAsia="en-US"/>
        </w:rPr>
        <w:t xml:space="preserve"> the valuable work carried out under the workplan for 2021–2023, including the following activities:</w:t>
      </w:r>
    </w:p>
    <w:p w14:paraId="1C6E4CDE" w14:textId="77777777" w:rsidR="00A603CF" w:rsidRPr="00223859" w:rsidRDefault="00A603CF" w:rsidP="00A603CF">
      <w:pPr>
        <w:pStyle w:val="SingleTxtG"/>
        <w:ind w:firstLine="567"/>
        <w:rPr>
          <w:lang w:eastAsia="en-US"/>
        </w:rPr>
      </w:pPr>
      <w:r w:rsidRPr="00B87F6B">
        <w:rPr>
          <w:lang w:eastAsia="en-US"/>
        </w:rPr>
        <w:t>(a)</w:t>
      </w:r>
      <w:r>
        <w:tab/>
      </w:r>
      <w:r w:rsidRPr="00B87F6B">
        <w:rPr>
          <w:lang w:eastAsia="en-US"/>
        </w:rPr>
        <w:t xml:space="preserve">Consideration by the Implementation Committee of </w:t>
      </w:r>
      <w:r>
        <w:rPr>
          <w:lang w:eastAsia="en-US"/>
        </w:rPr>
        <w:t>52</w:t>
      </w:r>
      <w:r w:rsidRPr="00223859">
        <w:rPr>
          <w:lang w:eastAsia="en-US"/>
        </w:rPr>
        <w:t xml:space="preserve"> compliance cases, including regarding the lifetime extension of nuclear power plants, and the preparation of amendment proposals to its modus operandi to clarify and improve its working methods,</w:t>
      </w:r>
    </w:p>
    <w:p w14:paraId="4E879CF7" w14:textId="77777777" w:rsidR="00A603CF" w:rsidRPr="00223859" w:rsidRDefault="00A603CF" w:rsidP="00A603CF">
      <w:pPr>
        <w:pStyle w:val="SingleTxtG"/>
        <w:ind w:firstLine="567"/>
        <w:rPr>
          <w:lang w:eastAsia="en-US"/>
        </w:rPr>
      </w:pPr>
      <w:r w:rsidRPr="00223859">
        <w:rPr>
          <w:lang w:eastAsia="en-US"/>
        </w:rPr>
        <w:t>(b)</w:t>
      </w:r>
      <w:r w:rsidRPr="00223859">
        <w:rPr>
          <w:lang w:eastAsia="en-US"/>
        </w:rPr>
        <w:tab/>
        <w:t xml:space="preserve"> Preparation by the secretariat of reviews of implementation of the Convention and the Protocol in 2019–2021 based on Parties’ reporting, </w:t>
      </w:r>
    </w:p>
    <w:p w14:paraId="439D9209" w14:textId="77777777" w:rsidR="00A603CF" w:rsidRPr="00223859" w:rsidRDefault="00A603CF" w:rsidP="00A603CF">
      <w:pPr>
        <w:pStyle w:val="SingleTxtG"/>
        <w:ind w:firstLine="567"/>
        <w:rPr>
          <w:lang w:eastAsia="en-US"/>
        </w:rPr>
      </w:pPr>
      <w:r w:rsidRPr="00223859">
        <w:rPr>
          <w:lang w:eastAsia="en-US"/>
        </w:rPr>
        <w:t>(c)</w:t>
      </w:r>
      <w:r w:rsidRPr="00223859">
        <w:rPr>
          <w:lang w:eastAsia="en-US"/>
        </w:rPr>
        <w:tab/>
        <w:t xml:space="preserve">Preparation of a report presenting synergies and proposed cooperation activities with six regional sea conventions and bodies, the organization of three joint technical meetings for its discussion, and the collection of good practice fact sheets (funded by Italy), </w:t>
      </w:r>
    </w:p>
    <w:p w14:paraId="0EF8491A" w14:textId="77777777" w:rsidR="00A603CF" w:rsidRPr="00223859" w:rsidRDefault="00A603CF" w:rsidP="00A603CF">
      <w:pPr>
        <w:pStyle w:val="SingleTxtG"/>
        <w:ind w:firstLine="567"/>
        <w:rPr>
          <w:lang w:eastAsia="en-US"/>
        </w:rPr>
      </w:pPr>
      <w:r w:rsidRPr="00223859">
        <w:rPr>
          <w:lang w:eastAsia="en-US"/>
        </w:rPr>
        <w:t>(d)</w:t>
      </w:r>
      <w:r w:rsidRPr="00223859">
        <w:rPr>
          <w:lang w:eastAsia="en-US"/>
        </w:rPr>
        <w:tab/>
        <w:t xml:space="preserve">Preparation of guidance on the assessment of health in strategic environmental assessment (by volunteering Parties and Bureau members, initially funded by the European Investment Bank), resulting </w:t>
      </w:r>
      <w:r w:rsidRPr="00223859">
        <w:rPr>
          <w:iCs/>
        </w:rPr>
        <w:t>in a document for information purposes</w:t>
      </w:r>
      <w:r w:rsidRPr="00223859">
        <w:rPr>
          <w:lang w:eastAsia="en-US"/>
        </w:rPr>
        <w:t>,</w:t>
      </w:r>
    </w:p>
    <w:p w14:paraId="66191826" w14:textId="77777777" w:rsidR="00A603CF" w:rsidRPr="00223859" w:rsidRDefault="00A603CF" w:rsidP="00A603CF">
      <w:pPr>
        <w:pStyle w:val="SingleTxtG"/>
        <w:ind w:firstLine="567"/>
        <w:rPr>
          <w:lang w:eastAsia="en-US"/>
        </w:rPr>
      </w:pPr>
      <w:r w:rsidRPr="00223859">
        <w:rPr>
          <w:lang w:eastAsia="en-US"/>
        </w:rPr>
        <w:t>(e)</w:t>
      </w:r>
      <w:r w:rsidRPr="00223859">
        <w:rPr>
          <w:lang w:eastAsia="en-US"/>
        </w:rPr>
        <w:tab/>
      </w:r>
      <w:bookmarkStart w:id="6" w:name="_Hlk127184702"/>
      <w:r w:rsidRPr="00223859">
        <w:rPr>
          <w:lang w:eastAsia="en-US"/>
        </w:rPr>
        <w:t xml:space="preserve">Organization of subregional events for the Baltic Sea region by Estonia and Poland, </w:t>
      </w:r>
    </w:p>
    <w:bookmarkEnd w:id="6"/>
    <w:p w14:paraId="6BC0625D" w14:textId="22A946BA" w:rsidR="00A603CF" w:rsidRPr="00223859" w:rsidRDefault="00A603CF" w:rsidP="00A603CF">
      <w:pPr>
        <w:pStyle w:val="SingleTxtG"/>
        <w:ind w:firstLine="567"/>
        <w:rPr>
          <w:lang w:eastAsia="en-US"/>
        </w:rPr>
      </w:pPr>
      <w:r w:rsidRPr="00223859">
        <w:rPr>
          <w:lang w:eastAsia="en-US"/>
        </w:rPr>
        <w:t>(f)</w:t>
      </w:r>
      <w:r w:rsidRPr="00223859">
        <w:rPr>
          <w:lang w:eastAsia="en-US"/>
        </w:rPr>
        <w:tab/>
        <w:t>Organization of thematic seminars for the exchange of good practice: by Switzerland and the secretariat on sustainable infrastructure; and by the secretariat and Italian-funded consultants on energy transition, circular economy and green financing,</w:t>
      </w:r>
    </w:p>
    <w:p w14:paraId="4E8A6D97" w14:textId="77777777" w:rsidR="00A603CF" w:rsidRPr="00223859" w:rsidRDefault="00A603CF" w:rsidP="00A603CF">
      <w:pPr>
        <w:pStyle w:val="SingleTxtG"/>
        <w:rPr>
          <w:lang w:eastAsia="en-US"/>
        </w:rPr>
      </w:pPr>
      <w:r w:rsidRPr="00223859">
        <w:rPr>
          <w:i/>
          <w:iCs/>
          <w:lang w:eastAsia="en-US"/>
        </w:rPr>
        <w:tab/>
        <w:t>Welcoming</w:t>
      </w:r>
      <w:r w:rsidRPr="00223859">
        <w:rPr>
          <w:lang w:eastAsia="en-US"/>
        </w:rPr>
        <w:t xml:space="preserve"> also the secretariat’s accomplishment of the following activities, mostly through additional project funding:</w:t>
      </w:r>
    </w:p>
    <w:p w14:paraId="2F9B1199" w14:textId="77777777" w:rsidR="00A603CF" w:rsidRPr="00223859" w:rsidRDefault="00A603CF" w:rsidP="00A603CF">
      <w:pPr>
        <w:pStyle w:val="SingleTxtG"/>
        <w:ind w:firstLine="567"/>
        <w:rPr>
          <w:lang w:eastAsia="en-US"/>
        </w:rPr>
      </w:pPr>
      <w:r w:rsidRPr="00223859">
        <w:rPr>
          <w:lang w:eastAsia="en-US"/>
        </w:rPr>
        <w:t>(a)</w:t>
      </w:r>
      <w:r w:rsidRPr="00223859">
        <w:rPr>
          <w:lang w:eastAsia="en-US"/>
        </w:rPr>
        <w:tab/>
        <w:t>Technical assistance to support Parties and non-Parties to align their legislation with the Convention and/or the Protocol, and Ukraine, to conclude a bilateral agreement with Romania for implementation of the Convention (funded through the EU4Environment programme for Azerbaijan, Belarus, the Republic of Moldova and Ukraine; and by Switzerland for Kazakhstan),</w:t>
      </w:r>
    </w:p>
    <w:p w14:paraId="6AFEE8F4" w14:textId="77777777" w:rsidR="00A603CF" w:rsidRPr="00223859" w:rsidRDefault="00A603CF" w:rsidP="00A603CF">
      <w:pPr>
        <w:pStyle w:val="SingleTxtG"/>
        <w:ind w:firstLine="567"/>
        <w:rPr>
          <w:lang w:eastAsia="en-US"/>
        </w:rPr>
      </w:pPr>
      <w:r w:rsidRPr="3A7CCA14">
        <w:rPr>
          <w:lang w:eastAsia="en-US"/>
        </w:rPr>
        <w:t>(b)</w:t>
      </w:r>
      <w:r>
        <w:tab/>
      </w:r>
      <w:r w:rsidRPr="3A7CCA14">
        <w:rPr>
          <w:lang w:eastAsia="en-US"/>
        </w:rPr>
        <w:t xml:space="preserve">Capacity-building activities to enhance practical application and awareness of the Protocol (and/or the Convention), (with EU4Environment programme funding), including: pilot projects on strategic environmental assessment for Azerbaijan [and the Republic of Moldova]; training workshops for [Armenia], Azerbaijan, the Republic of </w:t>
      </w:r>
      <w:r w:rsidRPr="3A7CCA14">
        <w:rPr>
          <w:lang w:eastAsia="en-US"/>
        </w:rPr>
        <w:lastRenderedPageBreak/>
        <w:t>Moldova and Ukraine; national awareness-raising events (for  Azerbaijan</w:t>
      </w:r>
      <w:r>
        <w:rPr>
          <w:lang w:eastAsia="en-US"/>
        </w:rPr>
        <w:t xml:space="preserve"> and</w:t>
      </w:r>
      <w:r w:rsidRPr="3A7CCA14">
        <w:rPr>
          <w:lang w:eastAsia="en-US"/>
        </w:rPr>
        <w:t xml:space="preserve"> the Republic of Moldova) and materials (for Azerbaijan, [the Republic of Moldova] and [Ukraine]; national issue- or sector-specific guidelines for Armenia,, Georgia, the Republic of Moldova and Ukraine, </w:t>
      </w:r>
    </w:p>
    <w:p w14:paraId="503BD8B1" w14:textId="77777777" w:rsidR="00A603CF" w:rsidRPr="00223859" w:rsidRDefault="00A603CF" w:rsidP="00A603CF">
      <w:pPr>
        <w:pStyle w:val="SingleTxtG"/>
        <w:ind w:firstLine="567"/>
        <w:rPr>
          <w:lang w:eastAsia="en-US"/>
        </w:rPr>
      </w:pPr>
      <w:r w:rsidRPr="00223859">
        <w:rPr>
          <w:lang w:eastAsia="en-US"/>
        </w:rPr>
        <w:t>(c)</w:t>
      </w:r>
      <w:r w:rsidRPr="00223859">
        <w:rPr>
          <w:lang w:eastAsia="en-US"/>
        </w:rPr>
        <w:tab/>
        <w:t>Organization of subregional cooperation events for countries of Eastern-Europe and the Caucasus (with EU4Environment programme funding); and in Central Asia (in cooperation with the Organisation for Security and Co-operation in Europe, and with funding from Germany),</w:t>
      </w:r>
    </w:p>
    <w:p w14:paraId="22F4E87A" w14:textId="77777777" w:rsidR="00A603CF" w:rsidRPr="00223859" w:rsidRDefault="00A603CF" w:rsidP="00A603CF">
      <w:pPr>
        <w:pStyle w:val="SingleTxtG"/>
        <w:ind w:firstLine="567"/>
        <w:rPr>
          <w:lang w:eastAsia="en-US"/>
        </w:rPr>
      </w:pPr>
      <w:r w:rsidRPr="00223859">
        <w:rPr>
          <w:lang w:eastAsia="en-US"/>
        </w:rPr>
        <w:t>(d)</w:t>
      </w:r>
      <w:r w:rsidRPr="00223859">
        <w:rPr>
          <w:lang w:eastAsia="en-US"/>
        </w:rPr>
        <w:tab/>
        <w:t>Preparation of national action plans for introducing strategic environmental assessment and organization of related national awareness-raising events for Kazakhstan, Kyrgyzstan, Tajikistan, Turkmenistan and Uzbekistan (in cooperation with the Organisation for Security and Co-operation in Europe, and with funding from Germany),</w:t>
      </w:r>
    </w:p>
    <w:p w14:paraId="2887528F" w14:textId="77777777" w:rsidR="00A603CF" w:rsidRPr="00223859" w:rsidRDefault="00A603CF" w:rsidP="00A603CF">
      <w:pPr>
        <w:pStyle w:val="SingleTxtG"/>
        <w:rPr>
          <w:lang w:eastAsia="en-US"/>
        </w:rPr>
      </w:pPr>
      <w:r w:rsidRPr="00223859">
        <w:rPr>
          <w:i/>
          <w:lang w:eastAsia="en-US"/>
        </w:rPr>
        <w:tab/>
        <w:t>Recognizing</w:t>
      </w:r>
      <w:r w:rsidRPr="00223859">
        <w:rPr>
          <w:lang w:eastAsia="en-US"/>
        </w:rPr>
        <w:t xml:space="preserve"> that wide, fully compliant and effective application of the obligations arising from the Convention and the Protocol is essential for the achievement of the objectives of those treaties,</w:t>
      </w:r>
    </w:p>
    <w:p w14:paraId="6A77014D" w14:textId="77777777" w:rsidR="00A603CF" w:rsidRPr="00223859" w:rsidRDefault="00A603CF" w:rsidP="00A603CF">
      <w:pPr>
        <w:pStyle w:val="SingleTxtG"/>
        <w:rPr>
          <w:lang w:eastAsia="en-US"/>
        </w:rPr>
      </w:pPr>
      <w:r w:rsidRPr="00223859">
        <w:rPr>
          <w:i/>
          <w:iCs/>
          <w:lang w:eastAsia="en-US"/>
        </w:rPr>
        <w:tab/>
        <w:t>Expressing appreciation</w:t>
      </w:r>
      <w:r w:rsidRPr="00223859">
        <w:rPr>
          <w:lang w:eastAsia="en-US"/>
        </w:rPr>
        <w:t>, therefore, for the considerable and continuing growth in the number of Parties to the Convention and the Protocol, the frequency of the treaties’ application and the activities under their workplans since their respective entries into force, expecting that the scope of the instruments will further expand with the Convention’s anticipated global opening,</w:t>
      </w:r>
    </w:p>
    <w:p w14:paraId="7279E081" w14:textId="3D3B101D" w:rsidR="00A603CF" w:rsidRPr="00B4388B" w:rsidRDefault="00A603CF" w:rsidP="00A603CF">
      <w:pPr>
        <w:pStyle w:val="SingleTxtG"/>
        <w:rPr>
          <w:lang w:eastAsia="en-US"/>
        </w:rPr>
      </w:pPr>
      <w:r w:rsidRPr="00223859">
        <w:rPr>
          <w:i/>
          <w:lang w:eastAsia="en-US"/>
        </w:rPr>
        <w:tab/>
      </w:r>
      <w:r w:rsidRPr="00223859">
        <w:rPr>
          <w:i/>
          <w:iCs/>
          <w:lang w:eastAsia="en-US"/>
        </w:rPr>
        <w:t xml:space="preserve">Wishing </w:t>
      </w:r>
      <w:r w:rsidRPr="00223859">
        <w:rPr>
          <w:lang w:eastAsia="en-US"/>
        </w:rPr>
        <w:t>to establish a workplan that supports the strategic goals and priority objectives set out in the long-term strategy and the action plan adopted through decision VIII/3–IV/3, namely: full and effective implementation of the Convention and the Protocol; increased impact by addressing new national, regional and global challenges; and wider implementation of the Convention and the Protocol within and beyond the ECE region,</w:t>
      </w:r>
      <w:r w:rsidR="00472CC2">
        <w:rPr>
          <w:rFonts w:ascii="ZWAdobeF" w:hAnsi="ZWAdobeF" w:cs="ZWAdobeF"/>
          <w:sz w:val="2"/>
          <w:szCs w:val="2"/>
          <w:lang w:eastAsia="en-US"/>
        </w:rPr>
        <w:t>3F</w:t>
      </w:r>
      <w:r w:rsidRPr="00C161F3">
        <w:rPr>
          <w:sz w:val="18"/>
          <w:vertAlign w:val="superscript"/>
          <w:lang w:val="fr-CH" w:eastAsia="en-US"/>
        </w:rPr>
        <w:footnoteReference w:id="5"/>
      </w:r>
    </w:p>
    <w:p w14:paraId="48A6A688" w14:textId="77777777" w:rsidR="00A603CF" w:rsidRPr="00B4388B" w:rsidRDefault="00A603CF" w:rsidP="00A603CF">
      <w:pPr>
        <w:pStyle w:val="SingleTxtG"/>
        <w:rPr>
          <w:lang w:eastAsia="en-US"/>
        </w:rPr>
      </w:pPr>
      <w:r w:rsidRPr="00B4388B">
        <w:rPr>
          <w:lang w:eastAsia="en-US"/>
        </w:rPr>
        <w:tab/>
      </w:r>
      <w:r w:rsidRPr="00B4388B">
        <w:rPr>
          <w:i/>
          <w:lang w:eastAsia="en-US"/>
        </w:rPr>
        <w:t>Wishing</w:t>
      </w:r>
      <w:r w:rsidRPr="00B4388B">
        <w:rPr>
          <w:lang w:eastAsia="en-US"/>
        </w:rPr>
        <w:t xml:space="preserve"> </w:t>
      </w:r>
      <w:r w:rsidRPr="00B4388B">
        <w:rPr>
          <w:i/>
          <w:iCs/>
          <w:lang w:eastAsia="en-US"/>
        </w:rPr>
        <w:t>also</w:t>
      </w:r>
      <w:r w:rsidRPr="00B4388B">
        <w:rPr>
          <w:lang w:eastAsia="en-US"/>
        </w:rPr>
        <w:t xml:space="preserve"> to establish a realistic and feasible workplan by ensuring in advance sufficient funding for its implementation,</w:t>
      </w:r>
    </w:p>
    <w:p w14:paraId="3C4F7803" w14:textId="003B624D" w:rsidR="00A603CF" w:rsidRPr="00B4388B" w:rsidRDefault="00A603CF" w:rsidP="00A603CF">
      <w:pPr>
        <w:pStyle w:val="SingleTxtG"/>
        <w:rPr>
          <w:iCs/>
          <w:lang w:eastAsia="en-US"/>
        </w:rPr>
      </w:pPr>
      <w:r w:rsidRPr="00B4388B">
        <w:rPr>
          <w:i/>
          <w:lang w:eastAsia="en-US"/>
        </w:rPr>
        <w:tab/>
      </w:r>
      <w:bookmarkStart w:id="7" w:name="_Hlk127431104"/>
      <w:r w:rsidRPr="00B4388B">
        <w:rPr>
          <w:i/>
          <w:iCs/>
          <w:lang w:eastAsia="en-US"/>
        </w:rPr>
        <w:t xml:space="preserve">Recognizing </w:t>
      </w:r>
      <w:r w:rsidRPr="00B4388B">
        <w:rPr>
          <w:lang w:eastAsia="en-US"/>
        </w:rPr>
        <w:t>the secretariat’s essential role in supporting, coordinating and promoting intergovernmental work under the Convention and the Protocol and their joint workplan, as well as in furthering accessions to the two treaties,</w:t>
      </w:r>
    </w:p>
    <w:p w14:paraId="4FBBE54E" w14:textId="65F19704" w:rsidR="00A603CF" w:rsidRPr="00B4388B" w:rsidRDefault="00A603CF" w:rsidP="00A603CF">
      <w:pPr>
        <w:pStyle w:val="SingleTxtG"/>
        <w:rPr>
          <w:iCs/>
          <w:lang w:eastAsia="en-US"/>
        </w:rPr>
      </w:pPr>
      <w:r w:rsidRPr="00B4388B">
        <w:rPr>
          <w:i/>
          <w:iCs/>
          <w:lang w:eastAsia="en-US"/>
        </w:rPr>
        <w:tab/>
        <w:t xml:space="preserve">Acknowledging </w:t>
      </w:r>
      <w:r w:rsidRPr="00B4388B">
        <w:rPr>
          <w:lang w:eastAsia="en-US"/>
        </w:rPr>
        <w:t>that the Parties’ offer of secretariat resources – of only one staff member since 2001 – no longer suffices for the proper fulfilment of the secretariat’s significantly increased number of tasks</w:t>
      </w:r>
      <w:bookmarkStart w:id="8" w:name="_Hlk127434008"/>
      <w:r w:rsidRPr="00B4388B">
        <w:rPr>
          <w:lang w:eastAsia="en-US"/>
        </w:rPr>
        <w:t>,</w:t>
      </w:r>
      <w:bookmarkEnd w:id="7"/>
    </w:p>
    <w:bookmarkEnd w:id="8"/>
    <w:p w14:paraId="7658AF7C" w14:textId="77777777" w:rsidR="00A603CF" w:rsidRPr="004A51A3" w:rsidRDefault="00A603CF" w:rsidP="00A603CF">
      <w:pPr>
        <w:pStyle w:val="SingleTxtG"/>
        <w:ind w:firstLine="567"/>
        <w:rPr>
          <w:lang w:eastAsia="en-US"/>
        </w:rPr>
      </w:pPr>
      <w:r w:rsidRPr="00B4388B">
        <w:rPr>
          <w:lang w:eastAsia="en-US"/>
        </w:rPr>
        <w:t>1.</w:t>
      </w:r>
      <w:r w:rsidRPr="00B4388B">
        <w:rPr>
          <w:lang w:eastAsia="en-US"/>
        </w:rPr>
        <w:tab/>
      </w:r>
      <w:r w:rsidRPr="00B4388B">
        <w:rPr>
          <w:i/>
          <w:lang w:eastAsia="en-US"/>
        </w:rPr>
        <w:t>Adopt</w:t>
      </w:r>
      <w:r w:rsidRPr="00B4388B">
        <w:rPr>
          <w:lang w:eastAsia="en-US"/>
        </w:rPr>
        <w:t xml:space="preserve"> the workplan for the period 2024</w:t>
      </w:r>
      <w:r w:rsidRPr="004A51A3">
        <w:rPr>
          <w:rFonts w:ascii="Symbol" w:eastAsia="Symbol" w:hAnsi="Symbol" w:cs="Symbol"/>
          <w:lang w:eastAsia="en-US"/>
        </w:rPr>
        <w:t>-</w:t>
      </w:r>
      <w:r w:rsidRPr="004A51A3">
        <w:rPr>
          <w:lang w:eastAsia="en-US"/>
        </w:rPr>
        <w:t>2026 and the estimated resource requirements for its implementation, as set out in annexes I and II, respectively, to the present decision;</w:t>
      </w:r>
    </w:p>
    <w:p w14:paraId="43511332" w14:textId="77777777" w:rsidR="00A603CF" w:rsidRPr="004A51A3" w:rsidRDefault="00A603CF" w:rsidP="00A603CF">
      <w:pPr>
        <w:pStyle w:val="SingleTxtG"/>
        <w:ind w:firstLine="567"/>
        <w:rPr>
          <w:lang w:eastAsia="en-US"/>
        </w:rPr>
      </w:pPr>
      <w:r w:rsidRPr="004A51A3">
        <w:rPr>
          <w:iCs/>
          <w:lang w:eastAsia="en-US"/>
        </w:rPr>
        <w:t>[2.</w:t>
      </w:r>
      <w:r w:rsidRPr="004A51A3">
        <w:rPr>
          <w:iCs/>
          <w:lang w:eastAsia="en-US"/>
        </w:rPr>
        <w:tab/>
      </w:r>
      <w:r w:rsidRPr="004A51A3">
        <w:rPr>
          <w:i/>
          <w:iCs/>
          <w:lang w:eastAsia="en-US"/>
        </w:rPr>
        <w:t xml:space="preserve">Note </w:t>
      </w:r>
      <w:r w:rsidRPr="004A51A3">
        <w:rPr>
          <w:lang w:eastAsia="en-US"/>
        </w:rPr>
        <w:t>a list of activities set out in annex III to the present decision awaiting appropriate financial and human resources, and invite Parties, and other stakeholders to actively seek opportunities for ensuring their financing and implementation];</w:t>
      </w:r>
    </w:p>
    <w:p w14:paraId="185A356A" w14:textId="77777777" w:rsidR="00A603CF" w:rsidRPr="004A51A3" w:rsidRDefault="00A603CF" w:rsidP="00A603CF">
      <w:pPr>
        <w:pStyle w:val="SingleTxtG"/>
        <w:ind w:firstLine="567"/>
        <w:rPr>
          <w:lang w:eastAsia="en-US"/>
        </w:rPr>
      </w:pPr>
      <w:r w:rsidRPr="004A51A3">
        <w:rPr>
          <w:lang w:eastAsia="en-US"/>
        </w:rPr>
        <w:t>3.</w:t>
      </w:r>
      <w:r w:rsidRPr="004A51A3">
        <w:rPr>
          <w:lang w:eastAsia="en-US"/>
        </w:rPr>
        <w:tab/>
      </w:r>
      <w:r w:rsidRPr="004A51A3">
        <w:rPr>
          <w:i/>
          <w:iCs/>
          <w:lang w:eastAsia="en-US"/>
        </w:rPr>
        <w:t xml:space="preserve">Agree </w:t>
      </w:r>
      <w:r w:rsidRPr="004A51A3">
        <w:rPr>
          <w:lang w:eastAsia="en-US"/>
        </w:rPr>
        <w:t>that all the Parties should fund the workplan estimated resource requirements in accordance with decision IX/1–V/1 on financial arrangements for 2024–2026;</w:t>
      </w:r>
    </w:p>
    <w:p w14:paraId="57BFEB96" w14:textId="77777777" w:rsidR="00A603CF" w:rsidRPr="004A51A3" w:rsidRDefault="00A603CF" w:rsidP="00A603CF">
      <w:pPr>
        <w:pStyle w:val="SingleTxtG"/>
        <w:ind w:firstLine="567"/>
        <w:rPr>
          <w:lang w:eastAsia="en-US"/>
        </w:rPr>
      </w:pPr>
      <w:r w:rsidRPr="004A51A3">
        <w:rPr>
          <w:iCs/>
          <w:lang w:eastAsia="en-US"/>
        </w:rPr>
        <w:t>4.</w:t>
      </w:r>
      <w:r w:rsidRPr="004A51A3">
        <w:rPr>
          <w:iCs/>
          <w:lang w:eastAsia="en-US"/>
        </w:rPr>
        <w:tab/>
      </w:r>
      <w:r w:rsidRPr="004A51A3">
        <w:rPr>
          <w:i/>
          <w:lang w:eastAsia="en-US"/>
        </w:rPr>
        <w:t>Invite</w:t>
      </w:r>
      <w:r w:rsidRPr="004A51A3">
        <w:rPr>
          <w:lang w:eastAsia="en-US"/>
        </w:rPr>
        <w:t xml:space="preserve"> the Parties to upgrade the resources for the workplan’s implementation, including by collectively financing at least one additional Professional post and part-time administrative support for the secretariat; </w:t>
      </w:r>
    </w:p>
    <w:p w14:paraId="78BDCFA7" w14:textId="77777777" w:rsidR="00A603CF" w:rsidRPr="004A51A3" w:rsidRDefault="00A603CF" w:rsidP="00A603CF">
      <w:pPr>
        <w:pStyle w:val="SingleTxtG"/>
        <w:ind w:firstLine="567"/>
        <w:rPr>
          <w:lang w:eastAsia="en-US"/>
        </w:rPr>
      </w:pPr>
      <w:r w:rsidRPr="004A51A3">
        <w:rPr>
          <w:lang w:eastAsia="en-US"/>
        </w:rPr>
        <w:t>5.</w:t>
      </w:r>
      <w:r w:rsidRPr="004A51A3">
        <w:rPr>
          <w:lang w:eastAsia="en-US"/>
        </w:rPr>
        <w:tab/>
      </w:r>
      <w:r w:rsidRPr="004A51A3">
        <w:rPr>
          <w:i/>
          <w:iCs/>
          <w:lang w:eastAsia="en-US"/>
        </w:rPr>
        <w:t>Acknowledge</w:t>
      </w:r>
      <w:r w:rsidRPr="004A51A3">
        <w:rPr>
          <w:lang w:eastAsia="en-US"/>
        </w:rPr>
        <w:t xml:space="preserve"> that, pending receipt of the required additional resources, only a reduced amount of activities and secretariat support can be delivered under the two treaties and their workplan; </w:t>
      </w:r>
    </w:p>
    <w:p w14:paraId="24D424AB" w14:textId="77777777" w:rsidR="00A603CF" w:rsidRPr="004A51A3" w:rsidRDefault="00A603CF" w:rsidP="00A603CF">
      <w:pPr>
        <w:pStyle w:val="SingleTxtG"/>
        <w:ind w:firstLine="567"/>
        <w:rPr>
          <w:lang w:eastAsia="en-US"/>
        </w:rPr>
      </w:pPr>
      <w:r w:rsidRPr="004A51A3">
        <w:rPr>
          <w:lang w:eastAsia="en-US"/>
        </w:rPr>
        <w:lastRenderedPageBreak/>
        <w:t>6.</w:t>
      </w:r>
      <w:r w:rsidRPr="004A51A3">
        <w:rPr>
          <w:lang w:eastAsia="en-US"/>
        </w:rPr>
        <w:tab/>
      </w:r>
      <w:r w:rsidRPr="004A51A3">
        <w:rPr>
          <w:i/>
          <w:iCs/>
          <w:lang w:eastAsia="en-US"/>
        </w:rPr>
        <w:t xml:space="preserve">Note </w:t>
      </w:r>
      <w:r w:rsidRPr="004A51A3">
        <w:rPr>
          <w:lang w:eastAsia="en-US"/>
        </w:rPr>
        <w:t xml:space="preserve">that, for the current period, technical assistance and capacity-building previously provided by the secretariat will not be available, due to the lack of dedicated project funding and secretariat staff for further fundraising and project preparation;   </w:t>
      </w:r>
    </w:p>
    <w:p w14:paraId="798F7648" w14:textId="77777777" w:rsidR="00A603CF" w:rsidRPr="004A51A3" w:rsidRDefault="00A603CF" w:rsidP="00A603CF">
      <w:pPr>
        <w:pStyle w:val="SingleTxtG"/>
        <w:ind w:firstLine="567"/>
        <w:rPr>
          <w:lang w:eastAsia="en-US"/>
        </w:rPr>
      </w:pPr>
      <w:r w:rsidRPr="004A51A3">
        <w:rPr>
          <w:lang w:eastAsia="en-US"/>
        </w:rPr>
        <w:t>7.</w:t>
      </w:r>
      <w:r w:rsidRPr="004A51A3">
        <w:rPr>
          <w:lang w:eastAsia="en-US"/>
        </w:rPr>
        <w:tab/>
      </w:r>
      <w:r w:rsidRPr="004A51A3">
        <w:rPr>
          <w:i/>
          <w:iCs/>
          <w:lang w:eastAsia="en-US"/>
        </w:rPr>
        <w:t>Call</w:t>
      </w:r>
      <w:r w:rsidRPr="004A51A3">
        <w:rPr>
          <w:lang w:eastAsia="en-US"/>
        </w:rPr>
        <w:t xml:space="preserve"> </w:t>
      </w:r>
      <w:r w:rsidRPr="004A51A3">
        <w:rPr>
          <w:i/>
          <w:iCs/>
          <w:lang w:eastAsia="en-US"/>
        </w:rPr>
        <w:t>on</w:t>
      </w:r>
      <w:r w:rsidRPr="004A51A3">
        <w:rPr>
          <w:lang w:eastAsia="en-US"/>
        </w:rPr>
        <w:t xml:space="preserve"> the Parties, and also invite non-Parties, to arrange, host and actively participate in seminars, workshops and meetings, and to provide capacity-building support bilaterally to beneficiary countries to facilitate implementation of, compliance with and accession to the Convention and the Protocol;</w:t>
      </w:r>
    </w:p>
    <w:p w14:paraId="0FB990E9" w14:textId="77777777" w:rsidR="00A603CF" w:rsidRPr="004A51A3" w:rsidRDefault="00A603CF" w:rsidP="00A603CF">
      <w:pPr>
        <w:pStyle w:val="SingleTxtG"/>
        <w:ind w:firstLine="567"/>
        <w:rPr>
          <w:lang w:eastAsia="en-US"/>
        </w:rPr>
      </w:pPr>
      <w:r w:rsidRPr="004A51A3">
        <w:rPr>
          <w:iCs/>
          <w:lang w:eastAsia="en-US"/>
        </w:rPr>
        <w:t>8.</w:t>
      </w:r>
      <w:r w:rsidRPr="004A51A3">
        <w:rPr>
          <w:iCs/>
          <w:lang w:eastAsia="en-US"/>
        </w:rPr>
        <w:tab/>
      </w:r>
      <w:r w:rsidRPr="004A51A3">
        <w:rPr>
          <w:i/>
          <w:lang w:eastAsia="en-US"/>
        </w:rPr>
        <w:t>Invite</w:t>
      </w:r>
      <w:r w:rsidRPr="004A51A3">
        <w:rPr>
          <w:lang w:eastAsia="en-US"/>
        </w:rPr>
        <w:t xml:space="preserve"> relevant bodies or agencies, whether national or international, governmental or non-governmental and, possibly, researchers and consultants for agreed activities, to actively participate in the activities included in the workplan, where appropriate;</w:t>
      </w:r>
    </w:p>
    <w:p w14:paraId="5CF8EBB9" w14:textId="618E59B0" w:rsidR="00A603CF" w:rsidRPr="004A51A3" w:rsidRDefault="00A603CF" w:rsidP="00A603CF">
      <w:pPr>
        <w:pStyle w:val="SingleTxtG"/>
        <w:ind w:firstLine="567"/>
        <w:rPr>
          <w:lang w:eastAsia="en-US"/>
        </w:rPr>
      </w:pPr>
      <w:r w:rsidRPr="004A51A3">
        <w:rPr>
          <w:iCs/>
          <w:lang w:eastAsia="en-US"/>
        </w:rPr>
        <w:t>9.</w:t>
      </w:r>
      <w:r w:rsidRPr="004A51A3">
        <w:rPr>
          <w:iCs/>
          <w:lang w:eastAsia="en-US"/>
        </w:rPr>
        <w:tab/>
      </w:r>
      <w:r w:rsidRPr="004A51A3">
        <w:rPr>
          <w:i/>
          <w:lang w:eastAsia="en-US"/>
        </w:rPr>
        <w:t>Invite</w:t>
      </w:r>
      <w:r w:rsidRPr="004A51A3">
        <w:rPr>
          <w:lang w:eastAsia="en-US"/>
        </w:rPr>
        <w:t xml:space="preserve"> the Executive Secretary of the United Nations Economic Commission for Europe (ECE) to continue supporting the work under the Convention and the Protocol, by promoting the workplan activities and providing formal documentation for and ensuring publication of the outcomes of those activities in the three official languages of ECE, as appropriate and within the limits of the resources available. Publications subject to global outreach should be processed and translated by the United Nations Conference Services and made available in the six official languages of the United Nations;</w:t>
      </w:r>
      <w:bookmarkStart w:id="9" w:name="_Hlk51065225"/>
    </w:p>
    <w:p w14:paraId="5477F112" w14:textId="77777777" w:rsidR="00A603CF" w:rsidRPr="004A51A3" w:rsidRDefault="00A603CF" w:rsidP="00A603CF">
      <w:pPr>
        <w:pStyle w:val="SingleTxtG"/>
        <w:ind w:firstLine="567"/>
        <w:rPr>
          <w:lang w:eastAsia="en-US"/>
        </w:rPr>
      </w:pPr>
      <w:r w:rsidRPr="004A51A3">
        <w:rPr>
          <w:lang w:eastAsia="en-US"/>
        </w:rPr>
        <w:t>10.</w:t>
      </w:r>
      <w:r w:rsidRPr="004A51A3">
        <w:rPr>
          <w:lang w:eastAsia="en-US"/>
        </w:rPr>
        <w:tab/>
      </w:r>
      <w:r w:rsidRPr="004A51A3">
        <w:rPr>
          <w:i/>
          <w:iCs/>
          <w:lang w:eastAsia="en-US"/>
        </w:rPr>
        <w:t>Decide</w:t>
      </w:r>
      <w:r w:rsidRPr="004A51A3">
        <w:rPr>
          <w:lang w:eastAsia="en-US"/>
        </w:rPr>
        <w:t xml:space="preserve"> that, during the intersessional period extending until the next sessions </w:t>
      </w:r>
      <w:bookmarkStart w:id="10" w:name="_Hlk51065205"/>
      <w:r w:rsidRPr="004A51A3">
        <w:rPr>
          <w:lang w:eastAsia="en-US"/>
        </w:rPr>
        <w:t>of the Meetings of the Parties to the Convention and the Protocol (preliminarily scheduled for December 2026), and depending on the availability of resources, the Working Group on Environmental Impact Assessment and Strategic Environmental Assessment should meet up to [two][three] times (initially in [2024,] 2025 and 2026) and that the Implementation Committee should hold up to nine sessions in total, meeting up to three times a year;</w:t>
      </w:r>
    </w:p>
    <w:bookmarkEnd w:id="9"/>
    <w:p w14:paraId="186829B7" w14:textId="77777777" w:rsidR="00A603CF" w:rsidRPr="004A51A3" w:rsidRDefault="00A603CF" w:rsidP="00A603CF">
      <w:pPr>
        <w:pStyle w:val="SingleTxtG"/>
        <w:ind w:firstLine="567"/>
        <w:rPr>
          <w:lang w:eastAsia="en-US"/>
        </w:rPr>
      </w:pPr>
      <w:r w:rsidRPr="004A51A3">
        <w:rPr>
          <w:iCs/>
          <w:lang w:eastAsia="en-US"/>
        </w:rPr>
        <w:t>11.</w:t>
      </w:r>
      <w:r w:rsidRPr="004A51A3">
        <w:rPr>
          <w:iCs/>
          <w:lang w:eastAsia="en-US"/>
        </w:rPr>
        <w:tab/>
      </w:r>
      <w:r w:rsidRPr="004A51A3">
        <w:rPr>
          <w:i/>
          <w:lang w:eastAsia="en-US"/>
        </w:rPr>
        <w:t>R</w:t>
      </w:r>
      <w:r w:rsidRPr="004A51A3">
        <w:rPr>
          <w:i/>
          <w:iCs/>
          <w:lang w:eastAsia="en-US"/>
        </w:rPr>
        <w:t>equest</w:t>
      </w:r>
      <w:r w:rsidRPr="004A51A3">
        <w:rPr>
          <w:lang w:eastAsia="en-US"/>
        </w:rPr>
        <w:t xml:space="preserve"> the secretariat, within the limits of its resources, to prepare the provisional agendas and other formal documentation for and reports on the meetings referred to in paragraph 10 above;</w:t>
      </w:r>
    </w:p>
    <w:p w14:paraId="6F1513B7" w14:textId="77777777" w:rsidR="00A603CF" w:rsidRPr="004A51A3" w:rsidRDefault="00A603CF" w:rsidP="00A603CF">
      <w:pPr>
        <w:pStyle w:val="SingleTxtG"/>
        <w:ind w:firstLine="567"/>
        <w:rPr>
          <w:lang w:eastAsia="en-US"/>
        </w:rPr>
      </w:pPr>
      <w:r w:rsidRPr="004A51A3">
        <w:rPr>
          <w:lang w:eastAsia="en-US"/>
        </w:rPr>
        <w:t>12.</w:t>
      </w:r>
      <w:r w:rsidRPr="004A51A3">
        <w:rPr>
          <w:lang w:eastAsia="en-US"/>
        </w:rPr>
        <w:tab/>
      </w:r>
      <w:r w:rsidRPr="004A51A3">
        <w:rPr>
          <w:i/>
          <w:iCs/>
          <w:lang w:eastAsia="en-US"/>
        </w:rPr>
        <w:t>Also</w:t>
      </w:r>
      <w:r w:rsidRPr="004A51A3">
        <w:rPr>
          <w:lang w:eastAsia="en-US"/>
        </w:rPr>
        <w:t xml:space="preserve"> </w:t>
      </w:r>
      <w:r w:rsidRPr="004A51A3">
        <w:rPr>
          <w:i/>
          <w:iCs/>
          <w:lang w:eastAsia="en-US"/>
        </w:rPr>
        <w:t xml:space="preserve">request </w:t>
      </w:r>
      <w:r w:rsidRPr="004A51A3">
        <w:rPr>
          <w:lang w:eastAsia="en-US"/>
        </w:rPr>
        <w:t xml:space="preserve">the secretariat, within the limits of its resources, to first present relevant documentation informally to the Bureau for its prior agreement, involving convening and reporting on up to </w:t>
      </w:r>
      <w:r>
        <w:rPr>
          <w:lang w:eastAsia="en-US"/>
        </w:rPr>
        <w:t>[three][</w:t>
      </w:r>
      <w:r w:rsidRPr="004A51A3">
        <w:rPr>
          <w:lang w:eastAsia="en-US"/>
        </w:rPr>
        <w:t>four</w:t>
      </w:r>
      <w:r>
        <w:rPr>
          <w:lang w:eastAsia="en-US"/>
        </w:rPr>
        <w:t>]</w:t>
      </w:r>
      <w:r w:rsidRPr="004A51A3">
        <w:rPr>
          <w:lang w:eastAsia="en-US"/>
        </w:rPr>
        <w:t xml:space="preserve"> Bureau meetings in the intersessional period;</w:t>
      </w:r>
    </w:p>
    <w:p w14:paraId="16A24334" w14:textId="77777777" w:rsidR="00A603CF" w:rsidRPr="004A51A3" w:rsidRDefault="00A603CF" w:rsidP="00A603CF">
      <w:pPr>
        <w:pStyle w:val="SingleTxtG"/>
        <w:ind w:firstLine="567"/>
        <w:rPr>
          <w:lang w:eastAsia="en-US"/>
        </w:rPr>
      </w:pPr>
      <w:bookmarkStart w:id="11" w:name="_Hlk51261551"/>
      <w:r w:rsidRPr="004A51A3">
        <w:rPr>
          <w:lang w:eastAsia="en-US"/>
        </w:rPr>
        <w:t>13.</w:t>
      </w:r>
      <w:r w:rsidRPr="004A51A3">
        <w:rPr>
          <w:lang w:eastAsia="en-US"/>
        </w:rPr>
        <w:tab/>
      </w:r>
      <w:r w:rsidRPr="004A51A3">
        <w:rPr>
          <w:i/>
          <w:iCs/>
          <w:lang w:eastAsia="en-US"/>
        </w:rPr>
        <w:t xml:space="preserve">Encourage </w:t>
      </w:r>
      <w:r w:rsidRPr="004A51A3">
        <w:rPr>
          <w:lang w:eastAsia="en-US"/>
        </w:rPr>
        <w:t>Parties to make every effort to communicate proposed amendments to the formal documentation three weeks before the meeting at which they are discussed, in order to facilitate the preparation and coordination by other Parties of their corresponding views and the achievement of a consensus by all Parties;</w:t>
      </w:r>
    </w:p>
    <w:p w14:paraId="69F8CEC5" w14:textId="766982FC" w:rsidR="00A603CF" w:rsidRPr="004A51A3" w:rsidRDefault="00A603CF" w:rsidP="00A603CF">
      <w:pPr>
        <w:pStyle w:val="SingleTxtG"/>
        <w:ind w:firstLine="567"/>
        <w:rPr>
          <w:lang w:eastAsia="en-US"/>
        </w:rPr>
      </w:pPr>
      <w:bookmarkStart w:id="12" w:name="_Hlk146124289"/>
      <w:bookmarkEnd w:id="11"/>
      <w:r w:rsidRPr="004A51A3">
        <w:rPr>
          <w:lang w:eastAsia="en-US"/>
        </w:rPr>
        <w:t>14.</w:t>
      </w:r>
      <w:r w:rsidRPr="004A51A3">
        <w:rPr>
          <w:lang w:eastAsia="en-US"/>
        </w:rPr>
        <w:tab/>
      </w:r>
      <w:r w:rsidRPr="004A51A3">
        <w:rPr>
          <w:i/>
          <w:iCs/>
          <w:lang w:eastAsia="en-US"/>
        </w:rPr>
        <w:t xml:space="preserve">Decide </w:t>
      </w:r>
      <w:r w:rsidRPr="004A51A3">
        <w:rPr>
          <w:lang w:eastAsia="en-US"/>
        </w:rPr>
        <w:t xml:space="preserve">that </w:t>
      </w:r>
      <w:bookmarkStart w:id="13" w:name="_Hlk51067291"/>
      <w:r w:rsidRPr="004A51A3">
        <w:rPr>
          <w:lang w:eastAsia="en-US"/>
        </w:rPr>
        <w:t xml:space="preserve">the Bureau and the Working Group </w:t>
      </w:r>
      <w:bookmarkEnd w:id="13"/>
      <w:r w:rsidRPr="004A51A3">
        <w:rPr>
          <w:lang w:eastAsia="en-US"/>
        </w:rPr>
        <w:t xml:space="preserve">should </w:t>
      </w:r>
      <w:r>
        <w:rPr>
          <w:lang w:eastAsia="en-US"/>
        </w:rPr>
        <w:t xml:space="preserve">report to </w:t>
      </w:r>
      <w:r w:rsidRPr="004A51A3">
        <w:rPr>
          <w:lang w:eastAsia="en-US"/>
        </w:rPr>
        <w:t>the Meetings of the Parties to the Convention and the Protocol at their next sessions</w:t>
      </w:r>
      <w:r>
        <w:rPr>
          <w:lang w:eastAsia="en-US"/>
        </w:rPr>
        <w:t xml:space="preserve"> on the implementation of the present workplan as well as </w:t>
      </w:r>
      <w:r w:rsidRPr="004A51A3">
        <w:rPr>
          <w:lang w:eastAsia="en-US"/>
        </w:rPr>
        <w:t xml:space="preserve">agree on a new workplan and corresponding draft decision for the next intersessional period for adoption </w:t>
      </w:r>
      <w:r>
        <w:rPr>
          <w:lang w:eastAsia="en-US"/>
        </w:rPr>
        <w:t>at said sessions</w:t>
      </w:r>
      <w:bookmarkStart w:id="14" w:name="_Hlk51064003"/>
      <w:r w:rsidRPr="004A51A3">
        <w:rPr>
          <w:lang w:eastAsia="en-US"/>
        </w:rPr>
        <w:t>;</w:t>
      </w:r>
      <w:bookmarkEnd w:id="14"/>
      <w:r w:rsidRPr="004A51A3">
        <w:rPr>
          <w:lang w:eastAsia="en-US"/>
        </w:rPr>
        <w:t xml:space="preserve"> </w:t>
      </w:r>
    </w:p>
    <w:bookmarkEnd w:id="10"/>
    <w:bookmarkEnd w:id="12"/>
    <w:p w14:paraId="09215434" w14:textId="77777777" w:rsidR="00A603CF" w:rsidRDefault="00A603CF" w:rsidP="00A603CF">
      <w:pPr>
        <w:pStyle w:val="SingleTxtG"/>
        <w:ind w:firstLine="567"/>
        <w:rPr>
          <w:lang w:eastAsia="en-US"/>
        </w:rPr>
      </w:pPr>
      <w:r w:rsidRPr="004A51A3">
        <w:rPr>
          <w:iCs/>
          <w:lang w:eastAsia="en-US"/>
        </w:rPr>
        <w:t>15.</w:t>
      </w:r>
      <w:r w:rsidRPr="004A51A3">
        <w:rPr>
          <w:iCs/>
          <w:lang w:eastAsia="en-US"/>
        </w:rPr>
        <w:tab/>
      </w:r>
      <w:r w:rsidRPr="004A51A3">
        <w:rPr>
          <w:i/>
          <w:lang w:eastAsia="en-US"/>
        </w:rPr>
        <w:t>Agree</w:t>
      </w:r>
      <w:r w:rsidRPr="004A51A3">
        <w:rPr>
          <w:lang w:eastAsia="en-US"/>
        </w:rPr>
        <w:t xml:space="preserve"> that, as a rule, the sessions of the Meetings of Parties shall take place in Geneva, unless otherwise decided by the Parties based on an offer of a contracting Party to host the sessions.</w:t>
      </w:r>
    </w:p>
    <w:p w14:paraId="640590A0" w14:textId="77777777" w:rsidR="00C01580" w:rsidRDefault="00C01580" w:rsidP="00A603CF">
      <w:pPr>
        <w:pStyle w:val="SingleTxtG"/>
        <w:ind w:left="1418"/>
        <w:sectPr w:rsidR="00C01580" w:rsidSect="00A603CF">
          <w:headerReference w:type="first" r:id="rId17"/>
          <w:footerReference w:type="first" r:id="rId18"/>
          <w:footnotePr>
            <w:numRestart w:val="eachSect"/>
          </w:footnotePr>
          <w:endnotePr>
            <w:numFmt w:val="decimal"/>
          </w:endnotePr>
          <w:pgSz w:w="11907" w:h="16840" w:code="9"/>
          <w:pgMar w:top="1418" w:right="1134" w:bottom="1134" w:left="1134" w:header="680" w:footer="567" w:gutter="0"/>
          <w:cols w:space="720"/>
          <w:titlePg/>
          <w:docGrid w:linePitch="272"/>
        </w:sectPr>
      </w:pPr>
    </w:p>
    <w:p w14:paraId="52B6BFA2" w14:textId="77777777" w:rsidR="006467D8" w:rsidRDefault="009C6C76" w:rsidP="006467D8">
      <w:pPr>
        <w:pStyle w:val="HChG"/>
        <w:rPr>
          <w:lang w:eastAsia="en-US"/>
        </w:rPr>
      </w:pPr>
      <w:r>
        <w:rPr>
          <w:lang w:eastAsia="en-US"/>
        </w:rPr>
        <w:lastRenderedPageBreak/>
        <w:tab/>
      </w:r>
      <w:r w:rsidR="00C01580" w:rsidRPr="00650915">
        <w:rPr>
          <w:lang w:eastAsia="en-US"/>
        </w:rPr>
        <w:t>Annex I</w:t>
      </w:r>
      <w:bookmarkStart w:id="15" w:name="_Hlk63884266"/>
    </w:p>
    <w:p w14:paraId="649D77D2" w14:textId="44EAEB3E" w:rsidR="00C01580" w:rsidRPr="001F783F" w:rsidRDefault="006467D8" w:rsidP="006467D8">
      <w:pPr>
        <w:pStyle w:val="HChG"/>
        <w:rPr>
          <w:lang w:eastAsia="en-US"/>
        </w:rPr>
      </w:pPr>
      <w:r>
        <w:rPr>
          <w:lang w:eastAsia="en-US"/>
        </w:rPr>
        <w:tab/>
      </w:r>
      <w:r w:rsidR="00B20D55">
        <w:rPr>
          <w:lang w:eastAsia="en-US"/>
        </w:rPr>
        <w:tab/>
      </w:r>
      <w:r w:rsidR="00C01580" w:rsidRPr="001F783F">
        <w:rPr>
          <w:lang w:eastAsia="en-US"/>
        </w:rPr>
        <w:t>Draft workplan for 2024–2026</w:t>
      </w:r>
      <w:bookmarkEnd w:id="15"/>
    </w:p>
    <w:p w14:paraId="080A98E5" w14:textId="77777777" w:rsidR="00C01580" w:rsidRPr="001F783F" w:rsidRDefault="00C01580" w:rsidP="009C6C76">
      <w:pPr>
        <w:pStyle w:val="HChG"/>
        <w:rPr>
          <w:lang w:eastAsia="en-US"/>
        </w:rPr>
      </w:pPr>
      <w:r w:rsidRPr="001F783F">
        <w:rPr>
          <w:lang w:eastAsia="en-US"/>
        </w:rPr>
        <w:tab/>
        <w:t>I.</w:t>
      </w:r>
      <w:r w:rsidRPr="001F783F">
        <w:rPr>
          <w:lang w:eastAsia="en-US"/>
        </w:rPr>
        <w:tab/>
      </w:r>
      <w:r w:rsidRPr="009C6C76">
        <w:t>Facilitation</w:t>
      </w:r>
      <w:r w:rsidRPr="001F783F">
        <w:rPr>
          <w:lang w:eastAsia="en-US"/>
        </w:rPr>
        <w:t>, coordination and visibility of intersessional activities</w:t>
      </w:r>
    </w:p>
    <w:p w14:paraId="1998485C" w14:textId="77777777" w:rsidR="00C01580" w:rsidRPr="001F783F" w:rsidRDefault="00C01580" w:rsidP="008E7EBB">
      <w:pPr>
        <w:pStyle w:val="SingleTxtG"/>
        <w:rPr>
          <w:lang w:eastAsia="en-US"/>
        </w:rPr>
      </w:pPr>
      <w:r w:rsidRPr="001F783F">
        <w:rPr>
          <w:lang w:eastAsia="en-US"/>
        </w:rPr>
        <w:t>This work area is necessary for the functioning of the Convention and the Protocol, and the conduct, coordination and visibility of the activities carried out towards the achievement of the objectives of those two treaties. It contains the following categories of activity:</w:t>
      </w:r>
    </w:p>
    <w:p w14:paraId="021CA99F" w14:textId="77777777" w:rsidR="00C01580" w:rsidRPr="001F783F" w:rsidRDefault="00C01580" w:rsidP="00C01580">
      <w:pPr>
        <w:pStyle w:val="SingleTxtG"/>
        <w:ind w:firstLine="567"/>
        <w:rPr>
          <w:lang w:eastAsia="en-US"/>
        </w:rPr>
      </w:pPr>
      <w:r w:rsidRPr="001F783F">
        <w:rPr>
          <w:lang w:eastAsia="en-US"/>
        </w:rPr>
        <w:t>(a)</w:t>
      </w:r>
      <w:r w:rsidRPr="001F783F">
        <w:rPr>
          <w:lang w:eastAsia="en-US"/>
        </w:rPr>
        <w:tab/>
      </w:r>
      <w:bookmarkStart w:id="16" w:name="_Hlk127121119"/>
      <w:bookmarkStart w:id="17" w:name="_Hlk127352755"/>
      <w:r w:rsidRPr="001F783F">
        <w:rPr>
          <w:lang w:eastAsia="en-US"/>
        </w:rPr>
        <w:t>Facilitating intergovernmental</w:t>
      </w:r>
      <w:bookmarkEnd w:id="16"/>
      <w:r w:rsidRPr="001F783F">
        <w:rPr>
          <w:lang w:eastAsia="en-US"/>
        </w:rPr>
        <w:t xml:space="preserve"> action</w:t>
      </w:r>
      <w:bookmarkEnd w:id="17"/>
      <w:r w:rsidRPr="001F783F">
        <w:rPr>
          <w:lang w:eastAsia="en-US"/>
        </w:rPr>
        <w:t xml:space="preserve">; </w:t>
      </w:r>
    </w:p>
    <w:p w14:paraId="20A3F515" w14:textId="77777777" w:rsidR="00C01580" w:rsidRPr="001F783F" w:rsidRDefault="00C01580" w:rsidP="00C01580">
      <w:pPr>
        <w:pStyle w:val="SingleTxtG"/>
        <w:ind w:firstLine="567"/>
        <w:rPr>
          <w:lang w:eastAsia="en-US"/>
        </w:rPr>
      </w:pPr>
      <w:r w:rsidRPr="001F783F">
        <w:rPr>
          <w:lang w:eastAsia="en-US"/>
        </w:rPr>
        <w:t>(b)</w:t>
      </w:r>
      <w:r w:rsidRPr="001F783F">
        <w:rPr>
          <w:lang w:eastAsia="en-US"/>
        </w:rPr>
        <w:tab/>
        <w:t>Communication, visibility and coordination;</w:t>
      </w:r>
    </w:p>
    <w:p w14:paraId="4CFDE293" w14:textId="77777777" w:rsidR="00C01580" w:rsidRPr="001F783F" w:rsidRDefault="00C01580" w:rsidP="00C01580">
      <w:pPr>
        <w:pStyle w:val="SingleTxtG"/>
        <w:ind w:firstLine="567"/>
        <w:rPr>
          <w:lang w:eastAsia="en-US"/>
        </w:rPr>
      </w:pPr>
      <w:r w:rsidRPr="001F783F">
        <w:rPr>
          <w:lang w:eastAsia="en-US"/>
        </w:rPr>
        <w:t>(c)</w:t>
      </w:r>
      <w:r w:rsidRPr="001F783F">
        <w:rPr>
          <w:lang w:eastAsia="en-US"/>
        </w:rPr>
        <w:tab/>
        <w:t>General programme management.</w:t>
      </w:r>
    </w:p>
    <w:p w14:paraId="42E9F7DF" w14:textId="77777777" w:rsidR="00C01580" w:rsidRPr="001F783F" w:rsidRDefault="00C01580" w:rsidP="00C01580">
      <w:pPr>
        <w:pStyle w:val="H1G"/>
        <w:rPr>
          <w:lang w:eastAsia="en-US"/>
        </w:rPr>
      </w:pPr>
      <w:r w:rsidRPr="001F783F">
        <w:rPr>
          <w:lang w:eastAsia="en-US"/>
        </w:rPr>
        <w:tab/>
        <w:t>A.</w:t>
      </w:r>
      <w:r w:rsidRPr="001F783F">
        <w:rPr>
          <w:lang w:eastAsia="en-US"/>
        </w:rPr>
        <w:tab/>
        <w:t>Facilitating intergovernmental action</w:t>
      </w:r>
    </w:p>
    <w:p w14:paraId="24D6F104" w14:textId="191BCF66" w:rsidR="00C01580" w:rsidRPr="001F783F" w:rsidRDefault="00C01580" w:rsidP="00C01580">
      <w:pPr>
        <w:pStyle w:val="SingleTxtG"/>
        <w:rPr>
          <w:lang w:eastAsia="en-US"/>
        </w:rPr>
      </w:pPr>
      <w:r w:rsidRPr="001F783F">
        <w:rPr>
          <w:lang w:eastAsia="en-US"/>
        </w:rPr>
        <w:t>The Meetings of the Parties are the decision-making bodies of the Convention and its Protocol that exercise their functions as specified in article 11 of the Convention and in article 13 of the Protocol, in accordance with the applicable rules of procedure.</w:t>
      </w:r>
      <w:r w:rsidR="00472CC2">
        <w:rPr>
          <w:rFonts w:ascii="ZWAdobeF" w:hAnsi="ZWAdobeF" w:cs="ZWAdobeF"/>
          <w:sz w:val="2"/>
          <w:szCs w:val="2"/>
          <w:lang w:eastAsia="en-US"/>
        </w:rPr>
        <w:t>4F</w:t>
      </w:r>
      <w:r w:rsidRPr="001F783F">
        <w:rPr>
          <w:sz w:val="18"/>
          <w:vertAlign w:val="superscript"/>
          <w:lang w:val="fr-CH" w:eastAsia="en-US"/>
        </w:rPr>
        <w:footnoteReference w:id="6"/>
      </w:r>
      <w:r w:rsidRPr="001F783F">
        <w:rPr>
          <w:lang w:eastAsia="en-US"/>
        </w:rPr>
        <w:t xml:space="preserve"> The Bureau and  the Working Group </w:t>
      </w:r>
      <w:bookmarkStart w:id="18" w:name="_Hlk127356775"/>
      <w:r w:rsidRPr="001F783F">
        <w:rPr>
          <w:lang w:eastAsia="en-US"/>
        </w:rPr>
        <w:t xml:space="preserve">on Environmental Impact Assessment and Strategic Environmental Assessment </w:t>
      </w:r>
      <w:bookmarkEnd w:id="18"/>
      <w:r w:rsidRPr="001F783F">
        <w:rPr>
          <w:lang w:eastAsia="en-US"/>
        </w:rPr>
        <w:t>are subsidiary bodies to the Meetings of the Parties, assisting them in reviewing the implementation of the Convention and the Protocol, managing their joint workplan and budget, and making recommendations on further work necessary to ensure the treaties’ effective implementation.</w:t>
      </w:r>
      <w:r w:rsidR="00472CC2">
        <w:rPr>
          <w:rFonts w:ascii="ZWAdobeF" w:hAnsi="ZWAdobeF" w:cs="ZWAdobeF"/>
          <w:sz w:val="2"/>
          <w:szCs w:val="2"/>
          <w:lang w:eastAsia="en-US"/>
        </w:rPr>
        <w:t>5F</w:t>
      </w:r>
      <w:r w:rsidRPr="001F783F">
        <w:rPr>
          <w:sz w:val="18"/>
          <w:vertAlign w:val="superscript"/>
          <w:lang w:val="fr-CH" w:eastAsia="en-US"/>
        </w:rPr>
        <w:footnoteReference w:id="7"/>
      </w:r>
    </w:p>
    <w:p w14:paraId="64E8F979" w14:textId="5AF03A05" w:rsidR="00C01580" w:rsidRPr="001F783F" w:rsidRDefault="00C01580" w:rsidP="00C01580">
      <w:pPr>
        <w:pStyle w:val="SingleTxtG"/>
        <w:rPr>
          <w:lang w:eastAsia="en-US"/>
        </w:rPr>
      </w:pPr>
      <w:r w:rsidRPr="001F783F">
        <w:rPr>
          <w:lang w:eastAsia="en-US"/>
        </w:rPr>
        <w:t>The secretariat’s core functions consist of convening and preparing the sessions of the Meetings of the Parties and the meetings of their joint subsidiary bodies, preparing documents and related follow-up in the intersessional period.</w:t>
      </w:r>
      <w:r w:rsidR="00472CC2">
        <w:rPr>
          <w:rFonts w:ascii="ZWAdobeF" w:hAnsi="ZWAdobeF" w:cs="ZWAdobeF"/>
          <w:sz w:val="2"/>
          <w:szCs w:val="2"/>
          <w:lang w:eastAsia="en-US"/>
        </w:rPr>
        <w:t>6F</w:t>
      </w:r>
      <w:r w:rsidRPr="001F783F">
        <w:rPr>
          <w:sz w:val="18"/>
          <w:vertAlign w:val="superscript"/>
          <w:lang w:val="fr-CH" w:eastAsia="en-US"/>
        </w:rPr>
        <w:footnoteReference w:id="8"/>
      </w:r>
      <w:bookmarkStart w:id="19" w:name="_Hlk127356826"/>
    </w:p>
    <w:bookmarkEnd w:id="19"/>
    <w:p w14:paraId="58B77AAF" w14:textId="77777777" w:rsidR="00C01580" w:rsidRPr="001F783F" w:rsidRDefault="00C01580" w:rsidP="00C01580">
      <w:pPr>
        <w:pStyle w:val="SingleTxtG"/>
        <w:rPr>
          <w:lang w:eastAsia="en-US"/>
        </w:rPr>
      </w:pPr>
      <w:r w:rsidRPr="001F783F">
        <w:rPr>
          <w:lang w:eastAsia="en-US"/>
        </w:rPr>
        <w:t>Delegates’ participation in treaty body meetings will: build knowledge-sharing and capacities related to the treaties’ implementation; and enable participants to network and explore options for enhancing that implementation. Support to travel of participants from countries eligible for financial support allows for their full and effective participation in meetings, resulting in an inclusive and representative decision-making process, increased legitimacy of the decisions adopted and greater commitment to decisions taken.</w:t>
      </w:r>
    </w:p>
    <w:p w14:paraId="11EA82B7" w14:textId="77777777" w:rsidR="00C01580" w:rsidRPr="001F783F" w:rsidRDefault="00C01580" w:rsidP="00C01580">
      <w:pPr>
        <w:pStyle w:val="H4G"/>
        <w:rPr>
          <w:lang w:eastAsia="en-US"/>
        </w:rPr>
      </w:pPr>
      <w:bookmarkStart w:id="20" w:name="_Hlk31980276"/>
      <w:r w:rsidRPr="001F783F">
        <w:rPr>
          <w:lang w:eastAsia="en-US"/>
        </w:rPr>
        <w:tab/>
      </w:r>
      <w:r w:rsidRPr="001F783F">
        <w:rPr>
          <w:lang w:eastAsia="en-US"/>
        </w:rPr>
        <w:tab/>
        <w:t>Activities</w:t>
      </w:r>
      <w:r w:rsidRPr="001F783F">
        <w:rPr>
          <w:iCs/>
          <w:lang w:eastAsia="en-US"/>
        </w:rPr>
        <w:t>:</w:t>
      </w:r>
    </w:p>
    <w:p w14:paraId="6CA5529C" w14:textId="77777777" w:rsidR="00C01580" w:rsidRPr="001F783F" w:rsidRDefault="00C01580" w:rsidP="00C01580">
      <w:pPr>
        <w:pStyle w:val="SingleTxtG"/>
        <w:rPr>
          <w:lang w:eastAsia="en-US"/>
        </w:rPr>
      </w:pPr>
      <w:r w:rsidRPr="001F783F">
        <w:rPr>
          <w:lang w:eastAsia="en-US"/>
        </w:rPr>
        <w:t>1.</w:t>
      </w:r>
      <w:r w:rsidRPr="001F783F">
        <w:rPr>
          <w:lang w:eastAsia="en-US"/>
        </w:rPr>
        <w:tab/>
        <w:t xml:space="preserve">Sessions of the Meetings of the Parties to the Convention and the Protocol (initially in November/December 2026); </w:t>
      </w:r>
    </w:p>
    <w:p w14:paraId="1D5F2A5A" w14:textId="77777777" w:rsidR="00C01580" w:rsidRPr="001F783F" w:rsidRDefault="00C01580" w:rsidP="00C01580">
      <w:pPr>
        <w:pStyle w:val="SingleTxtG"/>
        <w:rPr>
          <w:lang w:eastAsia="en-US"/>
        </w:rPr>
      </w:pPr>
      <w:r w:rsidRPr="001F783F">
        <w:rPr>
          <w:lang w:eastAsia="en-US"/>
        </w:rPr>
        <w:t>2.</w:t>
      </w:r>
      <w:r w:rsidRPr="001F783F">
        <w:rPr>
          <w:lang w:eastAsia="en-US"/>
        </w:rPr>
        <w:tab/>
        <w:t xml:space="preserve">Up to </w:t>
      </w:r>
      <w:r>
        <w:rPr>
          <w:lang w:eastAsia="en-US"/>
        </w:rPr>
        <w:t>[three][</w:t>
      </w:r>
      <w:r w:rsidRPr="001F783F">
        <w:rPr>
          <w:lang w:eastAsia="en-US"/>
        </w:rPr>
        <w:t>four</w:t>
      </w:r>
      <w:r>
        <w:rPr>
          <w:lang w:eastAsia="en-US"/>
        </w:rPr>
        <w:t>]</w:t>
      </w:r>
      <w:r w:rsidRPr="001F783F">
        <w:rPr>
          <w:lang w:eastAsia="en-US"/>
        </w:rPr>
        <w:t xml:space="preserve"> Bureau meetings (initially in </w:t>
      </w:r>
      <w:r>
        <w:rPr>
          <w:lang w:eastAsia="en-US"/>
        </w:rPr>
        <w:t>[</w:t>
      </w:r>
      <w:r w:rsidRPr="001F783F">
        <w:rPr>
          <w:lang w:eastAsia="en-US"/>
        </w:rPr>
        <w:t>2024,</w:t>
      </w:r>
      <w:r>
        <w:rPr>
          <w:lang w:eastAsia="en-US"/>
        </w:rPr>
        <w:t>]</w:t>
      </w:r>
      <w:r w:rsidRPr="001F783F">
        <w:rPr>
          <w:lang w:eastAsia="en-US"/>
        </w:rPr>
        <w:t xml:space="preserve"> 2025 and twice in 2026);</w:t>
      </w:r>
    </w:p>
    <w:p w14:paraId="66E885F3" w14:textId="77777777" w:rsidR="00C01580" w:rsidRPr="001F783F" w:rsidRDefault="00C01580" w:rsidP="00C01580">
      <w:pPr>
        <w:pStyle w:val="SingleTxtG"/>
        <w:rPr>
          <w:lang w:eastAsia="en-US"/>
        </w:rPr>
      </w:pPr>
      <w:r w:rsidRPr="001F783F">
        <w:rPr>
          <w:lang w:eastAsia="en-US"/>
        </w:rPr>
        <w:t>3.</w:t>
      </w:r>
      <w:r w:rsidRPr="001F783F">
        <w:rPr>
          <w:lang w:eastAsia="en-US"/>
        </w:rPr>
        <w:tab/>
        <w:t xml:space="preserve">Up to </w:t>
      </w:r>
      <w:r>
        <w:rPr>
          <w:lang w:eastAsia="en-US"/>
        </w:rPr>
        <w:t>[two][</w:t>
      </w:r>
      <w:r w:rsidRPr="001F783F">
        <w:rPr>
          <w:lang w:eastAsia="en-US"/>
        </w:rPr>
        <w:t>three</w:t>
      </w:r>
      <w:r>
        <w:rPr>
          <w:lang w:eastAsia="en-US"/>
        </w:rPr>
        <w:t>]</w:t>
      </w:r>
      <w:r w:rsidRPr="001F783F">
        <w:rPr>
          <w:lang w:eastAsia="en-US"/>
        </w:rPr>
        <w:t xml:space="preserve"> Working Group meetings (initially in late </w:t>
      </w:r>
      <w:r>
        <w:rPr>
          <w:lang w:eastAsia="en-US"/>
        </w:rPr>
        <w:t>[</w:t>
      </w:r>
      <w:r w:rsidRPr="001F783F">
        <w:rPr>
          <w:lang w:eastAsia="en-US"/>
        </w:rPr>
        <w:t>2024 and</w:t>
      </w:r>
      <w:r>
        <w:rPr>
          <w:lang w:eastAsia="en-US"/>
        </w:rPr>
        <w:t>]</w:t>
      </w:r>
      <w:r w:rsidRPr="001F783F">
        <w:rPr>
          <w:lang w:eastAsia="en-US"/>
        </w:rPr>
        <w:t xml:space="preserve"> 2025 and in mid-2026);</w:t>
      </w:r>
    </w:p>
    <w:p w14:paraId="0167B185" w14:textId="77777777" w:rsidR="00C01580" w:rsidRPr="001F783F" w:rsidRDefault="00C01580" w:rsidP="00C01580">
      <w:pPr>
        <w:pStyle w:val="SingleTxtG"/>
        <w:rPr>
          <w:lang w:eastAsia="en-US"/>
        </w:rPr>
      </w:pPr>
      <w:r w:rsidRPr="001F783F">
        <w:rPr>
          <w:lang w:eastAsia="en-US"/>
        </w:rPr>
        <w:t>4.</w:t>
      </w:r>
      <w:r w:rsidRPr="001F783F">
        <w:rPr>
          <w:lang w:eastAsia="en-US"/>
        </w:rPr>
        <w:tab/>
        <w:t>Secretariat support to the above-mentioned official treaty bodies and their meetings:</w:t>
      </w:r>
    </w:p>
    <w:bookmarkEnd w:id="20"/>
    <w:p w14:paraId="0211E08F" w14:textId="77777777" w:rsidR="00C01580" w:rsidRPr="001F783F" w:rsidRDefault="00C01580" w:rsidP="00C01580">
      <w:pPr>
        <w:pStyle w:val="SingleTxtG"/>
        <w:ind w:firstLine="567"/>
        <w:rPr>
          <w:lang w:eastAsia="en-US"/>
        </w:rPr>
      </w:pPr>
      <w:r w:rsidRPr="001F783F">
        <w:rPr>
          <w:lang w:eastAsia="en-US"/>
        </w:rPr>
        <w:t>(a)</w:t>
      </w:r>
      <w:r w:rsidRPr="001F783F">
        <w:rPr>
          <w:lang w:eastAsia="en-US"/>
        </w:rPr>
        <w:tab/>
        <w:t>Prepare, edit, translate and publish on the website agendas and official meeting documents and prepare and publish informal meeting documents;</w:t>
      </w:r>
    </w:p>
    <w:p w14:paraId="02E08BFF" w14:textId="77777777" w:rsidR="00C01580" w:rsidRPr="001F783F" w:rsidRDefault="00C01580" w:rsidP="00C01580">
      <w:pPr>
        <w:pStyle w:val="SingleTxtG"/>
        <w:ind w:firstLine="567"/>
        <w:rPr>
          <w:lang w:eastAsia="en-US"/>
        </w:rPr>
      </w:pPr>
      <w:r w:rsidRPr="001F783F">
        <w:rPr>
          <w:lang w:eastAsia="en-US"/>
        </w:rPr>
        <w:t>(b)</w:t>
      </w:r>
      <w:r w:rsidRPr="001F783F">
        <w:rPr>
          <w:lang w:eastAsia="en-US"/>
        </w:rPr>
        <w:tab/>
        <w:t xml:space="preserve">Send out invitations and information; </w:t>
      </w:r>
    </w:p>
    <w:p w14:paraId="7B675D88" w14:textId="77777777" w:rsidR="00C01580" w:rsidRPr="001F783F" w:rsidRDefault="00C01580" w:rsidP="00C01580">
      <w:pPr>
        <w:pStyle w:val="SingleTxtG"/>
        <w:ind w:firstLine="567"/>
        <w:rPr>
          <w:lang w:eastAsia="en-US"/>
        </w:rPr>
      </w:pPr>
      <w:r w:rsidRPr="001F783F">
        <w:rPr>
          <w:lang w:eastAsia="en-US"/>
        </w:rPr>
        <w:lastRenderedPageBreak/>
        <w:t>(c)</w:t>
      </w:r>
      <w:r w:rsidRPr="001F783F">
        <w:rPr>
          <w:lang w:eastAsia="en-US"/>
        </w:rPr>
        <w:tab/>
        <w:t>As relevant, support the organization by lead countries or organizations of thematic events or side events;</w:t>
      </w:r>
    </w:p>
    <w:p w14:paraId="477C1C32" w14:textId="77777777" w:rsidR="00C01580" w:rsidRPr="001F783F" w:rsidRDefault="00C01580" w:rsidP="00C01580">
      <w:pPr>
        <w:pStyle w:val="SingleTxtG"/>
        <w:ind w:firstLine="567"/>
        <w:rPr>
          <w:lang w:eastAsia="en-US"/>
        </w:rPr>
      </w:pPr>
      <w:r w:rsidRPr="001F783F">
        <w:rPr>
          <w:lang w:eastAsia="en-US"/>
        </w:rPr>
        <w:t>(d)</w:t>
      </w:r>
      <w:r w:rsidRPr="001F783F">
        <w:rPr>
          <w:lang w:eastAsia="en-US"/>
        </w:rPr>
        <w:tab/>
        <w:t>Register participants and organize travel for funded participants and, as needed, facilitate obtention of visas;</w:t>
      </w:r>
    </w:p>
    <w:p w14:paraId="7F52795C" w14:textId="77777777" w:rsidR="00C01580" w:rsidRPr="00934833" w:rsidRDefault="00C01580" w:rsidP="00C01580">
      <w:pPr>
        <w:pStyle w:val="SingleTxtG"/>
        <w:ind w:firstLine="567"/>
        <w:rPr>
          <w:lang w:eastAsia="en-US"/>
        </w:rPr>
      </w:pPr>
      <w:r w:rsidRPr="00934833">
        <w:rPr>
          <w:lang w:eastAsia="en-US"/>
        </w:rPr>
        <w:t>(e)</w:t>
      </w:r>
      <w:r w:rsidRPr="00934833">
        <w:rPr>
          <w:lang w:eastAsia="en-US"/>
        </w:rPr>
        <w:tab/>
        <w:t>Support officers of the meeting, including by preparing briefing notes;</w:t>
      </w:r>
    </w:p>
    <w:p w14:paraId="1A06BE67" w14:textId="77777777" w:rsidR="00C01580" w:rsidRPr="00934833" w:rsidRDefault="00C01580" w:rsidP="00C01580">
      <w:pPr>
        <w:pStyle w:val="SingleTxtG"/>
        <w:ind w:firstLine="567"/>
        <w:rPr>
          <w:lang w:eastAsia="en-US"/>
        </w:rPr>
      </w:pPr>
      <w:r w:rsidRPr="00934833">
        <w:rPr>
          <w:lang w:eastAsia="en-US"/>
        </w:rPr>
        <w:t>(f)</w:t>
      </w:r>
      <w:r w:rsidRPr="00934833">
        <w:rPr>
          <w:lang w:eastAsia="en-US"/>
        </w:rPr>
        <w:tab/>
        <w:t>Organize logistics (related to meeting venue and United Nations security);</w:t>
      </w:r>
    </w:p>
    <w:p w14:paraId="0FC33230" w14:textId="77777777" w:rsidR="00C01580" w:rsidRPr="00934833" w:rsidRDefault="00C01580" w:rsidP="00C01580">
      <w:pPr>
        <w:pStyle w:val="SingleTxtG"/>
        <w:ind w:firstLine="567"/>
        <w:rPr>
          <w:lang w:eastAsia="en-US"/>
        </w:rPr>
      </w:pPr>
      <w:r w:rsidRPr="00934833">
        <w:rPr>
          <w:lang w:eastAsia="en-US"/>
        </w:rPr>
        <w:t>(g)</w:t>
      </w:r>
      <w:r w:rsidRPr="00934833">
        <w:rPr>
          <w:lang w:eastAsia="en-US"/>
        </w:rPr>
        <w:tab/>
        <w:t xml:space="preserve">As relevant, collect and record credentials; </w:t>
      </w:r>
    </w:p>
    <w:p w14:paraId="4E691AD4" w14:textId="77777777" w:rsidR="00C01580" w:rsidRPr="00934833" w:rsidRDefault="00C01580" w:rsidP="00C01580">
      <w:pPr>
        <w:pStyle w:val="SingleTxtG"/>
        <w:ind w:firstLine="567"/>
        <w:rPr>
          <w:lang w:eastAsia="en-US"/>
        </w:rPr>
      </w:pPr>
      <w:r w:rsidRPr="00934833">
        <w:rPr>
          <w:lang w:eastAsia="en-US"/>
        </w:rPr>
        <w:t>(h)</w:t>
      </w:r>
      <w:r w:rsidRPr="00934833">
        <w:rPr>
          <w:lang w:eastAsia="en-US"/>
        </w:rPr>
        <w:tab/>
        <w:t>Provide conference services at the meeting;</w:t>
      </w:r>
    </w:p>
    <w:p w14:paraId="3137041E" w14:textId="4CEEB3F9" w:rsidR="00C01580" w:rsidRPr="00934833" w:rsidRDefault="00C01580" w:rsidP="00C01580">
      <w:pPr>
        <w:pStyle w:val="SingleTxtG"/>
        <w:ind w:firstLine="567"/>
        <w:rPr>
          <w:lang w:eastAsia="en-US"/>
        </w:rPr>
      </w:pPr>
      <w:r w:rsidRPr="00934833">
        <w:rPr>
          <w:lang w:eastAsia="en-US"/>
        </w:rPr>
        <w:t>(i)</w:t>
      </w:r>
      <w:r w:rsidRPr="00934833">
        <w:rPr>
          <w:lang w:eastAsia="en-US"/>
        </w:rPr>
        <w:tab/>
        <w:t>Provide interpretation at the meeting in the three ECE languages;</w:t>
      </w:r>
      <w:r w:rsidR="00472CC2">
        <w:rPr>
          <w:rFonts w:ascii="ZWAdobeF" w:hAnsi="ZWAdobeF" w:cs="ZWAdobeF"/>
          <w:sz w:val="2"/>
          <w:szCs w:val="2"/>
          <w:lang w:eastAsia="en-US"/>
        </w:rPr>
        <w:t>7F</w:t>
      </w:r>
      <w:r w:rsidRPr="00934833">
        <w:rPr>
          <w:sz w:val="18"/>
          <w:vertAlign w:val="superscript"/>
          <w:lang w:val="fr-CH" w:eastAsia="en-US"/>
        </w:rPr>
        <w:footnoteReference w:id="9"/>
      </w:r>
    </w:p>
    <w:p w14:paraId="26A5C938" w14:textId="77777777" w:rsidR="00C01580" w:rsidRPr="00934833" w:rsidRDefault="00C01580" w:rsidP="00C01580">
      <w:pPr>
        <w:pStyle w:val="SingleTxtG"/>
        <w:ind w:firstLine="567"/>
        <w:rPr>
          <w:lang w:eastAsia="en-US"/>
        </w:rPr>
      </w:pPr>
      <w:r w:rsidRPr="00934833">
        <w:rPr>
          <w:lang w:eastAsia="en-US"/>
        </w:rPr>
        <w:t>(j)</w:t>
      </w:r>
      <w:r w:rsidRPr="00934833">
        <w:rPr>
          <w:lang w:eastAsia="en-US"/>
        </w:rPr>
        <w:tab/>
        <w:t>Prepare, edit, translate and publish meeting reports;</w:t>
      </w:r>
    </w:p>
    <w:p w14:paraId="41252669" w14:textId="77777777" w:rsidR="00C01580" w:rsidRPr="00934833" w:rsidRDefault="00C01580" w:rsidP="00C01580">
      <w:pPr>
        <w:pStyle w:val="SingleTxtG"/>
        <w:ind w:firstLine="567"/>
        <w:rPr>
          <w:lang w:eastAsia="en-US"/>
        </w:rPr>
      </w:pPr>
      <w:r w:rsidRPr="00934833">
        <w:rPr>
          <w:lang w:eastAsia="en-US"/>
        </w:rPr>
        <w:t>(k)</w:t>
      </w:r>
      <w:r w:rsidRPr="00934833">
        <w:rPr>
          <w:lang w:eastAsia="en-US"/>
        </w:rPr>
        <w:tab/>
        <w:t>As relevant, prepare press releases/media coverage;</w:t>
      </w:r>
    </w:p>
    <w:p w14:paraId="493F6568" w14:textId="77777777" w:rsidR="00C01580" w:rsidRPr="00934833" w:rsidRDefault="00C01580" w:rsidP="00C01580">
      <w:pPr>
        <w:pStyle w:val="SingleTxtG"/>
        <w:ind w:firstLine="567"/>
        <w:rPr>
          <w:lang w:eastAsia="en-US"/>
        </w:rPr>
      </w:pPr>
      <w:r w:rsidRPr="00934833">
        <w:rPr>
          <w:lang w:eastAsia="en-US"/>
        </w:rPr>
        <w:t>(l)</w:t>
      </w:r>
      <w:r w:rsidRPr="00934833">
        <w:rPr>
          <w:lang w:eastAsia="en-US"/>
        </w:rPr>
        <w:tab/>
        <w:t>Follow up on decisions taken.</w:t>
      </w:r>
      <w:bookmarkStart w:id="21" w:name="_Hlk31980543"/>
      <w:bookmarkStart w:id="22" w:name="_Hlk31979642"/>
      <w:bookmarkStart w:id="23" w:name="_Hlk31984396"/>
    </w:p>
    <w:p w14:paraId="202229C4" w14:textId="77777777" w:rsidR="00C01580" w:rsidRPr="00934833" w:rsidRDefault="00C01580" w:rsidP="00C01580">
      <w:pPr>
        <w:pStyle w:val="H4G"/>
        <w:rPr>
          <w:lang w:eastAsia="en-US"/>
        </w:rPr>
      </w:pPr>
      <w:r>
        <w:rPr>
          <w:lang w:eastAsia="en-US"/>
        </w:rPr>
        <w:tab/>
      </w:r>
      <w:r>
        <w:rPr>
          <w:lang w:eastAsia="en-US"/>
        </w:rPr>
        <w:tab/>
      </w:r>
      <w:r w:rsidRPr="00934833">
        <w:rPr>
          <w:lang w:eastAsia="en-US"/>
        </w:rPr>
        <w:t>Entity(ies) responsible</w:t>
      </w:r>
      <w:r w:rsidRPr="00934833">
        <w:rPr>
          <w:iCs/>
          <w:lang w:eastAsia="en-US"/>
        </w:rPr>
        <w:t xml:space="preserve">: </w:t>
      </w:r>
    </w:p>
    <w:p w14:paraId="59A8F5A8" w14:textId="77777777" w:rsidR="00C01580" w:rsidRPr="00934833" w:rsidRDefault="00C01580" w:rsidP="00C01580">
      <w:pPr>
        <w:pStyle w:val="SingleTxtG"/>
        <w:ind w:firstLine="567"/>
        <w:rPr>
          <w:lang w:eastAsia="en-US"/>
        </w:rPr>
      </w:pPr>
      <w:r w:rsidRPr="00934833">
        <w:rPr>
          <w:lang w:eastAsia="en-US"/>
        </w:rPr>
        <w:t>(a)</w:t>
      </w:r>
      <w:r w:rsidRPr="00934833">
        <w:rPr>
          <w:lang w:eastAsia="en-US"/>
        </w:rPr>
        <w:tab/>
        <w:t>The Meetings of the Parties, the Working Group and the Bureau;</w:t>
      </w:r>
    </w:p>
    <w:p w14:paraId="41E50360" w14:textId="7C7B2F58" w:rsidR="00C01580" w:rsidRPr="00934833" w:rsidRDefault="00C01580" w:rsidP="00C01580">
      <w:pPr>
        <w:pStyle w:val="SingleTxtG"/>
        <w:ind w:firstLine="567"/>
        <w:rPr>
          <w:lang w:eastAsia="en-US"/>
        </w:rPr>
      </w:pPr>
      <w:r w:rsidRPr="00934833">
        <w:rPr>
          <w:lang w:eastAsia="en-US"/>
        </w:rPr>
        <w:t>(b)</w:t>
      </w:r>
      <w:r w:rsidRPr="00934833">
        <w:rPr>
          <w:lang w:eastAsia="en-US"/>
        </w:rPr>
        <w:tab/>
        <w:t>The secretariat</w:t>
      </w:r>
      <w:bookmarkEnd w:id="21"/>
      <w:r w:rsidRPr="00934833">
        <w:rPr>
          <w:lang w:eastAsia="en-US"/>
        </w:rPr>
        <w:t>, within the limits of its resources,</w:t>
      </w:r>
      <w:r w:rsidR="00472CC2">
        <w:rPr>
          <w:rFonts w:ascii="ZWAdobeF" w:hAnsi="ZWAdobeF" w:cs="ZWAdobeF"/>
          <w:sz w:val="2"/>
          <w:szCs w:val="2"/>
          <w:lang w:eastAsia="en-US"/>
        </w:rPr>
        <w:t>8F</w:t>
      </w:r>
      <w:r w:rsidRPr="00934833">
        <w:rPr>
          <w:vertAlign w:val="superscript"/>
          <w:lang w:eastAsia="en-US"/>
        </w:rPr>
        <w:footnoteReference w:id="10"/>
      </w:r>
      <w:r w:rsidRPr="00934833">
        <w:rPr>
          <w:lang w:eastAsia="en-US"/>
        </w:rPr>
        <w:t xml:space="preserve"> and, whenever needed, in consultation with the Bureau; </w:t>
      </w:r>
      <w:bookmarkEnd w:id="22"/>
    </w:p>
    <w:p w14:paraId="09BF4F72" w14:textId="77777777" w:rsidR="00C01580" w:rsidRPr="00934833" w:rsidRDefault="00C01580" w:rsidP="00C01580">
      <w:pPr>
        <w:pStyle w:val="SingleTxtG"/>
        <w:ind w:firstLine="567"/>
        <w:rPr>
          <w:lang w:eastAsia="en-US"/>
        </w:rPr>
      </w:pPr>
      <w:r w:rsidRPr="00934833">
        <w:rPr>
          <w:lang w:eastAsia="en-US"/>
        </w:rPr>
        <w:t>(c)</w:t>
      </w:r>
      <w:r w:rsidRPr="00934833">
        <w:rPr>
          <w:lang w:eastAsia="en-US"/>
        </w:rPr>
        <w:tab/>
        <w:t>For sessions of the Meetings of the Parties hosted by a Party, the host country is responsible for the organizational aspects (and their costs) – in accordance with a detailed host country agreement to be concluded with the secretariat;</w:t>
      </w:r>
    </w:p>
    <w:p w14:paraId="0B578C87" w14:textId="77777777" w:rsidR="00C01580" w:rsidRPr="00934833" w:rsidRDefault="00C01580" w:rsidP="00C01580">
      <w:pPr>
        <w:pStyle w:val="SingleTxtG"/>
        <w:ind w:firstLine="567"/>
        <w:rPr>
          <w:lang w:eastAsia="en-US"/>
        </w:rPr>
      </w:pPr>
      <w:r w:rsidRPr="00934833">
        <w:rPr>
          <w:lang w:eastAsia="en-US"/>
        </w:rPr>
        <w:t>(d)</w:t>
      </w:r>
      <w:r w:rsidRPr="00934833">
        <w:rPr>
          <w:lang w:eastAsia="en-US"/>
        </w:rPr>
        <w:tab/>
        <w:t xml:space="preserve">Lead countries or organizations, for the organization of any thematic events held during or on the margins of the meetings. </w:t>
      </w:r>
    </w:p>
    <w:p w14:paraId="38B6CECA" w14:textId="77777777" w:rsidR="00C01580" w:rsidRPr="00934833" w:rsidRDefault="00C01580" w:rsidP="00C01580">
      <w:pPr>
        <w:pStyle w:val="SingleTxtG"/>
        <w:rPr>
          <w:lang w:eastAsia="en-US"/>
        </w:rPr>
      </w:pPr>
      <w:r w:rsidRPr="00934833">
        <w:rPr>
          <w:i/>
          <w:iCs/>
          <w:lang w:eastAsia="en-US"/>
        </w:rPr>
        <w:t xml:space="preserve">Resource requirements: </w:t>
      </w:r>
      <w:r w:rsidRPr="00934833">
        <w:rPr>
          <w:lang w:eastAsia="en-US"/>
        </w:rPr>
        <w:t>Professional and support staff of the secretariat</w:t>
      </w:r>
      <w:bookmarkEnd w:id="23"/>
      <w:r w:rsidRPr="00934833">
        <w:rPr>
          <w:lang w:eastAsia="en-US"/>
        </w:rPr>
        <w:t>. In-kind support for thematic events. Financial support for travel of eligible participants and experts (speakers). Travel support to representatives of non-ECE countries based on criteria to be developed by the Bureau. For any meetings held outside Geneva, as required, support for travel of the secretariat.</w:t>
      </w:r>
    </w:p>
    <w:p w14:paraId="5827FA9E" w14:textId="77777777" w:rsidR="00C01580" w:rsidRPr="00934833" w:rsidRDefault="00C01580" w:rsidP="00C01580">
      <w:pPr>
        <w:pStyle w:val="H1G"/>
        <w:rPr>
          <w:lang w:eastAsia="en-US"/>
        </w:rPr>
      </w:pPr>
      <w:r w:rsidRPr="00934833">
        <w:rPr>
          <w:lang w:eastAsia="en-US"/>
        </w:rPr>
        <w:tab/>
        <w:t>B.</w:t>
      </w:r>
      <w:r w:rsidRPr="00934833">
        <w:rPr>
          <w:lang w:eastAsia="en-US"/>
        </w:rPr>
        <w:tab/>
      </w:r>
      <w:bookmarkStart w:id="24" w:name="_Hlk36021677"/>
      <w:r w:rsidRPr="00934833">
        <w:rPr>
          <w:lang w:eastAsia="en-US"/>
        </w:rPr>
        <w:t>Communication, visibility and coordination</w:t>
      </w:r>
      <w:bookmarkEnd w:id="24"/>
    </w:p>
    <w:p w14:paraId="10C65412" w14:textId="77777777" w:rsidR="00C01580" w:rsidRPr="00934833" w:rsidRDefault="00C01580" w:rsidP="00C01580">
      <w:pPr>
        <w:pStyle w:val="H4G"/>
        <w:rPr>
          <w:lang w:eastAsia="en-US"/>
        </w:rPr>
      </w:pPr>
      <w:r w:rsidRPr="00934833">
        <w:rPr>
          <w:lang w:eastAsia="en-US"/>
        </w:rPr>
        <w:tab/>
      </w:r>
      <w:r w:rsidRPr="00934833">
        <w:rPr>
          <w:lang w:eastAsia="en-US"/>
        </w:rPr>
        <w:tab/>
      </w:r>
      <w:r w:rsidRPr="00934833">
        <w:rPr>
          <w:lang w:eastAsia="en-US"/>
        </w:rPr>
        <w:tab/>
        <w:t>Activities</w:t>
      </w:r>
      <w:r w:rsidRPr="00934833">
        <w:rPr>
          <w:iCs/>
          <w:lang w:eastAsia="en-US"/>
        </w:rPr>
        <w:t>:</w:t>
      </w:r>
    </w:p>
    <w:p w14:paraId="2393F3C2" w14:textId="77777777" w:rsidR="00C01580" w:rsidRPr="00934833" w:rsidRDefault="00C01580" w:rsidP="00C01580">
      <w:pPr>
        <w:pStyle w:val="SingleTxtG"/>
        <w:rPr>
          <w:lang w:eastAsia="en-US"/>
        </w:rPr>
      </w:pPr>
      <w:r w:rsidRPr="00934833">
        <w:rPr>
          <w:lang w:eastAsia="en-US"/>
        </w:rPr>
        <w:t>Consultation, cooperation and coordination are essential for Parties’ effective implementation of the Convention and its Protocol. The secretariat supports and promotes the treaties’ implementation through general communication and coordination tasks and ensuring the visibility of and access to information about the treaties and their activities. To this end, its core tasks include:</w:t>
      </w:r>
    </w:p>
    <w:p w14:paraId="7DFB1C4F" w14:textId="77777777" w:rsidR="00C01580" w:rsidRPr="00934833" w:rsidRDefault="00C01580" w:rsidP="00C01580">
      <w:pPr>
        <w:pStyle w:val="SingleTxtG"/>
        <w:ind w:firstLine="567"/>
        <w:rPr>
          <w:lang w:eastAsia="en-US"/>
        </w:rPr>
      </w:pPr>
      <w:r w:rsidRPr="00934833">
        <w:rPr>
          <w:lang w:eastAsia="en-US"/>
        </w:rPr>
        <w:t>(a)</w:t>
      </w:r>
      <w:r w:rsidRPr="00934833">
        <w:rPr>
          <w:lang w:eastAsia="en-US"/>
        </w:rPr>
        <w:tab/>
        <w:t>Liaising with focal points, stakeholders and relevant partner organizations within and outside the United Nations system, responding to any queries and raising awareness of the treaties and their activities;</w:t>
      </w:r>
    </w:p>
    <w:p w14:paraId="257A03CD" w14:textId="77777777" w:rsidR="00C01580" w:rsidRPr="00934833" w:rsidRDefault="00C01580" w:rsidP="00C01580">
      <w:pPr>
        <w:pStyle w:val="SingleTxtG"/>
        <w:ind w:firstLine="567"/>
        <w:rPr>
          <w:lang w:eastAsia="en-US"/>
        </w:rPr>
      </w:pPr>
      <w:r w:rsidRPr="00934833">
        <w:rPr>
          <w:lang w:eastAsia="en-US"/>
        </w:rPr>
        <w:lastRenderedPageBreak/>
        <w:t>(b)</w:t>
      </w:r>
      <w:r w:rsidRPr="00934833">
        <w:rPr>
          <w:lang w:eastAsia="en-US"/>
        </w:rPr>
        <w:tab/>
        <w:t>Ensuring visibility and access to up-to-date information and documents on the treaty website, including online databases of focal points for administrative matters and points of contact for notification under the Convention and the Protocol and online meeting calendars;</w:t>
      </w:r>
    </w:p>
    <w:p w14:paraId="54F0A81D" w14:textId="77777777" w:rsidR="00C01580" w:rsidRPr="00934833" w:rsidRDefault="00C01580" w:rsidP="00C01580">
      <w:pPr>
        <w:pStyle w:val="SingleTxtG"/>
        <w:ind w:firstLine="567"/>
        <w:rPr>
          <w:lang w:eastAsia="en-US"/>
        </w:rPr>
      </w:pPr>
      <w:r w:rsidRPr="00934833">
        <w:rPr>
          <w:lang w:eastAsia="en-US"/>
        </w:rPr>
        <w:t>(c)</w:t>
      </w:r>
      <w:r w:rsidRPr="00934833">
        <w:rPr>
          <w:lang w:eastAsia="en-US"/>
        </w:rPr>
        <w:tab/>
        <w:t>Coordinating implementation of workplan activities, including cooperating with other ECE multilateral environmental agreement secretariats and subprogrammes, and, subject to availability of resources, with other relevant United Nations bodies and international organizations and instruments, including regional sea conventions;</w:t>
      </w:r>
    </w:p>
    <w:p w14:paraId="2F6E35CE" w14:textId="77777777" w:rsidR="00C01580" w:rsidRPr="00934833" w:rsidRDefault="00C01580" w:rsidP="00C01580">
      <w:pPr>
        <w:pStyle w:val="SingleTxtG"/>
        <w:ind w:firstLine="567"/>
        <w:rPr>
          <w:lang w:eastAsia="en-US"/>
        </w:rPr>
      </w:pPr>
      <w:r w:rsidRPr="00934833">
        <w:rPr>
          <w:lang w:eastAsia="en-US"/>
        </w:rPr>
        <w:t>(d)</w:t>
      </w:r>
      <w:r w:rsidRPr="00934833">
        <w:rPr>
          <w:lang w:eastAsia="en-US"/>
        </w:rPr>
        <w:tab/>
        <w:t>Representing the Convention and the Protocol at relevant meetings and events, as needed, to promote and/or coordinate activities;</w:t>
      </w:r>
    </w:p>
    <w:p w14:paraId="3212EE70" w14:textId="77777777" w:rsidR="00C01580" w:rsidRPr="00934833" w:rsidRDefault="00C01580" w:rsidP="00C01580">
      <w:pPr>
        <w:pStyle w:val="SingleTxtG"/>
        <w:ind w:firstLine="567"/>
        <w:rPr>
          <w:lang w:eastAsia="en-US"/>
        </w:rPr>
      </w:pPr>
      <w:r w:rsidRPr="00934833">
        <w:rPr>
          <w:lang w:eastAsia="en-US"/>
        </w:rPr>
        <w:t>(e)</w:t>
      </w:r>
      <w:r w:rsidRPr="00934833">
        <w:rPr>
          <w:lang w:eastAsia="en-US"/>
        </w:rPr>
        <w:tab/>
        <w:t>Preparing correspondence and briefings for ECE senior management for high-level bilateral and multilateral meetings within and beyond the ECE region;</w:t>
      </w:r>
    </w:p>
    <w:p w14:paraId="1B5206EC" w14:textId="77777777" w:rsidR="00C01580" w:rsidRPr="00934833" w:rsidRDefault="00C01580" w:rsidP="00C01580">
      <w:pPr>
        <w:pStyle w:val="SingleTxtG"/>
        <w:ind w:firstLine="567"/>
        <w:rPr>
          <w:lang w:eastAsia="en-US"/>
        </w:rPr>
      </w:pPr>
      <w:r w:rsidRPr="00934833">
        <w:rPr>
          <w:lang w:eastAsia="en-US"/>
        </w:rPr>
        <w:t>(f)</w:t>
      </w:r>
      <w:r w:rsidRPr="00934833">
        <w:rPr>
          <w:lang w:eastAsia="en-US"/>
        </w:rPr>
        <w:tab/>
        <w:t>As needed, preparing press releases and other advocacy materials.</w:t>
      </w:r>
    </w:p>
    <w:p w14:paraId="34E0431B" w14:textId="1CD445A5" w:rsidR="00C01580" w:rsidRPr="00934833" w:rsidRDefault="00C01580" w:rsidP="00C01580">
      <w:pPr>
        <w:pStyle w:val="SingleTxtG"/>
        <w:rPr>
          <w:lang w:eastAsia="en-US"/>
        </w:rPr>
      </w:pPr>
      <w:r w:rsidRPr="00934833">
        <w:rPr>
          <w:i/>
          <w:iCs/>
          <w:lang w:eastAsia="en-US"/>
        </w:rPr>
        <w:t>Entity(ies) responsible</w:t>
      </w:r>
      <w:r w:rsidRPr="00934833">
        <w:rPr>
          <w:lang w:eastAsia="en-US"/>
        </w:rPr>
        <w:t>: The secretariat, within the limits of its resources,</w:t>
      </w:r>
      <w:r w:rsidR="00472CC2">
        <w:rPr>
          <w:rFonts w:ascii="ZWAdobeF" w:hAnsi="ZWAdobeF" w:cs="ZWAdobeF"/>
          <w:sz w:val="2"/>
          <w:szCs w:val="2"/>
          <w:lang w:eastAsia="en-US"/>
        </w:rPr>
        <w:t>9F</w:t>
      </w:r>
      <w:r w:rsidRPr="00934833">
        <w:rPr>
          <w:sz w:val="18"/>
          <w:vertAlign w:val="superscript"/>
          <w:lang w:val="fr-CH" w:eastAsia="en-US"/>
        </w:rPr>
        <w:footnoteReference w:id="11"/>
      </w:r>
      <w:r w:rsidRPr="00934833">
        <w:rPr>
          <w:lang w:eastAsia="en-US"/>
        </w:rPr>
        <w:t xml:space="preserve"> whenever needed, in consultation with the treaty bodies. Parties to inform the secretariat of any changes to their focal points/points of contact.</w:t>
      </w:r>
    </w:p>
    <w:p w14:paraId="1A7B4591" w14:textId="77777777" w:rsidR="00C01580" w:rsidRPr="00934833" w:rsidRDefault="00C01580" w:rsidP="00C01580">
      <w:pPr>
        <w:pStyle w:val="SingleTxtG"/>
        <w:rPr>
          <w:lang w:eastAsia="en-US"/>
        </w:rPr>
      </w:pPr>
      <w:r w:rsidRPr="00934833">
        <w:rPr>
          <w:i/>
          <w:iCs/>
          <w:lang w:eastAsia="en-US"/>
        </w:rPr>
        <w:t>Resource requirements</w:t>
      </w:r>
      <w:r w:rsidRPr="00934833">
        <w:rPr>
          <w:lang w:eastAsia="en-US"/>
        </w:rPr>
        <w:t>: Professional and support staff of the secretariat; travel funds for the secretariat, and, as relevant, for officers/national experts to attend meetings related to workplan implementation, and, as needed, meetings of relevant external bodies; and funds for promotional material, as needed.</w:t>
      </w:r>
    </w:p>
    <w:p w14:paraId="06288E97" w14:textId="77777777" w:rsidR="00C01580" w:rsidRPr="00934833" w:rsidRDefault="00C01580" w:rsidP="00C01580">
      <w:pPr>
        <w:pStyle w:val="H1G"/>
        <w:rPr>
          <w:lang w:eastAsia="en-US"/>
        </w:rPr>
      </w:pPr>
      <w:r w:rsidRPr="00934833">
        <w:rPr>
          <w:lang w:eastAsia="en-US"/>
        </w:rPr>
        <w:tab/>
        <w:t>C.</w:t>
      </w:r>
      <w:r w:rsidRPr="00934833">
        <w:rPr>
          <w:lang w:eastAsia="en-US"/>
        </w:rPr>
        <w:tab/>
      </w:r>
      <w:bookmarkStart w:id="25" w:name="_Hlk36021714"/>
      <w:r w:rsidRPr="00934833">
        <w:rPr>
          <w:lang w:eastAsia="en-US"/>
        </w:rPr>
        <w:t>General programme management</w:t>
      </w:r>
      <w:bookmarkEnd w:id="25"/>
    </w:p>
    <w:p w14:paraId="5CF2F232" w14:textId="77777777" w:rsidR="00C01580" w:rsidRPr="00934833" w:rsidRDefault="00C01580" w:rsidP="00C01580">
      <w:pPr>
        <w:pStyle w:val="SingleTxtG"/>
        <w:rPr>
          <w:lang w:eastAsia="en-US"/>
        </w:rPr>
      </w:pPr>
      <w:r w:rsidRPr="00934833">
        <w:rPr>
          <w:lang w:eastAsia="en-US"/>
        </w:rPr>
        <w:t>As part of its core functions, and in accordance with the applicable rules of the United Nations, the secretariat is to undertake financial, human resources and other general programme planning and management-related tasks, administrative actions and reporting necessary for the functioning of the treaties and their secretariat.</w:t>
      </w:r>
    </w:p>
    <w:p w14:paraId="6F4262F8" w14:textId="77777777" w:rsidR="00C01580" w:rsidRPr="00934833" w:rsidRDefault="00C01580" w:rsidP="00C01580">
      <w:pPr>
        <w:pStyle w:val="H4G"/>
        <w:rPr>
          <w:lang w:eastAsia="en-US"/>
        </w:rPr>
      </w:pPr>
      <w:r w:rsidRPr="00934833">
        <w:rPr>
          <w:lang w:eastAsia="en-US"/>
        </w:rPr>
        <w:tab/>
      </w:r>
      <w:r w:rsidRPr="00934833">
        <w:rPr>
          <w:lang w:eastAsia="en-US"/>
        </w:rPr>
        <w:tab/>
        <w:t>Activities</w:t>
      </w:r>
      <w:r w:rsidRPr="00934833">
        <w:rPr>
          <w:iCs/>
          <w:lang w:eastAsia="en-US"/>
        </w:rPr>
        <w:t>:</w:t>
      </w:r>
    </w:p>
    <w:p w14:paraId="60DBB921" w14:textId="77777777" w:rsidR="00C01580" w:rsidRPr="00934833" w:rsidRDefault="00C01580" w:rsidP="00C01580">
      <w:pPr>
        <w:pStyle w:val="SingleTxtG"/>
        <w:ind w:firstLine="567"/>
        <w:rPr>
          <w:lang w:eastAsia="en-US"/>
        </w:rPr>
      </w:pPr>
      <w:r w:rsidRPr="00934833">
        <w:rPr>
          <w:lang w:eastAsia="en-US"/>
        </w:rPr>
        <w:t>(a)</w:t>
      </w:r>
      <w:r w:rsidRPr="00934833">
        <w:rPr>
          <w:lang w:eastAsia="en-US"/>
        </w:rPr>
        <w:tab/>
        <w:t>Prepare payment requests for donors’ contributions to the trust fund;</w:t>
      </w:r>
    </w:p>
    <w:p w14:paraId="685A1CB3" w14:textId="77777777" w:rsidR="00C01580" w:rsidRPr="00934833" w:rsidRDefault="00C01580" w:rsidP="00C01580">
      <w:pPr>
        <w:pStyle w:val="SingleTxtG"/>
        <w:ind w:firstLine="567"/>
        <w:rPr>
          <w:lang w:eastAsia="en-US"/>
        </w:rPr>
      </w:pPr>
      <w:r w:rsidRPr="00934833">
        <w:rPr>
          <w:lang w:eastAsia="en-US"/>
        </w:rPr>
        <w:t>(b)</w:t>
      </w:r>
      <w:r w:rsidRPr="00934833">
        <w:rPr>
          <w:lang w:eastAsia="en-US"/>
        </w:rPr>
        <w:tab/>
        <w:t xml:space="preserve">Prepare and submit, for the Bureau’s agreement, annual financial reports, prior to publishing them on the website, as relevant, reflecting also information from Parties and stakeholders on their in-kind contributions; </w:t>
      </w:r>
    </w:p>
    <w:p w14:paraId="640BE694" w14:textId="77777777" w:rsidR="00C01580" w:rsidRPr="00934833" w:rsidRDefault="00C01580" w:rsidP="00C01580">
      <w:pPr>
        <w:pStyle w:val="SingleTxtG"/>
        <w:ind w:firstLine="567"/>
        <w:rPr>
          <w:lang w:eastAsia="en-US"/>
        </w:rPr>
      </w:pPr>
      <w:r w:rsidRPr="00934833">
        <w:rPr>
          <w:lang w:eastAsia="en-US"/>
        </w:rPr>
        <w:t>(c)</w:t>
      </w:r>
      <w:r w:rsidRPr="00934833">
        <w:rPr>
          <w:lang w:eastAsia="en-US"/>
        </w:rPr>
        <w:tab/>
        <w:t>If requested, and on an exceptional basis, prepare separate financial reports for individual donors;</w:t>
      </w:r>
    </w:p>
    <w:p w14:paraId="379996A8" w14:textId="77777777" w:rsidR="00C01580" w:rsidRPr="00934833" w:rsidRDefault="00C01580" w:rsidP="00C01580">
      <w:pPr>
        <w:pStyle w:val="SingleTxtG"/>
        <w:ind w:firstLine="567"/>
        <w:rPr>
          <w:lang w:eastAsia="en-US"/>
        </w:rPr>
      </w:pPr>
      <w:bookmarkStart w:id="26" w:name="_Hlk36044123"/>
      <w:r w:rsidRPr="00934833">
        <w:rPr>
          <w:lang w:eastAsia="en-US"/>
        </w:rPr>
        <w:t>(d)</w:t>
      </w:r>
      <w:r w:rsidRPr="00934833">
        <w:rPr>
          <w:lang w:eastAsia="en-US"/>
        </w:rPr>
        <w:tab/>
        <w:t>Prepare annual and longer term cost plans and forecast meetings, documents and publications for processing by the United Nations administration and relevant services;</w:t>
      </w:r>
    </w:p>
    <w:bookmarkEnd w:id="26"/>
    <w:p w14:paraId="1A356B2C" w14:textId="77777777" w:rsidR="00C01580" w:rsidRPr="00934833" w:rsidRDefault="00C01580" w:rsidP="00C01580">
      <w:pPr>
        <w:pStyle w:val="SingleTxtG"/>
        <w:ind w:firstLine="567"/>
        <w:rPr>
          <w:lang w:eastAsia="en-US"/>
        </w:rPr>
      </w:pPr>
      <w:r w:rsidRPr="00934833">
        <w:rPr>
          <w:lang w:eastAsia="en-US"/>
        </w:rPr>
        <w:t>(e)</w:t>
      </w:r>
      <w:r w:rsidRPr="00934833">
        <w:rPr>
          <w:lang w:eastAsia="en-US"/>
        </w:rPr>
        <w:tab/>
        <w:t>Report on substantive and administrative issues within the United Nations;</w:t>
      </w:r>
    </w:p>
    <w:p w14:paraId="0E5D3D0C" w14:textId="77777777" w:rsidR="00C01580" w:rsidRPr="00934833" w:rsidRDefault="00C01580" w:rsidP="00C01580">
      <w:pPr>
        <w:pStyle w:val="SingleTxtG"/>
        <w:ind w:firstLine="567"/>
        <w:rPr>
          <w:lang w:eastAsia="en-US"/>
        </w:rPr>
      </w:pPr>
      <w:r w:rsidRPr="00934833">
        <w:rPr>
          <w:lang w:eastAsia="en-US"/>
        </w:rPr>
        <w:t>(f)</w:t>
      </w:r>
      <w:r w:rsidRPr="00934833">
        <w:rPr>
          <w:lang w:eastAsia="en-US"/>
        </w:rPr>
        <w:tab/>
        <w:t>Recruit/contract and manage secretariat staff and, as relevant, consultants/individual contractors.</w:t>
      </w:r>
    </w:p>
    <w:p w14:paraId="29FBA278" w14:textId="77777777" w:rsidR="00C01580" w:rsidRPr="00934833" w:rsidRDefault="00C01580" w:rsidP="00C01580">
      <w:pPr>
        <w:pStyle w:val="H4G"/>
        <w:rPr>
          <w:lang w:eastAsia="en-US"/>
        </w:rPr>
      </w:pPr>
      <w:r>
        <w:rPr>
          <w:lang w:eastAsia="en-US"/>
        </w:rPr>
        <w:lastRenderedPageBreak/>
        <w:tab/>
      </w:r>
      <w:r>
        <w:rPr>
          <w:lang w:eastAsia="en-US"/>
        </w:rPr>
        <w:tab/>
      </w:r>
      <w:r w:rsidRPr="00934833">
        <w:rPr>
          <w:lang w:eastAsia="en-US"/>
        </w:rPr>
        <w:t xml:space="preserve">Entity(ies) responsible: </w:t>
      </w:r>
    </w:p>
    <w:p w14:paraId="35949668" w14:textId="16809C64" w:rsidR="00C01580" w:rsidRPr="00934833" w:rsidRDefault="00C01580" w:rsidP="00C01580">
      <w:pPr>
        <w:pStyle w:val="SingleTxtG"/>
        <w:ind w:firstLine="567"/>
        <w:rPr>
          <w:lang w:eastAsia="en-US"/>
        </w:rPr>
      </w:pPr>
      <w:r w:rsidRPr="00934833">
        <w:rPr>
          <w:lang w:eastAsia="en-US"/>
        </w:rPr>
        <w:t>(a)</w:t>
      </w:r>
      <w:r w:rsidRPr="00934833">
        <w:rPr>
          <w:lang w:eastAsia="en-US"/>
        </w:rPr>
        <w:tab/>
        <w:t>The secretariat, within the limits of its resources;</w:t>
      </w:r>
      <w:r w:rsidRPr="00934833">
        <w:rPr>
          <w:sz w:val="18"/>
          <w:vertAlign w:val="superscript"/>
          <w:lang w:eastAsia="en-US"/>
        </w:rPr>
        <w:t xml:space="preserve"> </w:t>
      </w:r>
      <w:r w:rsidR="00472CC2">
        <w:rPr>
          <w:rFonts w:ascii="ZWAdobeF" w:hAnsi="ZWAdobeF" w:cs="ZWAdobeF"/>
          <w:sz w:val="2"/>
          <w:szCs w:val="2"/>
          <w:lang w:eastAsia="en-US"/>
        </w:rPr>
        <w:t>10F</w:t>
      </w:r>
      <w:r w:rsidRPr="00934833">
        <w:rPr>
          <w:sz w:val="18"/>
          <w:vertAlign w:val="superscript"/>
          <w:lang w:val="fr-CH" w:eastAsia="en-US"/>
        </w:rPr>
        <w:footnoteReference w:id="12"/>
      </w:r>
      <w:r w:rsidRPr="00934833">
        <w:rPr>
          <w:lang w:eastAsia="en-US"/>
        </w:rPr>
        <w:t xml:space="preserve"> </w:t>
      </w:r>
    </w:p>
    <w:p w14:paraId="205AF231" w14:textId="77777777" w:rsidR="00C01580" w:rsidRPr="00934833" w:rsidRDefault="00C01580" w:rsidP="00C01580">
      <w:pPr>
        <w:pStyle w:val="SingleTxtG"/>
        <w:ind w:firstLine="567"/>
        <w:rPr>
          <w:lang w:eastAsia="en-US"/>
        </w:rPr>
      </w:pPr>
      <w:r w:rsidRPr="00934833">
        <w:rPr>
          <w:lang w:eastAsia="en-US"/>
        </w:rPr>
        <w:t>(b)</w:t>
      </w:r>
      <w:r w:rsidRPr="00934833">
        <w:rPr>
          <w:lang w:eastAsia="en-US"/>
        </w:rPr>
        <w:tab/>
        <w:t>Parties, volunteering non-Parties and other donors to ensure prompt and sufficient financial contributions to the treaties’ trust fund.</w:t>
      </w:r>
    </w:p>
    <w:p w14:paraId="01F1B2CF" w14:textId="699E15C8" w:rsidR="00A603CF" w:rsidRDefault="00C01580" w:rsidP="00C01580">
      <w:pPr>
        <w:pStyle w:val="SingleTxtG"/>
        <w:ind w:left="1418"/>
        <w:rPr>
          <w:lang w:eastAsia="en-US"/>
        </w:rPr>
      </w:pPr>
      <w:r w:rsidRPr="00302638">
        <w:rPr>
          <w:i/>
          <w:iCs/>
          <w:lang w:eastAsia="en-US"/>
        </w:rPr>
        <w:t xml:space="preserve">Resource requirements: </w:t>
      </w:r>
      <w:r w:rsidRPr="00302638">
        <w:rPr>
          <w:lang w:eastAsia="en-US"/>
        </w:rPr>
        <w:t>Professional and support staff of the secretariat.</w:t>
      </w:r>
    </w:p>
    <w:p w14:paraId="747C9AAF" w14:textId="57A6094A" w:rsidR="00C01580" w:rsidRPr="00302638" w:rsidRDefault="00DD1FD1" w:rsidP="00DD1FD1">
      <w:pPr>
        <w:pStyle w:val="HChG"/>
        <w:rPr>
          <w:lang w:eastAsia="en-US"/>
        </w:rPr>
      </w:pPr>
      <w:r>
        <w:rPr>
          <w:lang w:eastAsia="en-US"/>
        </w:rPr>
        <w:tab/>
      </w:r>
      <w:r w:rsidR="00C01580" w:rsidRPr="00302638">
        <w:rPr>
          <w:lang w:eastAsia="en-US"/>
        </w:rPr>
        <w:t>II.</w:t>
      </w:r>
      <w:r w:rsidR="00C01580" w:rsidRPr="00302638">
        <w:rPr>
          <w:lang w:eastAsia="en-US"/>
        </w:rPr>
        <w:tab/>
      </w:r>
      <w:r w:rsidR="00C01580" w:rsidRPr="00DD1FD1">
        <w:t>Compliance</w:t>
      </w:r>
      <w:r w:rsidR="00C01580" w:rsidRPr="00302638">
        <w:rPr>
          <w:lang w:eastAsia="en-US"/>
        </w:rPr>
        <w:t xml:space="preserve"> with and implementation of the Convention and the Protocol</w:t>
      </w:r>
    </w:p>
    <w:p w14:paraId="6B473045" w14:textId="77777777" w:rsidR="00C01580" w:rsidRPr="00302638" w:rsidRDefault="00C01580" w:rsidP="00C01580">
      <w:pPr>
        <w:pStyle w:val="SingleTxtG"/>
        <w:rPr>
          <w:lang w:eastAsia="en-US"/>
        </w:rPr>
      </w:pPr>
      <w:bookmarkStart w:id="27" w:name="_Hlk22918633"/>
      <w:r w:rsidRPr="00302638">
        <w:rPr>
          <w:lang w:eastAsia="en-US"/>
        </w:rPr>
        <w:t>The work area aims to promote full and effective implementation of and compliance with the Convention and the Protocol</w:t>
      </w:r>
      <w:bookmarkStart w:id="28" w:name="_Hlk36021583"/>
      <w:r w:rsidRPr="00302638">
        <w:rPr>
          <w:lang w:eastAsia="en-US"/>
        </w:rPr>
        <w:t xml:space="preserve">, </w:t>
      </w:r>
      <w:bookmarkStart w:id="29" w:name="_Hlk36024451"/>
      <w:r w:rsidRPr="00302638">
        <w:rPr>
          <w:lang w:eastAsia="en-US"/>
        </w:rPr>
        <w:t>through the following categories of activity, of which (a) and (b) are mandatory under the two treaties:</w:t>
      </w:r>
      <w:bookmarkEnd w:id="28"/>
      <w:bookmarkEnd w:id="29"/>
    </w:p>
    <w:p w14:paraId="2513BB48" w14:textId="77777777" w:rsidR="00C01580" w:rsidRPr="00302638" w:rsidRDefault="00C01580" w:rsidP="00C01580">
      <w:pPr>
        <w:pStyle w:val="SingleTxtG"/>
        <w:ind w:firstLine="567"/>
        <w:rPr>
          <w:lang w:eastAsia="en-US"/>
        </w:rPr>
      </w:pPr>
      <w:bookmarkStart w:id="30" w:name="_Hlk60410195"/>
      <w:r w:rsidRPr="00302638">
        <w:rPr>
          <w:lang w:eastAsia="en-US"/>
        </w:rPr>
        <w:t>(a)</w:t>
      </w:r>
      <w:r w:rsidRPr="00302638">
        <w:rPr>
          <w:lang w:eastAsia="en-US"/>
        </w:rPr>
        <w:tab/>
      </w:r>
      <w:bookmarkStart w:id="31" w:name="_Hlk31733221"/>
      <w:r w:rsidRPr="00302638">
        <w:rPr>
          <w:lang w:eastAsia="en-US"/>
        </w:rPr>
        <w:t>Review of compliance</w:t>
      </w:r>
      <w:bookmarkEnd w:id="31"/>
      <w:r w:rsidRPr="00302638">
        <w:rPr>
          <w:lang w:eastAsia="en-US"/>
        </w:rPr>
        <w:t>;</w:t>
      </w:r>
    </w:p>
    <w:p w14:paraId="01048882" w14:textId="77777777" w:rsidR="00C01580" w:rsidRPr="00302638" w:rsidRDefault="00C01580" w:rsidP="00C01580">
      <w:pPr>
        <w:pStyle w:val="SingleTxtG"/>
        <w:ind w:firstLine="567"/>
        <w:rPr>
          <w:lang w:eastAsia="en-US"/>
        </w:rPr>
      </w:pPr>
      <w:r w:rsidRPr="00302638">
        <w:rPr>
          <w:lang w:eastAsia="en-US"/>
        </w:rPr>
        <w:t>(b)</w:t>
      </w:r>
      <w:r w:rsidRPr="00302638">
        <w:rPr>
          <w:lang w:eastAsia="en-US"/>
        </w:rPr>
        <w:tab/>
        <w:t>Reporting and review of implementation;</w:t>
      </w:r>
    </w:p>
    <w:p w14:paraId="25F5A46B" w14:textId="77777777" w:rsidR="00C01580" w:rsidRPr="00302638" w:rsidRDefault="00C01580" w:rsidP="00C01580">
      <w:pPr>
        <w:pStyle w:val="SingleTxtG"/>
        <w:ind w:firstLine="567"/>
        <w:rPr>
          <w:lang w:eastAsia="en-US"/>
        </w:rPr>
      </w:pPr>
      <w:r w:rsidRPr="00302638">
        <w:rPr>
          <w:lang w:eastAsia="en-US"/>
        </w:rPr>
        <w:t>(c)</w:t>
      </w:r>
      <w:r w:rsidRPr="00302638">
        <w:rPr>
          <w:lang w:eastAsia="en-US"/>
        </w:rPr>
        <w:tab/>
      </w:r>
      <w:bookmarkStart w:id="32" w:name="_Hlk36023108"/>
      <w:r w:rsidRPr="00302638">
        <w:rPr>
          <w:lang w:eastAsia="en-US"/>
        </w:rPr>
        <w:t>Legislative assistance for aligning Parties’ legislation with the Convention and the Protocol.</w:t>
      </w:r>
    </w:p>
    <w:bookmarkEnd w:id="27"/>
    <w:bookmarkEnd w:id="30"/>
    <w:bookmarkEnd w:id="32"/>
    <w:p w14:paraId="5BB15165" w14:textId="77777777" w:rsidR="00C01580" w:rsidRPr="00302638" w:rsidRDefault="00C01580" w:rsidP="00DD1FD1">
      <w:pPr>
        <w:pStyle w:val="H1G"/>
        <w:rPr>
          <w:bCs/>
          <w:szCs w:val="24"/>
          <w:lang w:eastAsia="en-US"/>
        </w:rPr>
      </w:pPr>
      <w:r w:rsidRPr="00302638">
        <w:rPr>
          <w:lang w:eastAsia="en-US"/>
        </w:rPr>
        <w:tab/>
        <w:t>A.</w:t>
      </w:r>
      <w:r w:rsidRPr="00302638">
        <w:rPr>
          <w:lang w:eastAsia="en-US"/>
        </w:rPr>
        <w:tab/>
      </w:r>
      <w:r w:rsidRPr="00DD1FD1">
        <w:t>Review</w:t>
      </w:r>
      <w:r w:rsidRPr="00302638">
        <w:rPr>
          <w:lang w:eastAsia="en-US"/>
        </w:rPr>
        <w:t xml:space="preserve"> of compliance</w:t>
      </w:r>
      <w:r w:rsidRPr="00302638">
        <w:rPr>
          <w:bCs/>
          <w:szCs w:val="24"/>
          <w:lang w:eastAsia="en-US"/>
        </w:rPr>
        <w:t xml:space="preserve"> </w:t>
      </w:r>
    </w:p>
    <w:p w14:paraId="3C8C81B2" w14:textId="77777777" w:rsidR="00C01580" w:rsidRPr="00302638" w:rsidRDefault="00C01580" w:rsidP="00C01580">
      <w:pPr>
        <w:pStyle w:val="SingleTxtG"/>
        <w:rPr>
          <w:lang w:eastAsia="en-US"/>
        </w:rPr>
      </w:pPr>
      <w:r w:rsidRPr="00302638">
        <w:rPr>
          <w:lang w:eastAsia="en-US"/>
        </w:rPr>
        <w:t xml:space="preserve">The review of compliance by Parties with their obligations under the Convention and the Protocol is provided for in article 14 bis of the Convention and decision V/6–I/6 (ECE/MP.EIA/SEA/2).  </w:t>
      </w:r>
    </w:p>
    <w:p w14:paraId="75585E55" w14:textId="5EFC6CD0" w:rsidR="00C01580" w:rsidRPr="00302638" w:rsidRDefault="00C01580" w:rsidP="00C01580">
      <w:pPr>
        <w:pStyle w:val="SingleTxtG"/>
        <w:rPr>
          <w:lang w:eastAsia="en-US"/>
        </w:rPr>
      </w:pPr>
      <w:bookmarkStart w:id="33" w:name="_Hlk31986613"/>
      <w:bookmarkStart w:id="34" w:name="_Hlk31975671"/>
      <w:bookmarkStart w:id="35" w:name="_Hlk31885742"/>
      <w:r w:rsidRPr="00302638">
        <w:rPr>
          <w:i/>
          <w:iCs/>
          <w:lang w:eastAsia="en-US"/>
        </w:rPr>
        <w:t>Entity(ies) responsible</w:t>
      </w:r>
      <w:r w:rsidRPr="00302638">
        <w:rPr>
          <w:lang w:eastAsia="en-US"/>
        </w:rPr>
        <w:t xml:space="preserve">: </w:t>
      </w:r>
      <w:bookmarkEnd w:id="33"/>
      <w:r w:rsidRPr="00302638">
        <w:rPr>
          <w:lang w:eastAsia="en-US"/>
        </w:rPr>
        <w:t>The Implementation Committee, supported by the secretariat</w:t>
      </w:r>
      <w:bookmarkEnd w:id="34"/>
      <w:r w:rsidRPr="00302638">
        <w:rPr>
          <w:lang w:eastAsia="en-US"/>
        </w:rPr>
        <w:t>, within the limits of its resources.</w:t>
      </w:r>
      <w:r w:rsidR="00472CC2">
        <w:rPr>
          <w:rFonts w:ascii="ZWAdobeF" w:hAnsi="ZWAdobeF" w:cs="ZWAdobeF"/>
          <w:sz w:val="2"/>
          <w:szCs w:val="2"/>
          <w:lang w:eastAsia="en-US"/>
        </w:rPr>
        <w:t>11F</w:t>
      </w:r>
      <w:r w:rsidRPr="00302638">
        <w:rPr>
          <w:sz w:val="18"/>
          <w:vertAlign w:val="superscript"/>
          <w:lang w:val="fr-CH" w:eastAsia="en-US"/>
        </w:rPr>
        <w:footnoteReference w:id="13"/>
      </w:r>
    </w:p>
    <w:p w14:paraId="5A27C675" w14:textId="7F3CF37E" w:rsidR="00C01580" w:rsidRPr="00302638" w:rsidRDefault="00C01580" w:rsidP="00C01580">
      <w:pPr>
        <w:pStyle w:val="SingleTxtG"/>
        <w:rPr>
          <w:lang w:eastAsia="en-US"/>
        </w:rPr>
      </w:pPr>
      <w:r w:rsidRPr="00302638">
        <w:rPr>
          <w:i/>
          <w:iCs/>
          <w:lang w:eastAsia="en-US"/>
        </w:rPr>
        <w:t>Method of work</w:t>
      </w:r>
      <w:r w:rsidRPr="00302638">
        <w:rPr>
          <w:lang w:eastAsia="en-US"/>
        </w:rPr>
        <w:t>: The Implementation Committee is to hold up to three annual (in total, up to nine) meetings in 2024–2026, and, in between, as needed, work via email and hold online meetings.</w:t>
      </w:r>
    </w:p>
    <w:p w14:paraId="42F55FC7" w14:textId="14E74227" w:rsidR="00C01580" w:rsidRPr="00302638" w:rsidRDefault="00C01580" w:rsidP="00C01580">
      <w:pPr>
        <w:pStyle w:val="SingleTxtG"/>
        <w:rPr>
          <w:lang w:eastAsia="en-US"/>
        </w:rPr>
      </w:pPr>
      <w:r w:rsidRPr="00302638">
        <w:rPr>
          <w:lang w:eastAsia="en-US"/>
        </w:rPr>
        <w:t>As part of its core functions, the secretariat supports the Committee’s work. It is to: organize and service the meetings;</w:t>
      </w:r>
      <w:r w:rsidR="00472CC2">
        <w:rPr>
          <w:rFonts w:ascii="ZWAdobeF" w:hAnsi="ZWAdobeF" w:cs="ZWAdobeF"/>
          <w:sz w:val="2"/>
          <w:szCs w:val="2"/>
          <w:lang w:eastAsia="en-US"/>
        </w:rPr>
        <w:t>12F</w:t>
      </w:r>
      <w:r w:rsidRPr="00302638">
        <w:rPr>
          <w:sz w:val="18"/>
          <w:vertAlign w:val="superscript"/>
          <w:lang w:val="fr-CH" w:eastAsia="en-US"/>
        </w:rPr>
        <w:footnoteReference w:id="14"/>
      </w:r>
      <w:r w:rsidRPr="00302638">
        <w:rPr>
          <w:lang w:eastAsia="en-US"/>
        </w:rPr>
        <w:t xml:space="preserve"> prepare, edit and translate meeting agendas, reports, and other official documents; support curators and officers in preparing and following up on meetings; make informal working documents available to Committee members; maintain the official website; and assist the Chair in communicating regarding the Committee’s deliberations.</w:t>
      </w:r>
    </w:p>
    <w:p w14:paraId="5A683700" w14:textId="77777777" w:rsidR="00C01580" w:rsidRPr="00302638" w:rsidRDefault="00C01580" w:rsidP="00C01580">
      <w:pPr>
        <w:pStyle w:val="SingleTxtG"/>
        <w:rPr>
          <w:lang w:eastAsia="en-US"/>
        </w:rPr>
      </w:pPr>
      <w:bookmarkStart w:id="37" w:name="_Hlk31976317"/>
      <w:bookmarkStart w:id="38" w:name="_Hlk31966194"/>
      <w:r w:rsidRPr="00302638">
        <w:rPr>
          <w:i/>
          <w:iCs/>
          <w:lang w:eastAsia="en-US"/>
        </w:rPr>
        <w:t>Resource requirements</w:t>
      </w:r>
      <w:r w:rsidRPr="00302638">
        <w:rPr>
          <w:lang w:eastAsia="en-US"/>
        </w:rPr>
        <w:t xml:space="preserve">: </w:t>
      </w:r>
      <w:bookmarkEnd w:id="37"/>
      <w:r w:rsidRPr="00302638">
        <w:rPr>
          <w:lang w:eastAsia="en-US"/>
        </w:rPr>
        <w:t>Professional and general support staff of the secretariat, including a secretary to the Implementation Committee; funding for travel support for eligible Committee members to meetings</w:t>
      </w:r>
      <w:bookmarkEnd w:id="35"/>
      <w:bookmarkEnd w:id="38"/>
      <w:r w:rsidRPr="00302638">
        <w:rPr>
          <w:lang w:eastAsia="en-US"/>
        </w:rPr>
        <w:t>, or, on an exceptional basis, as decided by [the Bureau].</w:t>
      </w:r>
    </w:p>
    <w:p w14:paraId="6B12CF71" w14:textId="77777777" w:rsidR="00C01580" w:rsidRPr="00302638" w:rsidRDefault="00C01580" w:rsidP="00C01580">
      <w:pPr>
        <w:pStyle w:val="H23G"/>
        <w:rPr>
          <w:lang w:eastAsia="en-US"/>
        </w:rPr>
      </w:pPr>
      <w:r w:rsidRPr="00302638">
        <w:rPr>
          <w:lang w:eastAsia="en-US"/>
        </w:rPr>
        <w:tab/>
        <w:t>1.</w:t>
      </w:r>
      <w:r w:rsidRPr="00302638">
        <w:rPr>
          <w:lang w:eastAsia="en-US"/>
        </w:rPr>
        <w:tab/>
        <w:t>Consideration of compliance issues</w:t>
      </w:r>
    </w:p>
    <w:p w14:paraId="4BAD1717" w14:textId="64A28E3D" w:rsidR="00C01580" w:rsidRPr="00302638" w:rsidRDefault="00C01580" w:rsidP="00C01580">
      <w:pPr>
        <w:pStyle w:val="SingleTxtG"/>
        <w:rPr>
          <w:lang w:eastAsia="en-US"/>
        </w:rPr>
      </w:pPr>
      <w:bookmarkStart w:id="39" w:name="_Hlk9242057"/>
      <w:r w:rsidRPr="00302638">
        <w:rPr>
          <w:lang w:eastAsia="en-US"/>
        </w:rPr>
        <w:t>The Implementation Committee is to consider compliance submissions, Committee initiatives, information from other sources and any general and specific compliance issues arising from the reviews of implementation.</w:t>
      </w:r>
    </w:p>
    <w:p w14:paraId="4A5B9CB4" w14:textId="77777777" w:rsidR="00C01580" w:rsidRPr="00302638" w:rsidRDefault="00C01580" w:rsidP="00C01580">
      <w:pPr>
        <w:pStyle w:val="SingleTxtG"/>
        <w:rPr>
          <w:lang w:eastAsia="en-US"/>
        </w:rPr>
      </w:pPr>
      <w:r w:rsidRPr="00302638">
        <w:rPr>
          <w:lang w:eastAsia="en-US"/>
        </w:rPr>
        <w:lastRenderedPageBreak/>
        <w:t>As appropriate, the Committee is to prepare findings and recommendations further to the submissions and Committee initiatives, and present draft decisions on compliance by Parties to the Convention and the Protocol with their obligations thereunder to the Meetings of the Parties to the Convention and the Protocol at their tenth and sixth sessions, respectively</w:t>
      </w:r>
      <w:bookmarkEnd w:id="39"/>
      <w:r w:rsidRPr="00302638">
        <w:rPr>
          <w:lang w:eastAsia="en-US"/>
        </w:rPr>
        <w:t>.</w:t>
      </w:r>
    </w:p>
    <w:p w14:paraId="37978CF1" w14:textId="77777777" w:rsidR="00C01580" w:rsidRPr="00302638" w:rsidRDefault="00C01580" w:rsidP="00C01580">
      <w:pPr>
        <w:pStyle w:val="H23G"/>
        <w:rPr>
          <w:lang w:eastAsia="en-US"/>
        </w:rPr>
      </w:pPr>
      <w:r w:rsidRPr="00302638">
        <w:rPr>
          <w:lang w:eastAsia="en-US"/>
        </w:rPr>
        <w:tab/>
        <w:t>2.</w:t>
      </w:r>
      <w:r w:rsidRPr="00302638">
        <w:rPr>
          <w:lang w:eastAsia="en-US"/>
        </w:rPr>
        <w:tab/>
        <w:t>Examination of the outcome of the seventh review of implementation of the Convention and the fourth review of implementation of the Protocol</w:t>
      </w:r>
    </w:p>
    <w:p w14:paraId="4C06D470" w14:textId="77777777" w:rsidR="00C01580" w:rsidRPr="00302638" w:rsidRDefault="00C01580" w:rsidP="00C01580">
      <w:pPr>
        <w:pStyle w:val="SingleTxtG"/>
        <w:rPr>
          <w:lang w:eastAsia="en-US"/>
        </w:rPr>
      </w:pPr>
      <w:r w:rsidRPr="00302638">
        <w:rPr>
          <w:lang w:eastAsia="en-US"/>
        </w:rPr>
        <w:t>The Committee is to examine the outcomes of the seventh and the fourth reviews of implementation of the Convention and the Protocol, respectively, with support from the secretariat, by the end of 2024, in order to identify possible general and specific compliance issues.</w:t>
      </w:r>
    </w:p>
    <w:p w14:paraId="3D10B331" w14:textId="77777777" w:rsidR="00C01580" w:rsidRPr="00302638" w:rsidRDefault="00C01580" w:rsidP="00C01580">
      <w:pPr>
        <w:pStyle w:val="H23G"/>
        <w:rPr>
          <w:lang w:eastAsia="en-US"/>
        </w:rPr>
      </w:pPr>
      <w:r w:rsidRPr="00302638">
        <w:rPr>
          <w:lang w:eastAsia="en-US"/>
        </w:rPr>
        <w:tab/>
        <w:t>3.</w:t>
      </w:r>
      <w:r w:rsidRPr="00302638">
        <w:rPr>
          <w:lang w:eastAsia="en-US"/>
        </w:rPr>
        <w:tab/>
        <w:t>If necessary, review and revision of the Committee’s structure and functions and operating rules</w:t>
      </w:r>
    </w:p>
    <w:p w14:paraId="44B724DC" w14:textId="77777777" w:rsidR="00C01580" w:rsidRPr="00302638" w:rsidRDefault="00C01580" w:rsidP="00C01580">
      <w:pPr>
        <w:pStyle w:val="SingleTxtG"/>
        <w:rPr>
          <w:lang w:eastAsia="en-US"/>
        </w:rPr>
      </w:pPr>
      <w:bookmarkStart w:id="40" w:name="_Hlk9245724"/>
      <w:r w:rsidRPr="00302638">
        <w:rPr>
          <w:lang w:eastAsia="en-US"/>
        </w:rPr>
        <w:t>The Committee is to review the rules governing its mode of operation in the light of its experience and, as needed, present proposals for possible amendments to the Meetings of the Parties at their next sessions.</w:t>
      </w:r>
    </w:p>
    <w:p w14:paraId="410DDF64" w14:textId="77777777" w:rsidR="00C01580" w:rsidRPr="00302638" w:rsidRDefault="00C01580" w:rsidP="00C01580">
      <w:pPr>
        <w:pStyle w:val="H23G"/>
        <w:rPr>
          <w:lang w:eastAsia="en-US"/>
        </w:rPr>
      </w:pPr>
      <w:r w:rsidRPr="00302638">
        <w:rPr>
          <w:lang w:eastAsia="en-US"/>
        </w:rPr>
        <w:tab/>
        <w:t>4.</w:t>
      </w:r>
      <w:r w:rsidRPr="00302638">
        <w:rPr>
          <w:lang w:eastAsia="en-US"/>
        </w:rPr>
        <w:tab/>
        <w:t>Report on the Committee’s activities</w:t>
      </w:r>
    </w:p>
    <w:p w14:paraId="4C3FE681" w14:textId="77777777" w:rsidR="00C01580" w:rsidRPr="00302638" w:rsidRDefault="00C01580" w:rsidP="00C01580">
      <w:pPr>
        <w:pStyle w:val="SingleTxtG"/>
        <w:rPr>
          <w:lang w:eastAsia="en-US"/>
        </w:rPr>
      </w:pPr>
      <w:r w:rsidRPr="00302638">
        <w:rPr>
          <w:lang w:eastAsia="en-US"/>
        </w:rPr>
        <w:t>The Committee is to report on its activities to the next sessions of the Meetings of the Parties, initially scheduled for 2026, in the form of an official document. In the interim period, it is to provide regular updates on its work to the Bureau and the Working Group.</w:t>
      </w:r>
    </w:p>
    <w:p w14:paraId="4A7AC146" w14:textId="77777777" w:rsidR="00C01580" w:rsidRPr="00302638" w:rsidRDefault="00C01580" w:rsidP="00C01580">
      <w:pPr>
        <w:pStyle w:val="H23G"/>
        <w:rPr>
          <w:lang w:eastAsia="en-US"/>
        </w:rPr>
      </w:pPr>
      <w:bookmarkStart w:id="41" w:name="_Hlk9248839"/>
      <w:bookmarkEnd w:id="40"/>
      <w:r w:rsidRPr="00302638">
        <w:rPr>
          <w:lang w:eastAsia="en-US"/>
        </w:rPr>
        <w:tab/>
        <w:t>5.</w:t>
      </w:r>
      <w:r w:rsidRPr="00302638">
        <w:rPr>
          <w:lang w:eastAsia="en-US"/>
        </w:rPr>
        <w:tab/>
        <w:t>Collection of findings and opinions from the Committee regarding the Convention and the Protocol</w:t>
      </w:r>
    </w:p>
    <w:p w14:paraId="62556F2C" w14:textId="77777777" w:rsidR="00C01580" w:rsidRPr="00302638" w:rsidRDefault="00C01580" w:rsidP="00C01580">
      <w:pPr>
        <w:pStyle w:val="SingleTxtG"/>
        <w:rPr>
          <w:lang w:eastAsia="en-US"/>
        </w:rPr>
      </w:pPr>
      <w:r w:rsidRPr="00302638">
        <w:rPr>
          <w:lang w:eastAsia="en-US"/>
        </w:rPr>
        <w:t>The secretariat is to collect the Committee’s new findings and opinions and publish them online as an informal publication annually.</w:t>
      </w:r>
    </w:p>
    <w:p w14:paraId="0296D589" w14:textId="77777777" w:rsidR="00C01580" w:rsidRPr="00302638" w:rsidRDefault="00C01580" w:rsidP="00C01580">
      <w:pPr>
        <w:pStyle w:val="H23G"/>
        <w:rPr>
          <w:lang w:eastAsia="en-US"/>
        </w:rPr>
      </w:pPr>
      <w:r w:rsidRPr="00302638">
        <w:rPr>
          <w:lang w:eastAsia="en-US"/>
        </w:rPr>
        <w:tab/>
        <w:t>6.</w:t>
      </w:r>
      <w:r w:rsidRPr="00302638">
        <w:rPr>
          <w:lang w:eastAsia="en-US"/>
        </w:rPr>
        <w:tab/>
        <w:t>Exploring possible synergies with other relevant forums</w:t>
      </w:r>
    </w:p>
    <w:p w14:paraId="6F8AA77B" w14:textId="77777777" w:rsidR="00C01580" w:rsidRPr="00302638" w:rsidRDefault="00C01580" w:rsidP="00C01580">
      <w:pPr>
        <w:pStyle w:val="SingleTxtG"/>
        <w:rPr>
          <w:lang w:eastAsia="en-US"/>
        </w:rPr>
      </w:pPr>
      <w:r w:rsidRPr="00302638">
        <w:rPr>
          <w:lang w:eastAsia="en-US"/>
        </w:rPr>
        <w:t>The Committee is to explore possible synergies with other relevant forums regarding compliance matters, including by liaising with the compliance bodies under the other relevant multilateral environmental agreements, in particular of ECE and, as relevant and subject to availability of resources, attending informal meetings of their Chairs.</w:t>
      </w:r>
    </w:p>
    <w:p w14:paraId="35481B2A" w14:textId="77777777" w:rsidR="00C01580" w:rsidRPr="00302638" w:rsidRDefault="00C01580" w:rsidP="00C01580">
      <w:pPr>
        <w:pStyle w:val="SingleTxtG"/>
        <w:rPr>
          <w:lang w:eastAsia="en-US"/>
        </w:rPr>
      </w:pPr>
      <w:r w:rsidRPr="00302638">
        <w:rPr>
          <w:i/>
          <w:iCs/>
          <w:lang w:eastAsia="en-US"/>
        </w:rPr>
        <w:t>Additional resource requirements</w:t>
      </w:r>
      <w:r w:rsidRPr="00302638">
        <w:rPr>
          <w:lang w:eastAsia="en-US"/>
        </w:rPr>
        <w:t>:</w:t>
      </w:r>
      <w:r w:rsidRPr="00302638">
        <w:rPr>
          <w:i/>
          <w:iCs/>
          <w:lang w:eastAsia="en-US"/>
        </w:rPr>
        <w:tab/>
      </w:r>
      <w:r w:rsidRPr="00302638">
        <w:rPr>
          <w:lang w:eastAsia="en-US"/>
        </w:rPr>
        <w:t>As needed, travel support for the Chair or Vice-Chair.</w:t>
      </w:r>
    </w:p>
    <w:p w14:paraId="2A46E005" w14:textId="77777777" w:rsidR="00C01580" w:rsidRPr="00302638" w:rsidRDefault="00C01580" w:rsidP="00C01580">
      <w:pPr>
        <w:pStyle w:val="H1G"/>
        <w:rPr>
          <w:bCs/>
          <w:szCs w:val="24"/>
          <w:lang w:eastAsia="en-US"/>
        </w:rPr>
      </w:pPr>
      <w:r w:rsidRPr="00302638">
        <w:rPr>
          <w:szCs w:val="24"/>
          <w:lang w:eastAsia="en-US"/>
        </w:rPr>
        <w:tab/>
      </w:r>
      <w:r w:rsidRPr="00302638">
        <w:rPr>
          <w:lang w:eastAsia="en-US"/>
        </w:rPr>
        <w:t>B.</w:t>
      </w:r>
      <w:r w:rsidRPr="00302638">
        <w:rPr>
          <w:lang w:eastAsia="en-US"/>
        </w:rPr>
        <w:tab/>
        <w:t>Reporting and review of implementation</w:t>
      </w:r>
    </w:p>
    <w:p w14:paraId="7C0CD769" w14:textId="77777777" w:rsidR="00C01580" w:rsidRPr="00302638" w:rsidRDefault="00C01580" w:rsidP="00C01580">
      <w:pPr>
        <w:pStyle w:val="SingleTxtG"/>
        <w:rPr>
          <w:i/>
          <w:iCs/>
          <w:lang w:eastAsia="en-US"/>
        </w:rPr>
      </w:pPr>
      <w:bookmarkStart w:id="42" w:name="_Hlk31892693"/>
      <w:r w:rsidRPr="00302638">
        <w:rPr>
          <w:lang w:eastAsia="en-US"/>
        </w:rPr>
        <w:t>Mandatory reporting by Parties is provided for in articles 14 (bis) of the Convention and 13 (4) and 14 (7) of the Protocol. Review of implementation is required under articles 11 (2) of the Convention and 14 (4) of the Protocol.</w:t>
      </w:r>
    </w:p>
    <w:p w14:paraId="13B0CECF" w14:textId="77777777" w:rsidR="00C01580" w:rsidRPr="00302638" w:rsidRDefault="00C01580" w:rsidP="00C01580">
      <w:pPr>
        <w:pStyle w:val="SingleTxtG"/>
        <w:rPr>
          <w:lang w:eastAsia="en-US"/>
        </w:rPr>
      </w:pPr>
      <w:r w:rsidRPr="00302638">
        <w:rPr>
          <w:i/>
          <w:iCs/>
          <w:lang w:eastAsia="en-US"/>
        </w:rPr>
        <w:t>Entity(ies) responsible</w:t>
      </w:r>
      <w:r w:rsidRPr="00302638">
        <w:rPr>
          <w:lang w:eastAsia="en-US"/>
        </w:rPr>
        <w:t>: Parties, the Implementation Committee and, within the limits of its resources, the secretariat.</w:t>
      </w:r>
    </w:p>
    <w:p w14:paraId="00FA91D3" w14:textId="77777777" w:rsidR="00C01580" w:rsidRPr="00302638" w:rsidRDefault="00C01580" w:rsidP="00C01580">
      <w:pPr>
        <w:pStyle w:val="SingleTxtG"/>
        <w:rPr>
          <w:lang w:eastAsia="en-US"/>
        </w:rPr>
      </w:pPr>
      <w:r w:rsidRPr="00302638">
        <w:rPr>
          <w:i/>
          <w:iCs/>
          <w:lang w:eastAsia="en-US"/>
        </w:rPr>
        <w:t>Resource requirements</w:t>
      </w:r>
      <w:r w:rsidRPr="00302638">
        <w:rPr>
          <w:lang w:eastAsia="en-US"/>
        </w:rPr>
        <w:t>: Professional and general support staff of the secretariat.</w:t>
      </w:r>
    </w:p>
    <w:bookmarkEnd w:id="41"/>
    <w:bookmarkEnd w:id="42"/>
    <w:p w14:paraId="0184AB1E" w14:textId="046403BD" w:rsidR="00C01580" w:rsidRPr="00302638" w:rsidRDefault="00C01580" w:rsidP="00C01580">
      <w:pPr>
        <w:pStyle w:val="H23G"/>
        <w:rPr>
          <w:lang w:eastAsia="en-US"/>
        </w:rPr>
      </w:pPr>
      <w:r w:rsidRPr="00302638">
        <w:rPr>
          <w:lang w:eastAsia="en-US"/>
        </w:rPr>
        <w:tab/>
      </w:r>
      <w:r>
        <w:rPr>
          <w:lang w:eastAsia="en-US"/>
        </w:rPr>
        <w:t>1</w:t>
      </w:r>
      <w:r w:rsidRPr="00302638">
        <w:rPr>
          <w:lang w:eastAsia="en-US"/>
        </w:rPr>
        <w:t>.</w:t>
      </w:r>
      <w:r w:rsidRPr="00302638">
        <w:rPr>
          <w:lang w:eastAsia="en-US"/>
        </w:rPr>
        <w:tab/>
        <w:t>Distribution of the questionnaires for reporting on implementation of the Convention and the Protocol in 2022–2024</w:t>
      </w:r>
    </w:p>
    <w:p w14:paraId="59A560FF" w14:textId="77777777" w:rsidR="00C01580" w:rsidRPr="00302638" w:rsidRDefault="00C01580" w:rsidP="00C01580">
      <w:pPr>
        <w:pStyle w:val="SingleTxtG"/>
        <w:rPr>
          <w:lang w:eastAsia="en-US"/>
        </w:rPr>
      </w:pPr>
      <w:r w:rsidRPr="00302638">
        <w:rPr>
          <w:lang w:eastAsia="en-US"/>
        </w:rPr>
        <w:t xml:space="preserve">The secretariat is to distribute </w:t>
      </w:r>
      <w:r>
        <w:rPr>
          <w:lang w:eastAsia="en-US"/>
        </w:rPr>
        <w:t xml:space="preserve">to Parties, by end December 2024, </w:t>
      </w:r>
      <w:r w:rsidRPr="00302638">
        <w:rPr>
          <w:lang w:eastAsia="en-US"/>
        </w:rPr>
        <w:t>the questionnaires</w:t>
      </w:r>
      <w:r>
        <w:rPr>
          <w:lang w:eastAsia="en-US"/>
        </w:rPr>
        <w:t xml:space="preserve"> for reporting agreed in the previous reporting round, as needed, after making minor technical adjustments to thereto</w:t>
      </w:r>
      <w:r w:rsidRPr="00302638">
        <w:rPr>
          <w:lang w:eastAsia="en-US"/>
        </w:rPr>
        <w:t xml:space="preserve"> , </w:t>
      </w:r>
      <w:r>
        <w:rPr>
          <w:lang w:eastAsia="en-US"/>
        </w:rPr>
        <w:t xml:space="preserve"> with Parties to </w:t>
      </w:r>
      <w:r w:rsidRPr="00302638">
        <w:rPr>
          <w:lang w:eastAsia="en-US"/>
        </w:rPr>
        <w:t xml:space="preserve">return </w:t>
      </w:r>
      <w:r>
        <w:rPr>
          <w:lang w:eastAsia="en-US"/>
        </w:rPr>
        <w:t xml:space="preserve">the questionnaires </w:t>
      </w:r>
      <w:r w:rsidRPr="00302638">
        <w:rPr>
          <w:lang w:eastAsia="en-US"/>
        </w:rPr>
        <w:t>by end April 2025.</w:t>
      </w:r>
      <w:r>
        <w:rPr>
          <w:lang w:eastAsia="en-US"/>
        </w:rPr>
        <w:t xml:space="preserve"> </w:t>
      </w:r>
    </w:p>
    <w:p w14:paraId="3886F696" w14:textId="77777777" w:rsidR="00C01580" w:rsidRPr="00302638" w:rsidRDefault="00C01580" w:rsidP="00C01580">
      <w:pPr>
        <w:pStyle w:val="H23G"/>
        <w:rPr>
          <w:lang w:eastAsia="en-US"/>
        </w:rPr>
      </w:pPr>
      <w:r>
        <w:rPr>
          <w:lang w:eastAsia="en-US"/>
        </w:rPr>
        <w:tab/>
        <w:t>2</w:t>
      </w:r>
      <w:r w:rsidRPr="00302638">
        <w:rPr>
          <w:lang w:eastAsia="en-US"/>
        </w:rPr>
        <w:t>.</w:t>
      </w:r>
      <w:r w:rsidRPr="00302638">
        <w:rPr>
          <w:lang w:eastAsia="en-US"/>
        </w:rPr>
        <w:tab/>
        <w:t>Reporting by Parties</w:t>
      </w:r>
    </w:p>
    <w:p w14:paraId="70B68F24" w14:textId="4A4B6EA3" w:rsidR="00C01580" w:rsidRDefault="00C01580" w:rsidP="00301AF1">
      <w:pPr>
        <w:pStyle w:val="SingleTxtG"/>
        <w:rPr>
          <w:lang w:eastAsia="en-US"/>
        </w:rPr>
      </w:pPr>
      <w:r w:rsidRPr="00302638">
        <w:rPr>
          <w:lang w:eastAsia="en-US"/>
        </w:rPr>
        <w:t xml:space="preserve">All Parties are to report by </w:t>
      </w:r>
      <w:r w:rsidRPr="00301AF1">
        <w:t>the</w:t>
      </w:r>
      <w:r w:rsidRPr="00302638">
        <w:rPr>
          <w:lang w:eastAsia="en-US"/>
        </w:rPr>
        <w:t xml:space="preserve"> deadline of 30 April 2025 on their implementation of Convention and the Protocol in 2022–2024.</w:t>
      </w:r>
    </w:p>
    <w:p w14:paraId="74BA6310" w14:textId="29628BE2" w:rsidR="00C01580" w:rsidRPr="00302638" w:rsidRDefault="00D60BE2" w:rsidP="00D60BE2">
      <w:pPr>
        <w:pStyle w:val="H23G"/>
        <w:rPr>
          <w:bCs/>
          <w:lang w:eastAsia="en-US"/>
        </w:rPr>
      </w:pPr>
      <w:r>
        <w:rPr>
          <w:bCs/>
          <w:lang w:eastAsia="en-US"/>
        </w:rPr>
        <w:lastRenderedPageBreak/>
        <w:tab/>
      </w:r>
      <w:r w:rsidR="00C01580">
        <w:rPr>
          <w:bCs/>
          <w:lang w:eastAsia="en-US"/>
        </w:rPr>
        <w:t>3</w:t>
      </w:r>
      <w:r w:rsidR="00C01580" w:rsidRPr="00302638">
        <w:rPr>
          <w:lang w:eastAsia="en-US"/>
        </w:rPr>
        <w:t>.</w:t>
      </w:r>
      <w:r w:rsidR="00C01580" w:rsidRPr="00302638">
        <w:rPr>
          <w:lang w:eastAsia="en-US"/>
        </w:rPr>
        <w:tab/>
      </w:r>
      <w:r w:rsidR="00C01580" w:rsidRPr="00D60BE2">
        <w:t>Preparation</w:t>
      </w:r>
      <w:r w:rsidR="00C01580" w:rsidRPr="00302638">
        <w:rPr>
          <w:lang w:eastAsia="en-US"/>
        </w:rPr>
        <w:t xml:space="preserve"> of draft reviews of implementation of the Convention and the Protocol</w:t>
      </w:r>
    </w:p>
    <w:p w14:paraId="2D776329" w14:textId="06E19CCD" w:rsidR="00C01580" w:rsidRPr="00302638" w:rsidRDefault="00C01580" w:rsidP="00C01580">
      <w:pPr>
        <w:pStyle w:val="SingleTxtG"/>
        <w:rPr>
          <w:lang w:eastAsia="en-US"/>
        </w:rPr>
      </w:pPr>
      <w:bookmarkStart w:id="43" w:name="_Hlk9254866"/>
      <w:r w:rsidRPr="00302638">
        <w:rPr>
          <w:lang w:eastAsia="en-US"/>
        </w:rPr>
        <w:t xml:space="preserve">The secretariat, with support from consultants, is to draft reviews summarizing the outcomes of Parties’ implementation of the Convention and the Protocol, </w:t>
      </w:r>
      <w:bookmarkEnd w:id="43"/>
      <w:r w:rsidRPr="00302638">
        <w:rPr>
          <w:lang w:eastAsia="en-US"/>
        </w:rPr>
        <w:t xml:space="preserve">for presentation to the Working Group in 2025 for comments, and, once finalized based on the comments made, to the Meetings of the Parties at their next sessions in 2026. </w:t>
      </w:r>
      <w:bookmarkStart w:id="44" w:name="_Hlk34063511"/>
      <w:r w:rsidRPr="00302638">
        <w:rPr>
          <w:lang w:eastAsia="en-US"/>
        </w:rPr>
        <w:t>Subject to availability of resources, upon adoption, the secretariat is to publish the reviews as electronic publications in English, French and Russian.</w:t>
      </w:r>
      <w:r w:rsidR="00472CC2">
        <w:rPr>
          <w:rFonts w:ascii="ZWAdobeF" w:hAnsi="ZWAdobeF" w:cs="ZWAdobeF"/>
          <w:sz w:val="2"/>
          <w:szCs w:val="2"/>
          <w:lang w:eastAsia="en-US"/>
        </w:rPr>
        <w:t>13F</w:t>
      </w:r>
      <w:r w:rsidRPr="00302638">
        <w:rPr>
          <w:sz w:val="18"/>
          <w:vertAlign w:val="superscript"/>
          <w:lang w:val="fr-CH" w:eastAsia="en-US"/>
        </w:rPr>
        <w:footnoteReference w:id="15"/>
      </w:r>
    </w:p>
    <w:bookmarkEnd w:id="44"/>
    <w:p w14:paraId="5823E998" w14:textId="728607E4" w:rsidR="00C01580" w:rsidRPr="00302638" w:rsidRDefault="00C01580" w:rsidP="00C01580">
      <w:pPr>
        <w:pStyle w:val="SingleTxtG"/>
        <w:rPr>
          <w:sz w:val="24"/>
          <w:szCs w:val="24"/>
          <w:lang w:eastAsia="en-US"/>
        </w:rPr>
      </w:pPr>
      <w:r w:rsidRPr="00302638">
        <w:rPr>
          <w:i/>
          <w:iCs/>
          <w:lang w:eastAsia="en-US"/>
        </w:rPr>
        <w:t>Additional resource requirements</w:t>
      </w:r>
      <w:r w:rsidRPr="00302638">
        <w:rPr>
          <w:lang w:eastAsia="en-US"/>
        </w:rPr>
        <w:t>:</w:t>
      </w:r>
      <w:bookmarkStart w:id="46" w:name="_Hlk23263461"/>
      <w:r w:rsidRPr="00302638">
        <w:rPr>
          <w:lang w:eastAsia="en-US"/>
        </w:rPr>
        <w:t xml:space="preserve"> $</w:t>
      </w:r>
      <w:bookmarkEnd w:id="46"/>
      <w:r w:rsidRPr="00302638">
        <w:rPr>
          <w:lang w:eastAsia="en-US"/>
        </w:rPr>
        <w:t>25,000 for consultants and translation of national reports. In-kind contribution by Canada for translating into English national reports provided in French</w:t>
      </w:r>
      <w:r>
        <w:rPr>
          <w:lang w:eastAsia="en-US"/>
        </w:rPr>
        <w:t>.</w:t>
      </w:r>
    </w:p>
    <w:p w14:paraId="74C553EB" w14:textId="77777777" w:rsidR="00C01580" w:rsidRPr="00302638" w:rsidRDefault="00C01580" w:rsidP="00C01580">
      <w:pPr>
        <w:pStyle w:val="H1G"/>
        <w:rPr>
          <w:lang w:eastAsia="en-US"/>
        </w:rPr>
      </w:pPr>
      <w:bookmarkStart w:id="47" w:name="_Hlk32240404"/>
      <w:r w:rsidRPr="00302638">
        <w:rPr>
          <w:lang w:eastAsia="en-US"/>
        </w:rPr>
        <w:tab/>
        <w:t>C.</w:t>
      </w:r>
      <w:r w:rsidRPr="00302638">
        <w:rPr>
          <w:lang w:eastAsia="en-US"/>
        </w:rPr>
        <w:tab/>
        <w:t>Legislative assistance</w:t>
      </w:r>
    </w:p>
    <w:p w14:paraId="51314732" w14:textId="77777777" w:rsidR="00C01580" w:rsidRPr="00302638" w:rsidRDefault="00C01580" w:rsidP="00C01580">
      <w:pPr>
        <w:pStyle w:val="SingleTxtG"/>
        <w:rPr>
          <w:lang w:eastAsia="en-US"/>
        </w:rPr>
      </w:pPr>
      <w:bookmarkStart w:id="48" w:name="_Hlk31906570"/>
      <w:r w:rsidRPr="00302638">
        <w:rPr>
          <w:i/>
          <w:iCs/>
          <w:lang w:eastAsia="en-US"/>
        </w:rPr>
        <w:t>Objective</w:t>
      </w:r>
      <w:r w:rsidRPr="00302638">
        <w:rPr>
          <w:lang w:eastAsia="en-US"/>
        </w:rPr>
        <w:t>:</w:t>
      </w:r>
      <w:r w:rsidRPr="00302638">
        <w:rPr>
          <w:i/>
          <w:iCs/>
          <w:lang w:eastAsia="en-US"/>
        </w:rPr>
        <w:t xml:space="preserve"> </w:t>
      </w:r>
      <w:r w:rsidRPr="00302638">
        <w:rPr>
          <w:lang w:eastAsia="en-US"/>
        </w:rPr>
        <w:t>With a view to promoting compliant implementation of and accession to the Convention and/or the Protocol, this category of activities aims to support beneficiary countries in further aligning their legislation with the two treaties, through assistance in identifying gaps or inconsistencies (legislative reviews); drafting new primary or secondary legislation or amendments to existing primary or secondary legislation, and, as needed, organizing awareness-raising events to promote the legislation’s adoption.</w:t>
      </w:r>
    </w:p>
    <w:p w14:paraId="6A85277F" w14:textId="77777777" w:rsidR="00C01580" w:rsidRPr="00302638" w:rsidRDefault="00C01580" w:rsidP="00C01580">
      <w:pPr>
        <w:pStyle w:val="SingleTxtG"/>
        <w:rPr>
          <w:lang w:eastAsia="en-US"/>
        </w:rPr>
      </w:pPr>
      <w:bookmarkStart w:id="49" w:name="_Hlk126596599"/>
      <w:r>
        <w:rPr>
          <w:i/>
          <w:iCs/>
          <w:lang w:eastAsia="en-US"/>
        </w:rPr>
        <w:t>Activities and e</w:t>
      </w:r>
      <w:r w:rsidRPr="00302638">
        <w:rPr>
          <w:i/>
          <w:iCs/>
          <w:lang w:eastAsia="en-US"/>
        </w:rPr>
        <w:t>ntity(ies) responsible</w:t>
      </w:r>
      <w:r w:rsidRPr="00846377">
        <w:rPr>
          <w:i/>
          <w:iCs/>
          <w:lang w:eastAsia="en-US"/>
        </w:rPr>
        <w:t>:</w:t>
      </w:r>
      <w:r w:rsidRPr="00302638">
        <w:rPr>
          <w:i/>
          <w:iCs/>
          <w:lang w:eastAsia="en-US"/>
        </w:rPr>
        <w:t xml:space="preserve">  </w:t>
      </w:r>
      <w:bookmarkEnd w:id="48"/>
      <w:r w:rsidRPr="00302638">
        <w:rPr>
          <w:lang w:eastAsia="en-US"/>
        </w:rPr>
        <w:t>Parties/partner organizations to provide bilateral legislative assistance to beneficiary countries at their request and/or as recommended by the Implementation Committee, in cooperation with those countries, and, as needed, consulting with the Implementation Committee, and to report on progress to the Working Gr</w:t>
      </w:r>
      <w:r w:rsidRPr="00302638" w:rsidDel="00DB625C">
        <w:rPr>
          <w:lang w:eastAsia="en-US"/>
        </w:rPr>
        <w:t>oup</w:t>
      </w:r>
      <w:r w:rsidRPr="00302638">
        <w:rPr>
          <w:lang w:eastAsia="en-US"/>
        </w:rPr>
        <w:t xml:space="preserve">: </w:t>
      </w:r>
    </w:p>
    <w:p w14:paraId="11492747" w14:textId="414F838A" w:rsidR="00C01580" w:rsidRPr="00846377" w:rsidRDefault="00C01580" w:rsidP="00C01580">
      <w:pPr>
        <w:pStyle w:val="SingleTxtG"/>
        <w:ind w:firstLine="567"/>
        <w:rPr>
          <w:lang w:val="en-US" w:eastAsia="en-US"/>
        </w:rPr>
      </w:pPr>
      <w:r w:rsidRPr="001839FB">
        <w:rPr>
          <w:lang w:val="en-US" w:eastAsia="en-US"/>
        </w:rPr>
        <w:t>(a)</w:t>
      </w:r>
      <w:r w:rsidRPr="001839FB">
        <w:rPr>
          <w:lang w:val="en-US" w:eastAsia="en-US"/>
        </w:rPr>
        <w:tab/>
      </w:r>
      <w:r w:rsidRPr="00362EC8">
        <w:rPr>
          <w:lang w:val="en-US" w:eastAsia="en-US"/>
        </w:rPr>
        <w:t xml:space="preserve">Assistance </w:t>
      </w:r>
      <w:r w:rsidRPr="001839FB">
        <w:rPr>
          <w:lang w:val="en-US" w:eastAsia="en-US"/>
        </w:rPr>
        <w:t xml:space="preserve">to </w:t>
      </w:r>
      <w:r w:rsidRPr="00362EC8">
        <w:rPr>
          <w:lang w:val="en-US" w:eastAsia="en-US"/>
        </w:rPr>
        <w:t xml:space="preserve">countries of </w:t>
      </w:r>
      <w:r w:rsidRPr="001839FB">
        <w:rPr>
          <w:lang w:eastAsia="en-US"/>
        </w:rPr>
        <w:t xml:space="preserve">Eastern and South-Eastern Europe, the Caucasus and Central Asia by the </w:t>
      </w:r>
      <w:r w:rsidRPr="001839FB">
        <w:rPr>
          <w:lang w:val="en-US" w:eastAsia="en-US"/>
        </w:rPr>
        <w:t>Organization for Security and Cooperation in Europe (OSCE),</w:t>
      </w:r>
      <w:r w:rsidRPr="00362EC8">
        <w:rPr>
          <w:lang w:val="en-US" w:eastAsia="en-US"/>
        </w:rPr>
        <w:t xml:space="preserve"> subject to availability of funding</w:t>
      </w:r>
      <w:r w:rsidRPr="001839FB">
        <w:rPr>
          <w:lang w:val="en-US" w:eastAsia="en-US"/>
        </w:rPr>
        <w:t>;</w:t>
      </w:r>
    </w:p>
    <w:p w14:paraId="3E749719" w14:textId="5229BB2E" w:rsidR="00C01580" w:rsidRPr="00846377" w:rsidRDefault="00C01580" w:rsidP="00C01580">
      <w:pPr>
        <w:pStyle w:val="SingleTxtG"/>
        <w:ind w:firstLine="567"/>
        <w:rPr>
          <w:lang w:val="en-US" w:eastAsia="en-US"/>
        </w:rPr>
      </w:pPr>
      <w:r w:rsidRPr="00846377">
        <w:rPr>
          <w:lang w:val="en-US" w:eastAsia="en-US"/>
        </w:rPr>
        <w:t>(b)</w:t>
      </w:r>
      <w:r w:rsidRPr="00846377">
        <w:rPr>
          <w:lang w:val="en-US" w:eastAsia="en-US"/>
        </w:rPr>
        <w:tab/>
        <w:t>…</w:t>
      </w:r>
    </w:p>
    <w:p w14:paraId="19D57ECA" w14:textId="77777777" w:rsidR="00C01580" w:rsidRPr="00302638" w:rsidRDefault="00C01580" w:rsidP="00C01580">
      <w:pPr>
        <w:pStyle w:val="SingleTxtG"/>
        <w:rPr>
          <w:lang w:eastAsia="en-US"/>
        </w:rPr>
      </w:pPr>
      <w:bookmarkStart w:id="50" w:name="_Hlk31903569"/>
      <w:r w:rsidRPr="00302638">
        <w:rPr>
          <w:i/>
          <w:iCs/>
          <w:lang w:eastAsia="en-US"/>
        </w:rPr>
        <w:t>Resource requirements</w:t>
      </w:r>
      <w:r w:rsidRPr="00302638">
        <w:rPr>
          <w:lang w:eastAsia="en-US"/>
        </w:rPr>
        <w:t>: In-kind by Parties or partner organizations. Implementation of related activities depends on bilateral donor support.</w:t>
      </w:r>
    </w:p>
    <w:bookmarkEnd w:id="47"/>
    <w:bookmarkEnd w:id="49"/>
    <w:bookmarkEnd w:id="50"/>
    <w:p w14:paraId="2E6DC3A8" w14:textId="77777777" w:rsidR="00C01580" w:rsidRPr="00302638" w:rsidRDefault="00C01580" w:rsidP="00C01580">
      <w:pPr>
        <w:pStyle w:val="HChG"/>
        <w:rPr>
          <w:lang w:eastAsia="en-US"/>
        </w:rPr>
      </w:pPr>
      <w:r w:rsidRPr="00302638">
        <w:rPr>
          <w:lang w:eastAsia="en-US"/>
        </w:rPr>
        <w:tab/>
        <w:t>III.</w:t>
      </w:r>
      <w:r w:rsidRPr="00302638">
        <w:rPr>
          <w:lang w:eastAsia="en-US"/>
        </w:rPr>
        <w:tab/>
        <w:t>Promoting practical application of the Convention and the Protocol</w:t>
      </w:r>
    </w:p>
    <w:p w14:paraId="43F7C751" w14:textId="77777777" w:rsidR="00C01580" w:rsidRDefault="00C01580" w:rsidP="00C01580">
      <w:pPr>
        <w:pStyle w:val="SingleTxtG"/>
        <w:rPr>
          <w:lang w:eastAsia="en-US"/>
        </w:rPr>
      </w:pPr>
      <w:r w:rsidRPr="00302638">
        <w:rPr>
          <w:lang w:eastAsia="en-US"/>
        </w:rPr>
        <w:t>This work area aims to promote effective practical application of the Convention and the Protocol, through the following categories of activity:</w:t>
      </w:r>
    </w:p>
    <w:p w14:paraId="25BAA8B9" w14:textId="77777777" w:rsidR="000E3530" w:rsidRDefault="00C01580" w:rsidP="00C01580">
      <w:pPr>
        <w:pStyle w:val="SingleTxtG"/>
        <w:ind w:firstLine="567"/>
        <w:rPr>
          <w:lang w:eastAsia="en-US"/>
        </w:rPr>
      </w:pPr>
      <w:r w:rsidRPr="009831E6">
        <w:rPr>
          <w:lang w:eastAsia="en-US"/>
        </w:rPr>
        <w:t>(a)</w:t>
      </w:r>
      <w:r w:rsidRPr="009831E6">
        <w:rPr>
          <w:lang w:eastAsia="en-US"/>
        </w:rPr>
        <w:tab/>
        <w:t xml:space="preserve">Subregional cooperation and capacity-building; </w:t>
      </w:r>
    </w:p>
    <w:p w14:paraId="13A64C9D" w14:textId="22760C18" w:rsidR="00C01580" w:rsidRPr="009831E6" w:rsidRDefault="00C01580" w:rsidP="00C01580">
      <w:pPr>
        <w:pStyle w:val="SingleTxtG"/>
        <w:ind w:firstLine="567"/>
        <w:rPr>
          <w:lang w:eastAsia="en-US"/>
        </w:rPr>
      </w:pPr>
      <w:r w:rsidRPr="009831E6" w:rsidDel="00DB625C">
        <w:rPr>
          <w:lang w:eastAsia="en-US"/>
        </w:rPr>
        <w:t>(b</w:t>
      </w:r>
      <w:r w:rsidRPr="009831E6">
        <w:rPr>
          <w:lang w:eastAsia="en-US"/>
        </w:rPr>
        <w:t>)</w:t>
      </w:r>
      <w:r w:rsidRPr="009831E6">
        <w:rPr>
          <w:lang w:eastAsia="en-US"/>
        </w:rPr>
        <w:tab/>
        <w:t>Exchange of good practices;</w:t>
      </w:r>
    </w:p>
    <w:p w14:paraId="6DD5E2DF" w14:textId="77777777" w:rsidR="00C01580" w:rsidRPr="009831E6" w:rsidRDefault="00C01580" w:rsidP="00C01580">
      <w:pPr>
        <w:pStyle w:val="SingleTxtG"/>
        <w:ind w:firstLine="567"/>
        <w:rPr>
          <w:lang w:eastAsia="en-US"/>
        </w:rPr>
      </w:pPr>
      <w:r w:rsidRPr="009831E6">
        <w:rPr>
          <w:lang w:eastAsia="en-US"/>
        </w:rPr>
        <w:t>(c)</w:t>
      </w:r>
      <w:r w:rsidRPr="009831E6">
        <w:rPr>
          <w:lang w:eastAsia="en-US"/>
        </w:rPr>
        <w:tab/>
        <w:t>Capacity-building.</w:t>
      </w:r>
    </w:p>
    <w:p w14:paraId="416D7BEC" w14:textId="77777777" w:rsidR="00C01580" w:rsidRPr="009831E6" w:rsidRDefault="00C01580" w:rsidP="00C01580">
      <w:pPr>
        <w:pStyle w:val="H1G"/>
        <w:rPr>
          <w:lang w:eastAsia="en-US"/>
        </w:rPr>
      </w:pPr>
      <w:r w:rsidRPr="009831E6">
        <w:rPr>
          <w:lang w:eastAsia="en-US"/>
        </w:rPr>
        <w:tab/>
        <w:t>A.</w:t>
      </w:r>
      <w:r w:rsidRPr="009831E6">
        <w:rPr>
          <w:lang w:eastAsia="en-US"/>
        </w:rPr>
        <w:tab/>
        <w:t xml:space="preserve">Subregional cooperation and capacity-building </w:t>
      </w:r>
    </w:p>
    <w:p w14:paraId="2037F0C4" w14:textId="77777777" w:rsidR="00C01580" w:rsidRPr="009831E6" w:rsidRDefault="00C01580" w:rsidP="00C01580">
      <w:pPr>
        <w:pStyle w:val="SingleTxtG"/>
        <w:rPr>
          <w:lang w:eastAsia="en-US"/>
        </w:rPr>
      </w:pPr>
      <w:r w:rsidRPr="009831E6">
        <w:rPr>
          <w:lang w:eastAsia="en-US"/>
        </w:rPr>
        <w:t>The activity pursues the following objectives in the different ECE subregions:</w:t>
      </w:r>
    </w:p>
    <w:p w14:paraId="1D1C557D" w14:textId="77777777" w:rsidR="00C01580" w:rsidRPr="009831E6" w:rsidRDefault="00C01580" w:rsidP="00C01580">
      <w:pPr>
        <w:pStyle w:val="SingleTxtG"/>
        <w:ind w:firstLine="567"/>
        <w:rPr>
          <w:lang w:eastAsia="en-US"/>
        </w:rPr>
      </w:pPr>
      <w:r w:rsidRPr="009831E6">
        <w:rPr>
          <w:lang w:eastAsia="en-US"/>
        </w:rPr>
        <w:t>(a)</w:t>
      </w:r>
      <w:r w:rsidRPr="009831E6">
        <w:rPr>
          <w:lang w:eastAsia="en-US"/>
        </w:rPr>
        <w:tab/>
        <w:t xml:space="preserve">Contribute to common understanding and improved implementation of the Convention and its Protocol within the ECE subregions; </w:t>
      </w:r>
    </w:p>
    <w:p w14:paraId="63085E6C" w14:textId="77777777" w:rsidR="00C01580" w:rsidRPr="009831E6" w:rsidRDefault="00C01580" w:rsidP="00C01580">
      <w:pPr>
        <w:pStyle w:val="SingleTxtG"/>
        <w:ind w:firstLine="567"/>
        <w:rPr>
          <w:lang w:eastAsia="en-US"/>
        </w:rPr>
      </w:pPr>
      <w:r w:rsidRPr="009831E6">
        <w:rPr>
          <w:lang w:eastAsia="en-US"/>
        </w:rPr>
        <w:t>(b)</w:t>
      </w:r>
      <w:r w:rsidRPr="009831E6">
        <w:rPr>
          <w:lang w:eastAsia="en-US"/>
        </w:rPr>
        <w:tab/>
        <w:t xml:space="preserve">Promote cooperation among Parties within and between the subregions and strengthen contacts with States and subregions outside the ECE region; </w:t>
      </w:r>
    </w:p>
    <w:p w14:paraId="531B300C" w14:textId="77777777" w:rsidR="00C01580" w:rsidRPr="009831E6" w:rsidRDefault="00C01580" w:rsidP="00C01580">
      <w:pPr>
        <w:pStyle w:val="SingleTxtG"/>
        <w:ind w:firstLine="567"/>
        <w:rPr>
          <w:lang w:eastAsia="en-US"/>
        </w:rPr>
      </w:pPr>
      <w:r w:rsidRPr="009831E6">
        <w:rPr>
          <w:lang w:eastAsia="en-US"/>
        </w:rPr>
        <w:lastRenderedPageBreak/>
        <w:t>(c)</w:t>
      </w:r>
      <w:r w:rsidRPr="009831E6">
        <w:rPr>
          <w:lang w:eastAsia="en-US"/>
        </w:rPr>
        <w:tab/>
        <w:t xml:space="preserve">Increase professional skills of officials at all government levels and awareness of the public, including non-governmental organizations (NGOs), in relation to strategic environmental assessment, transboundary environmental impact assessment and application of the Convention and its Protocol; </w:t>
      </w:r>
    </w:p>
    <w:p w14:paraId="550F1BE4" w14:textId="77777777" w:rsidR="00C01580" w:rsidRPr="009831E6" w:rsidRDefault="00C01580" w:rsidP="00C01580">
      <w:pPr>
        <w:pStyle w:val="SingleTxtG"/>
        <w:ind w:firstLine="567"/>
        <w:rPr>
          <w:lang w:eastAsia="en-US"/>
        </w:rPr>
      </w:pPr>
      <w:r w:rsidRPr="009831E6">
        <w:rPr>
          <w:lang w:eastAsia="en-US"/>
        </w:rPr>
        <w:t>(d)</w:t>
      </w:r>
      <w:r w:rsidRPr="009831E6">
        <w:rPr>
          <w:lang w:eastAsia="en-US"/>
        </w:rPr>
        <w:tab/>
        <w:t xml:space="preserve">Contribute to increased cooperation and synergies with relevant multilateral environmental agreements, other international instruments and organizations; </w:t>
      </w:r>
    </w:p>
    <w:p w14:paraId="3FADEA5F" w14:textId="77777777" w:rsidR="00C01580" w:rsidRPr="009831E6" w:rsidRDefault="00C01580" w:rsidP="00C01580">
      <w:pPr>
        <w:pStyle w:val="SingleTxtG"/>
        <w:ind w:firstLine="567"/>
        <w:rPr>
          <w:lang w:eastAsia="en-US"/>
        </w:rPr>
      </w:pPr>
      <w:r w:rsidRPr="009831E6">
        <w:rPr>
          <w:lang w:eastAsia="en-US"/>
        </w:rPr>
        <w:t>(e)</w:t>
      </w:r>
      <w:r w:rsidRPr="009831E6">
        <w:rPr>
          <w:lang w:eastAsia="en-US"/>
        </w:rPr>
        <w:tab/>
        <w:t>Contribute to wider application of the Convention and the Protocol within and beyond the ECE region.</w:t>
      </w:r>
    </w:p>
    <w:p w14:paraId="0E05119C" w14:textId="77777777" w:rsidR="00C01580" w:rsidRPr="009831E6" w:rsidRDefault="00C01580" w:rsidP="00C01580">
      <w:pPr>
        <w:pStyle w:val="H23G"/>
        <w:rPr>
          <w:lang w:eastAsia="en-US"/>
        </w:rPr>
      </w:pPr>
      <w:r w:rsidRPr="009831E6">
        <w:rPr>
          <w:lang w:eastAsia="en-US"/>
        </w:rPr>
        <w:tab/>
        <w:t>1.</w:t>
      </w:r>
      <w:r w:rsidRPr="009831E6">
        <w:rPr>
          <w:lang w:eastAsia="en-US"/>
        </w:rPr>
        <w:tab/>
        <w:t>Baltic Sea subregion</w:t>
      </w:r>
    </w:p>
    <w:p w14:paraId="73815201" w14:textId="77777777" w:rsidR="00C01580" w:rsidRPr="009831E6" w:rsidRDefault="00C01580" w:rsidP="00C01580">
      <w:pPr>
        <w:pStyle w:val="SingleTxtG"/>
        <w:rPr>
          <w:lang w:eastAsia="en-US"/>
        </w:rPr>
      </w:pPr>
      <w:bookmarkStart w:id="51" w:name="_Hlk9274129"/>
      <w:r w:rsidRPr="009831E6">
        <w:rPr>
          <w:bCs/>
          <w:i/>
          <w:iCs/>
          <w:lang w:eastAsia="en-US"/>
        </w:rPr>
        <w:t>Activities</w:t>
      </w:r>
      <w:r w:rsidRPr="009831E6">
        <w:rPr>
          <w:bCs/>
          <w:lang w:eastAsia="en-US"/>
        </w:rPr>
        <w:t>:</w:t>
      </w:r>
      <w:r w:rsidRPr="009831E6">
        <w:rPr>
          <w:bCs/>
          <w:i/>
          <w:iCs/>
          <w:lang w:eastAsia="en-US"/>
        </w:rPr>
        <w:t xml:space="preserve"> </w:t>
      </w:r>
      <w:bookmarkStart w:id="52" w:name="_Hlk127371534"/>
      <w:r w:rsidRPr="009831E6">
        <w:rPr>
          <w:lang w:eastAsia="en-US"/>
        </w:rPr>
        <w:t xml:space="preserve">Organize and host </w:t>
      </w:r>
      <w:bookmarkEnd w:id="52"/>
      <w:r w:rsidRPr="009831E6">
        <w:rPr>
          <w:lang w:eastAsia="en-US"/>
        </w:rPr>
        <w:t xml:space="preserve">[up to three] subregional meetings on cooperation on the Convention and the Protocol, on topics of interest for the subregion that the lead countries concerned are to identify in advance of the meeting in consultation with the other participating countries, and prepare the minutes of the meeting on the outcomes for the secretariat to make available on the website. </w:t>
      </w:r>
      <w:bookmarkEnd w:id="51"/>
    </w:p>
    <w:p w14:paraId="4333E361" w14:textId="77777777" w:rsidR="00C01580" w:rsidRPr="009831E6" w:rsidRDefault="00C01580" w:rsidP="00C01580">
      <w:pPr>
        <w:pStyle w:val="SingleTxtG"/>
        <w:rPr>
          <w:lang w:eastAsia="en-US"/>
        </w:rPr>
      </w:pPr>
      <w:r w:rsidRPr="009831E6">
        <w:rPr>
          <w:bCs/>
          <w:lang w:eastAsia="en-US"/>
        </w:rPr>
        <w:t>To enhance synergies and cooperation with regional sea conventions, their representatives could be invited to take part.</w:t>
      </w:r>
    </w:p>
    <w:p w14:paraId="38A6D32F" w14:textId="77777777" w:rsidR="00C01580" w:rsidRPr="009831E6" w:rsidRDefault="00C01580" w:rsidP="00C01580">
      <w:pPr>
        <w:pStyle w:val="SingleTxtG"/>
        <w:rPr>
          <w:lang w:eastAsia="en-US"/>
        </w:rPr>
      </w:pPr>
      <w:bookmarkStart w:id="53" w:name="_Hlk51744963"/>
      <w:r w:rsidRPr="009831E6">
        <w:rPr>
          <w:i/>
          <w:iCs/>
          <w:lang w:eastAsia="en-US"/>
        </w:rPr>
        <w:t>Entity(ies) responsible</w:t>
      </w:r>
      <w:r w:rsidRPr="009831E6">
        <w:rPr>
          <w:lang w:eastAsia="en-US"/>
        </w:rPr>
        <w:t>:</w:t>
      </w:r>
      <w:r w:rsidRPr="009831E6">
        <w:rPr>
          <w:lang w:eastAsia="en-US"/>
        </w:rPr>
        <w:tab/>
        <w:t>Lead countries</w:t>
      </w:r>
      <w:bookmarkStart w:id="54" w:name="_Hlk127372426"/>
      <w:r w:rsidRPr="009831E6">
        <w:rPr>
          <w:lang w:eastAsia="en-US"/>
        </w:rPr>
        <w:t>, with the secretariat’s support, within the limits of its resources.</w:t>
      </w:r>
    </w:p>
    <w:bookmarkEnd w:id="54"/>
    <w:p w14:paraId="73008ED5" w14:textId="77777777" w:rsidR="00C01580" w:rsidRDefault="00C01580" w:rsidP="00C01580">
      <w:pPr>
        <w:pStyle w:val="SingleTxtG"/>
        <w:ind w:firstLine="567"/>
        <w:rPr>
          <w:lang w:eastAsia="en-US"/>
        </w:rPr>
      </w:pPr>
      <w:r w:rsidRPr="009831E6">
        <w:rPr>
          <w:lang w:eastAsia="en-US"/>
        </w:rPr>
        <w:t>(</w:t>
      </w:r>
      <w:r>
        <w:rPr>
          <w:lang w:eastAsia="en-US"/>
        </w:rPr>
        <w:t>a</w:t>
      </w:r>
      <w:r w:rsidRPr="009831E6">
        <w:rPr>
          <w:lang w:eastAsia="en-US"/>
        </w:rPr>
        <w:t>)</w:t>
      </w:r>
      <w:r w:rsidRPr="009831E6">
        <w:rPr>
          <w:lang w:eastAsia="en-US"/>
        </w:rPr>
        <w:tab/>
        <w:t>[</w:t>
      </w:r>
      <w:r>
        <w:rPr>
          <w:lang w:eastAsia="en-US"/>
        </w:rPr>
        <w:t>Latvia</w:t>
      </w:r>
      <w:r w:rsidRPr="009831E6">
        <w:rPr>
          <w:lang w:eastAsia="en-US"/>
        </w:rPr>
        <w:t xml:space="preserve"> (202</w:t>
      </w:r>
      <w:r>
        <w:rPr>
          <w:lang w:eastAsia="en-US"/>
        </w:rPr>
        <w:t>4</w:t>
      </w:r>
      <w:r w:rsidRPr="009831E6">
        <w:rPr>
          <w:lang w:eastAsia="en-US"/>
        </w:rPr>
        <w:t>), to be confirmed]</w:t>
      </w:r>
      <w:bookmarkEnd w:id="53"/>
      <w:r w:rsidRPr="009831E6">
        <w:rPr>
          <w:lang w:eastAsia="en-US"/>
        </w:rPr>
        <w:t>;</w:t>
      </w:r>
    </w:p>
    <w:p w14:paraId="77747CA2" w14:textId="77777777" w:rsidR="00C01580" w:rsidRPr="009831E6" w:rsidRDefault="00C01580" w:rsidP="00C01580">
      <w:pPr>
        <w:pStyle w:val="SingleTxtG"/>
        <w:ind w:firstLine="567"/>
        <w:rPr>
          <w:lang w:eastAsia="en-US"/>
        </w:rPr>
      </w:pPr>
      <w:r>
        <w:rPr>
          <w:lang w:eastAsia="en-US"/>
        </w:rPr>
        <w:t>(b)</w:t>
      </w:r>
      <w:r>
        <w:rPr>
          <w:lang w:eastAsia="en-US"/>
        </w:rPr>
        <w:tab/>
        <w:t>[Poland [in cooperation with Germany] (Poland, May/June 2025), with the invitation extended also to representatives of other subregions/regional sea bodies, to be confirmed;</w:t>
      </w:r>
    </w:p>
    <w:p w14:paraId="4ADE4B69" w14:textId="77777777" w:rsidR="00C01580" w:rsidRPr="009831E6" w:rsidRDefault="00C01580" w:rsidP="00C01580">
      <w:pPr>
        <w:pStyle w:val="SingleTxtG"/>
        <w:ind w:firstLine="567"/>
        <w:rPr>
          <w:lang w:eastAsia="en-US"/>
        </w:rPr>
      </w:pPr>
      <w:r w:rsidRPr="009831E6">
        <w:rPr>
          <w:lang w:eastAsia="en-US"/>
        </w:rPr>
        <w:t>(c)</w:t>
      </w:r>
      <w:r w:rsidRPr="009831E6">
        <w:rPr>
          <w:lang w:eastAsia="en-US"/>
        </w:rPr>
        <w:tab/>
        <w:t>[</w:t>
      </w:r>
      <w:r>
        <w:rPr>
          <w:lang w:eastAsia="en-US"/>
        </w:rPr>
        <w:t xml:space="preserve">Lithuania </w:t>
      </w:r>
      <w:r w:rsidRPr="009831E6">
        <w:rPr>
          <w:lang w:eastAsia="en-US"/>
        </w:rPr>
        <w:t>(2026)</w:t>
      </w:r>
      <w:r>
        <w:rPr>
          <w:lang w:eastAsia="en-US"/>
        </w:rPr>
        <w:t>, to be confirmed</w:t>
      </w:r>
      <w:r w:rsidRPr="009831E6">
        <w:rPr>
          <w:lang w:eastAsia="en-US"/>
        </w:rPr>
        <w:t>].</w:t>
      </w:r>
    </w:p>
    <w:p w14:paraId="4CFFDF06" w14:textId="77777777" w:rsidR="00C01580" w:rsidRPr="009831E6" w:rsidRDefault="00C01580" w:rsidP="00C01580">
      <w:pPr>
        <w:pStyle w:val="SingleTxtG"/>
        <w:rPr>
          <w:lang w:eastAsia="en-US"/>
        </w:rPr>
      </w:pPr>
      <w:r w:rsidRPr="009831E6">
        <w:rPr>
          <w:i/>
          <w:iCs/>
          <w:lang w:eastAsia="en-US"/>
        </w:rPr>
        <w:t>Resource requirements</w:t>
      </w:r>
      <w:r w:rsidRPr="009831E6">
        <w:rPr>
          <w:lang w:eastAsia="en-US"/>
        </w:rPr>
        <w:t>:</w:t>
      </w:r>
      <w:r w:rsidRPr="009831E6">
        <w:rPr>
          <w:i/>
          <w:iCs/>
          <w:lang w:eastAsia="en-US"/>
        </w:rPr>
        <w:t xml:space="preserve"> </w:t>
      </w:r>
      <w:r w:rsidRPr="009831E6">
        <w:rPr>
          <w:lang w:eastAsia="en-US"/>
        </w:rPr>
        <w:t>In-kind contributions to be confirmed by the countries concerned. As relevant, the secretariat’s participation requires funding of related travel costs.</w:t>
      </w:r>
    </w:p>
    <w:p w14:paraId="0F1BC7E4" w14:textId="77777777" w:rsidR="00C01580" w:rsidRPr="009831E6" w:rsidRDefault="00C01580" w:rsidP="00C01580">
      <w:pPr>
        <w:pStyle w:val="H23G"/>
        <w:rPr>
          <w:i/>
          <w:iCs/>
          <w:lang w:eastAsia="en-US"/>
        </w:rPr>
      </w:pPr>
      <w:r w:rsidRPr="009831E6">
        <w:rPr>
          <w:lang w:eastAsia="en-US"/>
        </w:rPr>
        <w:tab/>
        <w:t>2.</w:t>
      </w:r>
      <w:r w:rsidRPr="009831E6">
        <w:rPr>
          <w:lang w:eastAsia="en-US"/>
        </w:rPr>
        <w:tab/>
        <w:t>Mediterranean region</w:t>
      </w:r>
    </w:p>
    <w:p w14:paraId="37D04015" w14:textId="77777777" w:rsidR="00C01580" w:rsidRPr="009831E6" w:rsidRDefault="00C01580" w:rsidP="00C01580">
      <w:pPr>
        <w:pStyle w:val="SingleTxtG"/>
        <w:rPr>
          <w:lang w:eastAsia="en-US"/>
        </w:rPr>
      </w:pPr>
      <w:bookmarkStart w:id="55" w:name="_Hlk125652474"/>
      <w:r w:rsidRPr="009831E6">
        <w:rPr>
          <w:bCs/>
          <w:i/>
          <w:iCs/>
          <w:lang w:eastAsia="en-US"/>
        </w:rPr>
        <w:t>Activities</w:t>
      </w:r>
      <w:r w:rsidRPr="009831E6">
        <w:rPr>
          <w:bCs/>
          <w:lang w:eastAsia="en-US"/>
        </w:rPr>
        <w:t>:</w:t>
      </w:r>
      <w:r w:rsidRPr="009831E6">
        <w:rPr>
          <w:bCs/>
          <w:i/>
          <w:iCs/>
          <w:lang w:eastAsia="en-US"/>
        </w:rPr>
        <w:t xml:space="preserve"> </w:t>
      </w:r>
      <w:bookmarkEnd w:id="55"/>
      <w:r w:rsidRPr="009831E6">
        <w:rPr>
          <w:lang w:eastAsia="en-US"/>
        </w:rPr>
        <w:t xml:space="preserve">Organize and host up to three subregional meetings on cooperation on the Convention and the Protocol to informally exchange information about forthcoming or ongoing transboundary environmental impact assessment and strategic environmental assessment procedures of projects, plans and programmes related to the Mediterranean Sea and coastal areas, and discuss any topical issues of relevance to be identified by the host in consultation with the other riparian countries. Additionally, representatives of non-Parties around the Mediterranean Sea and the </w:t>
      </w:r>
      <w:r w:rsidRPr="009831E6">
        <w:rPr>
          <w:lang w:val="en" w:eastAsia="en-US"/>
        </w:rPr>
        <w:t>Convention for the Protection of the Marine Environment and the Coastal Region of the Mediterranean</w:t>
      </w:r>
      <w:r w:rsidRPr="009831E6">
        <w:rPr>
          <w:lang w:eastAsia="en-US"/>
        </w:rPr>
        <w:t xml:space="preserve"> (Barcelona Convention) could be invited to participate in order to increase cooperation with, and raise awareness of, the Espoo Convention and its Protocol.</w:t>
      </w:r>
    </w:p>
    <w:p w14:paraId="4B373FB1" w14:textId="77777777" w:rsidR="00C01580" w:rsidRPr="009831E6" w:rsidRDefault="00C01580" w:rsidP="00C01580">
      <w:pPr>
        <w:pStyle w:val="SingleTxtG"/>
        <w:rPr>
          <w:lang w:eastAsia="en-US"/>
        </w:rPr>
      </w:pPr>
      <w:bookmarkStart w:id="56" w:name="_Hlk125651921"/>
      <w:r w:rsidRPr="009831E6">
        <w:rPr>
          <w:i/>
          <w:iCs/>
          <w:lang w:eastAsia="en-US"/>
        </w:rPr>
        <w:t>Entity(ies) responsible</w:t>
      </w:r>
      <w:r w:rsidRPr="009831E6">
        <w:rPr>
          <w:lang w:eastAsia="en-US"/>
        </w:rPr>
        <w:t>: Lead countries. As relevant, with the secretariat’s support, within the limits of its resources:</w:t>
      </w:r>
    </w:p>
    <w:bookmarkEnd w:id="56"/>
    <w:p w14:paraId="21934FE1" w14:textId="77777777" w:rsidR="00C01580" w:rsidRPr="009831E6" w:rsidRDefault="00C01580" w:rsidP="00C01580">
      <w:pPr>
        <w:pStyle w:val="SingleTxtG"/>
        <w:ind w:firstLine="567"/>
        <w:rPr>
          <w:lang w:eastAsia="en-US"/>
        </w:rPr>
      </w:pPr>
      <w:r w:rsidRPr="009831E6">
        <w:rPr>
          <w:lang w:eastAsia="en-US"/>
        </w:rPr>
        <w:t>(a)</w:t>
      </w:r>
      <w:r w:rsidRPr="009831E6">
        <w:rPr>
          <w:lang w:eastAsia="en-US"/>
        </w:rPr>
        <w:tab/>
        <w:t>Italy (</w:t>
      </w:r>
      <w:r>
        <w:rPr>
          <w:lang w:eastAsia="en-US"/>
        </w:rPr>
        <w:t>Rome, April–June</w:t>
      </w:r>
      <w:r w:rsidRPr="009831E6">
        <w:rPr>
          <w:lang w:eastAsia="en-US"/>
        </w:rPr>
        <w:t xml:space="preserve"> 2024);</w:t>
      </w:r>
    </w:p>
    <w:p w14:paraId="2B6C37C4" w14:textId="5D7637CA" w:rsidR="00C01580" w:rsidRPr="009831E6" w:rsidRDefault="00C01580" w:rsidP="00C01580">
      <w:pPr>
        <w:pStyle w:val="SingleTxtG"/>
        <w:ind w:firstLine="567"/>
        <w:rPr>
          <w:lang w:eastAsia="en-US"/>
        </w:rPr>
      </w:pPr>
      <w:r w:rsidRPr="009831E6">
        <w:rPr>
          <w:lang w:eastAsia="en-US"/>
        </w:rPr>
        <w:t>(b)</w:t>
      </w:r>
      <w:r w:rsidRPr="009831E6">
        <w:rPr>
          <w:lang w:eastAsia="en-US"/>
        </w:rPr>
        <w:tab/>
      </w:r>
      <w:r>
        <w:rPr>
          <w:lang w:eastAsia="en-US"/>
        </w:rPr>
        <w:t xml:space="preserve">Slovenia </w:t>
      </w:r>
      <w:r w:rsidRPr="009831E6">
        <w:rPr>
          <w:lang w:eastAsia="en-US"/>
        </w:rPr>
        <w:t>(</w:t>
      </w:r>
      <w:r>
        <w:rPr>
          <w:lang w:eastAsia="en-US"/>
        </w:rPr>
        <w:t xml:space="preserve">Portoroz, September </w:t>
      </w:r>
      <w:r w:rsidRPr="009831E6">
        <w:rPr>
          <w:lang w:eastAsia="en-US"/>
        </w:rPr>
        <w:t>2025);</w:t>
      </w:r>
    </w:p>
    <w:p w14:paraId="71A4298D" w14:textId="77777777" w:rsidR="00C01580" w:rsidRPr="009831E6" w:rsidRDefault="00C01580" w:rsidP="00C01580">
      <w:pPr>
        <w:pStyle w:val="SingleTxtG"/>
        <w:ind w:firstLine="567"/>
        <w:rPr>
          <w:lang w:eastAsia="en-US"/>
        </w:rPr>
      </w:pPr>
      <w:r w:rsidRPr="009831E6">
        <w:rPr>
          <w:lang w:eastAsia="en-US"/>
        </w:rPr>
        <w:t>(c)</w:t>
      </w:r>
      <w:r w:rsidRPr="009831E6">
        <w:rPr>
          <w:lang w:eastAsia="en-US"/>
        </w:rPr>
        <w:tab/>
      </w:r>
      <w:r>
        <w:rPr>
          <w:lang w:eastAsia="en-US"/>
        </w:rPr>
        <w:t xml:space="preserve">Greece, to be confirmed/France, to be confirmed </w:t>
      </w:r>
      <w:r w:rsidRPr="009831E6">
        <w:rPr>
          <w:lang w:eastAsia="en-US"/>
        </w:rPr>
        <w:t>(2026).</w:t>
      </w:r>
    </w:p>
    <w:p w14:paraId="41DAEDC6" w14:textId="77777777" w:rsidR="00C01580" w:rsidRPr="00766320" w:rsidRDefault="00C01580" w:rsidP="00C01580">
      <w:pPr>
        <w:pStyle w:val="SingleTxtG"/>
        <w:rPr>
          <w:b/>
          <w:lang w:eastAsia="en-US"/>
        </w:rPr>
      </w:pPr>
      <w:r w:rsidRPr="009831E6">
        <w:rPr>
          <w:i/>
          <w:iCs/>
          <w:lang w:eastAsia="en-US"/>
        </w:rPr>
        <w:t>Resource requirements</w:t>
      </w:r>
      <w:r w:rsidRPr="009831E6">
        <w:rPr>
          <w:lang w:eastAsia="en-US"/>
        </w:rPr>
        <w:t>:</w:t>
      </w:r>
      <w:r w:rsidRPr="009831E6">
        <w:rPr>
          <w:i/>
          <w:iCs/>
          <w:lang w:eastAsia="en-US"/>
        </w:rPr>
        <w:t xml:space="preserve"> </w:t>
      </w:r>
      <w:r w:rsidRPr="009831E6">
        <w:rPr>
          <w:lang w:eastAsia="en-US"/>
        </w:rPr>
        <w:t xml:space="preserve">In-kind contributions to be confirmed by the lead country/countries concerned to cover the hosting of the event and possible travel related costs of up to two representatives of non-Parties and, as relevant, of the secretariat.  </w:t>
      </w:r>
    </w:p>
    <w:p w14:paraId="06E09FF9" w14:textId="77777777" w:rsidR="00C01580" w:rsidRPr="009831E6" w:rsidRDefault="00C01580" w:rsidP="00C01580">
      <w:pPr>
        <w:pStyle w:val="H23G"/>
        <w:rPr>
          <w:lang w:eastAsia="en-US"/>
        </w:rPr>
      </w:pPr>
      <w:r>
        <w:rPr>
          <w:lang w:eastAsia="en-US"/>
        </w:rPr>
        <w:lastRenderedPageBreak/>
        <w:tab/>
      </w:r>
      <w:r w:rsidRPr="009831E6">
        <w:rPr>
          <w:lang w:eastAsia="en-US"/>
        </w:rPr>
        <w:t>3.</w:t>
      </w:r>
      <w:r w:rsidRPr="009831E6">
        <w:rPr>
          <w:lang w:eastAsia="en-US"/>
        </w:rPr>
        <w:tab/>
        <w:t>Marine regions</w:t>
      </w:r>
    </w:p>
    <w:p w14:paraId="7265BB2B" w14:textId="77777777" w:rsidR="00C01580" w:rsidRPr="009831E6" w:rsidRDefault="00C01580" w:rsidP="00C01580">
      <w:pPr>
        <w:pStyle w:val="H4G"/>
        <w:rPr>
          <w:lang w:eastAsia="en-US"/>
        </w:rPr>
      </w:pPr>
      <w:r>
        <w:rPr>
          <w:lang w:eastAsia="en-US"/>
        </w:rPr>
        <w:tab/>
      </w:r>
      <w:r>
        <w:rPr>
          <w:lang w:eastAsia="en-US"/>
        </w:rPr>
        <w:tab/>
      </w:r>
      <w:r w:rsidRPr="009831E6">
        <w:rPr>
          <w:lang w:eastAsia="en-US"/>
        </w:rPr>
        <w:t>Activities:</w:t>
      </w:r>
    </w:p>
    <w:p w14:paraId="43CA44CD" w14:textId="77777777" w:rsidR="00C01580" w:rsidRPr="009831E6" w:rsidRDefault="00C01580" w:rsidP="00C01580">
      <w:pPr>
        <w:pStyle w:val="SingleTxtG"/>
        <w:rPr>
          <w:lang w:eastAsia="en-US"/>
        </w:rPr>
      </w:pPr>
      <w:r w:rsidRPr="009831E6">
        <w:rPr>
          <w:lang w:eastAsia="en-US"/>
        </w:rPr>
        <w:t>1.</w:t>
      </w:r>
      <w:r w:rsidRPr="009831E6">
        <w:rPr>
          <w:lang w:eastAsia="en-US"/>
        </w:rPr>
        <w:tab/>
        <w:t>To enhance synergies and coordination with relevant activities of regional sea conventions and bodies, exchange information about the application of the transboundary procedures of the Espoo Convention and the Protocol in marine regions and their effectiveness, reporting on experience and lessons learned:</w:t>
      </w:r>
    </w:p>
    <w:p w14:paraId="458E638A" w14:textId="77777777" w:rsidR="00C01580" w:rsidRPr="009831E6" w:rsidRDefault="00C01580" w:rsidP="00C01580">
      <w:pPr>
        <w:pStyle w:val="SingleTxtG"/>
        <w:ind w:firstLine="567"/>
        <w:rPr>
          <w:lang w:eastAsia="en-US"/>
        </w:rPr>
      </w:pPr>
      <w:r w:rsidRPr="009831E6">
        <w:rPr>
          <w:lang w:eastAsia="en-US"/>
        </w:rPr>
        <w:t>(a)</w:t>
      </w:r>
      <w:r w:rsidRPr="009831E6">
        <w:rPr>
          <w:lang w:eastAsia="en-US"/>
        </w:rPr>
        <w:tab/>
        <w:t>At the national level, with representatives of the regional sea conventions/bodies;</w:t>
      </w:r>
    </w:p>
    <w:p w14:paraId="028D826C" w14:textId="77777777" w:rsidR="00C01580" w:rsidRPr="009831E6" w:rsidRDefault="00C01580" w:rsidP="00C01580">
      <w:pPr>
        <w:pStyle w:val="SingleTxtG"/>
        <w:ind w:firstLine="567"/>
        <w:rPr>
          <w:lang w:eastAsia="en-US"/>
        </w:rPr>
      </w:pPr>
      <w:r w:rsidRPr="009831E6">
        <w:rPr>
          <w:lang w:eastAsia="en-US"/>
        </w:rPr>
        <w:t>(b)</w:t>
      </w:r>
      <w:r w:rsidRPr="009831E6">
        <w:rPr>
          <w:lang w:eastAsia="en-US"/>
        </w:rPr>
        <w:tab/>
        <w:t>Bilaterally, by making use of contact databases of national focal points under the respective treaties;(c)</w:t>
      </w:r>
      <w:r w:rsidRPr="009831E6">
        <w:rPr>
          <w:lang w:eastAsia="en-US"/>
        </w:rPr>
        <w:tab/>
        <w:t xml:space="preserve">During relevant meetings and activities of regional sea conventions/bodies (e.g., Baltic Marine Environment Protection Commission-Vision and Strategies Around the Baltic Sea (HELCOM-VASAB) Maritime Spatial Planning Working Group and/or HELCOM Working Group on the Reduction of Pressures from the Baltic Sea Catchment Area; the </w:t>
      </w:r>
      <w:r w:rsidRPr="009831E6">
        <w:rPr>
          <w:lang w:val="en" w:eastAsia="en-US"/>
        </w:rPr>
        <w:t>Convention for the Protection of the Marine Environment of the North-East Atlantic</w:t>
      </w:r>
      <w:r w:rsidRPr="009831E6">
        <w:rPr>
          <w:lang w:eastAsia="en-US"/>
        </w:rPr>
        <w:t xml:space="preserve"> (OSPAR Convention) activities on development and scaling up of offshore renewable energy in a way that cumulative environmental impacts are minimized; Barcelona Convention activities on climate change, integrated coastal zone management and marine spatial planning; the meeting of the </w:t>
      </w:r>
      <w:r w:rsidRPr="009831E6">
        <w:rPr>
          <w:lang w:val="en" w:eastAsia="en-US"/>
        </w:rPr>
        <w:t>Framework Convention for the Protection of the Marine Environment of the Caspian Sea</w:t>
      </w:r>
      <w:r w:rsidRPr="009831E6">
        <w:rPr>
          <w:lang w:eastAsia="en-US"/>
        </w:rPr>
        <w:t xml:space="preserve"> (Tehran Convention) on the occasion of the entry into force of its Protocol on Environmental Impact Assessment in a Transboundary Context).</w:t>
      </w:r>
    </w:p>
    <w:p w14:paraId="09D1222F" w14:textId="77777777" w:rsidR="00C01580" w:rsidRPr="009831E6" w:rsidRDefault="00C01580" w:rsidP="00C01580">
      <w:pPr>
        <w:pStyle w:val="SingleTxtG"/>
        <w:rPr>
          <w:lang w:eastAsia="en-US"/>
        </w:rPr>
      </w:pPr>
      <w:bookmarkStart w:id="57" w:name="_Hlk127208565"/>
      <w:r w:rsidRPr="009831E6">
        <w:rPr>
          <w:i/>
          <w:iCs/>
          <w:lang w:eastAsia="en-US"/>
        </w:rPr>
        <w:t>Entity(ies) responsible</w:t>
      </w:r>
      <w:r w:rsidRPr="009831E6">
        <w:rPr>
          <w:lang w:eastAsia="en-US"/>
        </w:rPr>
        <w:t>:</w:t>
      </w:r>
      <w:r w:rsidRPr="009831E6">
        <w:rPr>
          <w:lang w:eastAsia="en-US"/>
        </w:rPr>
        <w:tab/>
        <w:t>Lead countries: Parties and stakeholders in marine regions.</w:t>
      </w:r>
    </w:p>
    <w:p w14:paraId="37191A5A" w14:textId="77777777" w:rsidR="00C01580" w:rsidRPr="009831E6" w:rsidRDefault="00C01580" w:rsidP="00C01580">
      <w:pPr>
        <w:pStyle w:val="SingleTxtG"/>
        <w:rPr>
          <w:lang w:eastAsia="en-US"/>
        </w:rPr>
      </w:pPr>
      <w:r w:rsidRPr="009831E6">
        <w:rPr>
          <w:i/>
          <w:iCs/>
          <w:lang w:eastAsia="en-US"/>
        </w:rPr>
        <w:t>Resource requirements</w:t>
      </w:r>
      <w:r w:rsidRPr="009831E6">
        <w:rPr>
          <w:lang w:eastAsia="en-US"/>
        </w:rPr>
        <w:t xml:space="preserve">: </w:t>
      </w:r>
      <w:r w:rsidRPr="009831E6">
        <w:rPr>
          <w:lang w:eastAsia="en-US"/>
        </w:rPr>
        <w:tab/>
        <w:t>In-kind.</w:t>
      </w:r>
    </w:p>
    <w:bookmarkEnd w:id="57"/>
    <w:p w14:paraId="5914BEC8" w14:textId="77777777" w:rsidR="00C01580" w:rsidRPr="009831E6" w:rsidRDefault="00C01580" w:rsidP="00C01580">
      <w:pPr>
        <w:pStyle w:val="SingleTxtG"/>
        <w:rPr>
          <w:lang w:eastAsia="en-US"/>
        </w:rPr>
      </w:pPr>
      <w:r w:rsidRPr="009831E6">
        <w:rPr>
          <w:lang w:eastAsia="en-US"/>
        </w:rPr>
        <w:t>2.</w:t>
      </w:r>
      <w:r w:rsidRPr="009831E6">
        <w:rPr>
          <w:lang w:eastAsia="en-US"/>
        </w:rPr>
        <w:tab/>
        <w:t>Create a dedicated web page on the ECE treaty website with links to the websites of relevant regional sea conventions and bodies, and to relevant information on cooperation in marine regions.</w:t>
      </w:r>
    </w:p>
    <w:p w14:paraId="0BE7F63F" w14:textId="77777777" w:rsidR="00C01580" w:rsidRPr="009831E6" w:rsidRDefault="00C01580" w:rsidP="00C01580">
      <w:pPr>
        <w:pStyle w:val="SingleTxtG"/>
        <w:rPr>
          <w:lang w:eastAsia="en-US"/>
        </w:rPr>
      </w:pPr>
      <w:r w:rsidRPr="009831E6">
        <w:rPr>
          <w:i/>
          <w:iCs/>
          <w:lang w:eastAsia="en-US"/>
        </w:rPr>
        <w:t>Entity responsible</w:t>
      </w:r>
      <w:r w:rsidRPr="009831E6">
        <w:rPr>
          <w:lang w:eastAsia="en-US"/>
        </w:rPr>
        <w:t>:</w:t>
      </w:r>
      <w:r w:rsidRPr="009831E6">
        <w:rPr>
          <w:lang w:eastAsia="en-US"/>
        </w:rPr>
        <w:tab/>
        <w:t>Secretariat, within the limits of its resources.</w:t>
      </w:r>
    </w:p>
    <w:p w14:paraId="5CDE7E77" w14:textId="77777777" w:rsidR="00C01580" w:rsidRPr="009831E6" w:rsidRDefault="00C01580" w:rsidP="00C01580">
      <w:pPr>
        <w:pStyle w:val="SingleTxtG"/>
        <w:rPr>
          <w:lang w:eastAsia="en-US"/>
        </w:rPr>
      </w:pPr>
      <w:r w:rsidRPr="009831E6">
        <w:rPr>
          <w:i/>
          <w:iCs/>
          <w:lang w:eastAsia="en-US"/>
        </w:rPr>
        <w:t>Resource requirements</w:t>
      </w:r>
      <w:r w:rsidRPr="009831E6">
        <w:rPr>
          <w:lang w:eastAsia="en-US"/>
        </w:rPr>
        <w:t>: Professional and general support staff of the secretariat.</w:t>
      </w:r>
    </w:p>
    <w:p w14:paraId="5EA6822E" w14:textId="77777777" w:rsidR="00C01580" w:rsidRPr="009831E6" w:rsidRDefault="00C01580" w:rsidP="00C01580">
      <w:pPr>
        <w:pStyle w:val="SingleTxtG"/>
        <w:rPr>
          <w:lang w:eastAsia="en-US"/>
        </w:rPr>
      </w:pPr>
      <w:r w:rsidRPr="009831E6">
        <w:rPr>
          <w:lang w:eastAsia="en-US"/>
        </w:rPr>
        <w:t>3.</w:t>
      </w:r>
      <w:r w:rsidRPr="009831E6">
        <w:rPr>
          <w:lang w:eastAsia="en-US"/>
        </w:rPr>
        <w:tab/>
        <w:t>Prepare fact sheets describing good practices in the application of the Convention and the Protocol in marine and coastal areas for publication on the ECE treaty website and, as relevant, present them at Working Group meetings.</w:t>
      </w:r>
    </w:p>
    <w:p w14:paraId="34DD0E94" w14:textId="77777777" w:rsidR="00C01580" w:rsidRPr="009831E6" w:rsidRDefault="00C01580" w:rsidP="00C01580">
      <w:pPr>
        <w:suppressAutoHyphens/>
        <w:spacing w:after="120"/>
        <w:ind w:left="1134" w:right="1134"/>
        <w:jc w:val="both"/>
        <w:rPr>
          <w:lang w:eastAsia="en-US"/>
        </w:rPr>
      </w:pPr>
      <w:r w:rsidRPr="009831E6">
        <w:rPr>
          <w:i/>
          <w:iCs/>
          <w:lang w:eastAsia="en-US"/>
        </w:rPr>
        <w:t>Entity(ies) responsible</w:t>
      </w:r>
      <w:r w:rsidRPr="009831E6">
        <w:rPr>
          <w:lang w:eastAsia="en-US"/>
        </w:rPr>
        <w:t>:</w:t>
      </w:r>
      <w:r w:rsidRPr="009831E6">
        <w:rPr>
          <w:lang w:eastAsia="en-US"/>
        </w:rPr>
        <w:tab/>
        <w:t>Lead countries: Parties and stakeholders in marine regions.</w:t>
      </w:r>
    </w:p>
    <w:p w14:paraId="1F8524E0" w14:textId="77777777" w:rsidR="00C01580" w:rsidRPr="009831E6" w:rsidRDefault="00C01580" w:rsidP="00C01580">
      <w:pPr>
        <w:pStyle w:val="SingleTxtG"/>
        <w:rPr>
          <w:lang w:eastAsia="en-US"/>
        </w:rPr>
      </w:pPr>
      <w:r w:rsidRPr="009831E6">
        <w:rPr>
          <w:i/>
          <w:iCs/>
          <w:lang w:eastAsia="en-US"/>
        </w:rPr>
        <w:t>Resource requirements</w:t>
      </w:r>
      <w:r w:rsidRPr="009831E6">
        <w:rPr>
          <w:lang w:eastAsia="en-US"/>
        </w:rPr>
        <w:t xml:space="preserve">: </w:t>
      </w:r>
      <w:r w:rsidRPr="009831E6">
        <w:rPr>
          <w:lang w:eastAsia="en-US"/>
        </w:rPr>
        <w:tab/>
        <w:t>In-kind.</w:t>
      </w:r>
    </w:p>
    <w:p w14:paraId="51E4686F" w14:textId="77777777" w:rsidR="00C01580" w:rsidRPr="009831E6" w:rsidRDefault="00C01580" w:rsidP="00C01580">
      <w:pPr>
        <w:pStyle w:val="SingleTxtG"/>
        <w:rPr>
          <w:lang w:eastAsia="en-US"/>
        </w:rPr>
      </w:pPr>
      <w:r w:rsidRPr="009831E6">
        <w:rPr>
          <w:lang w:eastAsia="en-US"/>
        </w:rPr>
        <w:t>4.</w:t>
      </w:r>
      <w:r w:rsidRPr="009831E6">
        <w:rPr>
          <w:lang w:eastAsia="en-US"/>
        </w:rPr>
        <w:tab/>
        <w:t xml:space="preserve">Provision of legislative assistance or capacity-building support to beneficiary countries, as required, to align legislation and practice with the Convention and the Protocol, including pilot projects in the fields of: maritime spatial plans; offshore hydrocarbon exploration and exploitation; offshore renewable energy; pipelines and high-voltage powerlines; and liquefied natural gas terminals. </w:t>
      </w:r>
    </w:p>
    <w:p w14:paraId="428759F8" w14:textId="77777777" w:rsidR="00C01580" w:rsidRPr="009831E6" w:rsidRDefault="00C01580" w:rsidP="00C01580">
      <w:pPr>
        <w:suppressAutoHyphens/>
        <w:spacing w:after="120"/>
        <w:ind w:left="1170" w:right="1134"/>
        <w:jc w:val="both"/>
        <w:rPr>
          <w:lang w:eastAsia="en-US"/>
        </w:rPr>
      </w:pPr>
      <w:bookmarkStart w:id="58" w:name="_Hlk56776701"/>
      <w:r w:rsidRPr="009831E6">
        <w:rPr>
          <w:i/>
          <w:iCs/>
          <w:lang w:eastAsia="en-US"/>
        </w:rPr>
        <w:t>Entity(ies) responsible</w:t>
      </w:r>
      <w:r w:rsidRPr="009831E6">
        <w:rPr>
          <w:lang w:eastAsia="en-US"/>
        </w:rPr>
        <w:t>: Bilateral donor arrangements by Parties or partner organizations, such as relevant international development banks.</w:t>
      </w:r>
    </w:p>
    <w:bookmarkEnd w:id="58"/>
    <w:p w14:paraId="5D934B4B" w14:textId="77777777" w:rsidR="00C01580" w:rsidRDefault="00C01580" w:rsidP="00C01580">
      <w:pPr>
        <w:pStyle w:val="SingleTxtG"/>
        <w:rPr>
          <w:lang w:eastAsia="en-US"/>
        </w:rPr>
      </w:pPr>
      <w:r w:rsidRPr="009831E6">
        <w:rPr>
          <w:i/>
          <w:iCs/>
          <w:lang w:eastAsia="en-US"/>
        </w:rPr>
        <w:t>Resource requirements</w:t>
      </w:r>
      <w:r w:rsidRPr="009831E6">
        <w:rPr>
          <w:lang w:eastAsia="en-US"/>
        </w:rPr>
        <w:t>:</w:t>
      </w:r>
      <w:r w:rsidRPr="009831E6">
        <w:rPr>
          <w:i/>
          <w:iCs/>
          <w:lang w:eastAsia="en-US"/>
        </w:rPr>
        <w:t xml:space="preserve"> </w:t>
      </w:r>
      <w:r w:rsidRPr="009831E6">
        <w:rPr>
          <w:lang w:eastAsia="en-US"/>
        </w:rPr>
        <w:t>In-kind.</w:t>
      </w:r>
    </w:p>
    <w:p w14:paraId="76BC7208" w14:textId="77777777" w:rsidR="00C01580" w:rsidRPr="00377135" w:rsidRDefault="00C01580" w:rsidP="00C01580">
      <w:pPr>
        <w:pStyle w:val="H1G"/>
        <w:rPr>
          <w:lang w:eastAsia="en-US"/>
        </w:rPr>
      </w:pPr>
      <w:r>
        <w:rPr>
          <w:lang w:eastAsia="en-US"/>
        </w:rPr>
        <w:tab/>
      </w:r>
      <w:r w:rsidRPr="00377135">
        <w:rPr>
          <w:lang w:eastAsia="en-US"/>
        </w:rPr>
        <w:t>B.</w:t>
      </w:r>
      <w:r w:rsidRPr="00377135">
        <w:rPr>
          <w:lang w:eastAsia="en-US"/>
        </w:rPr>
        <w:tab/>
        <w:t>Exchange of good practices</w:t>
      </w:r>
    </w:p>
    <w:p w14:paraId="366F8B6D" w14:textId="77777777" w:rsidR="00C01580" w:rsidRPr="00377135" w:rsidRDefault="00C01580" w:rsidP="00C01580">
      <w:pPr>
        <w:pStyle w:val="SingleTxtG"/>
        <w:rPr>
          <w:lang w:eastAsia="en-US"/>
        </w:rPr>
      </w:pPr>
      <w:r w:rsidRPr="00377135">
        <w:rPr>
          <w:lang w:eastAsia="en-US"/>
        </w:rPr>
        <w:t>The objective of the work area is to share knowledge and experience regarding the legislation and practice for implementation of the Convention and the Protocol, leading to better national legislation and improved implementation of the treaties. It also contributes to awareness-raising on the two treaties and their benefits, highlighting the role that they can play in addressing global and national priorities and challenges in the field of environment. The work area is implemented through the following categories of activity:</w:t>
      </w:r>
    </w:p>
    <w:p w14:paraId="7044AB70" w14:textId="77777777" w:rsidR="00C01580" w:rsidRPr="00377135" w:rsidRDefault="00C01580" w:rsidP="00C01580">
      <w:pPr>
        <w:pStyle w:val="SingleTxtG"/>
        <w:ind w:firstLine="567"/>
        <w:rPr>
          <w:lang w:eastAsia="en-US"/>
        </w:rPr>
      </w:pPr>
      <w:r w:rsidRPr="00377135">
        <w:rPr>
          <w:lang w:eastAsia="en-US"/>
        </w:rPr>
        <w:t>(a)</w:t>
      </w:r>
      <w:r w:rsidRPr="00377135">
        <w:rPr>
          <w:lang w:eastAsia="en-US"/>
        </w:rPr>
        <w:tab/>
        <w:t>Thematic workshops or seminars;</w:t>
      </w:r>
    </w:p>
    <w:p w14:paraId="1571D589" w14:textId="77777777" w:rsidR="00C01580" w:rsidRPr="00377135" w:rsidRDefault="00C01580" w:rsidP="00C01580">
      <w:pPr>
        <w:pStyle w:val="SingleTxtG"/>
        <w:ind w:firstLine="567"/>
        <w:rPr>
          <w:lang w:eastAsia="en-US"/>
        </w:rPr>
      </w:pPr>
      <w:r w:rsidRPr="00377135">
        <w:rPr>
          <w:lang w:eastAsia="en-US"/>
        </w:rPr>
        <w:lastRenderedPageBreak/>
        <w:t>(b)</w:t>
      </w:r>
      <w:r w:rsidRPr="00377135">
        <w:rPr>
          <w:lang w:eastAsia="en-US"/>
        </w:rPr>
        <w:tab/>
        <w:t>Fact sheets of good practice;</w:t>
      </w:r>
    </w:p>
    <w:p w14:paraId="4B19A756" w14:textId="77777777" w:rsidR="00C01580" w:rsidRPr="00377135" w:rsidRDefault="00C01580" w:rsidP="00C01580">
      <w:pPr>
        <w:pStyle w:val="SingleTxtG"/>
        <w:ind w:firstLine="567"/>
        <w:rPr>
          <w:lang w:eastAsia="en-US"/>
        </w:rPr>
      </w:pPr>
      <w:r w:rsidRPr="00377135">
        <w:rPr>
          <w:lang w:eastAsia="en-US"/>
        </w:rPr>
        <w:t>(c)</w:t>
      </w:r>
      <w:r w:rsidRPr="00377135">
        <w:rPr>
          <w:lang w:eastAsia="en-US"/>
        </w:rPr>
        <w:tab/>
        <w:t>FasTips.</w:t>
      </w:r>
    </w:p>
    <w:p w14:paraId="32355B6B" w14:textId="77777777" w:rsidR="00C01580" w:rsidRPr="00377135" w:rsidRDefault="00C01580" w:rsidP="00C01580">
      <w:pPr>
        <w:pStyle w:val="H23G"/>
        <w:rPr>
          <w:lang w:eastAsia="en-US"/>
        </w:rPr>
      </w:pPr>
      <w:bookmarkStart w:id="59" w:name="_Hlk36024545"/>
      <w:r w:rsidRPr="00377135">
        <w:rPr>
          <w:lang w:eastAsia="en-US"/>
        </w:rPr>
        <w:tab/>
        <w:t>1.</w:t>
      </w:r>
      <w:r w:rsidRPr="00377135">
        <w:rPr>
          <w:lang w:eastAsia="en-US"/>
        </w:rPr>
        <w:tab/>
        <w:t xml:space="preserve">Thematic workshops or seminars </w:t>
      </w:r>
      <w:bookmarkEnd w:id="59"/>
    </w:p>
    <w:p w14:paraId="4400F528" w14:textId="77777777" w:rsidR="00C01580" w:rsidRPr="00377135" w:rsidRDefault="00C01580" w:rsidP="00C01580">
      <w:pPr>
        <w:pStyle w:val="SingleTxtG"/>
        <w:rPr>
          <w:lang w:eastAsia="en-US"/>
        </w:rPr>
      </w:pPr>
      <w:r w:rsidRPr="00377135">
        <w:rPr>
          <w:i/>
          <w:iCs/>
          <w:lang w:eastAsia="en-US"/>
        </w:rPr>
        <w:t>Activities</w:t>
      </w:r>
      <w:r w:rsidRPr="00377135">
        <w:rPr>
          <w:lang w:eastAsia="en-US"/>
        </w:rPr>
        <w:t>:</w:t>
      </w:r>
      <w:r w:rsidRPr="00377135">
        <w:rPr>
          <w:i/>
          <w:iCs/>
          <w:lang w:eastAsia="en-US"/>
        </w:rPr>
        <w:t xml:space="preserve">  </w:t>
      </w:r>
      <w:r w:rsidRPr="00377135">
        <w:rPr>
          <w:lang w:eastAsia="en-US"/>
        </w:rPr>
        <w:t>To organize half- or full-day workshops or seminars during Working Group meetings in 2024–2026 and/or the sessions of the Meetings of the Parties in 2026 on the role of the Convention and the Protocol with respect to key environmental goals/commitments and other specific themes/topics, in order to produce a clear and concise document on said role presenting benefits and good practice, as well as advice on the most important  challenges identified for the theme in question, also referring to the contribution of the topics to the application of Sustainable Development Goals. Additionally, the events take into account the Convention’s expected global opening during the intersessional period. The specific themes/topics concerned are the following:</w:t>
      </w:r>
    </w:p>
    <w:p w14:paraId="73C9DED6" w14:textId="77777777" w:rsidR="00C01580" w:rsidRPr="00377135" w:rsidRDefault="00C01580" w:rsidP="00C01580">
      <w:pPr>
        <w:pStyle w:val="SingleTxtG"/>
        <w:ind w:firstLine="567"/>
        <w:rPr>
          <w:lang w:eastAsia="en-US"/>
        </w:rPr>
      </w:pPr>
      <w:bookmarkStart w:id="60" w:name="_Hlk32335122"/>
      <w:r w:rsidRPr="00377135">
        <w:rPr>
          <w:lang w:eastAsia="en-US"/>
        </w:rPr>
        <w:t>(a)</w:t>
      </w:r>
      <w:r w:rsidRPr="00377135">
        <w:rPr>
          <w:lang w:eastAsia="en-US"/>
        </w:rPr>
        <w:tab/>
        <w:t>Biodiversity assessment;</w:t>
      </w:r>
    </w:p>
    <w:p w14:paraId="2276B9BF" w14:textId="77777777" w:rsidR="00C01580" w:rsidRPr="00377135" w:rsidRDefault="00C01580" w:rsidP="00C01580">
      <w:pPr>
        <w:pStyle w:val="SingleTxtG"/>
        <w:ind w:firstLine="567"/>
        <w:rPr>
          <w:lang w:eastAsia="en-US"/>
        </w:rPr>
      </w:pPr>
      <w:r w:rsidRPr="00377135">
        <w:rPr>
          <w:lang w:eastAsia="en-US"/>
        </w:rPr>
        <w:t>(b)</w:t>
      </w:r>
      <w:r w:rsidRPr="00377135">
        <w:rPr>
          <w:lang w:eastAsia="en-US"/>
        </w:rPr>
        <w:tab/>
        <w:t xml:space="preserve">Mining, mining waste/tailings and critical raw materials; </w:t>
      </w:r>
    </w:p>
    <w:p w14:paraId="3FC08D8F" w14:textId="77777777" w:rsidR="00C01580" w:rsidRPr="00377135" w:rsidRDefault="00C01580" w:rsidP="00C01580">
      <w:pPr>
        <w:pStyle w:val="SingleTxtG"/>
        <w:ind w:firstLine="567"/>
        <w:rPr>
          <w:lang w:eastAsia="en-US"/>
        </w:rPr>
      </w:pPr>
      <w:r w:rsidRPr="00377135">
        <w:rPr>
          <w:lang w:eastAsia="en-US"/>
        </w:rPr>
        <w:t>(c)</w:t>
      </w:r>
      <w:r w:rsidRPr="00377135">
        <w:rPr>
          <w:lang w:eastAsia="en-US"/>
        </w:rPr>
        <w:tab/>
        <w:t xml:space="preserve">Climate assessment/proofing; </w:t>
      </w:r>
    </w:p>
    <w:p w14:paraId="59037121" w14:textId="77777777" w:rsidR="00C01580" w:rsidRPr="00377135" w:rsidRDefault="00C01580" w:rsidP="00C01580">
      <w:pPr>
        <w:pStyle w:val="SingleTxtG"/>
        <w:ind w:firstLine="567"/>
        <w:rPr>
          <w:lang w:eastAsia="en-US"/>
        </w:rPr>
      </w:pPr>
      <w:r w:rsidRPr="00377135">
        <w:rPr>
          <w:lang w:eastAsia="en-US"/>
        </w:rPr>
        <w:t>(d)</w:t>
      </w:r>
      <w:r w:rsidRPr="00377135">
        <w:rPr>
          <w:lang w:eastAsia="en-US"/>
        </w:rPr>
        <w:tab/>
        <w:t>The application of the Convention and the Protocol outside the ECE region;</w:t>
      </w:r>
    </w:p>
    <w:bookmarkEnd w:id="60"/>
    <w:p w14:paraId="7417D215" w14:textId="77777777" w:rsidR="00C01580" w:rsidRPr="00377135" w:rsidRDefault="00C01580" w:rsidP="00C01580">
      <w:pPr>
        <w:pStyle w:val="SingleTxtG"/>
        <w:ind w:firstLine="567"/>
        <w:rPr>
          <w:lang w:eastAsia="en-US"/>
        </w:rPr>
      </w:pPr>
      <w:r w:rsidRPr="00377135">
        <w:rPr>
          <w:bCs/>
          <w:lang w:eastAsia="en-US"/>
        </w:rPr>
        <w:t>(e)</w:t>
      </w:r>
      <w:r w:rsidRPr="00377135">
        <w:rPr>
          <w:bCs/>
          <w:lang w:eastAsia="en-US"/>
        </w:rPr>
        <w:tab/>
        <w:t>C</w:t>
      </w:r>
      <w:r w:rsidRPr="00377135">
        <w:rPr>
          <w:lang w:eastAsia="en-US"/>
        </w:rPr>
        <w:t>onsideration of alternatives to and the rationale for selected options of the proposed activities in the environmental impact assessment and strategic environmental assessment documentation.</w:t>
      </w:r>
    </w:p>
    <w:p w14:paraId="50E35A53" w14:textId="184914A8" w:rsidR="00C01580" w:rsidRPr="00377135" w:rsidRDefault="00C01580" w:rsidP="00C01580">
      <w:pPr>
        <w:pStyle w:val="SingleTxtG"/>
        <w:rPr>
          <w:lang w:eastAsia="en-US"/>
        </w:rPr>
      </w:pPr>
      <w:bookmarkStart w:id="61" w:name="_Hlk58493371"/>
      <w:r w:rsidRPr="00377135">
        <w:rPr>
          <w:i/>
          <w:iCs/>
          <w:lang w:eastAsia="en-US"/>
        </w:rPr>
        <w:t>Entity(ies) responsible</w:t>
      </w:r>
      <w:r w:rsidRPr="00377135">
        <w:rPr>
          <w:lang w:eastAsia="en-US"/>
        </w:rPr>
        <w:t>:  The following lead-country(ies) or organizations, with the secretariat’s support, subject to availability of resources:</w:t>
      </w:r>
      <w:r w:rsidR="00472CC2">
        <w:rPr>
          <w:rFonts w:ascii="ZWAdobeF" w:hAnsi="ZWAdobeF" w:cs="ZWAdobeF"/>
          <w:sz w:val="2"/>
          <w:szCs w:val="2"/>
          <w:lang w:eastAsia="en-US"/>
        </w:rPr>
        <w:t>14F</w:t>
      </w:r>
      <w:r w:rsidRPr="00377135">
        <w:rPr>
          <w:sz w:val="18"/>
          <w:vertAlign w:val="superscript"/>
          <w:lang w:val="fr-CH" w:eastAsia="en-US"/>
        </w:rPr>
        <w:footnoteReference w:id="16"/>
      </w:r>
    </w:p>
    <w:p w14:paraId="3D0D152B" w14:textId="77777777" w:rsidR="00C01580" w:rsidRPr="00377135" w:rsidRDefault="00C01580" w:rsidP="00C01580">
      <w:pPr>
        <w:pStyle w:val="SingleTxtG"/>
        <w:ind w:firstLine="567"/>
        <w:rPr>
          <w:lang w:eastAsia="en-US"/>
        </w:rPr>
      </w:pPr>
      <w:r w:rsidRPr="00377135">
        <w:rPr>
          <w:lang w:eastAsia="en-US"/>
        </w:rPr>
        <w:t>(a)</w:t>
      </w:r>
      <w:r w:rsidRPr="00377135">
        <w:rPr>
          <w:lang w:eastAsia="en-US"/>
        </w:rPr>
        <w:tab/>
        <w:t>Slovenia</w:t>
      </w:r>
      <w:r>
        <w:rPr>
          <w:lang w:eastAsia="en-US"/>
        </w:rPr>
        <w:t xml:space="preserve"> (2025/2026)</w:t>
      </w:r>
      <w:r w:rsidRPr="00377135">
        <w:rPr>
          <w:lang w:eastAsia="en-US"/>
        </w:rPr>
        <w:t>;</w:t>
      </w:r>
    </w:p>
    <w:p w14:paraId="39F1E57E" w14:textId="77777777" w:rsidR="00C01580" w:rsidRPr="00377135" w:rsidRDefault="00C01580" w:rsidP="00C01580">
      <w:pPr>
        <w:pStyle w:val="SingleTxtG"/>
        <w:ind w:firstLine="567"/>
        <w:rPr>
          <w:lang w:eastAsia="en-US"/>
        </w:rPr>
      </w:pPr>
      <w:r w:rsidRPr="00377135">
        <w:rPr>
          <w:lang w:eastAsia="en-US"/>
        </w:rPr>
        <w:t>(b)</w:t>
      </w:r>
      <w:r w:rsidRPr="00377135">
        <w:rPr>
          <w:lang w:eastAsia="en-US"/>
        </w:rPr>
        <w:tab/>
        <w:t>Switzerland (to be confirmed);</w:t>
      </w:r>
    </w:p>
    <w:p w14:paraId="0FFDE892" w14:textId="77777777" w:rsidR="00C01580" w:rsidRPr="00377135" w:rsidRDefault="00C01580" w:rsidP="00C01580">
      <w:pPr>
        <w:pStyle w:val="SingleTxtG"/>
        <w:ind w:firstLine="567"/>
        <w:rPr>
          <w:lang w:eastAsia="en-US"/>
        </w:rPr>
      </w:pPr>
      <w:r w:rsidRPr="00377135">
        <w:rPr>
          <w:lang w:eastAsia="en-US"/>
        </w:rPr>
        <w:t>(c)</w:t>
      </w:r>
      <w:r w:rsidRPr="00377135">
        <w:rPr>
          <w:lang w:eastAsia="en-US"/>
        </w:rPr>
        <w:tab/>
        <w:t>Lead country/organization to be identified;</w:t>
      </w:r>
    </w:p>
    <w:p w14:paraId="1ACFDBB1" w14:textId="77777777" w:rsidR="00C01580" w:rsidRPr="00377135" w:rsidRDefault="00C01580" w:rsidP="00C01580">
      <w:pPr>
        <w:pStyle w:val="SingleTxtG"/>
        <w:ind w:firstLine="567"/>
        <w:rPr>
          <w:lang w:eastAsia="en-US"/>
        </w:rPr>
      </w:pPr>
      <w:r w:rsidRPr="00377135">
        <w:rPr>
          <w:lang w:eastAsia="en-US"/>
        </w:rPr>
        <w:t>(d)</w:t>
      </w:r>
      <w:r w:rsidRPr="00377135">
        <w:rPr>
          <w:lang w:eastAsia="en-US"/>
        </w:rPr>
        <w:tab/>
        <w:t>Lead country/organization to be identified;</w:t>
      </w:r>
    </w:p>
    <w:p w14:paraId="332BE70C" w14:textId="77777777" w:rsidR="00C01580" w:rsidRPr="00377135" w:rsidRDefault="00C01580" w:rsidP="00C01580">
      <w:pPr>
        <w:pStyle w:val="SingleTxtG"/>
        <w:ind w:firstLine="567"/>
        <w:rPr>
          <w:lang w:eastAsia="en-US"/>
        </w:rPr>
      </w:pPr>
      <w:r w:rsidRPr="00377135">
        <w:rPr>
          <w:lang w:eastAsia="en-US"/>
        </w:rPr>
        <w:t>(e)</w:t>
      </w:r>
      <w:r w:rsidRPr="00377135">
        <w:rPr>
          <w:lang w:eastAsia="en-US"/>
        </w:rPr>
        <w:tab/>
        <w:t>Lead country/organization to be identified.</w:t>
      </w:r>
    </w:p>
    <w:p w14:paraId="364B97B8" w14:textId="77777777" w:rsidR="00C01580" w:rsidRPr="00377135" w:rsidRDefault="00C01580" w:rsidP="00C01580">
      <w:pPr>
        <w:pStyle w:val="SingleTxtG"/>
        <w:rPr>
          <w:lang w:eastAsia="en-US"/>
        </w:rPr>
      </w:pPr>
      <w:r w:rsidRPr="00377135">
        <w:rPr>
          <w:i/>
          <w:iCs/>
          <w:lang w:eastAsia="en-US"/>
        </w:rPr>
        <w:t>Resource requirements</w:t>
      </w:r>
      <w:r w:rsidRPr="00377135">
        <w:rPr>
          <w:lang w:eastAsia="en-US"/>
        </w:rPr>
        <w:t>:  Costs for speakers, provision and translation of materials to be covered in kind by lead countries. Funds from the trust fund to cover travel costs for countries eligible for financial support and non-ECE countries.</w:t>
      </w:r>
    </w:p>
    <w:bookmarkEnd w:id="61"/>
    <w:p w14:paraId="0D0837F4" w14:textId="77777777" w:rsidR="00C01580" w:rsidRPr="00377135" w:rsidRDefault="00C01580" w:rsidP="00C01580">
      <w:pPr>
        <w:pStyle w:val="H23G"/>
        <w:rPr>
          <w:lang w:eastAsia="en-US"/>
        </w:rPr>
      </w:pPr>
      <w:r w:rsidRPr="00377135">
        <w:rPr>
          <w:lang w:eastAsia="en-US"/>
        </w:rPr>
        <w:tab/>
        <w:t>2.</w:t>
      </w:r>
      <w:r w:rsidRPr="00377135">
        <w:rPr>
          <w:lang w:eastAsia="en-US"/>
        </w:rPr>
        <w:tab/>
      </w:r>
      <w:bookmarkStart w:id="62" w:name="_Hlk36024565"/>
      <w:r w:rsidRPr="00377135">
        <w:rPr>
          <w:lang w:eastAsia="en-US"/>
        </w:rPr>
        <w:t>Fact sheets</w:t>
      </w:r>
      <w:bookmarkEnd w:id="62"/>
    </w:p>
    <w:p w14:paraId="0F573168" w14:textId="77777777" w:rsidR="00C01580" w:rsidRPr="00377135" w:rsidRDefault="00C01580" w:rsidP="00C01580">
      <w:pPr>
        <w:pStyle w:val="SingleTxtG"/>
        <w:rPr>
          <w:lang w:eastAsia="en-US"/>
        </w:rPr>
      </w:pPr>
      <w:r w:rsidRPr="00377135">
        <w:rPr>
          <w:i/>
          <w:iCs/>
          <w:lang w:eastAsia="en-US"/>
        </w:rPr>
        <w:t>Activities</w:t>
      </w:r>
      <w:r w:rsidRPr="00377135">
        <w:rPr>
          <w:lang w:eastAsia="en-US"/>
        </w:rPr>
        <w:t>:</w:t>
      </w:r>
      <w:r w:rsidRPr="00377135">
        <w:rPr>
          <w:i/>
          <w:iCs/>
          <w:lang w:eastAsia="en-US"/>
        </w:rPr>
        <w:t xml:space="preserve">  </w:t>
      </w:r>
      <w:r w:rsidRPr="00377135">
        <w:rPr>
          <w:lang w:eastAsia="en-US"/>
        </w:rPr>
        <w:t>Preparation of fact sheets on the practical application of the Convention and the Protocol, to be presented during the Working Group meetings and posted on the website.</w:t>
      </w:r>
    </w:p>
    <w:p w14:paraId="1F0F2B3D" w14:textId="77777777" w:rsidR="00C01580" w:rsidRPr="00377135" w:rsidRDefault="00C01580" w:rsidP="00C01580">
      <w:pPr>
        <w:pStyle w:val="SingleTxtG"/>
        <w:rPr>
          <w:bCs/>
          <w:lang w:eastAsia="en-US"/>
        </w:rPr>
      </w:pPr>
      <w:bookmarkStart w:id="63" w:name="_Hlk137621794"/>
      <w:r w:rsidRPr="00377135">
        <w:rPr>
          <w:bCs/>
          <w:i/>
          <w:iCs/>
          <w:lang w:eastAsia="en-US"/>
        </w:rPr>
        <w:t>Entity(ies) responsible</w:t>
      </w:r>
      <w:r w:rsidRPr="00377135">
        <w:rPr>
          <w:bCs/>
          <w:lang w:eastAsia="en-US"/>
        </w:rPr>
        <w:t>:</w:t>
      </w:r>
      <w:r w:rsidRPr="00377135">
        <w:rPr>
          <w:bCs/>
          <w:i/>
          <w:iCs/>
          <w:lang w:eastAsia="en-US"/>
        </w:rPr>
        <w:t xml:space="preserve"> </w:t>
      </w:r>
      <w:r w:rsidRPr="00377135">
        <w:rPr>
          <w:bCs/>
          <w:lang w:eastAsia="en-US"/>
        </w:rPr>
        <w:t>All Parties, with the secretariat’s support, within the limits of its resources.</w:t>
      </w:r>
    </w:p>
    <w:p w14:paraId="23FA8F70" w14:textId="77777777" w:rsidR="00C01580" w:rsidRPr="00377135" w:rsidRDefault="00C01580" w:rsidP="00C01580">
      <w:pPr>
        <w:pStyle w:val="SingleTxtG"/>
        <w:rPr>
          <w:bCs/>
          <w:lang w:eastAsia="en-US"/>
        </w:rPr>
      </w:pPr>
      <w:r w:rsidRPr="00377135">
        <w:rPr>
          <w:bCs/>
          <w:i/>
          <w:iCs/>
          <w:lang w:eastAsia="en-US"/>
        </w:rPr>
        <w:t>Resource requirements</w:t>
      </w:r>
      <w:r w:rsidRPr="00377135">
        <w:rPr>
          <w:bCs/>
          <w:lang w:eastAsia="en-US"/>
        </w:rPr>
        <w:t>:</w:t>
      </w:r>
      <w:r w:rsidRPr="00377135">
        <w:rPr>
          <w:bCs/>
          <w:i/>
          <w:iCs/>
          <w:lang w:eastAsia="en-US"/>
        </w:rPr>
        <w:t xml:space="preserve"> </w:t>
      </w:r>
      <w:r w:rsidRPr="00377135">
        <w:rPr>
          <w:bCs/>
          <w:lang w:eastAsia="en-US"/>
        </w:rPr>
        <w:t>In-kind.</w:t>
      </w:r>
    </w:p>
    <w:p w14:paraId="5E5D9214" w14:textId="77777777" w:rsidR="00C01580" w:rsidRPr="00377135" w:rsidRDefault="00C01580" w:rsidP="00C01580">
      <w:pPr>
        <w:pStyle w:val="H23G"/>
        <w:rPr>
          <w:lang w:eastAsia="en-US"/>
        </w:rPr>
      </w:pPr>
      <w:bookmarkStart w:id="64" w:name="_Hlk126767454"/>
      <w:bookmarkEnd w:id="63"/>
      <w:r>
        <w:rPr>
          <w:lang w:eastAsia="en-US"/>
        </w:rPr>
        <w:tab/>
      </w:r>
      <w:r w:rsidRPr="00377135">
        <w:rPr>
          <w:lang w:eastAsia="en-US"/>
        </w:rPr>
        <w:t>3</w:t>
      </w:r>
      <w:bookmarkEnd w:id="64"/>
      <w:r w:rsidRPr="00377135">
        <w:rPr>
          <w:lang w:eastAsia="en-US"/>
        </w:rPr>
        <w:t>.</w:t>
      </w:r>
      <w:r w:rsidRPr="00377135">
        <w:rPr>
          <w:lang w:eastAsia="en-US"/>
        </w:rPr>
        <w:tab/>
        <w:t>FasTips</w:t>
      </w:r>
    </w:p>
    <w:p w14:paraId="46B9F3AA" w14:textId="77777777" w:rsidR="00C01580" w:rsidRPr="00377135" w:rsidRDefault="00C01580" w:rsidP="00C01580">
      <w:pPr>
        <w:pStyle w:val="SingleTxtG"/>
        <w:rPr>
          <w:lang w:eastAsia="en-US"/>
        </w:rPr>
      </w:pPr>
      <w:bookmarkStart w:id="65" w:name="_Hlk137621845"/>
      <w:r w:rsidRPr="00377135">
        <w:rPr>
          <w:i/>
          <w:iCs/>
          <w:lang w:eastAsia="en-US"/>
        </w:rPr>
        <w:t>Activities</w:t>
      </w:r>
      <w:bookmarkEnd w:id="65"/>
      <w:r w:rsidRPr="00377135">
        <w:rPr>
          <w:lang w:eastAsia="en-US"/>
        </w:rPr>
        <w:t>: Preparation of two-page informal pamphlets (FasTips) containing practical and concise advice on key issues in strategic environmental assessment practice (topics may be suggested by Parties and stakeholders).</w:t>
      </w:r>
    </w:p>
    <w:p w14:paraId="66C597E6" w14:textId="77777777" w:rsidR="00C01580" w:rsidRPr="00377135" w:rsidRDefault="00C01580" w:rsidP="00C01580">
      <w:pPr>
        <w:pStyle w:val="SingleTxtG"/>
        <w:rPr>
          <w:lang w:eastAsia="en-US"/>
        </w:rPr>
      </w:pPr>
      <w:r w:rsidRPr="00377135">
        <w:rPr>
          <w:i/>
          <w:iCs/>
          <w:lang w:eastAsia="en-US"/>
        </w:rPr>
        <w:t>Entity(ies) responsible</w:t>
      </w:r>
      <w:r w:rsidRPr="00377135">
        <w:rPr>
          <w:lang w:eastAsia="en-US"/>
        </w:rPr>
        <w:t>: International Association for Impact Assessment.</w:t>
      </w:r>
    </w:p>
    <w:p w14:paraId="456135E9" w14:textId="77777777" w:rsidR="00C01580" w:rsidRDefault="00C01580" w:rsidP="00C01580">
      <w:pPr>
        <w:pStyle w:val="SingleTxtG"/>
        <w:rPr>
          <w:lang w:eastAsia="en-US"/>
        </w:rPr>
      </w:pPr>
      <w:r w:rsidRPr="00377135">
        <w:rPr>
          <w:i/>
          <w:iCs/>
          <w:lang w:eastAsia="en-US"/>
        </w:rPr>
        <w:t>Resources</w:t>
      </w:r>
      <w:r w:rsidRPr="00377135">
        <w:rPr>
          <w:lang w:eastAsia="en-US"/>
        </w:rPr>
        <w:t>: In-kind. Translation of FasTips will require additional resources (in-kind or donor funding).</w:t>
      </w:r>
    </w:p>
    <w:p w14:paraId="3D5DFFF0" w14:textId="2D033381" w:rsidR="00C01580" w:rsidRPr="00D22150" w:rsidRDefault="00C01580" w:rsidP="00C01580">
      <w:pPr>
        <w:pStyle w:val="SingleTxtG"/>
        <w:tabs>
          <w:tab w:val="clear" w:pos="1701"/>
          <w:tab w:val="left" w:pos="709"/>
        </w:tabs>
        <w:ind w:hanging="1134"/>
        <w:rPr>
          <w:b/>
          <w:bCs/>
          <w:lang w:eastAsia="en-US"/>
        </w:rPr>
      </w:pPr>
      <w:r>
        <w:rPr>
          <w:lang w:eastAsia="en-US"/>
        </w:rPr>
        <w:lastRenderedPageBreak/>
        <w:tab/>
      </w:r>
      <w:r w:rsidRPr="00D22150">
        <w:rPr>
          <w:b/>
          <w:bCs/>
          <w:lang w:eastAsia="en-US"/>
        </w:rPr>
        <w:t>4.</w:t>
      </w:r>
      <w:r>
        <w:rPr>
          <w:b/>
          <w:bCs/>
          <w:lang w:eastAsia="en-US"/>
        </w:rPr>
        <w:tab/>
      </w:r>
      <w:r w:rsidRPr="00D22150">
        <w:rPr>
          <w:b/>
          <w:bCs/>
          <w:lang w:eastAsia="en-US"/>
        </w:rPr>
        <w:t>Relevant work of partner organizations</w:t>
      </w:r>
      <w:r w:rsidRPr="00D22150">
        <w:rPr>
          <w:b/>
          <w:bCs/>
          <w:lang w:eastAsia="en-US"/>
        </w:rPr>
        <w:tab/>
      </w:r>
    </w:p>
    <w:p w14:paraId="5A30814A" w14:textId="77777777" w:rsidR="00C01580" w:rsidRDefault="00C01580" w:rsidP="00C01580">
      <w:pPr>
        <w:pStyle w:val="SingleTxtG"/>
        <w:ind w:hanging="1134"/>
        <w:rPr>
          <w:lang w:eastAsia="en-US"/>
        </w:rPr>
      </w:pPr>
      <w:r>
        <w:rPr>
          <w:lang w:eastAsia="en-US"/>
        </w:rPr>
        <w:tab/>
      </w:r>
      <w:r w:rsidRPr="00742873">
        <w:rPr>
          <w:i/>
          <w:iCs/>
          <w:lang w:eastAsia="en-US"/>
        </w:rPr>
        <w:t>Activities</w:t>
      </w:r>
      <w:r>
        <w:rPr>
          <w:lang w:eastAsia="en-US"/>
        </w:rPr>
        <w:t>: K</w:t>
      </w:r>
      <w:r w:rsidRPr="009B55CD">
        <w:rPr>
          <w:lang w:eastAsia="en-US"/>
        </w:rPr>
        <w:t xml:space="preserve">nowledge </w:t>
      </w:r>
      <w:r>
        <w:rPr>
          <w:lang w:eastAsia="en-US"/>
        </w:rPr>
        <w:t>e</w:t>
      </w:r>
      <w:r w:rsidRPr="009B55CD">
        <w:rPr>
          <w:lang w:eastAsia="en-US"/>
        </w:rPr>
        <w:t xml:space="preserve">xchange </w:t>
      </w:r>
      <w:r>
        <w:rPr>
          <w:lang w:eastAsia="en-US"/>
        </w:rPr>
        <w:t xml:space="preserve">with the United Nations Development Programme (UNDP) </w:t>
      </w:r>
      <w:r w:rsidRPr="009B55CD">
        <w:rPr>
          <w:lang w:eastAsia="en-US"/>
        </w:rPr>
        <w:t>on</w:t>
      </w:r>
      <w:r>
        <w:rPr>
          <w:lang w:eastAsia="en-US"/>
        </w:rPr>
        <w:t xml:space="preserve"> its</w:t>
      </w:r>
      <w:r w:rsidRPr="009B55CD">
        <w:rPr>
          <w:lang w:eastAsia="en-US"/>
        </w:rPr>
        <w:t xml:space="preserve"> </w:t>
      </w:r>
      <w:r>
        <w:rPr>
          <w:lang w:eastAsia="en-US"/>
        </w:rPr>
        <w:t>s</w:t>
      </w:r>
      <w:r w:rsidRPr="009B55CD">
        <w:rPr>
          <w:lang w:eastAsia="en-US"/>
        </w:rPr>
        <w:t xml:space="preserve">trategic </w:t>
      </w:r>
      <w:r>
        <w:rPr>
          <w:lang w:eastAsia="en-US"/>
        </w:rPr>
        <w:t>e</w:t>
      </w:r>
      <w:r w:rsidRPr="009B55CD">
        <w:rPr>
          <w:lang w:eastAsia="en-US"/>
        </w:rPr>
        <w:t xml:space="preserve">nvironmental and </w:t>
      </w:r>
      <w:r>
        <w:rPr>
          <w:lang w:eastAsia="en-US"/>
        </w:rPr>
        <w:t>s</w:t>
      </w:r>
      <w:r w:rsidRPr="009B55CD">
        <w:rPr>
          <w:lang w:eastAsia="en-US"/>
        </w:rPr>
        <w:t xml:space="preserve">ocial </w:t>
      </w:r>
      <w:r>
        <w:rPr>
          <w:lang w:eastAsia="en-US"/>
        </w:rPr>
        <w:t>a</w:t>
      </w:r>
      <w:r w:rsidRPr="009B55CD">
        <w:rPr>
          <w:lang w:eastAsia="en-US"/>
        </w:rPr>
        <w:t>ssessments in East</w:t>
      </w:r>
      <w:r>
        <w:rPr>
          <w:lang w:eastAsia="en-US"/>
        </w:rPr>
        <w:t>ern</w:t>
      </w:r>
      <w:r w:rsidRPr="009B55CD">
        <w:rPr>
          <w:lang w:eastAsia="en-US"/>
        </w:rPr>
        <w:t xml:space="preserve"> and South</w:t>
      </w:r>
      <w:r>
        <w:rPr>
          <w:lang w:eastAsia="en-US"/>
        </w:rPr>
        <w:t>-E</w:t>
      </w:r>
      <w:r w:rsidRPr="009B55CD">
        <w:rPr>
          <w:lang w:eastAsia="en-US"/>
        </w:rPr>
        <w:t>ast</w:t>
      </w:r>
      <w:r>
        <w:rPr>
          <w:lang w:eastAsia="en-US"/>
        </w:rPr>
        <w:t>ern</w:t>
      </w:r>
      <w:r w:rsidRPr="009B55CD">
        <w:rPr>
          <w:lang w:eastAsia="en-US"/>
        </w:rPr>
        <w:t xml:space="preserve"> Europe, </w:t>
      </w:r>
      <w:r>
        <w:rPr>
          <w:lang w:eastAsia="en-US"/>
        </w:rPr>
        <w:t xml:space="preserve">the </w:t>
      </w:r>
      <w:r w:rsidRPr="009B55CD">
        <w:rPr>
          <w:lang w:eastAsia="en-US"/>
        </w:rPr>
        <w:t>Caucasus and Central Asia</w:t>
      </w:r>
      <w:r>
        <w:rPr>
          <w:lang w:eastAsia="en-US"/>
        </w:rPr>
        <w:t>:</w:t>
      </w:r>
    </w:p>
    <w:p w14:paraId="11DCCB54" w14:textId="6CE2C8CB" w:rsidR="00C01580" w:rsidRDefault="00C01580" w:rsidP="00C01580">
      <w:pPr>
        <w:pStyle w:val="SingleTxtG"/>
        <w:ind w:hanging="1134"/>
        <w:rPr>
          <w:lang w:eastAsia="en-US"/>
        </w:rPr>
      </w:pPr>
      <w:r>
        <w:rPr>
          <w:lang w:eastAsia="en-US"/>
        </w:rPr>
        <w:tab/>
      </w:r>
      <w:r>
        <w:rPr>
          <w:lang w:eastAsia="en-US"/>
        </w:rPr>
        <w:tab/>
        <w:t>(a)</w:t>
      </w:r>
      <w:r>
        <w:rPr>
          <w:lang w:eastAsia="en-US"/>
        </w:rPr>
        <w:tab/>
        <w:t xml:space="preserve">Informal exchange of information on relevant projects between UNDP and secretariat; </w:t>
      </w:r>
    </w:p>
    <w:p w14:paraId="5E710804" w14:textId="3F3DBC0F" w:rsidR="00C01580" w:rsidRDefault="00C01580" w:rsidP="00C01580">
      <w:pPr>
        <w:pStyle w:val="SingleTxtG"/>
        <w:ind w:hanging="1134"/>
        <w:rPr>
          <w:lang w:eastAsia="en-US"/>
        </w:rPr>
      </w:pPr>
      <w:r>
        <w:rPr>
          <w:lang w:eastAsia="en-US"/>
        </w:rPr>
        <w:tab/>
      </w:r>
      <w:r w:rsidR="00F94025">
        <w:rPr>
          <w:lang w:eastAsia="en-US"/>
        </w:rPr>
        <w:tab/>
      </w:r>
      <w:r>
        <w:rPr>
          <w:lang w:eastAsia="en-US"/>
        </w:rPr>
        <w:t>(b)</w:t>
      </w:r>
      <w:r>
        <w:rPr>
          <w:lang w:eastAsia="en-US"/>
        </w:rPr>
        <w:tab/>
        <w:t>Information, consultation and, where relevant, engagement, of the relevant national focal points under the Protocol during the preparation and implementation of the s</w:t>
      </w:r>
      <w:r w:rsidRPr="00AE1045">
        <w:rPr>
          <w:lang w:eastAsia="en-US"/>
        </w:rPr>
        <w:t xml:space="preserve">trategic </w:t>
      </w:r>
      <w:r>
        <w:rPr>
          <w:lang w:eastAsia="en-US"/>
        </w:rPr>
        <w:t>e</w:t>
      </w:r>
      <w:r w:rsidRPr="00AE1045">
        <w:rPr>
          <w:lang w:eastAsia="en-US"/>
        </w:rPr>
        <w:t xml:space="preserve">nvironmental and </w:t>
      </w:r>
      <w:r>
        <w:rPr>
          <w:lang w:eastAsia="en-US"/>
        </w:rPr>
        <w:t>s</w:t>
      </w:r>
      <w:r w:rsidRPr="00AE1045">
        <w:rPr>
          <w:lang w:eastAsia="en-US"/>
        </w:rPr>
        <w:t xml:space="preserve">ocial </w:t>
      </w:r>
      <w:r>
        <w:rPr>
          <w:lang w:eastAsia="en-US"/>
        </w:rPr>
        <w:t>a</w:t>
      </w:r>
      <w:r w:rsidRPr="00AE1045">
        <w:rPr>
          <w:lang w:eastAsia="en-US"/>
        </w:rPr>
        <w:t xml:space="preserve">ssessments </w:t>
      </w:r>
      <w:r>
        <w:rPr>
          <w:lang w:eastAsia="en-US"/>
        </w:rPr>
        <w:t>processes supported by the UNDP in the countries of interest;</w:t>
      </w:r>
    </w:p>
    <w:p w14:paraId="314D6BA1" w14:textId="3E646ECE" w:rsidR="00C01580" w:rsidRDefault="00C01580" w:rsidP="00C01580">
      <w:pPr>
        <w:pStyle w:val="SingleTxtG"/>
        <w:ind w:hanging="1134"/>
        <w:rPr>
          <w:lang w:eastAsia="en-US"/>
        </w:rPr>
      </w:pPr>
      <w:r>
        <w:rPr>
          <w:lang w:eastAsia="en-US"/>
        </w:rPr>
        <w:tab/>
      </w:r>
      <w:r w:rsidR="00F94025">
        <w:rPr>
          <w:lang w:eastAsia="en-US"/>
        </w:rPr>
        <w:tab/>
      </w:r>
      <w:r>
        <w:rPr>
          <w:lang w:eastAsia="en-US"/>
        </w:rPr>
        <w:t>(c)</w:t>
      </w:r>
      <w:r>
        <w:rPr>
          <w:lang w:eastAsia="en-US"/>
        </w:rPr>
        <w:tab/>
        <w:t xml:space="preserve">Exchange information about planned events. Invitation (where appropriate) of relevant Protocol representatives to UNDP national and regional knowledge events held within the framework of UNDP-led initiatives; </w:t>
      </w:r>
    </w:p>
    <w:p w14:paraId="0226C1BB" w14:textId="2DFBA922" w:rsidR="00C01580" w:rsidRDefault="00C01580" w:rsidP="00C01580">
      <w:pPr>
        <w:pStyle w:val="SingleTxtG"/>
        <w:ind w:hanging="1134"/>
        <w:rPr>
          <w:lang w:eastAsia="en-US"/>
        </w:rPr>
      </w:pPr>
      <w:r>
        <w:rPr>
          <w:lang w:eastAsia="en-US"/>
        </w:rPr>
        <w:tab/>
      </w:r>
      <w:r w:rsidR="00F94025">
        <w:rPr>
          <w:lang w:eastAsia="en-US"/>
        </w:rPr>
        <w:tab/>
      </w:r>
      <w:r>
        <w:rPr>
          <w:lang w:eastAsia="en-US"/>
        </w:rPr>
        <w:t>(d)</w:t>
      </w:r>
      <w:r>
        <w:rPr>
          <w:lang w:eastAsia="en-US"/>
        </w:rPr>
        <w:tab/>
        <w:t>Evaluation of experience resulting from the implementation of development interventions on the ground. Knowledge exchange and presentation of UNDP case-studies and lessons learned within the framework of relevant meetings held under the auspices of the Protocol.</w:t>
      </w:r>
      <w:r>
        <w:rPr>
          <w:lang w:eastAsia="en-US"/>
        </w:rPr>
        <w:tab/>
      </w:r>
      <w:r w:rsidRPr="00492260">
        <w:rPr>
          <w:i/>
          <w:iCs/>
          <w:lang w:eastAsia="en-US"/>
        </w:rPr>
        <w:t>Entity(ies) responsible</w:t>
      </w:r>
      <w:r>
        <w:rPr>
          <w:lang w:eastAsia="en-US"/>
        </w:rPr>
        <w:t>: UNDP, Parties and stakeholders, with the secretariat’s support, within the limits of its resources.</w:t>
      </w:r>
    </w:p>
    <w:p w14:paraId="23E2C5ED" w14:textId="77777777" w:rsidR="00C01580" w:rsidRPr="00377135" w:rsidRDefault="00C01580" w:rsidP="00C01580">
      <w:pPr>
        <w:pStyle w:val="SingleTxtG"/>
        <w:ind w:hanging="1134"/>
        <w:rPr>
          <w:lang w:eastAsia="en-US"/>
        </w:rPr>
      </w:pPr>
      <w:r>
        <w:rPr>
          <w:lang w:eastAsia="en-US"/>
        </w:rPr>
        <w:tab/>
      </w:r>
      <w:r w:rsidRPr="00492260">
        <w:rPr>
          <w:i/>
          <w:iCs/>
          <w:lang w:eastAsia="en-US"/>
        </w:rPr>
        <w:t>Resource requirements</w:t>
      </w:r>
      <w:r>
        <w:rPr>
          <w:lang w:eastAsia="en-US"/>
        </w:rPr>
        <w:t>: In-kind.</w:t>
      </w:r>
    </w:p>
    <w:p w14:paraId="4DCFE845" w14:textId="77777777" w:rsidR="00C01580" w:rsidRPr="00377135" w:rsidRDefault="00C01580" w:rsidP="00C01580">
      <w:pPr>
        <w:pStyle w:val="H1G"/>
        <w:rPr>
          <w:lang w:eastAsia="en-US"/>
        </w:rPr>
      </w:pPr>
      <w:r w:rsidRPr="00377135">
        <w:rPr>
          <w:lang w:eastAsia="en-US"/>
        </w:rPr>
        <w:tab/>
        <w:t>C.</w:t>
      </w:r>
      <w:r w:rsidRPr="00377135">
        <w:rPr>
          <w:lang w:eastAsia="en-US"/>
        </w:rPr>
        <w:tab/>
        <w:t>Capacity-building</w:t>
      </w:r>
    </w:p>
    <w:p w14:paraId="3C0E815F" w14:textId="77777777" w:rsidR="00C01580" w:rsidRPr="00377135" w:rsidRDefault="00C01580" w:rsidP="00C01580">
      <w:pPr>
        <w:pStyle w:val="SingleTxtG"/>
        <w:rPr>
          <w:lang w:eastAsia="en-US"/>
        </w:rPr>
      </w:pPr>
      <w:r w:rsidRPr="00377135">
        <w:rPr>
          <w:lang w:eastAsia="en-US"/>
        </w:rPr>
        <w:t xml:space="preserve">This category of activities aims at promoting fully compliant application of the Convention and the Protocol, including through increased capacities and improved professional skills of officials at all relevant administrative levels and increased awareness of decision-makers and the public, including NGOs, regarding the treaty provisions and their application and benefits. It also contributes to wider application of the treaties by promoting their ratification by non-Parties. </w:t>
      </w:r>
    </w:p>
    <w:p w14:paraId="1385FF58" w14:textId="77777777" w:rsidR="00C01580" w:rsidRPr="00377135" w:rsidRDefault="00C01580" w:rsidP="00C01580">
      <w:pPr>
        <w:pStyle w:val="H23G"/>
        <w:rPr>
          <w:lang w:eastAsia="en-US"/>
        </w:rPr>
      </w:pPr>
      <w:r>
        <w:rPr>
          <w:lang w:eastAsia="en-US"/>
        </w:rPr>
        <w:tab/>
      </w:r>
      <w:r w:rsidRPr="00377135">
        <w:rPr>
          <w:lang w:eastAsia="en-US"/>
        </w:rPr>
        <w:t>1.</w:t>
      </w:r>
      <w:r w:rsidRPr="00377135">
        <w:rPr>
          <w:lang w:eastAsia="en-US"/>
        </w:rPr>
        <w:tab/>
        <w:t xml:space="preserve">Bilateral assistance by Parties </w:t>
      </w:r>
      <w:r>
        <w:rPr>
          <w:lang w:eastAsia="en-US"/>
        </w:rPr>
        <w:t>and partner organizations</w:t>
      </w:r>
    </w:p>
    <w:p w14:paraId="16A180AE" w14:textId="77777777" w:rsidR="00C01580" w:rsidRPr="00377135" w:rsidRDefault="00C01580" w:rsidP="00C01580">
      <w:pPr>
        <w:pStyle w:val="SingleTxtG"/>
        <w:rPr>
          <w:lang w:eastAsia="en-US"/>
        </w:rPr>
      </w:pPr>
      <w:r w:rsidRPr="00377135">
        <w:rPr>
          <w:i/>
          <w:iCs/>
          <w:lang w:eastAsia="en-US"/>
        </w:rPr>
        <w:t>Activities</w:t>
      </w:r>
      <w:r w:rsidRPr="00377135">
        <w:rPr>
          <w:lang w:eastAsia="en-US"/>
        </w:rPr>
        <w:t>:</w:t>
      </w:r>
      <w:r w:rsidRPr="00377135">
        <w:rPr>
          <w:i/>
          <w:iCs/>
          <w:lang w:eastAsia="en-US"/>
        </w:rPr>
        <w:t xml:space="preserve"> </w:t>
      </w:r>
      <w:r w:rsidRPr="00377135">
        <w:rPr>
          <w:lang w:eastAsia="en-US"/>
        </w:rPr>
        <w:t xml:space="preserve">Strengthen links between Parties’ relevant bilateral capacity-building and awareness-raising activities (e.g., relevant assistance by Parties’ environmental and development agencies in Eastern and South-Eastern Europe, the Caucasus and Central Asia,  or outside ECE region) and the objectives of the Convention and the Protocol, involving regular reports by Parties at Working Group meetings and Meetings of the Parties sessions to increase the awareness, visibility and coordination of those activities, and to promote the instruments’ implementation and ratification. Such activities include: </w:t>
      </w:r>
    </w:p>
    <w:p w14:paraId="4CD23F0B" w14:textId="2471947B" w:rsidR="00C01580" w:rsidRPr="00377135" w:rsidRDefault="00A4439A" w:rsidP="00C01580">
      <w:pPr>
        <w:pStyle w:val="SingleTxtG"/>
        <w:rPr>
          <w:lang w:eastAsia="en-US"/>
        </w:rPr>
      </w:pPr>
      <w:r>
        <w:rPr>
          <w:lang w:eastAsia="en-US"/>
        </w:rPr>
        <w:tab/>
      </w:r>
      <w:r w:rsidR="00C01580">
        <w:rPr>
          <w:lang w:eastAsia="en-US"/>
        </w:rPr>
        <w:t>(a)</w:t>
      </w:r>
      <w:r w:rsidR="00C01580" w:rsidRPr="00377135">
        <w:rPr>
          <w:lang w:eastAsia="en-US"/>
        </w:rPr>
        <w:tab/>
        <w:t>Pilot implementation of strategic environmental assessment or transboundary environmental impact assessment procedures to a plan or project to be identified by the beneficiary countries – to provide hands-on learning for implementing those procedures, with built-in training involving analytical and consultative tasks, in accordance with Protocol/Convention;</w:t>
      </w:r>
    </w:p>
    <w:p w14:paraId="38C96CCD" w14:textId="77777777" w:rsidR="00C01580" w:rsidRPr="00377135" w:rsidRDefault="00C01580" w:rsidP="00D05623">
      <w:pPr>
        <w:pStyle w:val="SingleTxtG"/>
        <w:ind w:firstLine="567"/>
        <w:rPr>
          <w:lang w:eastAsia="en-US"/>
        </w:rPr>
      </w:pPr>
      <w:r>
        <w:rPr>
          <w:lang w:eastAsia="en-US"/>
        </w:rPr>
        <w:t>(b)</w:t>
      </w:r>
      <w:r w:rsidRPr="00377135">
        <w:rPr>
          <w:lang w:eastAsia="en-US"/>
        </w:rPr>
        <w:tab/>
        <w:t xml:space="preserve">Training (including training of trainers) workshops on practical treaty application; </w:t>
      </w:r>
    </w:p>
    <w:p w14:paraId="225FCC37" w14:textId="77777777" w:rsidR="00C01580" w:rsidRPr="00377135" w:rsidRDefault="00C01580" w:rsidP="00D05623">
      <w:pPr>
        <w:pStyle w:val="SingleTxtG"/>
        <w:ind w:firstLine="567"/>
        <w:rPr>
          <w:lang w:eastAsia="en-US"/>
        </w:rPr>
      </w:pPr>
      <w:r>
        <w:rPr>
          <w:lang w:eastAsia="en-US"/>
        </w:rPr>
        <w:t>(c)</w:t>
      </w:r>
      <w:r w:rsidRPr="00377135">
        <w:rPr>
          <w:lang w:eastAsia="en-US"/>
        </w:rPr>
        <w:tab/>
        <w:t xml:space="preserve">National events to raise the awareness of sectoral authorities and other relevant actors on the need for and benefits of effective implementation of strategic environmental assessment (or transboundary environmental impact assessment) legislation in accordance with the Convention/Protocol; </w:t>
      </w:r>
    </w:p>
    <w:p w14:paraId="502A285B" w14:textId="25FEBC3D" w:rsidR="00C01580" w:rsidRPr="00377135" w:rsidRDefault="00C01580" w:rsidP="00D05623">
      <w:pPr>
        <w:pStyle w:val="SingleTxtG"/>
        <w:ind w:firstLine="567"/>
        <w:rPr>
          <w:lang w:eastAsia="en-US"/>
        </w:rPr>
      </w:pPr>
      <w:r>
        <w:rPr>
          <w:lang w:eastAsia="en-US"/>
        </w:rPr>
        <w:t>(d)</w:t>
      </w:r>
      <w:r w:rsidRPr="00377135">
        <w:rPr>
          <w:lang w:eastAsia="en-US"/>
        </w:rPr>
        <w:tab/>
        <w:t>National issue- or sector-specific</w:t>
      </w:r>
      <w:r>
        <w:rPr>
          <w:lang w:eastAsia="en-US"/>
        </w:rPr>
        <w:t xml:space="preserve"> guidance</w:t>
      </w:r>
      <w:r w:rsidRPr="00377135">
        <w:rPr>
          <w:lang w:eastAsia="en-US"/>
        </w:rPr>
        <w:t>.</w:t>
      </w:r>
      <w:r w:rsidRPr="00463D04">
        <w:rPr>
          <w:rStyle w:val="FootnoteReference"/>
          <w:lang w:eastAsia="en-US"/>
        </w:rPr>
        <w:t xml:space="preserve"> </w:t>
      </w:r>
      <w:r w:rsidR="00472CC2">
        <w:rPr>
          <w:rFonts w:ascii="ZWAdobeF" w:hAnsi="ZWAdobeF" w:cs="ZWAdobeF"/>
          <w:sz w:val="2"/>
          <w:szCs w:val="2"/>
          <w:lang w:eastAsia="en-US"/>
        </w:rPr>
        <w:t>15F</w:t>
      </w:r>
      <w:r>
        <w:rPr>
          <w:rStyle w:val="FootnoteReference"/>
          <w:lang w:eastAsia="en-US"/>
        </w:rPr>
        <w:footnoteReference w:id="17"/>
      </w:r>
    </w:p>
    <w:p w14:paraId="7C5B04BF" w14:textId="77777777" w:rsidR="00C01580" w:rsidRPr="00377135" w:rsidRDefault="00C01580" w:rsidP="00C01580">
      <w:pPr>
        <w:pStyle w:val="SingleTxtG"/>
        <w:rPr>
          <w:lang w:eastAsia="en-US"/>
        </w:rPr>
      </w:pPr>
      <w:r w:rsidRPr="00377135">
        <w:rPr>
          <w:i/>
          <w:iCs/>
          <w:lang w:eastAsia="en-US"/>
        </w:rPr>
        <w:lastRenderedPageBreak/>
        <w:t>Entity(ies) responsible</w:t>
      </w:r>
      <w:r w:rsidRPr="00377135">
        <w:rPr>
          <w:lang w:eastAsia="en-US"/>
        </w:rPr>
        <w:t>:</w:t>
      </w:r>
      <w:r w:rsidRPr="00377135">
        <w:rPr>
          <w:i/>
          <w:iCs/>
          <w:lang w:eastAsia="en-US"/>
        </w:rPr>
        <w:t xml:space="preserve"> </w:t>
      </w:r>
      <w:r w:rsidRPr="00377135">
        <w:rPr>
          <w:lang w:eastAsia="en-US"/>
        </w:rPr>
        <w:t>Parties (central authorities or agencies for environment, international cooperation or development) to provide bilateral assistance to beneficiary countries, requested by those countries, as relevant, with support from partner organizations</w:t>
      </w:r>
      <w:r>
        <w:rPr>
          <w:lang w:eastAsia="en-US"/>
        </w:rPr>
        <w:t>;</w:t>
      </w:r>
      <w:r w:rsidRPr="00377135">
        <w:rPr>
          <w:lang w:eastAsia="en-US"/>
        </w:rPr>
        <w:t xml:space="preserve"> </w:t>
      </w:r>
      <w:r>
        <w:rPr>
          <w:lang w:eastAsia="en-US"/>
        </w:rPr>
        <w:t>Partner organizations to provide such assistance. R</w:t>
      </w:r>
      <w:r w:rsidRPr="00377135">
        <w:rPr>
          <w:lang w:eastAsia="en-US"/>
        </w:rPr>
        <w:t xml:space="preserve">eporting on progress to the Working Group: </w:t>
      </w:r>
    </w:p>
    <w:p w14:paraId="4AD1FD7C" w14:textId="2878E286" w:rsidR="00C01580" w:rsidRPr="00377135" w:rsidRDefault="00C01580" w:rsidP="005612CF">
      <w:pPr>
        <w:pStyle w:val="SingleTxtG"/>
        <w:ind w:left="1701"/>
        <w:rPr>
          <w:lang w:eastAsia="en-US"/>
        </w:rPr>
      </w:pPr>
      <w:r w:rsidRPr="00377135">
        <w:rPr>
          <w:lang w:eastAsia="en-US"/>
        </w:rPr>
        <w:t>(</w:t>
      </w:r>
      <w:r>
        <w:rPr>
          <w:lang w:eastAsia="en-US"/>
        </w:rPr>
        <w:t>i</w:t>
      </w:r>
      <w:r w:rsidRPr="00377135">
        <w:rPr>
          <w:lang w:eastAsia="en-US"/>
        </w:rPr>
        <w:t>)</w:t>
      </w:r>
      <w:r w:rsidRPr="00377135">
        <w:rPr>
          <w:lang w:eastAsia="en-US"/>
        </w:rPr>
        <w:tab/>
        <w:t>OSCE</w:t>
      </w:r>
      <w:r w:rsidR="00B91C3A">
        <w:rPr>
          <w:lang w:eastAsia="en-US"/>
        </w:rPr>
        <w:t>:</w:t>
      </w:r>
      <w:r w:rsidRPr="006A4F44">
        <w:t xml:space="preserve"> </w:t>
      </w:r>
      <w:r w:rsidRPr="006A4F44">
        <w:rPr>
          <w:lang w:eastAsia="en-US"/>
        </w:rPr>
        <w:t>“Strengthening national and regional capacities and cooperation on Strategic Environmental Assessment (SEA) in Central Asia – Phase II”</w:t>
      </w:r>
      <w:r>
        <w:rPr>
          <w:lang w:eastAsia="en-US"/>
        </w:rPr>
        <w:t>,</w:t>
      </w:r>
      <w:r w:rsidRPr="006A4F44">
        <w:rPr>
          <w:lang w:eastAsia="en-US"/>
        </w:rPr>
        <w:t xml:space="preserve"> subject to availability of funds</w:t>
      </w:r>
      <w:r>
        <w:rPr>
          <w:lang w:eastAsia="en-US"/>
        </w:rPr>
        <w:t xml:space="preserve"> from Germany;</w:t>
      </w:r>
    </w:p>
    <w:p w14:paraId="4AE02F7E" w14:textId="69D08CE4" w:rsidR="00C01580" w:rsidRDefault="004D3B5D" w:rsidP="003F175A">
      <w:pPr>
        <w:pStyle w:val="SingleTxtG"/>
        <w:tabs>
          <w:tab w:val="clear" w:pos="1701"/>
          <w:tab w:val="clear" w:pos="2268"/>
          <w:tab w:val="clear" w:pos="2835"/>
        </w:tabs>
        <w:ind w:left="1701" w:hanging="141"/>
        <w:rPr>
          <w:lang w:eastAsia="en-US"/>
        </w:rPr>
      </w:pPr>
      <w:r>
        <w:rPr>
          <w:lang w:eastAsia="en-US"/>
        </w:rPr>
        <w:tab/>
      </w:r>
      <w:r w:rsidR="00C01580" w:rsidRPr="00377135">
        <w:rPr>
          <w:lang w:eastAsia="en-US"/>
        </w:rPr>
        <w:t>(</w:t>
      </w:r>
      <w:r w:rsidR="00C01580">
        <w:rPr>
          <w:lang w:eastAsia="en-US"/>
        </w:rPr>
        <w:t>ii</w:t>
      </w:r>
      <w:r w:rsidR="00C01580" w:rsidRPr="00377135">
        <w:rPr>
          <w:lang w:eastAsia="en-US"/>
        </w:rPr>
        <w:t>)</w:t>
      </w:r>
      <w:r w:rsidR="00C01580" w:rsidRPr="00377135">
        <w:rPr>
          <w:lang w:eastAsia="en-US"/>
        </w:rPr>
        <w:tab/>
      </w:r>
      <w:r w:rsidR="00C01580">
        <w:rPr>
          <w:lang w:eastAsia="en-US"/>
        </w:rPr>
        <w:t>World Health Organization: Bonn School of Environment and Health (2025), to address technical gaps and to raise awareness on environment and health challenges [also covering environmental impact assessment and strategic environmental assessment].</w:t>
      </w:r>
    </w:p>
    <w:p w14:paraId="50EC1DF1" w14:textId="77777777" w:rsidR="00C01580" w:rsidRPr="00377135" w:rsidRDefault="00C01580" w:rsidP="00C01580">
      <w:pPr>
        <w:suppressAutoHyphens/>
        <w:spacing w:after="120"/>
        <w:ind w:left="1134" w:right="1134"/>
        <w:jc w:val="both"/>
        <w:rPr>
          <w:lang w:eastAsia="en-US"/>
        </w:rPr>
      </w:pPr>
      <w:r w:rsidRPr="00377135">
        <w:rPr>
          <w:i/>
          <w:iCs/>
          <w:lang w:eastAsia="en-US"/>
        </w:rPr>
        <w:t>Resource requirements</w:t>
      </w:r>
      <w:r w:rsidRPr="00377135">
        <w:rPr>
          <w:lang w:eastAsia="en-US"/>
        </w:rPr>
        <w:t>: In-kind. Implementation of the related activities depends on the availability of bilateral or multilateral donor-funded support.</w:t>
      </w:r>
    </w:p>
    <w:p w14:paraId="0D45967F" w14:textId="3150080B" w:rsidR="00C01580" w:rsidRPr="00377135" w:rsidRDefault="00C01580" w:rsidP="00C01580">
      <w:pPr>
        <w:pStyle w:val="H23G"/>
        <w:rPr>
          <w:lang w:eastAsia="en-US"/>
        </w:rPr>
      </w:pPr>
      <w:r w:rsidRPr="00377135">
        <w:rPr>
          <w:lang w:eastAsia="en-US"/>
        </w:rPr>
        <w:tab/>
        <w:t>2.</w:t>
      </w:r>
      <w:r w:rsidRPr="00377135">
        <w:rPr>
          <w:lang w:eastAsia="en-US"/>
        </w:rPr>
        <w:tab/>
      </w:r>
      <w:bookmarkStart w:id="66" w:name="_Hlk36026591"/>
      <w:r w:rsidRPr="00377135">
        <w:rPr>
          <w:lang w:eastAsia="en-US"/>
        </w:rPr>
        <w:t>Finalization of a video on the application of the Protocol for the Central Asian countries</w:t>
      </w:r>
      <w:bookmarkEnd w:id="66"/>
    </w:p>
    <w:p w14:paraId="41AB47D9" w14:textId="77777777" w:rsidR="00C01580" w:rsidRPr="00377135" w:rsidRDefault="00C01580" w:rsidP="00C01580">
      <w:pPr>
        <w:pStyle w:val="SingleTxtG"/>
        <w:rPr>
          <w:lang w:eastAsia="en-US"/>
        </w:rPr>
      </w:pPr>
      <w:r w:rsidRPr="00377135">
        <w:rPr>
          <w:i/>
          <w:iCs/>
          <w:lang w:eastAsia="en-US"/>
        </w:rPr>
        <w:t>Activities</w:t>
      </w:r>
      <w:r w:rsidRPr="00377135">
        <w:rPr>
          <w:lang w:eastAsia="en-US"/>
        </w:rPr>
        <w:t xml:space="preserve">: </w:t>
      </w:r>
      <w:bookmarkStart w:id="67" w:name="_Hlk127381706"/>
      <w:r w:rsidRPr="00377135">
        <w:rPr>
          <w:lang w:eastAsia="en-US"/>
        </w:rPr>
        <w:t xml:space="preserve">To raise awareness of and promote the Protocol’s ratification and application in the Central Asian countries, editing the video on the Protocol, inserting into its Russian-language version Kazakh-, Kyrgyz-, Tajik-, Turkmen- and Uzbek-language subtitles translated by OSCE in 2022. </w:t>
      </w:r>
    </w:p>
    <w:bookmarkEnd w:id="67"/>
    <w:p w14:paraId="62F03522" w14:textId="77777777" w:rsidR="00C01580" w:rsidRPr="00377135" w:rsidRDefault="00C01580" w:rsidP="00C01580">
      <w:pPr>
        <w:pStyle w:val="SingleTxtG"/>
        <w:rPr>
          <w:lang w:eastAsia="en-US"/>
        </w:rPr>
      </w:pPr>
      <w:r w:rsidRPr="00377135">
        <w:rPr>
          <w:i/>
          <w:iCs/>
          <w:lang w:eastAsia="en-US"/>
        </w:rPr>
        <w:t>Entity(ies) responsible</w:t>
      </w:r>
      <w:r w:rsidRPr="00377135">
        <w:rPr>
          <w:lang w:eastAsia="en-US"/>
        </w:rPr>
        <w:t>:</w:t>
      </w:r>
      <w:r w:rsidRPr="00377135">
        <w:rPr>
          <w:i/>
          <w:iCs/>
          <w:lang w:eastAsia="en-US"/>
        </w:rPr>
        <w:t xml:space="preserve"> </w:t>
      </w:r>
      <w:r w:rsidRPr="00377135">
        <w:rPr>
          <w:lang w:eastAsia="en-US"/>
        </w:rPr>
        <w:t xml:space="preserve">Subject to availability of additional resources, to be coordinated by </w:t>
      </w:r>
      <w:r w:rsidRPr="00503990">
        <w:rPr>
          <w:lang w:eastAsia="en-US"/>
        </w:rPr>
        <w:t xml:space="preserve">the secretariat, with support from consultants. Support by OSCE, </w:t>
      </w:r>
      <w:r w:rsidRPr="00362EC8">
        <w:rPr>
          <w:lang w:eastAsia="en-US"/>
        </w:rPr>
        <w:t>subject to</w:t>
      </w:r>
      <w:r w:rsidRPr="00503990">
        <w:rPr>
          <w:lang w:eastAsia="en-US"/>
        </w:rPr>
        <w:t xml:space="preserve"> availability of funds.</w:t>
      </w:r>
    </w:p>
    <w:p w14:paraId="3433495F" w14:textId="77777777" w:rsidR="00C01580" w:rsidRDefault="00C01580" w:rsidP="00C01580">
      <w:pPr>
        <w:pStyle w:val="SingleTxtG"/>
        <w:rPr>
          <w:lang w:eastAsia="en-US"/>
        </w:rPr>
      </w:pPr>
      <w:r w:rsidRPr="00377135">
        <w:rPr>
          <w:i/>
          <w:iCs/>
          <w:lang w:eastAsia="en-US"/>
        </w:rPr>
        <w:t>Resource requirements</w:t>
      </w:r>
      <w:r w:rsidRPr="00377135">
        <w:rPr>
          <w:lang w:eastAsia="en-US"/>
        </w:rPr>
        <w:t>:</w:t>
      </w:r>
      <w:r w:rsidRPr="00377135">
        <w:rPr>
          <w:i/>
          <w:iCs/>
          <w:lang w:eastAsia="en-US"/>
        </w:rPr>
        <w:t xml:space="preserve"> </w:t>
      </w:r>
      <w:r w:rsidRPr="00377135">
        <w:rPr>
          <w:lang w:eastAsia="en-US"/>
        </w:rPr>
        <w:t>Requires donor funding for individual contractors (for coordination and production) and national consultants (for linguistic verification).</w:t>
      </w:r>
    </w:p>
    <w:p w14:paraId="2E928A32" w14:textId="77777777" w:rsidR="00C01580" w:rsidRPr="00B80005" w:rsidRDefault="00C01580" w:rsidP="00C01580">
      <w:pPr>
        <w:pStyle w:val="HChG"/>
        <w:rPr>
          <w:lang w:eastAsia="en-US"/>
        </w:rPr>
      </w:pPr>
      <w:r>
        <w:rPr>
          <w:lang w:eastAsia="en-US"/>
        </w:rPr>
        <w:tab/>
      </w:r>
      <w:r w:rsidRPr="00B80005">
        <w:rPr>
          <w:lang w:eastAsia="en-US"/>
        </w:rPr>
        <w:t>IV.</w:t>
      </w:r>
      <w:r w:rsidRPr="00B80005">
        <w:rPr>
          <w:lang w:eastAsia="en-US"/>
        </w:rPr>
        <w:tab/>
        <w:t>Increasing awareness, accession and implementation beyond the United Nations Economic Commission for Europe region</w:t>
      </w:r>
    </w:p>
    <w:p w14:paraId="46CC5AFC" w14:textId="00B9F25B" w:rsidR="00C01580" w:rsidRPr="00B80005" w:rsidRDefault="00C01580" w:rsidP="00C01580">
      <w:pPr>
        <w:pStyle w:val="SingleTxtG"/>
        <w:rPr>
          <w:i/>
          <w:iCs/>
          <w:lang w:eastAsia="en-US"/>
        </w:rPr>
      </w:pPr>
      <w:r w:rsidRPr="00B80005">
        <w:rPr>
          <w:i/>
          <w:iCs/>
          <w:lang w:eastAsia="en-US"/>
        </w:rPr>
        <w:t>Objective</w:t>
      </w:r>
      <w:r w:rsidRPr="00B80005">
        <w:rPr>
          <w:lang w:eastAsia="en-US"/>
        </w:rPr>
        <w:t>:</w:t>
      </w:r>
      <w:r w:rsidRPr="00B80005">
        <w:rPr>
          <w:i/>
          <w:iCs/>
          <w:lang w:eastAsia="en-US"/>
        </w:rPr>
        <w:t xml:space="preserve"> </w:t>
      </w:r>
      <w:r w:rsidRPr="00B80005">
        <w:rPr>
          <w:lang w:eastAsia="en-US"/>
        </w:rPr>
        <w:t>Increase awareness of and accession to the Convention and the Protocol, and the application of their principles outside the ECE region.</w:t>
      </w:r>
    </w:p>
    <w:p w14:paraId="28CB3F94" w14:textId="77777777" w:rsidR="00C01580" w:rsidRPr="00B80005" w:rsidRDefault="00C01580" w:rsidP="00C01580">
      <w:pPr>
        <w:pStyle w:val="SingleTxtG"/>
        <w:rPr>
          <w:i/>
          <w:iCs/>
          <w:lang w:eastAsia="en-US"/>
        </w:rPr>
      </w:pPr>
      <w:r w:rsidRPr="00B80005">
        <w:rPr>
          <w:i/>
          <w:iCs/>
          <w:lang w:eastAsia="en-US"/>
        </w:rPr>
        <w:t>Activities</w:t>
      </w:r>
      <w:r w:rsidRPr="00B80005">
        <w:rPr>
          <w:lang w:eastAsia="en-US"/>
        </w:rPr>
        <w:t>:</w:t>
      </w:r>
      <w:r w:rsidRPr="00B80005">
        <w:rPr>
          <w:i/>
          <w:iCs/>
          <w:lang w:eastAsia="en-US"/>
        </w:rPr>
        <w:t xml:space="preserve"> </w:t>
      </w:r>
    </w:p>
    <w:p w14:paraId="1852D5ED" w14:textId="77777777" w:rsidR="00C01580" w:rsidRPr="00B80005" w:rsidRDefault="00C01580" w:rsidP="00C01580">
      <w:pPr>
        <w:pStyle w:val="SingleTxtG"/>
        <w:ind w:firstLine="567"/>
        <w:rPr>
          <w:lang w:eastAsia="en-US"/>
        </w:rPr>
      </w:pPr>
      <w:r w:rsidRPr="00B80005">
        <w:rPr>
          <w:lang w:eastAsia="en-US"/>
        </w:rPr>
        <w:t>(a)</w:t>
      </w:r>
      <w:r w:rsidRPr="00B80005">
        <w:rPr>
          <w:lang w:eastAsia="en-US"/>
        </w:rPr>
        <w:tab/>
        <w:t xml:space="preserve">Use regional and international cooperation frameworks and meetings to disseminate information and to raise awareness of and interest in the treaties and their activities, through presentations and organization of sessions and/or side events; </w:t>
      </w:r>
    </w:p>
    <w:p w14:paraId="3CE5B1AD" w14:textId="77777777" w:rsidR="00C01580" w:rsidRPr="00B80005" w:rsidRDefault="00C01580" w:rsidP="00C01580">
      <w:pPr>
        <w:pStyle w:val="SingleTxtG"/>
        <w:ind w:firstLine="567"/>
        <w:rPr>
          <w:lang w:eastAsia="en-US"/>
        </w:rPr>
      </w:pPr>
      <w:r w:rsidRPr="00B80005">
        <w:rPr>
          <w:lang w:eastAsia="en-US"/>
        </w:rPr>
        <w:t>(b)</w:t>
      </w:r>
      <w:r w:rsidRPr="00B80005">
        <w:rPr>
          <w:lang w:eastAsia="en-US"/>
        </w:rPr>
        <w:tab/>
        <w:t xml:space="preserve">Translate existing guidance materials related to the implementation of the treaties (e.g., into Arabic and Spanish); </w:t>
      </w:r>
    </w:p>
    <w:p w14:paraId="52DE05C0" w14:textId="77777777" w:rsidR="00C01580" w:rsidRPr="00B80005" w:rsidRDefault="00C01580" w:rsidP="00C01580">
      <w:pPr>
        <w:pStyle w:val="SingleTxtG"/>
        <w:ind w:firstLine="567"/>
        <w:rPr>
          <w:lang w:eastAsia="en-US"/>
        </w:rPr>
      </w:pPr>
      <w:r w:rsidRPr="00B80005">
        <w:rPr>
          <w:lang w:eastAsia="en-US"/>
        </w:rPr>
        <w:t>(c)</w:t>
      </w:r>
      <w:r w:rsidRPr="00B80005">
        <w:rPr>
          <w:lang w:eastAsia="en-US"/>
        </w:rPr>
        <w:tab/>
        <w:t xml:space="preserve">Develop advocacy material, such as a brief for policymakers on the benefits of the Convention and the Protocol, with references to good practice; and responses to frequently asked questions; </w:t>
      </w:r>
    </w:p>
    <w:p w14:paraId="2A8F70AA" w14:textId="77777777" w:rsidR="00C01580" w:rsidRPr="00B80005" w:rsidRDefault="00C01580" w:rsidP="00C01580">
      <w:pPr>
        <w:pStyle w:val="SingleTxtG"/>
        <w:ind w:firstLine="567"/>
        <w:rPr>
          <w:lang w:eastAsia="en-US"/>
        </w:rPr>
      </w:pPr>
      <w:r w:rsidRPr="00B80005">
        <w:rPr>
          <w:lang w:eastAsia="en-US"/>
        </w:rPr>
        <w:t>(d)</w:t>
      </w:r>
      <w:r w:rsidRPr="00B80005">
        <w:rPr>
          <w:i/>
          <w:iCs/>
          <w:lang w:eastAsia="en-US"/>
        </w:rPr>
        <w:tab/>
      </w:r>
      <w:r w:rsidRPr="00B80005">
        <w:rPr>
          <w:lang w:eastAsia="en-US"/>
        </w:rPr>
        <w:t>Organize national or subregional awareness-raising events on the Convention and the Protocol (benefits, practical implementation, etc.);</w:t>
      </w:r>
    </w:p>
    <w:p w14:paraId="5BE20266" w14:textId="77777777" w:rsidR="00C01580" w:rsidRPr="00B80005" w:rsidRDefault="00C01580" w:rsidP="00C01580">
      <w:pPr>
        <w:pStyle w:val="SingleTxtG"/>
        <w:ind w:firstLine="567"/>
        <w:rPr>
          <w:lang w:eastAsia="en-US"/>
        </w:rPr>
      </w:pPr>
      <w:r w:rsidRPr="00B80005">
        <w:rPr>
          <w:lang w:eastAsia="en-US"/>
        </w:rPr>
        <w:t>(e)</w:t>
      </w:r>
      <w:r w:rsidRPr="00B80005">
        <w:rPr>
          <w:lang w:eastAsia="en-US"/>
        </w:rPr>
        <w:tab/>
        <w:t xml:space="preserve">Support legal reforms, awareness-raising and capacity-building via bilateral development support and twinning arrangements between current and prospective Parties. </w:t>
      </w:r>
    </w:p>
    <w:p w14:paraId="0882D854" w14:textId="77777777" w:rsidR="00C01580" w:rsidRPr="00B80005" w:rsidRDefault="00C01580" w:rsidP="00C01580">
      <w:pPr>
        <w:pStyle w:val="SingleTxtG"/>
        <w:rPr>
          <w:bCs/>
          <w:lang w:eastAsia="en-US"/>
        </w:rPr>
      </w:pPr>
      <w:r w:rsidRPr="00B80005">
        <w:rPr>
          <w:bCs/>
          <w:i/>
          <w:iCs/>
          <w:lang w:eastAsia="en-US"/>
        </w:rPr>
        <w:t>Entity(ies) responsible</w:t>
      </w:r>
      <w:r w:rsidRPr="00B80005">
        <w:rPr>
          <w:bCs/>
          <w:lang w:eastAsia="en-US"/>
        </w:rPr>
        <w:t xml:space="preserve">: Parties and stakeholders to provide bilateral or multilateral support to the beneficiary countries; </w:t>
      </w:r>
      <w:r w:rsidRPr="00B80005">
        <w:rPr>
          <w:lang w:eastAsia="en-US"/>
        </w:rPr>
        <w:t>The secretariat, within the limits of its resources, with lead countries, in cooperation with the treaty bodies</w:t>
      </w:r>
      <w:r w:rsidRPr="00B80005">
        <w:rPr>
          <w:bCs/>
          <w:lang w:eastAsia="en-US"/>
        </w:rPr>
        <w:t>.</w:t>
      </w:r>
    </w:p>
    <w:p w14:paraId="6D6BA0B8" w14:textId="486229E0" w:rsidR="00C01580" w:rsidRDefault="00C01580" w:rsidP="00F419E2">
      <w:pPr>
        <w:pStyle w:val="SingleTxtG"/>
        <w:rPr>
          <w:lang w:eastAsia="en-US"/>
        </w:rPr>
      </w:pPr>
      <w:r w:rsidRPr="00B80005">
        <w:rPr>
          <w:i/>
          <w:iCs/>
          <w:lang w:eastAsia="en-US"/>
        </w:rPr>
        <w:t>Resource requirements</w:t>
      </w:r>
      <w:r w:rsidRPr="00B80005">
        <w:rPr>
          <w:lang w:eastAsia="en-US"/>
        </w:rPr>
        <w:t xml:space="preserve">: In-kind bilateral support from Parties, including for translations of materials. Professional and support staff of the secretariat; travel funds for the secretariat and officers to attend meetings related to </w:t>
      </w:r>
      <w:r w:rsidRPr="00F419E2">
        <w:t>workplan</w:t>
      </w:r>
      <w:r w:rsidRPr="00B80005">
        <w:rPr>
          <w:lang w:eastAsia="en-US"/>
        </w:rPr>
        <w:t xml:space="preserve"> implementation, funding for promotional material. Implementation will depend on the availability of funding from Parties.</w:t>
      </w:r>
    </w:p>
    <w:p w14:paraId="76A73EAE" w14:textId="77777777" w:rsidR="00C01580" w:rsidRDefault="00C01580" w:rsidP="00C01580">
      <w:pPr>
        <w:pStyle w:val="SingleTxtG"/>
        <w:ind w:left="1418"/>
        <w:sectPr w:rsidR="00C01580" w:rsidSect="00A603CF">
          <w:headerReference w:type="first" r:id="rId19"/>
          <w:footerReference w:type="first" r:id="rId20"/>
          <w:footnotePr>
            <w:numRestart w:val="eachSect"/>
          </w:footnotePr>
          <w:endnotePr>
            <w:numFmt w:val="decimal"/>
          </w:endnotePr>
          <w:pgSz w:w="11907" w:h="16840" w:code="9"/>
          <w:pgMar w:top="1418" w:right="1134" w:bottom="1134" w:left="1134" w:header="680" w:footer="567" w:gutter="0"/>
          <w:cols w:space="720"/>
          <w:titlePg/>
          <w:docGrid w:linePitch="272"/>
        </w:sectPr>
      </w:pPr>
    </w:p>
    <w:p w14:paraId="5609B902" w14:textId="77777777" w:rsidR="00C01580" w:rsidRDefault="00C01580" w:rsidP="00C01580">
      <w:pPr>
        <w:pStyle w:val="HChG"/>
        <w:rPr>
          <w:lang w:eastAsia="en-US"/>
        </w:rPr>
      </w:pPr>
      <w:r w:rsidRPr="000A402F">
        <w:rPr>
          <w:lang w:eastAsia="en-US"/>
        </w:rPr>
        <w:lastRenderedPageBreak/>
        <w:t>Annex II</w:t>
      </w:r>
      <w:bookmarkStart w:id="68" w:name="_Hlk34047917"/>
    </w:p>
    <w:p w14:paraId="4E0B68E7" w14:textId="77777777" w:rsidR="00C01580" w:rsidRPr="002B5397" w:rsidRDefault="00C01580" w:rsidP="00C01580">
      <w:pPr>
        <w:pStyle w:val="HChG"/>
        <w:rPr>
          <w:lang w:eastAsia="en-US"/>
        </w:rPr>
      </w:pPr>
      <w:r>
        <w:rPr>
          <w:lang w:eastAsia="en-US"/>
        </w:rPr>
        <w:tab/>
      </w:r>
      <w:r>
        <w:rPr>
          <w:lang w:eastAsia="en-US"/>
        </w:rPr>
        <w:tab/>
      </w:r>
      <w:r w:rsidRPr="002B5397">
        <w:rPr>
          <w:lang w:eastAsia="en-US"/>
        </w:rPr>
        <w:t>Resource requirements for the workplan for 2024–2026</w:t>
      </w:r>
      <w:bookmarkEnd w:id="68"/>
    </w:p>
    <w:p w14:paraId="26C44454" w14:textId="77777777" w:rsidR="00C01580" w:rsidRPr="0063676F" w:rsidRDefault="00C01580" w:rsidP="00C01580">
      <w:pPr>
        <w:pStyle w:val="SingleTxtG"/>
        <w:spacing w:after="0"/>
      </w:pPr>
      <w:r w:rsidRPr="0063676F">
        <w:t>Table 1</w:t>
      </w:r>
    </w:p>
    <w:p w14:paraId="139FDB28" w14:textId="5B676A2D" w:rsidR="00C01580" w:rsidRDefault="00C01580" w:rsidP="00C01580">
      <w:pPr>
        <w:pStyle w:val="SingleTxtG"/>
        <w:rPr>
          <w:b/>
          <w:bCs/>
          <w:lang w:eastAsia="en-US"/>
        </w:rPr>
      </w:pPr>
      <w:r w:rsidRPr="00C01580">
        <w:rPr>
          <w:b/>
          <w:bCs/>
        </w:rPr>
        <w:t>Resource requirements</w:t>
      </w:r>
      <w:r w:rsidRPr="00C01580">
        <w:rPr>
          <w:b/>
          <w:bCs/>
          <w:lang w:eastAsia="en-US"/>
        </w:rPr>
        <w:t xml:space="preserve"> for 2024–2026</w:t>
      </w:r>
    </w:p>
    <w:tbl>
      <w:tblPr>
        <w:tblStyle w:val="TableGrid1"/>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7"/>
        <w:gridCol w:w="3643"/>
        <w:gridCol w:w="1632"/>
        <w:gridCol w:w="964"/>
        <w:gridCol w:w="851"/>
      </w:tblGrid>
      <w:tr w:rsidR="00C01580" w:rsidRPr="0063676F" w14:paraId="0D94C328" w14:textId="77777777">
        <w:trPr>
          <w:cantSplit/>
          <w:tblHeader/>
        </w:trPr>
        <w:tc>
          <w:tcPr>
            <w:tcW w:w="2547" w:type="dxa"/>
            <w:vMerge w:val="restart"/>
            <w:tcBorders>
              <w:top w:val="single" w:sz="12" w:space="0" w:color="auto"/>
              <w:bottom w:val="single" w:sz="12" w:space="0" w:color="auto"/>
            </w:tcBorders>
            <w:shd w:val="clear" w:color="auto" w:fill="auto"/>
            <w:vAlign w:val="bottom"/>
          </w:tcPr>
          <w:p w14:paraId="47C0D1A2" w14:textId="77777777" w:rsidR="00C01580" w:rsidRPr="0063676F" w:rsidRDefault="00C01580">
            <w:pPr>
              <w:spacing w:before="80" w:after="80" w:line="200" w:lineRule="exact"/>
              <w:ind w:right="113"/>
              <w:rPr>
                <w:i/>
                <w:sz w:val="16"/>
                <w:lang w:eastAsia="en-US"/>
              </w:rPr>
            </w:pPr>
            <w:bookmarkStart w:id="69" w:name="_Hlk32164981"/>
            <w:r w:rsidRPr="0063676F">
              <w:rPr>
                <w:i/>
                <w:sz w:val="16"/>
                <w:lang w:eastAsia="en-US"/>
              </w:rPr>
              <w:t>Area</w:t>
            </w:r>
          </w:p>
        </w:tc>
        <w:tc>
          <w:tcPr>
            <w:tcW w:w="3643" w:type="dxa"/>
            <w:vMerge w:val="restart"/>
            <w:tcBorders>
              <w:top w:val="single" w:sz="12" w:space="0" w:color="auto"/>
              <w:bottom w:val="single" w:sz="12" w:space="0" w:color="auto"/>
            </w:tcBorders>
            <w:shd w:val="clear" w:color="auto" w:fill="auto"/>
            <w:vAlign w:val="bottom"/>
          </w:tcPr>
          <w:p w14:paraId="4B37000E" w14:textId="77777777" w:rsidR="00C01580" w:rsidRPr="0063676F" w:rsidRDefault="00C01580">
            <w:pPr>
              <w:spacing w:before="80" w:after="80" w:line="200" w:lineRule="exact"/>
              <w:ind w:right="113"/>
              <w:rPr>
                <w:i/>
                <w:sz w:val="16"/>
                <w:lang w:eastAsia="en-US"/>
              </w:rPr>
            </w:pPr>
            <w:r w:rsidRPr="0063676F">
              <w:rPr>
                <w:i/>
                <w:sz w:val="16"/>
                <w:lang w:eastAsia="en-US"/>
              </w:rPr>
              <w:t>Activities</w:t>
            </w:r>
          </w:p>
        </w:tc>
        <w:tc>
          <w:tcPr>
            <w:tcW w:w="1632" w:type="dxa"/>
            <w:vMerge w:val="restart"/>
            <w:tcBorders>
              <w:top w:val="single" w:sz="12" w:space="0" w:color="auto"/>
              <w:bottom w:val="single" w:sz="12" w:space="0" w:color="auto"/>
            </w:tcBorders>
            <w:shd w:val="clear" w:color="auto" w:fill="auto"/>
            <w:vAlign w:val="bottom"/>
          </w:tcPr>
          <w:p w14:paraId="1809E883" w14:textId="77777777" w:rsidR="00C01580" w:rsidRPr="0063676F" w:rsidRDefault="00C01580">
            <w:pPr>
              <w:spacing w:before="80" w:after="80" w:line="200" w:lineRule="exact"/>
              <w:ind w:right="113"/>
              <w:rPr>
                <w:i/>
                <w:sz w:val="16"/>
                <w:lang w:eastAsia="en-US"/>
              </w:rPr>
            </w:pPr>
            <w:r w:rsidRPr="0063676F">
              <w:rPr>
                <w:i/>
                <w:sz w:val="16"/>
                <w:lang w:eastAsia="en-US"/>
              </w:rPr>
              <w:t>XB financial resources</w:t>
            </w:r>
            <w:r w:rsidRPr="0063676F">
              <w:rPr>
                <w:i/>
                <w:sz w:val="16"/>
                <w:lang w:eastAsia="en-US"/>
              </w:rPr>
              <w:br/>
              <w:t>(in cash and in kind, in US dollars)</w:t>
            </w:r>
          </w:p>
        </w:tc>
        <w:tc>
          <w:tcPr>
            <w:tcW w:w="1815" w:type="dxa"/>
            <w:gridSpan w:val="2"/>
            <w:tcBorders>
              <w:top w:val="single" w:sz="12" w:space="0" w:color="auto"/>
            </w:tcBorders>
            <w:shd w:val="clear" w:color="auto" w:fill="auto"/>
            <w:vAlign w:val="bottom"/>
          </w:tcPr>
          <w:p w14:paraId="4F29B1BF" w14:textId="77777777" w:rsidR="00C01580" w:rsidRPr="0063676F" w:rsidRDefault="00C01580">
            <w:pPr>
              <w:spacing w:before="80" w:after="80" w:line="200" w:lineRule="exact"/>
              <w:ind w:right="113"/>
              <w:rPr>
                <w:i/>
                <w:sz w:val="16"/>
                <w:lang w:eastAsia="en-US"/>
              </w:rPr>
            </w:pPr>
            <w:r w:rsidRPr="0063676F">
              <w:rPr>
                <w:i/>
                <w:sz w:val="16"/>
                <w:lang w:eastAsia="en-US"/>
              </w:rPr>
              <w:t>RB/XB human resources to support planned activities (in work-months of P and G secretariat staff)</w:t>
            </w:r>
          </w:p>
        </w:tc>
      </w:tr>
      <w:tr w:rsidR="00C01580" w:rsidRPr="0063676F" w14:paraId="0EB5598A" w14:textId="77777777">
        <w:trPr>
          <w:cantSplit/>
          <w:trHeight w:hRule="exact" w:val="113"/>
          <w:tblHeader/>
        </w:trPr>
        <w:tc>
          <w:tcPr>
            <w:tcW w:w="2547" w:type="dxa"/>
            <w:vMerge/>
            <w:tcBorders>
              <w:top w:val="single" w:sz="12" w:space="0" w:color="auto"/>
            </w:tcBorders>
            <w:shd w:val="clear" w:color="auto" w:fill="auto"/>
          </w:tcPr>
          <w:p w14:paraId="1F0F960C" w14:textId="77777777" w:rsidR="00C01580" w:rsidRPr="0063676F" w:rsidRDefault="00C01580">
            <w:pPr>
              <w:spacing w:before="40" w:after="120"/>
              <w:ind w:right="113"/>
              <w:rPr>
                <w:lang w:eastAsia="en-US"/>
              </w:rPr>
            </w:pPr>
          </w:p>
        </w:tc>
        <w:tc>
          <w:tcPr>
            <w:tcW w:w="3643" w:type="dxa"/>
            <w:vMerge/>
            <w:tcBorders>
              <w:top w:val="single" w:sz="12" w:space="0" w:color="auto"/>
            </w:tcBorders>
            <w:shd w:val="clear" w:color="auto" w:fill="auto"/>
          </w:tcPr>
          <w:p w14:paraId="33FC0CE6" w14:textId="77777777" w:rsidR="00C01580" w:rsidRPr="0063676F" w:rsidRDefault="00C01580">
            <w:pPr>
              <w:spacing w:before="40" w:after="120"/>
              <w:ind w:right="113"/>
              <w:rPr>
                <w:lang w:eastAsia="en-US"/>
              </w:rPr>
            </w:pPr>
          </w:p>
        </w:tc>
        <w:tc>
          <w:tcPr>
            <w:tcW w:w="1632" w:type="dxa"/>
            <w:vMerge/>
            <w:tcBorders>
              <w:top w:val="single" w:sz="12" w:space="0" w:color="auto"/>
            </w:tcBorders>
            <w:shd w:val="clear" w:color="auto" w:fill="auto"/>
          </w:tcPr>
          <w:p w14:paraId="6787926B" w14:textId="77777777" w:rsidR="00C01580" w:rsidRPr="0063676F" w:rsidRDefault="00C01580">
            <w:pPr>
              <w:spacing w:before="40" w:after="120"/>
              <w:ind w:right="113"/>
              <w:rPr>
                <w:lang w:eastAsia="en-US"/>
              </w:rPr>
            </w:pPr>
          </w:p>
        </w:tc>
        <w:tc>
          <w:tcPr>
            <w:tcW w:w="1815" w:type="dxa"/>
            <w:gridSpan w:val="2"/>
            <w:shd w:val="clear" w:color="auto" w:fill="auto"/>
          </w:tcPr>
          <w:p w14:paraId="5708FBEB" w14:textId="77777777" w:rsidR="00C01580" w:rsidRPr="0063676F" w:rsidRDefault="00C01580">
            <w:pPr>
              <w:spacing w:before="40" w:after="120"/>
              <w:ind w:right="113"/>
              <w:rPr>
                <w:lang w:eastAsia="en-US"/>
              </w:rPr>
            </w:pPr>
          </w:p>
        </w:tc>
      </w:tr>
      <w:tr w:rsidR="00C01580" w:rsidRPr="0063676F" w14:paraId="4525E1BA" w14:textId="77777777">
        <w:trPr>
          <w:cantSplit/>
          <w:tblHeader/>
        </w:trPr>
        <w:tc>
          <w:tcPr>
            <w:tcW w:w="2547" w:type="dxa"/>
            <w:vMerge/>
            <w:tcBorders>
              <w:bottom w:val="single" w:sz="12" w:space="0" w:color="auto"/>
            </w:tcBorders>
            <w:shd w:val="clear" w:color="auto" w:fill="auto"/>
          </w:tcPr>
          <w:p w14:paraId="5E38BD93" w14:textId="77777777" w:rsidR="00C01580" w:rsidRPr="0063676F" w:rsidRDefault="00C01580">
            <w:pPr>
              <w:spacing w:before="40" w:after="120"/>
              <w:ind w:right="113"/>
              <w:rPr>
                <w:lang w:eastAsia="en-US"/>
              </w:rPr>
            </w:pPr>
          </w:p>
        </w:tc>
        <w:tc>
          <w:tcPr>
            <w:tcW w:w="3643" w:type="dxa"/>
            <w:vMerge/>
            <w:tcBorders>
              <w:bottom w:val="single" w:sz="12" w:space="0" w:color="auto"/>
            </w:tcBorders>
            <w:shd w:val="clear" w:color="auto" w:fill="auto"/>
          </w:tcPr>
          <w:p w14:paraId="41CDA451" w14:textId="77777777" w:rsidR="00C01580" w:rsidRPr="0063676F" w:rsidRDefault="00C01580">
            <w:pPr>
              <w:spacing w:before="40" w:after="120"/>
              <w:ind w:right="113"/>
              <w:rPr>
                <w:lang w:eastAsia="en-US"/>
              </w:rPr>
            </w:pPr>
          </w:p>
        </w:tc>
        <w:tc>
          <w:tcPr>
            <w:tcW w:w="1632" w:type="dxa"/>
            <w:vMerge/>
            <w:tcBorders>
              <w:bottom w:val="single" w:sz="12" w:space="0" w:color="auto"/>
            </w:tcBorders>
            <w:shd w:val="clear" w:color="auto" w:fill="auto"/>
          </w:tcPr>
          <w:p w14:paraId="09259132" w14:textId="77777777" w:rsidR="00C01580" w:rsidRPr="0063676F" w:rsidRDefault="00C01580">
            <w:pPr>
              <w:spacing w:before="40" w:after="120"/>
              <w:ind w:right="113"/>
              <w:rPr>
                <w:lang w:eastAsia="en-US"/>
              </w:rPr>
            </w:pPr>
          </w:p>
        </w:tc>
        <w:tc>
          <w:tcPr>
            <w:tcW w:w="964" w:type="dxa"/>
            <w:tcBorders>
              <w:bottom w:val="single" w:sz="12" w:space="0" w:color="auto"/>
            </w:tcBorders>
            <w:shd w:val="clear" w:color="auto" w:fill="auto"/>
          </w:tcPr>
          <w:p w14:paraId="013FCF82" w14:textId="77777777" w:rsidR="00C01580" w:rsidRPr="0063676F" w:rsidRDefault="00C01580">
            <w:pPr>
              <w:spacing w:before="40" w:after="120"/>
              <w:ind w:right="113"/>
              <w:rPr>
                <w:lang w:eastAsia="en-US"/>
              </w:rPr>
            </w:pPr>
            <w:r w:rsidRPr="0063676F">
              <w:rPr>
                <w:lang w:eastAsia="en-US"/>
              </w:rPr>
              <w:t>P</w:t>
            </w:r>
          </w:p>
        </w:tc>
        <w:tc>
          <w:tcPr>
            <w:tcW w:w="851" w:type="dxa"/>
            <w:tcBorders>
              <w:bottom w:val="single" w:sz="12" w:space="0" w:color="auto"/>
            </w:tcBorders>
            <w:shd w:val="clear" w:color="auto" w:fill="auto"/>
          </w:tcPr>
          <w:p w14:paraId="08086561" w14:textId="77777777" w:rsidR="00C01580" w:rsidRPr="0063676F" w:rsidRDefault="00C01580">
            <w:pPr>
              <w:spacing w:before="40" w:after="120"/>
              <w:ind w:right="113"/>
              <w:rPr>
                <w:lang w:eastAsia="en-US"/>
              </w:rPr>
            </w:pPr>
            <w:r w:rsidRPr="0063676F">
              <w:rPr>
                <w:lang w:eastAsia="en-US"/>
              </w:rPr>
              <w:t>G</w:t>
            </w:r>
          </w:p>
        </w:tc>
      </w:tr>
      <w:tr w:rsidR="00C01580" w:rsidRPr="0063676F" w14:paraId="6FE8493D" w14:textId="77777777">
        <w:trPr>
          <w:cantSplit/>
          <w:trHeight w:hRule="exact" w:val="113"/>
          <w:tblHeader/>
        </w:trPr>
        <w:tc>
          <w:tcPr>
            <w:tcW w:w="7822" w:type="dxa"/>
            <w:gridSpan w:val="3"/>
            <w:tcBorders>
              <w:top w:val="single" w:sz="12" w:space="0" w:color="auto"/>
            </w:tcBorders>
            <w:shd w:val="clear" w:color="auto" w:fill="auto"/>
          </w:tcPr>
          <w:p w14:paraId="59517758" w14:textId="77777777" w:rsidR="00C01580" w:rsidRPr="0063676F" w:rsidRDefault="00C01580">
            <w:pPr>
              <w:spacing w:before="40" w:after="120"/>
              <w:ind w:right="113"/>
              <w:rPr>
                <w:b/>
                <w:lang w:eastAsia="en-US"/>
              </w:rPr>
            </w:pPr>
          </w:p>
        </w:tc>
        <w:tc>
          <w:tcPr>
            <w:tcW w:w="964" w:type="dxa"/>
            <w:tcBorders>
              <w:top w:val="single" w:sz="12" w:space="0" w:color="auto"/>
            </w:tcBorders>
            <w:shd w:val="clear" w:color="auto" w:fill="auto"/>
          </w:tcPr>
          <w:p w14:paraId="255C5A2A" w14:textId="77777777" w:rsidR="00C01580" w:rsidRPr="0063676F" w:rsidRDefault="00C01580">
            <w:pPr>
              <w:spacing w:before="40" w:after="120"/>
              <w:ind w:right="113"/>
              <w:rPr>
                <w:b/>
                <w:bCs/>
                <w:lang w:eastAsia="en-US"/>
              </w:rPr>
            </w:pPr>
          </w:p>
        </w:tc>
        <w:tc>
          <w:tcPr>
            <w:tcW w:w="851" w:type="dxa"/>
            <w:tcBorders>
              <w:top w:val="single" w:sz="12" w:space="0" w:color="auto"/>
            </w:tcBorders>
            <w:shd w:val="clear" w:color="auto" w:fill="auto"/>
          </w:tcPr>
          <w:p w14:paraId="62FBC603" w14:textId="77777777" w:rsidR="00C01580" w:rsidRPr="0063676F" w:rsidRDefault="00C01580">
            <w:pPr>
              <w:spacing w:before="40" w:after="120"/>
              <w:ind w:right="113"/>
              <w:rPr>
                <w:b/>
                <w:bCs/>
                <w:lang w:eastAsia="en-US"/>
              </w:rPr>
            </w:pPr>
          </w:p>
        </w:tc>
      </w:tr>
      <w:tr w:rsidR="00C01580" w:rsidRPr="0063676F" w14:paraId="71A9465E" w14:textId="77777777">
        <w:trPr>
          <w:cantSplit/>
        </w:trPr>
        <w:tc>
          <w:tcPr>
            <w:tcW w:w="7822" w:type="dxa"/>
            <w:gridSpan w:val="3"/>
            <w:shd w:val="clear" w:color="auto" w:fill="auto"/>
          </w:tcPr>
          <w:p w14:paraId="3D4E956F" w14:textId="77777777" w:rsidR="00C01580" w:rsidRPr="0063676F" w:rsidRDefault="00C01580">
            <w:pPr>
              <w:spacing w:before="40" w:after="120"/>
              <w:ind w:right="113"/>
              <w:rPr>
                <w:lang w:eastAsia="en-US"/>
              </w:rPr>
            </w:pPr>
            <w:r w:rsidRPr="0063676F">
              <w:rPr>
                <w:b/>
                <w:lang w:eastAsia="en-US"/>
              </w:rPr>
              <w:t>I.</w:t>
            </w:r>
            <w:r w:rsidRPr="0063676F">
              <w:rPr>
                <w:b/>
                <w:lang w:eastAsia="en-US"/>
              </w:rPr>
              <w:tab/>
              <w:t>Facilitation, coordination and visibility of intersessional activities</w:t>
            </w:r>
          </w:p>
        </w:tc>
        <w:tc>
          <w:tcPr>
            <w:tcW w:w="964" w:type="dxa"/>
            <w:shd w:val="clear" w:color="auto" w:fill="auto"/>
          </w:tcPr>
          <w:p w14:paraId="0AC788F0" w14:textId="77777777" w:rsidR="00C01580" w:rsidRPr="0063676F" w:rsidRDefault="00C01580">
            <w:pPr>
              <w:spacing w:before="40" w:after="120"/>
              <w:ind w:right="113"/>
              <w:rPr>
                <w:b/>
                <w:bCs/>
                <w:lang w:eastAsia="en-US"/>
              </w:rPr>
            </w:pPr>
            <w:r w:rsidRPr="0063676F">
              <w:rPr>
                <w:b/>
                <w:bCs/>
                <w:lang w:eastAsia="en-US"/>
              </w:rPr>
              <w:t>35</w:t>
            </w:r>
          </w:p>
        </w:tc>
        <w:tc>
          <w:tcPr>
            <w:tcW w:w="851" w:type="dxa"/>
            <w:shd w:val="clear" w:color="auto" w:fill="auto"/>
          </w:tcPr>
          <w:p w14:paraId="23DD08DA" w14:textId="77777777" w:rsidR="00C01580" w:rsidRPr="0063676F" w:rsidRDefault="00C01580">
            <w:pPr>
              <w:spacing w:before="40" w:after="120"/>
              <w:ind w:right="113"/>
              <w:rPr>
                <w:b/>
                <w:bCs/>
                <w:lang w:eastAsia="en-US"/>
              </w:rPr>
            </w:pPr>
            <w:r w:rsidRPr="0063676F">
              <w:rPr>
                <w:b/>
                <w:bCs/>
                <w:lang w:eastAsia="en-US"/>
              </w:rPr>
              <w:t>21</w:t>
            </w:r>
          </w:p>
        </w:tc>
      </w:tr>
      <w:tr w:rsidR="00C01580" w:rsidRPr="0063676F" w14:paraId="37A34B2E" w14:textId="77777777">
        <w:trPr>
          <w:cantSplit/>
        </w:trPr>
        <w:tc>
          <w:tcPr>
            <w:tcW w:w="2547" w:type="dxa"/>
            <w:vMerge w:val="restart"/>
            <w:shd w:val="clear" w:color="auto" w:fill="auto"/>
          </w:tcPr>
          <w:p w14:paraId="05FD86AD" w14:textId="77777777" w:rsidR="00C01580" w:rsidRPr="0063676F" w:rsidRDefault="00C01580">
            <w:pPr>
              <w:spacing w:before="40" w:after="120"/>
              <w:ind w:right="113"/>
              <w:rPr>
                <w:b/>
                <w:bCs/>
                <w:lang w:eastAsia="en-US"/>
              </w:rPr>
            </w:pPr>
            <w:r w:rsidRPr="0063676F">
              <w:rPr>
                <w:b/>
                <w:bCs/>
                <w:lang w:eastAsia="en-US"/>
              </w:rPr>
              <w:t xml:space="preserve">A.   Facilitating intergovernmental processes  </w:t>
            </w:r>
          </w:p>
          <w:p w14:paraId="6A245E81" w14:textId="77777777" w:rsidR="00C01580" w:rsidRPr="0063676F" w:rsidRDefault="00C01580">
            <w:pPr>
              <w:spacing w:before="40" w:after="120"/>
              <w:ind w:right="113"/>
              <w:rPr>
                <w:lang w:eastAsia="en-US"/>
              </w:rPr>
            </w:pPr>
            <w:r w:rsidRPr="0063676F">
              <w:rPr>
                <w:lang w:eastAsia="en-US"/>
              </w:rPr>
              <w:t xml:space="preserve">Meetings of Bureau, Working Group and Meetings of the Parties. Their substantive and administrative preparations, servicing and follow-up by secretariat </w:t>
            </w:r>
          </w:p>
          <w:p w14:paraId="104A7BE5" w14:textId="77777777" w:rsidR="00C01580" w:rsidRPr="0063676F" w:rsidRDefault="00C01580">
            <w:pPr>
              <w:spacing w:before="40" w:after="120"/>
              <w:ind w:right="113"/>
              <w:rPr>
                <w:b/>
                <w:bCs/>
                <w:lang w:eastAsia="en-US"/>
              </w:rPr>
            </w:pPr>
            <w:r w:rsidRPr="0063676F">
              <w:rPr>
                <w:lang w:eastAsia="en-US"/>
              </w:rPr>
              <w:t xml:space="preserve">Financial support to travel of meeting participants  </w:t>
            </w:r>
          </w:p>
        </w:tc>
        <w:tc>
          <w:tcPr>
            <w:tcW w:w="3643" w:type="dxa"/>
            <w:shd w:val="clear" w:color="auto" w:fill="auto"/>
          </w:tcPr>
          <w:p w14:paraId="147FAB6E" w14:textId="77777777" w:rsidR="00C01580" w:rsidRPr="0063676F" w:rsidRDefault="00C01580">
            <w:pPr>
              <w:spacing w:before="40" w:after="120"/>
              <w:ind w:right="113"/>
              <w:rPr>
                <w:lang w:eastAsia="en-US"/>
              </w:rPr>
            </w:pPr>
          </w:p>
        </w:tc>
        <w:tc>
          <w:tcPr>
            <w:tcW w:w="1632" w:type="dxa"/>
            <w:shd w:val="clear" w:color="auto" w:fill="auto"/>
          </w:tcPr>
          <w:p w14:paraId="00E04706" w14:textId="77777777" w:rsidR="00C01580" w:rsidRPr="0063676F" w:rsidRDefault="00C01580">
            <w:pPr>
              <w:spacing w:before="40" w:after="120"/>
              <w:ind w:right="113"/>
              <w:rPr>
                <w:lang w:eastAsia="en-US"/>
              </w:rPr>
            </w:pPr>
          </w:p>
        </w:tc>
        <w:tc>
          <w:tcPr>
            <w:tcW w:w="964" w:type="dxa"/>
            <w:shd w:val="clear" w:color="auto" w:fill="auto"/>
          </w:tcPr>
          <w:p w14:paraId="37115D2A" w14:textId="77777777" w:rsidR="00C01580" w:rsidRPr="0063676F" w:rsidRDefault="00C01580">
            <w:pPr>
              <w:spacing w:before="40" w:after="120"/>
              <w:ind w:right="113"/>
              <w:rPr>
                <w:lang w:eastAsia="en-US"/>
              </w:rPr>
            </w:pPr>
          </w:p>
        </w:tc>
        <w:tc>
          <w:tcPr>
            <w:tcW w:w="851" w:type="dxa"/>
            <w:shd w:val="clear" w:color="auto" w:fill="auto"/>
          </w:tcPr>
          <w:p w14:paraId="302FDFA3" w14:textId="77777777" w:rsidR="00C01580" w:rsidRPr="0063676F" w:rsidRDefault="00C01580">
            <w:pPr>
              <w:spacing w:before="40" w:after="120"/>
              <w:ind w:right="113"/>
              <w:rPr>
                <w:lang w:eastAsia="en-US"/>
              </w:rPr>
            </w:pPr>
          </w:p>
        </w:tc>
      </w:tr>
      <w:tr w:rsidR="00C01580" w:rsidRPr="0063676F" w14:paraId="1E6DE5EF" w14:textId="77777777">
        <w:trPr>
          <w:cantSplit/>
        </w:trPr>
        <w:tc>
          <w:tcPr>
            <w:tcW w:w="2547" w:type="dxa"/>
            <w:vMerge/>
            <w:shd w:val="clear" w:color="auto" w:fill="auto"/>
          </w:tcPr>
          <w:p w14:paraId="0E87EAD2" w14:textId="77777777" w:rsidR="00C01580" w:rsidRPr="0063676F" w:rsidRDefault="00C01580">
            <w:pPr>
              <w:spacing w:before="40" w:after="120"/>
              <w:ind w:right="113"/>
              <w:rPr>
                <w:b/>
                <w:bCs/>
                <w:lang w:eastAsia="en-US"/>
              </w:rPr>
            </w:pPr>
          </w:p>
        </w:tc>
        <w:tc>
          <w:tcPr>
            <w:tcW w:w="3643" w:type="dxa"/>
            <w:shd w:val="clear" w:color="auto" w:fill="auto"/>
          </w:tcPr>
          <w:p w14:paraId="0F483C3B" w14:textId="77777777" w:rsidR="00C01580" w:rsidRPr="0063676F" w:rsidRDefault="00C01580">
            <w:pPr>
              <w:spacing w:before="40" w:after="120"/>
              <w:ind w:right="113"/>
              <w:rPr>
                <w:lang w:eastAsia="en-US"/>
              </w:rPr>
            </w:pPr>
            <w:r w:rsidRPr="0063676F">
              <w:rPr>
                <w:lang w:eastAsia="en-US"/>
              </w:rPr>
              <w:t>Bureau meetings (up to 4 estimated): travel of experts (estimated 2 experts, $2,000 for 2-day meeting)</w:t>
            </w:r>
          </w:p>
        </w:tc>
        <w:tc>
          <w:tcPr>
            <w:tcW w:w="1632" w:type="dxa"/>
            <w:shd w:val="clear" w:color="auto" w:fill="auto"/>
          </w:tcPr>
          <w:p w14:paraId="613B50EA" w14:textId="77777777" w:rsidR="00C01580" w:rsidRPr="0063676F" w:rsidRDefault="00C01580">
            <w:pPr>
              <w:spacing w:before="40" w:after="120"/>
              <w:ind w:right="113"/>
              <w:rPr>
                <w:lang w:eastAsia="en-US"/>
              </w:rPr>
            </w:pPr>
            <w:r w:rsidRPr="0063676F">
              <w:rPr>
                <w:lang w:eastAsia="en-US"/>
              </w:rPr>
              <w:t>12 000</w:t>
            </w:r>
          </w:p>
        </w:tc>
        <w:tc>
          <w:tcPr>
            <w:tcW w:w="964" w:type="dxa"/>
            <w:shd w:val="clear" w:color="auto" w:fill="auto"/>
          </w:tcPr>
          <w:p w14:paraId="3B9C04AA" w14:textId="77777777" w:rsidR="00C01580" w:rsidRPr="0063676F" w:rsidRDefault="00C01580">
            <w:pPr>
              <w:spacing w:before="40" w:after="120"/>
              <w:ind w:right="113"/>
              <w:rPr>
                <w:lang w:eastAsia="en-US"/>
              </w:rPr>
            </w:pPr>
          </w:p>
        </w:tc>
        <w:tc>
          <w:tcPr>
            <w:tcW w:w="851" w:type="dxa"/>
            <w:shd w:val="clear" w:color="auto" w:fill="auto"/>
          </w:tcPr>
          <w:p w14:paraId="6B6BB78F" w14:textId="77777777" w:rsidR="00C01580" w:rsidRPr="0063676F" w:rsidRDefault="00C01580">
            <w:pPr>
              <w:spacing w:before="40" w:after="120"/>
              <w:ind w:right="113"/>
              <w:rPr>
                <w:lang w:eastAsia="en-US"/>
              </w:rPr>
            </w:pPr>
          </w:p>
        </w:tc>
      </w:tr>
      <w:tr w:rsidR="00C01580" w:rsidRPr="0063676F" w14:paraId="015DD6E6" w14:textId="77777777">
        <w:trPr>
          <w:cantSplit/>
        </w:trPr>
        <w:tc>
          <w:tcPr>
            <w:tcW w:w="2547" w:type="dxa"/>
            <w:vMerge/>
            <w:shd w:val="clear" w:color="auto" w:fill="auto"/>
          </w:tcPr>
          <w:p w14:paraId="791AB466" w14:textId="77777777" w:rsidR="00C01580" w:rsidRPr="0063676F" w:rsidRDefault="00C01580">
            <w:pPr>
              <w:spacing w:before="40" w:after="120"/>
              <w:ind w:right="113"/>
              <w:rPr>
                <w:lang w:eastAsia="en-US"/>
              </w:rPr>
            </w:pPr>
          </w:p>
        </w:tc>
        <w:tc>
          <w:tcPr>
            <w:tcW w:w="3643" w:type="dxa"/>
            <w:shd w:val="clear" w:color="auto" w:fill="auto"/>
          </w:tcPr>
          <w:p w14:paraId="10879E33" w14:textId="77777777" w:rsidR="00C01580" w:rsidRPr="0063676F" w:rsidRDefault="00C01580">
            <w:pPr>
              <w:spacing w:before="40" w:after="120"/>
              <w:ind w:right="113"/>
              <w:rPr>
                <w:lang w:eastAsia="en-US"/>
              </w:rPr>
            </w:pPr>
            <w:r w:rsidRPr="0063676F">
              <w:rPr>
                <w:szCs w:val="18"/>
                <w:lang w:eastAsia="en-US"/>
              </w:rPr>
              <w:t>Working Group meetings (up to 3): travel of approximately 20 experts/meeting: from eligible ECE countries (max. $20,000); NGOs (max. $10,000); from non-ECE countries (max. $3,000) [– subject to funding and Bureau’s approval]</w:t>
            </w:r>
          </w:p>
        </w:tc>
        <w:tc>
          <w:tcPr>
            <w:tcW w:w="1632" w:type="dxa"/>
            <w:shd w:val="clear" w:color="auto" w:fill="auto"/>
          </w:tcPr>
          <w:p w14:paraId="3DCCC8CB" w14:textId="77777777" w:rsidR="00C01580" w:rsidRPr="0063676F" w:rsidRDefault="00C01580">
            <w:pPr>
              <w:spacing w:before="40" w:after="120"/>
              <w:ind w:right="113"/>
              <w:rPr>
                <w:lang w:eastAsia="en-US"/>
              </w:rPr>
            </w:pPr>
            <w:r w:rsidRPr="0063676F">
              <w:rPr>
                <w:lang w:eastAsia="en-US"/>
              </w:rPr>
              <w:t>100 000</w:t>
            </w:r>
          </w:p>
        </w:tc>
        <w:tc>
          <w:tcPr>
            <w:tcW w:w="964" w:type="dxa"/>
            <w:shd w:val="clear" w:color="auto" w:fill="auto"/>
          </w:tcPr>
          <w:p w14:paraId="743FEB69" w14:textId="77777777" w:rsidR="00C01580" w:rsidRPr="0063676F" w:rsidRDefault="00C01580">
            <w:pPr>
              <w:spacing w:before="40" w:after="120"/>
              <w:ind w:right="113"/>
              <w:rPr>
                <w:lang w:eastAsia="en-US"/>
              </w:rPr>
            </w:pPr>
          </w:p>
        </w:tc>
        <w:tc>
          <w:tcPr>
            <w:tcW w:w="851" w:type="dxa"/>
            <w:shd w:val="clear" w:color="auto" w:fill="auto"/>
          </w:tcPr>
          <w:p w14:paraId="533708EA" w14:textId="77777777" w:rsidR="00C01580" w:rsidRPr="0063676F" w:rsidRDefault="00C01580">
            <w:pPr>
              <w:spacing w:before="40" w:after="120"/>
              <w:ind w:right="113"/>
              <w:rPr>
                <w:lang w:eastAsia="en-US"/>
              </w:rPr>
            </w:pPr>
          </w:p>
        </w:tc>
      </w:tr>
      <w:tr w:rsidR="00C01580" w:rsidRPr="0063676F" w14:paraId="67CFC3D8" w14:textId="77777777">
        <w:trPr>
          <w:cantSplit/>
        </w:trPr>
        <w:tc>
          <w:tcPr>
            <w:tcW w:w="2547" w:type="dxa"/>
            <w:vMerge/>
            <w:shd w:val="clear" w:color="auto" w:fill="auto"/>
          </w:tcPr>
          <w:p w14:paraId="0809D986" w14:textId="77777777" w:rsidR="00C01580" w:rsidRPr="0063676F" w:rsidRDefault="00C01580">
            <w:pPr>
              <w:spacing w:before="40" w:after="120"/>
              <w:ind w:right="113"/>
              <w:rPr>
                <w:lang w:eastAsia="en-US"/>
              </w:rPr>
            </w:pPr>
          </w:p>
        </w:tc>
        <w:tc>
          <w:tcPr>
            <w:tcW w:w="3643" w:type="dxa"/>
            <w:shd w:val="clear" w:color="auto" w:fill="auto"/>
          </w:tcPr>
          <w:p w14:paraId="7CEAA459" w14:textId="77777777" w:rsidR="00C01580" w:rsidRPr="0063676F" w:rsidRDefault="00C01580">
            <w:pPr>
              <w:spacing w:before="40" w:after="120"/>
              <w:ind w:right="113"/>
              <w:rPr>
                <w:lang w:eastAsia="en-US"/>
              </w:rPr>
            </w:pPr>
            <w:r w:rsidRPr="0063676F">
              <w:rPr>
                <w:lang w:eastAsia="en-US"/>
              </w:rPr>
              <w:t>Meetings of the Parties sessions (in 2026): travel of experts: from eligible ECE countries (max. $30,000); from NGOs (max. $20,000); from non-ECE countries (max. $15,000); speakers (max. $15,000)</w:t>
            </w:r>
          </w:p>
        </w:tc>
        <w:tc>
          <w:tcPr>
            <w:tcW w:w="1632" w:type="dxa"/>
            <w:shd w:val="clear" w:color="auto" w:fill="auto"/>
          </w:tcPr>
          <w:p w14:paraId="50AFD84A" w14:textId="77777777" w:rsidR="00C01580" w:rsidRPr="0063676F" w:rsidRDefault="00C01580">
            <w:pPr>
              <w:spacing w:before="40" w:after="120"/>
              <w:ind w:right="113"/>
              <w:rPr>
                <w:lang w:eastAsia="en-US"/>
              </w:rPr>
            </w:pPr>
            <w:r w:rsidRPr="0063676F">
              <w:rPr>
                <w:lang w:eastAsia="en-US"/>
              </w:rPr>
              <w:t>80 000</w:t>
            </w:r>
          </w:p>
        </w:tc>
        <w:tc>
          <w:tcPr>
            <w:tcW w:w="964" w:type="dxa"/>
            <w:shd w:val="clear" w:color="auto" w:fill="auto"/>
          </w:tcPr>
          <w:p w14:paraId="05096AF9" w14:textId="77777777" w:rsidR="00C01580" w:rsidRPr="0063676F" w:rsidRDefault="00C01580">
            <w:pPr>
              <w:spacing w:before="40" w:after="120"/>
              <w:ind w:right="113"/>
              <w:rPr>
                <w:lang w:eastAsia="en-US"/>
              </w:rPr>
            </w:pPr>
          </w:p>
        </w:tc>
        <w:tc>
          <w:tcPr>
            <w:tcW w:w="851" w:type="dxa"/>
            <w:shd w:val="clear" w:color="auto" w:fill="auto"/>
          </w:tcPr>
          <w:p w14:paraId="55598F00" w14:textId="77777777" w:rsidR="00C01580" w:rsidRPr="0063676F" w:rsidRDefault="00C01580">
            <w:pPr>
              <w:spacing w:before="40" w:after="120"/>
              <w:ind w:right="113"/>
              <w:rPr>
                <w:lang w:eastAsia="en-US"/>
              </w:rPr>
            </w:pPr>
          </w:p>
        </w:tc>
      </w:tr>
      <w:tr w:rsidR="00C01580" w:rsidRPr="0063676F" w14:paraId="3385A6B5" w14:textId="77777777">
        <w:trPr>
          <w:cantSplit/>
        </w:trPr>
        <w:tc>
          <w:tcPr>
            <w:tcW w:w="2547" w:type="dxa"/>
            <w:vMerge w:val="restart"/>
            <w:shd w:val="clear" w:color="auto" w:fill="auto"/>
          </w:tcPr>
          <w:p w14:paraId="2899354C" w14:textId="77777777" w:rsidR="00C01580" w:rsidRPr="0063676F" w:rsidRDefault="00C01580">
            <w:pPr>
              <w:spacing w:before="40" w:after="120"/>
              <w:ind w:right="113"/>
              <w:rPr>
                <w:b/>
                <w:bCs/>
                <w:lang w:eastAsia="en-US"/>
              </w:rPr>
            </w:pPr>
            <w:bookmarkStart w:id="70" w:name="_Hlk423232"/>
            <w:r w:rsidRPr="0063676F">
              <w:rPr>
                <w:b/>
                <w:bCs/>
                <w:lang w:eastAsia="en-US"/>
              </w:rPr>
              <w:t>B.   Communication, visibility, coordination</w:t>
            </w:r>
          </w:p>
        </w:tc>
        <w:tc>
          <w:tcPr>
            <w:tcW w:w="3643" w:type="dxa"/>
            <w:shd w:val="clear" w:color="auto" w:fill="auto"/>
          </w:tcPr>
          <w:p w14:paraId="189E79CE" w14:textId="77777777" w:rsidR="00C01580" w:rsidRPr="0063676F" w:rsidRDefault="00C01580">
            <w:pPr>
              <w:spacing w:before="40" w:after="120"/>
              <w:ind w:right="113"/>
              <w:rPr>
                <w:szCs w:val="18"/>
                <w:lang w:eastAsia="en-US"/>
              </w:rPr>
            </w:pPr>
            <w:r w:rsidRPr="0063676F">
              <w:rPr>
                <w:szCs w:val="18"/>
                <w:lang w:eastAsia="en-US"/>
              </w:rPr>
              <w:t>Secretariat travel related to workplan, and promotion or coordination activities (</w:t>
            </w:r>
            <w:r w:rsidRPr="0063676F">
              <w:rPr>
                <w:lang w:eastAsia="en-US"/>
              </w:rPr>
              <w:t>approximately</w:t>
            </w:r>
            <w:r w:rsidRPr="0063676F">
              <w:rPr>
                <w:szCs w:val="18"/>
                <w:lang w:eastAsia="en-US"/>
              </w:rPr>
              <w:t xml:space="preserve"> 8 trips per year) </w:t>
            </w:r>
          </w:p>
        </w:tc>
        <w:tc>
          <w:tcPr>
            <w:tcW w:w="1632" w:type="dxa"/>
            <w:shd w:val="clear" w:color="auto" w:fill="auto"/>
          </w:tcPr>
          <w:p w14:paraId="12B39B78" w14:textId="77777777" w:rsidR="00C01580" w:rsidRPr="0063676F" w:rsidRDefault="00C01580">
            <w:pPr>
              <w:spacing w:before="40" w:after="120"/>
              <w:ind w:right="113"/>
              <w:rPr>
                <w:lang w:eastAsia="en-US"/>
              </w:rPr>
            </w:pPr>
            <w:r w:rsidRPr="0063676F">
              <w:rPr>
                <w:lang w:eastAsia="en-US"/>
              </w:rPr>
              <w:t>30 000</w:t>
            </w:r>
          </w:p>
        </w:tc>
        <w:tc>
          <w:tcPr>
            <w:tcW w:w="964" w:type="dxa"/>
            <w:shd w:val="clear" w:color="auto" w:fill="auto"/>
          </w:tcPr>
          <w:p w14:paraId="0F6016F3" w14:textId="77777777" w:rsidR="00C01580" w:rsidRPr="0063676F" w:rsidRDefault="00C01580">
            <w:pPr>
              <w:spacing w:before="40" w:after="120"/>
              <w:ind w:right="113"/>
              <w:rPr>
                <w:lang w:eastAsia="en-US"/>
              </w:rPr>
            </w:pPr>
          </w:p>
        </w:tc>
        <w:tc>
          <w:tcPr>
            <w:tcW w:w="851" w:type="dxa"/>
            <w:shd w:val="clear" w:color="auto" w:fill="auto"/>
          </w:tcPr>
          <w:p w14:paraId="745D1F46" w14:textId="77777777" w:rsidR="00C01580" w:rsidRPr="0063676F" w:rsidRDefault="00C01580">
            <w:pPr>
              <w:spacing w:before="40" w:after="120"/>
              <w:ind w:right="113"/>
              <w:rPr>
                <w:lang w:eastAsia="en-US"/>
              </w:rPr>
            </w:pPr>
          </w:p>
        </w:tc>
      </w:tr>
      <w:tr w:rsidR="00C01580" w:rsidRPr="0063676F" w14:paraId="7AEB0587" w14:textId="77777777">
        <w:trPr>
          <w:cantSplit/>
        </w:trPr>
        <w:tc>
          <w:tcPr>
            <w:tcW w:w="2547" w:type="dxa"/>
            <w:vMerge/>
            <w:shd w:val="clear" w:color="auto" w:fill="auto"/>
          </w:tcPr>
          <w:p w14:paraId="29594559" w14:textId="77777777" w:rsidR="00C01580" w:rsidRPr="0063676F" w:rsidRDefault="00C01580">
            <w:pPr>
              <w:spacing w:before="40" w:after="120"/>
              <w:ind w:right="113"/>
              <w:rPr>
                <w:b/>
                <w:bCs/>
                <w:lang w:eastAsia="en-US"/>
              </w:rPr>
            </w:pPr>
          </w:p>
        </w:tc>
        <w:tc>
          <w:tcPr>
            <w:tcW w:w="3643" w:type="dxa"/>
            <w:shd w:val="clear" w:color="auto" w:fill="auto"/>
          </w:tcPr>
          <w:p w14:paraId="60C627C5" w14:textId="77777777" w:rsidR="00C01580" w:rsidRPr="0063676F" w:rsidRDefault="00C01580">
            <w:pPr>
              <w:spacing w:before="40" w:after="120"/>
              <w:ind w:right="113"/>
              <w:rPr>
                <w:szCs w:val="18"/>
                <w:lang w:eastAsia="en-US"/>
              </w:rPr>
            </w:pPr>
            <w:r w:rsidRPr="0063676F">
              <w:rPr>
                <w:szCs w:val="18"/>
                <w:lang w:eastAsia="en-US"/>
              </w:rPr>
              <w:t xml:space="preserve">Consultancy </w:t>
            </w:r>
            <w:r w:rsidRPr="0063676F">
              <w:rPr>
                <w:lang w:eastAsia="en-US"/>
              </w:rPr>
              <w:t>support</w:t>
            </w:r>
            <w:r w:rsidRPr="0063676F">
              <w:rPr>
                <w:szCs w:val="18"/>
                <w:lang w:eastAsia="en-US"/>
              </w:rPr>
              <w:t xml:space="preserve"> </w:t>
            </w:r>
            <w:r w:rsidRPr="0063676F">
              <w:rPr>
                <w:lang w:eastAsia="en-US"/>
              </w:rPr>
              <w:t>and</w:t>
            </w:r>
            <w:r w:rsidRPr="0063676F">
              <w:rPr>
                <w:szCs w:val="18"/>
                <w:lang w:eastAsia="en-US"/>
              </w:rPr>
              <w:t xml:space="preserve"> promotional materials</w:t>
            </w:r>
          </w:p>
        </w:tc>
        <w:tc>
          <w:tcPr>
            <w:tcW w:w="1632" w:type="dxa"/>
            <w:shd w:val="clear" w:color="auto" w:fill="auto"/>
          </w:tcPr>
          <w:p w14:paraId="2CF09280" w14:textId="77777777" w:rsidR="00C01580" w:rsidRPr="0063676F" w:rsidRDefault="00C01580">
            <w:pPr>
              <w:spacing w:before="40" w:after="120"/>
              <w:ind w:right="113"/>
              <w:rPr>
                <w:lang w:eastAsia="en-US"/>
              </w:rPr>
            </w:pPr>
            <w:r w:rsidRPr="0063676F">
              <w:rPr>
                <w:lang w:eastAsia="en-US"/>
              </w:rPr>
              <w:t>10 000</w:t>
            </w:r>
          </w:p>
        </w:tc>
        <w:tc>
          <w:tcPr>
            <w:tcW w:w="964" w:type="dxa"/>
            <w:shd w:val="clear" w:color="auto" w:fill="auto"/>
          </w:tcPr>
          <w:p w14:paraId="2430FB7D" w14:textId="77777777" w:rsidR="00C01580" w:rsidRPr="0063676F" w:rsidRDefault="00C01580">
            <w:pPr>
              <w:spacing w:before="40" w:after="120"/>
              <w:ind w:right="113"/>
              <w:rPr>
                <w:lang w:eastAsia="en-US"/>
              </w:rPr>
            </w:pPr>
          </w:p>
        </w:tc>
        <w:tc>
          <w:tcPr>
            <w:tcW w:w="851" w:type="dxa"/>
            <w:shd w:val="clear" w:color="auto" w:fill="auto"/>
          </w:tcPr>
          <w:p w14:paraId="062CACBA" w14:textId="77777777" w:rsidR="00C01580" w:rsidRPr="0063676F" w:rsidRDefault="00C01580">
            <w:pPr>
              <w:spacing w:before="40" w:after="120"/>
              <w:ind w:right="113"/>
              <w:rPr>
                <w:lang w:eastAsia="en-US"/>
              </w:rPr>
            </w:pPr>
          </w:p>
        </w:tc>
      </w:tr>
      <w:tr w:rsidR="00C01580" w:rsidRPr="0063676F" w14:paraId="0192C42D" w14:textId="77777777">
        <w:trPr>
          <w:cantSplit/>
        </w:trPr>
        <w:tc>
          <w:tcPr>
            <w:tcW w:w="2547" w:type="dxa"/>
            <w:shd w:val="clear" w:color="auto" w:fill="auto"/>
          </w:tcPr>
          <w:p w14:paraId="25400175" w14:textId="77777777" w:rsidR="00C01580" w:rsidRPr="0063676F" w:rsidRDefault="00C01580">
            <w:pPr>
              <w:spacing w:before="40" w:after="120"/>
              <w:ind w:right="113"/>
              <w:rPr>
                <w:b/>
                <w:bCs/>
                <w:lang w:eastAsia="en-US"/>
              </w:rPr>
            </w:pPr>
            <w:r w:rsidRPr="0063676F">
              <w:rPr>
                <w:b/>
                <w:bCs/>
                <w:lang w:eastAsia="en-US"/>
              </w:rPr>
              <w:t>C.   General programme management</w:t>
            </w:r>
          </w:p>
        </w:tc>
        <w:tc>
          <w:tcPr>
            <w:tcW w:w="3643" w:type="dxa"/>
            <w:shd w:val="clear" w:color="auto" w:fill="auto"/>
          </w:tcPr>
          <w:p w14:paraId="2384B142" w14:textId="77777777" w:rsidR="00C01580" w:rsidRPr="0063676F" w:rsidRDefault="00C01580">
            <w:pPr>
              <w:spacing w:before="40" w:after="120"/>
              <w:ind w:right="113"/>
              <w:rPr>
                <w:szCs w:val="18"/>
                <w:lang w:eastAsia="en-US"/>
              </w:rPr>
            </w:pPr>
            <w:r w:rsidRPr="0063676F">
              <w:rPr>
                <w:szCs w:val="18"/>
                <w:lang w:eastAsia="en-US"/>
              </w:rPr>
              <w:t xml:space="preserve">Financial, human resources and other general programme planning and </w:t>
            </w:r>
            <w:r w:rsidRPr="0063676F">
              <w:rPr>
                <w:lang w:eastAsia="en-US"/>
              </w:rPr>
              <w:t>management</w:t>
            </w:r>
            <w:r w:rsidRPr="0063676F">
              <w:rPr>
                <w:szCs w:val="18"/>
                <w:lang w:eastAsia="en-US"/>
              </w:rPr>
              <w:t xml:space="preserve">-related functions, administrative actions and reporting </w:t>
            </w:r>
          </w:p>
        </w:tc>
        <w:tc>
          <w:tcPr>
            <w:tcW w:w="1632" w:type="dxa"/>
            <w:shd w:val="clear" w:color="auto" w:fill="auto"/>
          </w:tcPr>
          <w:p w14:paraId="3490FCF4" w14:textId="77777777" w:rsidR="00C01580" w:rsidRPr="0063676F" w:rsidRDefault="00C01580">
            <w:pPr>
              <w:spacing w:before="40" w:after="120"/>
              <w:ind w:right="113"/>
              <w:rPr>
                <w:lang w:eastAsia="en-US"/>
              </w:rPr>
            </w:pPr>
            <w:r w:rsidRPr="0063676F">
              <w:rPr>
                <w:lang w:eastAsia="en-US"/>
              </w:rPr>
              <w:t>-</w:t>
            </w:r>
          </w:p>
        </w:tc>
        <w:tc>
          <w:tcPr>
            <w:tcW w:w="964" w:type="dxa"/>
            <w:shd w:val="clear" w:color="auto" w:fill="auto"/>
          </w:tcPr>
          <w:p w14:paraId="3944FD86" w14:textId="77777777" w:rsidR="00C01580" w:rsidRPr="0063676F" w:rsidRDefault="00C01580">
            <w:pPr>
              <w:spacing w:before="40" w:after="120"/>
              <w:ind w:right="113"/>
              <w:rPr>
                <w:lang w:eastAsia="en-US"/>
              </w:rPr>
            </w:pPr>
          </w:p>
        </w:tc>
        <w:tc>
          <w:tcPr>
            <w:tcW w:w="851" w:type="dxa"/>
            <w:shd w:val="clear" w:color="auto" w:fill="auto"/>
          </w:tcPr>
          <w:p w14:paraId="26BED233" w14:textId="77777777" w:rsidR="00C01580" w:rsidRPr="0063676F" w:rsidRDefault="00C01580">
            <w:pPr>
              <w:spacing w:before="40" w:after="120"/>
              <w:ind w:right="113"/>
              <w:rPr>
                <w:lang w:eastAsia="en-US"/>
              </w:rPr>
            </w:pPr>
          </w:p>
        </w:tc>
      </w:tr>
      <w:tr w:rsidR="00C01580" w:rsidRPr="0063676F" w14:paraId="29758035" w14:textId="77777777">
        <w:trPr>
          <w:cantSplit/>
        </w:trPr>
        <w:tc>
          <w:tcPr>
            <w:tcW w:w="2547" w:type="dxa"/>
            <w:shd w:val="clear" w:color="auto" w:fill="auto"/>
          </w:tcPr>
          <w:p w14:paraId="767C970F" w14:textId="77777777" w:rsidR="00C01580" w:rsidRPr="0063676F" w:rsidRDefault="00C01580">
            <w:pPr>
              <w:spacing w:before="40" w:after="120"/>
              <w:ind w:right="113"/>
              <w:rPr>
                <w:b/>
                <w:bCs/>
                <w:lang w:eastAsia="en-US"/>
              </w:rPr>
            </w:pPr>
            <w:r w:rsidRPr="0063676F">
              <w:rPr>
                <w:b/>
                <w:bCs/>
                <w:lang w:eastAsia="en-US"/>
              </w:rPr>
              <w:t>Subtotal</w:t>
            </w:r>
          </w:p>
        </w:tc>
        <w:tc>
          <w:tcPr>
            <w:tcW w:w="3643" w:type="dxa"/>
            <w:shd w:val="clear" w:color="auto" w:fill="auto"/>
          </w:tcPr>
          <w:p w14:paraId="24BC1ACE" w14:textId="77777777" w:rsidR="00C01580" w:rsidRPr="0063676F" w:rsidRDefault="00C01580">
            <w:pPr>
              <w:spacing w:before="40" w:after="120"/>
              <w:ind w:right="113"/>
              <w:rPr>
                <w:szCs w:val="18"/>
                <w:lang w:eastAsia="en-US"/>
              </w:rPr>
            </w:pPr>
          </w:p>
        </w:tc>
        <w:tc>
          <w:tcPr>
            <w:tcW w:w="1632" w:type="dxa"/>
            <w:shd w:val="clear" w:color="auto" w:fill="auto"/>
          </w:tcPr>
          <w:p w14:paraId="5F5D15B2" w14:textId="77777777" w:rsidR="00C01580" w:rsidRPr="0063676F" w:rsidRDefault="00C01580">
            <w:pPr>
              <w:spacing w:before="40" w:after="120"/>
              <w:ind w:right="113"/>
              <w:rPr>
                <w:b/>
                <w:bCs/>
                <w:lang w:eastAsia="en-US"/>
              </w:rPr>
            </w:pPr>
            <w:r w:rsidRPr="0063676F">
              <w:rPr>
                <w:b/>
                <w:bCs/>
                <w:lang w:eastAsia="en-US"/>
              </w:rPr>
              <w:t>222 000</w:t>
            </w:r>
          </w:p>
        </w:tc>
        <w:tc>
          <w:tcPr>
            <w:tcW w:w="964" w:type="dxa"/>
            <w:shd w:val="clear" w:color="auto" w:fill="auto"/>
          </w:tcPr>
          <w:p w14:paraId="111624BC" w14:textId="77777777" w:rsidR="00C01580" w:rsidRPr="0063676F" w:rsidRDefault="00C01580">
            <w:pPr>
              <w:spacing w:before="40" w:after="120"/>
              <w:ind w:right="113"/>
              <w:rPr>
                <w:lang w:eastAsia="en-US"/>
              </w:rPr>
            </w:pPr>
          </w:p>
        </w:tc>
        <w:tc>
          <w:tcPr>
            <w:tcW w:w="851" w:type="dxa"/>
            <w:shd w:val="clear" w:color="auto" w:fill="auto"/>
          </w:tcPr>
          <w:p w14:paraId="198BF653" w14:textId="77777777" w:rsidR="00C01580" w:rsidRPr="0063676F" w:rsidRDefault="00C01580">
            <w:pPr>
              <w:spacing w:before="40" w:after="120"/>
              <w:ind w:right="113"/>
              <w:rPr>
                <w:lang w:eastAsia="en-US"/>
              </w:rPr>
            </w:pPr>
          </w:p>
        </w:tc>
      </w:tr>
      <w:bookmarkEnd w:id="70"/>
      <w:tr w:rsidR="00C01580" w:rsidRPr="0063676F" w14:paraId="5F1AEE20" w14:textId="77777777">
        <w:trPr>
          <w:cantSplit/>
        </w:trPr>
        <w:tc>
          <w:tcPr>
            <w:tcW w:w="7822" w:type="dxa"/>
            <w:gridSpan w:val="3"/>
            <w:shd w:val="clear" w:color="auto" w:fill="auto"/>
          </w:tcPr>
          <w:p w14:paraId="1BC4319F" w14:textId="77777777" w:rsidR="00C01580" w:rsidRPr="0063676F" w:rsidRDefault="00C01580">
            <w:pPr>
              <w:spacing w:before="40" w:after="120"/>
              <w:ind w:right="113"/>
              <w:rPr>
                <w:b/>
                <w:lang w:eastAsia="en-US"/>
              </w:rPr>
            </w:pPr>
            <w:r w:rsidRPr="0063676F">
              <w:rPr>
                <w:b/>
                <w:lang w:eastAsia="en-US"/>
              </w:rPr>
              <w:t>II.</w:t>
            </w:r>
            <w:r w:rsidRPr="0063676F">
              <w:rPr>
                <w:b/>
                <w:lang w:eastAsia="en-US"/>
              </w:rPr>
              <w:tab/>
              <w:t>Compliance with and implementation of the Convention and the Protocol</w:t>
            </w:r>
          </w:p>
        </w:tc>
        <w:tc>
          <w:tcPr>
            <w:tcW w:w="964" w:type="dxa"/>
            <w:shd w:val="clear" w:color="auto" w:fill="auto"/>
          </w:tcPr>
          <w:p w14:paraId="50B0555C" w14:textId="77777777" w:rsidR="00C01580" w:rsidRPr="0063676F" w:rsidRDefault="00C01580">
            <w:pPr>
              <w:spacing w:before="40" w:after="120"/>
              <w:ind w:right="113"/>
              <w:rPr>
                <w:b/>
                <w:lang w:eastAsia="en-US"/>
              </w:rPr>
            </w:pPr>
            <w:r w:rsidRPr="0063676F">
              <w:rPr>
                <w:b/>
                <w:lang w:eastAsia="en-US"/>
              </w:rPr>
              <w:t>47.25</w:t>
            </w:r>
          </w:p>
        </w:tc>
        <w:tc>
          <w:tcPr>
            <w:tcW w:w="851" w:type="dxa"/>
            <w:shd w:val="clear" w:color="auto" w:fill="auto"/>
          </w:tcPr>
          <w:p w14:paraId="17C797E5" w14:textId="77777777" w:rsidR="00C01580" w:rsidRPr="0063676F" w:rsidRDefault="00C01580">
            <w:pPr>
              <w:spacing w:before="40" w:after="120"/>
              <w:ind w:right="113"/>
              <w:rPr>
                <w:b/>
                <w:lang w:eastAsia="en-US"/>
              </w:rPr>
            </w:pPr>
            <w:r w:rsidRPr="0063676F">
              <w:rPr>
                <w:b/>
                <w:lang w:eastAsia="en-US"/>
              </w:rPr>
              <w:t>17</w:t>
            </w:r>
          </w:p>
        </w:tc>
      </w:tr>
      <w:tr w:rsidR="00C01580" w:rsidRPr="0063676F" w14:paraId="0DA9ADC2" w14:textId="77777777">
        <w:trPr>
          <w:cantSplit/>
        </w:trPr>
        <w:tc>
          <w:tcPr>
            <w:tcW w:w="2547" w:type="dxa"/>
            <w:shd w:val="clear" w:color="auto" w:fill="auto"/>
          </w:tcPr>
          <w:p w14:paraId="272E3BD6" w14:textId="77777777" w:rsidR="00C01580" w:rsidRPr="0063676F" w:rsidRDefault="00C01580">
            <w:pPr>
              <w:spacing w:before="40" w:after="120"/>
              <w:ind w:right="113"/>
              <w:rPr>
                <w:b/>
                <w:bCs/>
                <w:szCs w:val="18"/>
                <w:lang w:eastAsia="en-US"/>
              </w:rPr>
            </w:pPr>
            <w:r w:rsidRPr="0063676F">
              <w:rPr>
                <w:b/>
                <w:bCs/>
                <w:szCs w:val="18"/>
                <w:lang w:eastAsia="en-US"/>
              </w:rPr>
              <w:t>A.   Review of compliance</w:t>
            </w:r>
          </w:p>
        </w:tc>
        <w:tc>
          <w:tcPr>
            <w:tcW w:w="3643" w:type="dxa"/>
            <w:shd w:val="clear" w:color="auto" w:fill="auto"/>
          </w:tcPr>
          <w:p w14:paraId="33BA3E09" w14:textId="77777777" w:rsidR="00C01580" w:rsidRPr="0063676F" w:rsidRDefault="00C01580">
            <w:pPr>
              <w:spacing w:before="40" w:after="120"/>
              <w:ind w:right="113"/>
              <w:rPr>
                <w:szCs w:val="18"/>
                <w:lang w:eastAsia="en-US"/>
              </w:rPr>
            </w:pPr>
            <w:r w:rsidRPr="0063676F">
              <w:rPr>
                <w:szCs w:val="18"/>
                <w:lang w:eastAsia="en-US"/>
              </w:rPr>
              <w:t>Implementation Committee meetings (up to 9): travel of eligible experts (up to 2 experts for 4-day meeting)</w:t>
            </w:r>
          </w:p>
        </w:tc>
        <w:tc>
          <w:tcPr>
            <w:tcW w:w="1632" w:type="dxa"/>
            <w:shd w:val="clear" w:color="auto" w:fill="auto"/>
          </w:tcPr>
          <w:p w14:paraId="0AEAA914" w14:textId="77777777" w:rsidR="00C01580" w:rsidRPr="0063676F" w:rsidRDefault="00C01580">
            <w:pPr>
              <w:spacing w:before="40" w:after="120"/>
              <w:ind w:right="113"/>
              <w:rPr>
                <w:lang w:eastAsia="en-US"/>
              </w:rPr>
            </w:pPr>
            <w:r w:rsidRPr="0063676F">
              <w:rPr>
                <w:lang w:eastAsia="en-US"/>
              </w:rPr>
              <w:t>45 000</w:t>
            </w:r>
          </w:p>
        </w:tc>
        <w:tc>
          <w:tcPr>
            <w:tcW w:w="964" w:type="dxa"/>
            <w:shd w:val="clear" w:color="auto" w:fill="auto"/>
          </w:tcPr>
          <w:p w14:paraId="67651484" w14:textId="77777777" w:rsidR="00C01580" w:rsidRPr="0063676F" w:rsidRDefault="00C01580">
            <w:pPr>
              <w:spacing w:before="40" w:after="120"/>
              <w:ind w:right="113"/>
              <w:rPr>
                <w:lang w:eastAsia="en-US"/>
              </w:rPr>
            </w:pPr>
          </w:p>
        </w:tc>
        <w:tc>
          <w:tcPr>
            <w:tcW w:w="851" w:type="dxa"/>
            <w:shd w:val="clear" w:color="auto" w:fill="auto"/>
          </w:tcPr>
          <w:p w14:paraId="2BD10B42" w14:textId="77777777" w:rsidR="00C01580" w:rsidRPr="0063676F" w:rsidRDefault="00C01580">
            <w:pPr>
              <w:spacing w:before="40" w:after="120"/>
              <w:ind w:right="113"/>
              <w:rPr>
                <w:lang w:eastAsia="en-US"/>
              </w:rPr>
            </w:pPr>
          </w:p>
        </w:tc>
      </w:tr>
      <w:tr w:rsidR="00C01580" w:rsidRPr="0063676F" w14:paraId="6C1A69AF" w14:textId="77777777">
        <w:trPr>
          <w:cantSplit/>
        </w:trPr>
        <w:tc>
          <w:tcPr>
            <w:tcW w:w="2547" w:type="dxa"/>
            <w:shd w:val="clear" w:color="auto" w:fill="auto"/>
          </w:tcPr>
          <w:p w14:paraId="417BA998" w14:textId="77777777" w:rsidR="00C01580" w:rsidRPr="0063676F" w:rsidRDefault="00C01580">
            <w:pPr>
              <w:spacing w:before="40" w:after="120"/>
              <w:ind w:right="113"/>
              <w:rPr>
                <w:b/>
                <w:bCs/>
                <w:lang w:eastAsia="en-US"/>
              </w:rPr>
            </w:pPr>
            <w:r w:rsidRPr="0063676F">
              <w:rPr>
                <w:b/>
                <w:bCs/>
                <w:lang w:eastAsia="en-US"/>
              </w:rPr>
              <w:t>B.   Reporting and the review of implementation</w:t>
            </w:r>
          </w:p>
        </w:tc>
        <w:tc>
          <w:tcPr>
            <w:tcW w:w="3643" w:type="dxa"/>
            <w:shd w:val="clear" w:color="auto" w:fill="auto"/>
          </w:tcPr>
          <w:p w14:paraId="4025F5F3" w14:textId="77777777" w:rsidR="00C01580" w:rsidRPr="0063676F" w:rsidRDefault="00C01580">
            <w:pPr>
              <w:spacing w:before="40" w:after="120"/>
              <w:ind w:right="113"/>
              <w:rPr>
                <w:szCs w:val="18"/>
                <w:lang w:eastAsia="en-US"/>
              </w:rPr>
            </w:pPr>
            <w:r w:rsidRPr="0063676F">
              <w:rPr>
                <w:szCs w:val="18"/>
                <w:lang w:eastAsia="en-US"/>
              </w:rPr>
              <w:t xml:space="preserve">Preparation of draft reviews of implementation of Convention and Protocol: costs for </w:t>
            </w:r>
            <w:r w:rsidRPr="0063676F">
              <w:rPr>
                <w:lang w:eastAsia="en-US"/>
              </w:rPr>
              <w:t>consultants</w:t>
            </w:r>
            <w:r w:rsidRPr="0063676F">
              <w:rPr>
                <w:szCs w:val="18"/>
                <w:lang w:eastAsia="en-US"/>
              </w:rPr>
              <w:t xml:space="preserve"> and translation of national reports</w:t>
            </w:r>
            <w:r w:rsidRPr="0063676F">
              <w:rPr>
                <w:lang w:eastAsia="en-US"/>
              </w:rPr>
              <w:t xml:space="preserve"> </w:t>
            </w:r>
            <w:r w:rsidRPr="0063676F">
              <w:rPr>
                <w:lang w:eastAsia="en-US"/>
              </w:rPr>
              <w:br/>
            </w:r>
          </w:p>
        </w:tc>
        <w:tc>
          <w:tcPr>
            <w:tcW w:w="1632" w:type="dxa"/>
            <w:shd w:val="clear" w:color="auto" w:fill="auto"/>
          </w:tcPr>
          <w:p w14:paraId="0B593AEE" w14:textId="77777777" w:rsidR="00C01580" w:rsidRPr="0063676F" w:rsidRDefault="00C01580">
            <w:pPr>
              <w:spacing w:before="40" w:after="120"/>
              <w:ind w:right="113"/>
              <w:rPr>
                <w:szCs w:val="18"/>
                <w:lang w:eastAsia="en-US"/>
              </w:rPr>
            </w:pPr>
            <w:r w:rsidRPr="0063676F">
              <w:rPr>
                <w:szCs w:val="18"/>
                <w:lang w:eastAsia="en-US"/>
              </w:rPr>
              <w:t>[25 000]</w:t>
            </w:r>
          </w:p>
        </w:tc>
        <w:tc>
          <w:tcPr>
            <w:tcW w:w="964" w:type="dxa"/>
            <w:shd w:val="clear" w:color="auto" w:fill="auto"/>
          </w:tcPr>
          <w:p w14:paraId="79367328" w14:textId="77777777" w:rsidR="00C01580" w:rsidRPr="0063676F" w:rsidRDefault="00C01580">
            <w:pPr>
              <w:spacing w:before="40" w:after="120"/>
              <w:ind w:right="113"/>
              <w:rPr>
                <w:szCs w:val="18"/>
                <w:lang w:eastAsia="en-US"/>
              </w:rPr>
            </w:pPr>
          </w:p>
        </w:tc>
        <w:tc>
          <w:tcPr>
            <w:tcW w:w="851" w:type="dxa"/>
            <w:shd w:val="clear" w:color="auto" w:fill="auto"/>
          </w:tcPr>
          <w:p w14:paraId="38ECB64D" w14:textId="77777777" w:rsidR="00C01580" w:rsidRPr="0063676F" w:rsidRDefault="00C01580">
            <w:pPr>
              <w:spacing w:before="40" w:after="120"/>
              <w:ind w:right="113"/>
              <w:rPr>
                <w:lang w:eastAsia="en-US"/>
              </w:rPr>
            </w:pPr>
          </w:p>
        </w:tc>
      </w:tr>
      <w:tr w:rsidR="00C01580" w:rsidRPr="0063676F" w14:paraId="0165D79C" w14:textId="77777777">
        <w:trPr>
          <w:cantSplit/>
        </w:trPr>
        <w:tc>
          <w:tcPr>
            <w:tcW w:w="2547" w:type="dxa"/>
            <w:shd w:val="clear" w:color="auto" w:fill="auto"/>
          </w:tcPr>
          <w:p w14:paraId="4C5543E0" w14:textId="77777777" w:rsidR="00C01580" w:rsidRPr="0063676F" w:rsidRDefault="00C01580">
            <w:pPr>
              <w:spacing w:before="40" w:after="120"/>
              <w:ind w:right="113"/>
              <w:rPr>
                <w:b/>
                <w:bCs/>
                <w:szCs w:val="18"/>
                <w:lang w:eastAsia="en-US"/>
              </w:rPr>
            </w:pPr>
            <w:r w:rsidRPr="0063676F">
              <w:rPr>
                <w:b/>
                <w:bCs/>
                <w:szCs w:val="18"/>
                <w:lang w:eastAsia="en-US"/>
              </w:rPr>
              <w:lastRenderedPageBreak/>
              <w:t xml:space="preserve">C.   Legislative assistance </w:t>
            </w:r>
          </w:p>
        </w:tc>
        <w:tc>
          <w:tcPr>
            <w:tcW w:w="3643" w:type="dxa"/>
            <w:shd w:val="clear" w:color="auto" w:fill="auto"/>
          </w:tcPr>
          <w:p w14:paraId="7E19D864" w14:textId="77777777" w:rsidR="00C01580" w:rsidRPr="0063676F" w:rsidRDefault="00C01580">
            <w:pPr>
              <w:spacing w:before="40" w:after="120"/>
              <w:ind w:right="113"/>
              <w:rPr>
                <w:szCs w:val="18"/>
                <w:lang w:eastAsia="fr-CH"/>
              </w:rPr>
            </w:pPr>
          </w:p>
        </w:tc>
        <w:tc>
          <w:tcPr>
            <w:tcW w:w="1632" w:type="dxa"/>
            <w:shd w:val="clear" w:color="auto" w:fill="auto"/>
          </w:tcPr>
          <w:p w14:paraId="408F635F" w14:textId="77777777" w:rsidR="00C01580" w:rsidRPr="0063676F" w:rsidRDefault="00C01580">
            <w:pPr>
              <w:spacing w:before="40" w:after="120"/>
              <w:ind w:right="113"/>
              <w:rPr>
                <w:szCs w:val="18"/>
                <w:lang w:eastAsia="en-US"/>
              </w:rPr>
            </w:pPr>
          </w:p>
        </w:tc>
        <w:tc>
          <w:tcPr>
            <w:tcW w:w="964" w:type="dxa"/>
            <w:shd w:val="clear" w:color="auto" w:fill="auto"/>
          </w:tcPr>
          <w:p w14:paraId="57E414D8" w14:textId="77777777" w:rsidR="00C01580" w:rsidRPr="0063676F" w:rsidRDefault="00C01580">
            <w:pPr>
              <w:spacing w:before="40" w:after="120"/>
              <w:ind w:right="113"/>
              <w:rPr>
                <w:lang w:eastAsia="en-US"/>
              </w:rPr>
            </w:pPr>
          </w:p>
        </w:tc>
        <w:tc>
          <w:tcPr>
            <w:tcW w:w="851" w:type="dxa"/>
            <w:shd w:val="clear" w:color="auto" w:fill="auto"/>
          </w:tcPr>
          <w:p w14:paraId="64007A6F" w14:textId="77777777" w:rsidR="00C01580" w:rsidRPr="0063676F" w:rsidRDefault="00C01580">
            <w:pPr>
              <w:spacing w:before="40" w:after="120"/>
              <w:ind w:right="113"/>
              <w:rPr>
                <w:lang w:eastAsia="en-US"/>
              </w:rPr>
            </w:pPr>
          </w:p>
        </w:tc>
      </w:tr>
      <w:tr w:rsidR="00C01580" w:rsidRPr="0063676F" w14:paraId="2A5D4521" w14:textId="77777777">
        <w:trPr>
          <w:cantSplit/>
        </w:trPr>
        <w:tc>
          <w:tcPr>
            <w:tcW w:w="2547" w:type="dxa"/>
            <w:shd w:val="clear" w:color="auto" w:fill="auto"/>
          </w:tcPr>
          <w:p w14:paraId="3B0D22A3" w14:textId="77777777" w:rsidR="00C01580" w:rsidRPr="0063676F" w:rsidRDefault="00C01580">
            <w:pPr>
              <w:spacing w:before="40" w:after="120"/>
              <w:ind w:right="113"/>
              <w:rPr>
                <w:b/>
                <w:lang w:eastAsia="en-US"/>
              </w:rPr>
            </w:pPr>
            <w:r w:rsidRPr="0063676F">
              <w:rPr>
                <w:b/>
                <w:lang w:eastAsia="en-US"/>
              </w:rPr>
              <w:t>Subtotal</w:t>
            </w:r>
          </w:p>
        </w:tc>
        <w:tc>
          <w:tcPr>
            <w:tcW w:w="3643" w:type="dxa"/>
            <w:shd w:val="clear" w:color="auto" w:fill="auto"/>
          </w:tcPr>
          <w:p w14:paraId="01F68C14" w14:textId="77777777" w:rsidR="00C01580" w:rsidRPr="0063676F" w:rsidRDefault="00C01580">
            <w:pPr>
              <w:spacing w:before="40" w:after="120"/>
              <w:ind w:right="113"/>
              <w:rPr>
                <w:b/>
                <w:lang w:eastAsia="en-US"/>
              </w:rPr>
            </w:pPr>
          </w:p>
        </w:tc>
        <w:tc>
          <w:tcPr>
            <w:tcW w:w="1632" w:type="dxa"/>
            <w:shd w:val="clear" w:color="auto" w:fill="auto"/>
          </w:tcPr>
          <w:p w14:paraId="6A68976E" w14:textId="77777777" w:rsidR="00C01580" w:rsidRPr="0063676F" w:rsidRDefault="00C01580">
            <w:pPr>
              <w:spacing w:before="40" w:after="120"/>
              <w:ind w:right="113"/>
              <w:rPr>
                <w:b/>
                <w:lang w:eastAsia="en-US"/>
              </w:rPr>
            </w:pPr>
            <w:r w:rsidRPr="0063676F">
              <w:rPr>
                <w:b/>
                <w:lang w:eastAsia="en-US"/>
              </w:rPr>
              <w:t>70 000</w:t>
            </w:r>
          </w:p>
        </w:tc>
        <w:tc>
          <w:tcPr>
            <w:tcW w:w="964" w:type="dxa"/>
            <w:shd w:val="clear" w:color="auto" w:fill="auto"/>
          </w:tcPr>
          <w:p w14:paraId="498651B2" w14:textId="77777777" w:rsidR="00C01580" w:rsidRPr="0063676F" w:rsidRDefault="00C01580">
            <w:pPr>
              <w:spacing w:before="40" w:after="120"/>
              <w:ind w:right="113"/>
              <w:rPr>
                <w:b/>
                <w:lang w:eastAsia="en-US"/>
              </w:rPr>
            </w:pPr>
          </w:p>
        </w:tc>
        <w:tc>
          <w:tcPr>
            <w:tcW w:w="851" w:type="dxa"/>
            <w:shd w:val="clear" w:color="auto" w:fill="auto"/>
          </w:tcPr>
          <w:p w14:paraId="40F8F860" w14:textId="77777777" w:rsidR="00C01580" w:rsidRPr="0063676F" w:rsidRDefault="00C01580">
            <w:pPr>
              <w:spacing w:before="40" w:after="120"/>
              <w:ind w:right="113"/>
              <w:rPr>
                <w:lang w:eastAsia="en-US"/>
              </w:rPr>
            </w:pPr>
          </w:p>
        </w:tc>
      </w:tr>
      <w:tr w:rsidR="00C01580" w:rsidRPr="0063676F" w14:paraId="7B4D1C59" w14:textId="77777777">
        <w:trPr>
          <w:cantSplit/>
        </w:trPr>
        <w:tc>
          <w:tcPr>
            <w:tcW w:w="7822" w:type="dxa"/>
            <w:gridSpan w:val="3"/>
            <w:shd w:val="clear" w:color="auto" w:fill="auto"/>
          </w:tcPr>
          <w:p w14:paraId="5731DD0D" w14:textId="77777777" w:rsidR="00C01580" w:rsidRPr="0063676F" w:rsidRDefault="00C01580">
            <w:pPr>
              <w:spacing w:before="40" w:after="120"/>
              <w:ind w:right="113"/>
              <w:rPr>
                <w:b/>
                <w:bCs/>
                <w:szCs w:val="18"/>
                <w:lang w:eastAsia="en-US"/>
              </w:rPr>
            </w:pPr>
            <w:r w:rsidRPr="0063676F">
              <w:rPr>
                <w:b/>
                <w:lang w:eastAsia="en-US"/>
              </w:rPr>
              <w:t>III.   Pr</w:t>
            </w:r>
            <w:r w:rsidRPr="0063676F">
              <w:rPr>
                <w:b/>
                <w:bCs/>
                <w:szCs w:val="18"/>
                <w:lang w:eastAsia="en-US"/>
              </w:rPr>
              <w:t>omoting practical application of the Convention and the Protocol</w:t>
            </w:r>
          </w:p>
        </w:tc>
        <w:tc>
          <w:tcPr>
            <w:tcW w:w="964" w:type="dxa"/>
            <w:shd w:val="clear" w:color="auto" w:fill="auto"/>
          </w:tcPr>
          <w:p w14:paraId="2EFA224D" w14:textId="77777777" w:rsidR="00C01580" w:rsidRPr="0063676F" w:rsidRDefault="00C01580">
            <w:pPr>
              <w:spacing w:before="40" w:after="120"/>
              <w:ind w:right="113"/>
              <w:rPr>
                <w:b/>
                <w:lang w:eastAsia="en-US"/>
              </w:rPr>
            </w:pPr>
          </w:p>
        </w:tc>
        <w:tc>
          <w:tcPr>
            <w:tcW w:w="851" w:type="dxa"/>
            <w:shd w:val="clear" w:color="auto" w:fill="auto"/>
          </w:tcPr>
          <w:p w14:paraId="4D02B100" w14:textId="77777777" w:rsidR="00C01580" w:rsidRPr="0063676F" w:rsidRDefault="00C01580">
            <w:pPr>
              <w:spacing w:before="40" w:after="120"/>
              <w:ind w:right="113"/>
              <w:rPr>
                <w:lang w:eastAsia="en-US"/>
              </w:rPr>
            </w:pPr>
          </w:p>
        </w:tc>
      </w:tr>
      <w:tr w:rsidR="00C01580" w:rsidRPr="0063676F" w14:paraId="7FE8917E" w14:textId="77777777">
        <w:trPr>
          <w:cantSplit/>
        </w:trPr>
        <w:tc>
          <w:tcPr>
            <w:tcW w:w="7822" w:type="dxa"/>
            <w:gridSpan w:val="3"/>
            <w:shd w:val="clear" w:color="auto" w:fill="auto"/>
          </w:tcPr>
          <w:p w14:paraId="584569E2" w14:textId="77777777" w:rsidR="00C01580" w:rsidRPr="0063676F" w:rsidRDefault="00C01580">
            <w:pPr>
              <w:spacing w:before="40" w:after="120"/>
              <w:ind w:right="113"/>
              <w:rPr>
                <w:b/>
                <w:bCs/>
                <w:lang w:eastAsia="en-US"/>
              </w:rPr>
            </w:pPr>
            <w:r w:rsidRPr="0063676F">
              <w:rPr>
                <w:b/>
                <w:bCs/>
                <w:szCs w:val="18"/>
                <w:lang w:eastAsia="en-US"/>
              </w:rPr>
              <w:t xml:space="preserve">A.     </w:t>
            </w:r>
            <w:r w:rsidRPr="0063676F">
              <w:rPr>
                <w:b/>
                <w:bCs/>
                <w:lang w:eastAsia="en-US"/>
              </w:rPr>
              <w:t>Subregional</w:t>
            </w:r>
            <w:r w:rsidRPr="0063676F">
              <w:rPr>
                <w:b/>
                <w:bCs/>
                <w:szCs w:val="18"/>
                <w:lang w:eastAsia="en-US"/>
              </w:rPr>
              <w:t xml:space="preserve"> cooperation and capacity-building</w:t>
            </w:r>
          </w:p>
        </w:tc>
        <w:tc>
          <w:tcPr>
            <w:tcW w:w="964" w:type="dxa"/>
            <w:shd w:val="clear" w:color="auto" w:fill="auto"/>
          </w:tcPr>
          <w:p w14:paraId="79FBDE23" w14:textId="77777777" w:rsidR="00C01580" w:rsidRPr="0063676F" w:rsidRDefault="00C01580">
            <w:pPr>
              <w:spacing w:before="40" w:after="120"/>
              <w:ind w:right="113"/>
              <w:rPr>
                <w:b/>
                <w:lang w:eastAsia="en-US"/>
              </w:rPr>
            </w:pPr>
            <w:r w:rsidRPr="0063676F">
              <w:rPr>
                <w:b/>
                <w:lang w:eastAsia="en-US"/>
              </w:rPr>
              <w:t>3</w:t>
            </w:r>
          </w:p>
        </w:tc>
        <w:tc>
          <w:tcPr>
            <w:tcW w:w="851" w:type="dxa"/>
            <w:shd w:val="clear" w:color="auto" w:fill="auto"/>
          </w:tcPr>
          <w:p w14:paraId="4E85D927" w14:textId="77777777" w:rsidR="00C01580" w:rsidRPr="0063676F" w:rsidRDefault="00C01580">
            <w:pPr>
              <w:spacing w:before="40" w:after="120"/>
              <w:ind w:right="113"/>
              <w:rPr>
                <w:b/>
                <w:lang w:eastAsia="en-US"/>
              </w:rPr>
            </w:pPr>
            <w:r w:rsidRPr="0063676F">
              <w:rPr>
                <w:b/>
                <w:lang w:eastAsia="en-US"/>
              </w:rPr>
              <w:t xml:space="preserve"> 2.25</w:t>
            </w:r>
          </w:p>
        </w:tc>
      </w:tr>
      <w:tr w:rsidR="00C01580" w:rsidRPr="0063676F" w14:paraId="3351141A" w14:textId="77777777">
        <w:trPr>
          <w:cantSplit/>
        </w:trPr>
        <w:tc>
          <w:tcPr>
            <w:tcW w:w="2547" w:type="dxa"/>
            <w:shd w:val="clear" w:color="auto" w:fill="auto"/>
          </w:tcPr>
          <w:p w14:paraId="1822974C" w14:textId="77777777" w:rsidR="00C01580" w:rsidRPr="0063676F" w:rsidRDefault="00C01580">
            <w:pPr>
              <w:spacing w:before="40" w:after="120"/>
              <w:ind w:right="113"/>
              <w:rPr>
                <w:szCs w:val="18"/>
                <w:lang w:eastAsia="en-US"/>
              </w:rPr>
            </w:pPr>
          </w:p>
        </w:tc>
        <w:tc>
          <w:tcPr>
            <w:tcW w:w="3643" w:type="dxa"/>
            <w:shd w:val="clear" w:color="auto" w:fill="auto"/>
          </w:tcPr>
          <w:p w14:paraId="0212F04A" w14:textId="77777777" w:rsidR="00C01580" w:rsidRPr="0063676F" w:rsidRDefault="00C01580">
            <w:pPr>
              <w:spacing w:before="40" w:after="120"/>
              <w:ind w:right="113"/>
              <w:rPr>
                <w:szCs w:val="18"/>
                <w:lang w:eastAsia="fr-CH"/>
              </w:rPr>
            </w:pPr>
            <w:r w:rsidRPr="0063676F">
              <w:rPr>
                <w:szCs w:val="18"/>
                <w:lang w:eastAsia="fr-CH"/>
              </w:rPr>
              <w:t>Baltic Sea (in-kind contributions)</w:t>
            </w:r>
          </w:p>
        </w:tc>
        <w:tc>
          <w:tcPr>
            <w:tcW w:w="1632" w:type="dxa"/>
            <w:shd w:val="clear" w:color="auto" w:fill="auto"/>
          </w:tcPr>
          <w:p w14:paraId="2B990AC5" w14:textId="77777777" w:rsidR="00C01580" w:rsidRPr="0063676F" w:rsidRDefault="00C01580">
            <w:pPr>
              <w:spacing w:before="40" w:after="120"/>
              <w:ind w:right="113"/>
              <w:rPr>
                <w:lang w:eastAsia="en-US"/>
              </w:rPr>
            </w:pPr>
          </w:p>
        </w:tc>
        <w:tc>
          <w:tcPr>
            <w:tcW w:w="964" w:type="dxa"/>
            <w:shd w:val="clear" w:color="auto" w:fill="auto"/>
          </w:tcPr>
          <w:p w14:paraId="293EF0C7" w14:textId="77777777" w:rsidR="00C01580" w:rsidRPr="0063676F" w:rsidRDefault="00C01580">
            <w:pPr>
              <w:spacing w:before="40" w:after="120"/>
              <w:ind w:right="113"/>
              <w:rPr>
                <w:iCs/>
                <w:lang w:eastAsia="en-US"/>
              </w:rPr>
            </w:pPr>
          </w:p>
        </w:tc>
        <w:tc>
          <w:tcPr>
            <w:tcW w:w="851" w:type="dxa"/>
            <w:shd w:val="clear" w:color="auto" w:fill="auto"/>
          </w:tcPr>
          <w:p w14:paraId="6EA7B82A" w14:textId="77777777" w:rsidR="00C01580" w:rsidRPr="0063676F" w:rsidRDefault="00C01580">
            <w:pPr>
              <w:spacing w:before="40" w:after="120"/>
              <w:ind w:right="113"/>
              <w:rPr>
                <w:iCs/>
                <w:lang w:eastAsia="en-US"/>
              </w:rPr>
            </w:pPr>
          </w:p>
        </w:tc>
      </w:tr>
      <w:tr w:rsidR="00C01580" w:rsidRPr="0063676F" w14:paraId="7F526ECE" w14:textId="77777777">
        <w:trPr>
          <w:cantSplit/>
        </w:trPr>
        <w:tc>
          <w:tcPr>
            <w:tcW w:w="2547" w:type="dxa"/>
            <w:shd w:val="clear" w:color="auto" w:fill="auto"/>
          </w:tcPr>
          <w:p w14:paraId="487CF233" w14:textId="77777777" w:rsidR="00C01580" w:rsidRPr="0063676F" w:rsidRDefault="00C01580">
            <w:pPr>
              <w:spacing w:before="40" w:after="120"/>
              <w:ind w:right="113"/>
              <w:rPr>
                <w:szCs w:val="18"/>
                <w:lang w:eastAsia="en-US"/>
              </w:rPr>
            </w:pPr>
          </w:p>
        </w:tc>
        <w:tc>
          <w:tcPr>
            <w:tcW w:w="3643" w:type="dxa"/>
            <w:shd w:val="clear" w:color="auto" w:fill="auto"/>
          </w:tcPr>
          <w:p w14:paraId="7C6476AD" w14:textId="77777777" w:rsidR="00C01580" w:rsidRPr="0063676F" w:rsidRDefault="00C01580">
            <w:pPr>
              <w:spacing w:before="40" w:after="120"/>
              <w:ind w:right="113"/>
              <w:rPr>
                <w:szCs w:val="18"/>
                <w:lang w:eastAsia="fr-CH"/>
              </w:rPr>
            </w:pPr>
            <w:r w:rsidRPr="0063676F">
              <w:rPr>
                <w:szCs w:val="18"/>
                <w:lang w:eastAsia="fr-CH"/>
              </w:rPr>
              <w:t>Mediterranean Sea (in-kind contributions)</w:t>
            </w:r>
          </w:p>
        </w:tc>
        <w:tc>
          <w:tcPr>
            <w:tcW w:w="1632" w:type="dxa"/>
            <w:shd w:val="clear" w:color="auto" w:fill="auto"/>
          </w:tcPr>
          <w:p w14:paraId="3529B71F" w14:textId="77777777" w:rsidR="00C01580" w:rsidRPr="0063676F" w:rsidRDefault="00C01580">
            <w:pPr>
              <w:spacing w:before="40" w:after="120"/>
              <w:ind w:right="113"/>
              <w:rPr>
                <w:lang w:eastAsia="en-US"/>
              </w:rPr>
            </w:pPr>
          </w:p>
        </w:tc>
        <w:tc>
          <w:tcPr>
            <w:tcW w:w="964" w:type="dxa"/>
            <w:shd w:val="clear" w:color="auto" w:fill="auto"/>
          </w:tcPr>
          <w:p w14:paraId="1C62E5DF" w14:textId="77777777" w:rsidR="00C01580" w:rsidRPr="0063676F" w:rsidRDefault="00C01580">
            <w:pPr>
              <w:spacing w:before="40" w:after="120"/>
              <w:ind w:right="113"/>
              <w:rPr>
                <w:iCs/>
                <w:lang w:eastAsia="en-US"/>
              </w:rPr>
            </w:pPr>
          </w:p>
        </w:tc>
        <w:tc>
          <w:tcPr>
            <w:tcW w:w="851" w:type="dxa"/>
            <w:shd w:val="clear" w:color="auto" w:fill="auto"/>
          </w:tcPr>
          <w:p w14:paraId="19196C0A" w14:textId="77777777" w:rsidR="00C01580" w:rsidRPr="0063676F" w:rsidRDefault="00C01580">
            <w:pPr>
              <w:spacing w:before="40" w:after="120"/>
              <w:ind w:right="113"/>
              <w:rPr>
                <w:iCs/>
                <w:lang w:eastAsia="en-US"/>
              </w:rPr>
            </w:pPr>
          </w:p>
        </w:tc>
      </w:tr>
      <w:tr w:rsidR="00C01580" w:rsidRPr="0063676F" w14:paraId="3FA1501A" w14:textId="77777777">
        <w:trPr>
          <w:cantSplit/>
        </w:trPr>
        <w:tc>
          <w:tcPr>
            <w:tcW w:w="2547" w:type="dxa"/>
            <w:shd w:val="clear" w:color="auto" w:fill="auto"/>
          </w:tcPr>
          <w:p w14:paraId="1871D75D" w14:textId="77777777" w:rsidR="00C01580" w:rsidRPr="0063676F" w:rsidRDefault="00C01580">
            <w:pPr>
              <w:spacing w:before="40" w:after="120"/>
              <w:ind w:right="113"/>
              <w:rPr>
                <w:szCs w:val="18"/>
                <w:lang w:eastAsia="en-US"/>
              </w:rPr>
            </w:pPr>
          </w:p>
        </w:tc>
        <w:tc>
          <w:tcPr>
            <w:tcW w:w="3643" w:type="dxa"/>
            <w:shd w:val="clear" w:color="auto" w:fill="auto"/>
          </w:tcPr>
          <w:p w14:paraId="625FCE72" w14:textId="77777777" w:rsidR="00C01580" w:rsidRPr="0063676F" w:rsidRDefault="00C01580">
            <w:pPr>
              <w:spacing w:before="40" w:after="120"/>
              <w:ind w:right="113"/>
              <w:rPr>
                <w:szCs w:val="18"/>
                <w:lang w:eastAsia="fr-CH"/>
              </w:rPr>
            </w:pPr>
            <w:r w:rsidRPr="0063676F">
              <w:rPr>
                <w:szCs w:val="18"/>
                <w:lang w:eastAsia="fr-CH"/>
              </w:rPr>
              <w:t>Marine regions (in-kind contributions)</w:t>
            </w:r>
          </w:p>
        </w:tc>
        <w:tc>
          <w:tcPr>
            <w:tcW w:w="1632" w:type="dxa"/>
            <w:shd w:val="clear" w:color="auto" w:fill="auto"/>
          </w:tcPr>
          <w:p w14:paraId="107FC615" w14:textId="77777777" w:rsidR="00C01580" w:rsidRPr="0063676F" w:rsidRDefault="00C01580">
            <w:pPr>
              <w:spacing w:before="40" w:after="120"/>
              <w:ind w:right="113"/>
              <w:rPr>
                <w:lang w:eastAsia="en-US"/>
              </w:rPr>
            </w:pPr>
          </w:p>
        </w:tc>
        <w:tc>
          <w:tcPr>
            <w:tcW w:w="964" w:type="dxa"/>
            <w:shd w:val="clear" w:color="auto" w:fill="auto"/>
          </w:tcPr>
          <w:p w14:paraId="10DEBEDE" w14:textId="77777777" w:rsidR="00C01580" w:rsidRPr="0063676F" w:rsidRDefault="00C01580">
            <w:pPr>
              <w:spacing w:before="40" w:after="120"/>
              <w:ind w:right="113"/>
              <w:rPr>
                <w:iCs/>
                <w:lang w:eastAsia="en-US"/>
              </w:rPr>
            </w:pPr>
          </w:p>
        </w:tc>
        <w:tc>
          <w:tcPr>
            <w:tcW w:w="851" w:type="dxa"/>
            <w:shd w:val="clear" w:color="auto" w:fill="auto"/>
          </w:tcPr>
          <w:p w14:paraId="4C4CF6B5" w14:textId="77777777" w:rsidR="00C01580" w:rsidRPr="0063676F" w:rsidRDefault="00C01580">
            <w:pPr>
              <w:spacing w:before="40" w:after="120"/>
              <w:ind w:right="113"/>
              <w:rPr>
                <w:iCs/>
                <w:lang w:eastAsia="en-US"/>
              </w:rPr>
            </w:pPr>
          </w:p>
        </w:tc>
      </w:tr>
      <w:tr w:rsidR="00C01580" w:rsidRPr="0063676F" w14:paraId="6576D8E4" w14:textId="77777777">
        <w:trPr>
          <w:cantSplit/>
        </w:trPr>
        <w:tc>
          <w:tcPr>
            <w:tcW w:w="7822" w:type="dxa"/>
            <w:gridSpan w:val="3"/>
            <w:shd w:val="clear" w:color="auto" w:fill="auto"/>
          </w:tcPr>
          <w:p w14:paraId="2A8AC0D3" w14:textId="77777777" w:rsidR="00C01580" w:rsidRPr="0063676F" w:rsidRDefault="00C01580">
            <w:pPr>
              <w:spacing w:before="40" w:after="120"/>
              <w:ind w:right="113"/>
              <w:rPr>
                <w:lang w:eastAsia="en-US"/>
              </w:rPr>
            </w:pPr>
            <w:r w:rsidRPr="0063676F">
              <w:rPr>
                <w:b/>
                <w:bCs/>
                <w:szCs w:val="18"/>
                <w:lang w:eastAsia="en-US"/>
              </w:rPr>
              <w:t>B.</w:t>
            </w:r>
            <w:r w:rsidRPr="0063676F">
              <w:rPr>
                <w:b/>
                <w:bCs/>
                <w:szCs w:val="18"/>
                <w:lang w:eastAsia="en-US"/>
              </w:rPr>
              <w:tab/>
              <w:t>Exchange of good practices</w:t>
            </w:r>
          </w:p>
        </w:tc>
        <w:tc>
          <w:tcPr>
            <w:tcW w:w="964" w:type="dxa"/>
            <w:shd w:val="clear" w:color="auto" w:fill="auto"/>
          </w:tcPr>
          <w:p w14:paraId="28142E27" w14:textId="77777777" w:rsidR="00C01580" w:rsidRPr="0063676F" w:rsidRDefault="00C01580">
            <w:pPr>
              <w:spacing w:before="40" w:after="120"/>
              <w:ind w:right="113"/>
              <w:rPr>
                <w:b/>
                <w:bCs/>
                <w:iCs/>
                <w:lang w:eastAsia="en-US"/>
              </w:rPr>
            </w:pPr>
            <w:r w:rsidRPr="0063676F">
              <w:rPr>
                <w:b/>
                <w:bCs/>
                <w:iCs/>
                <w:lang w:eastAsia="en-US"/>
              </w:rPr>
              <w:t>3</w:t>
            </w:r>
          </w:p>
        </w:tc>
        <w:tc>
          <w:tcPr>
            <w:tcW w:w="851" w:type="dxa"/>
            <w:shd w:val="clear" w:color="auto" w:fill="auto"/>
          </w:tcPr>
          <w:p w14:paraId="293B5D4B" w14:textId="77777777" w:rsidR="00C01580" w:rsidRPr="0063676F" w:rsidRDefault="00C01580">
            <w:pPr>
              <w:spacing w:before="40" w:after="120"/>
              <w:ind w:right="113"/>
              <w:rPr>
                <w:b/>
                <w:bCs/>
                <w:iCs/>
                <w:lang w:eastAsia="en-US"/>
              </w:rPr>
            </w:pPr>
            <w:r w:rsidRPr="0063676F">
              <w:rPr>
                <w:b/>
                <w:bCs/>
                <w:iCs/>
                <w:lang w:eastAsia="en-US"/>
              </w:rPr>
              <w:t>3</w:t>
            </w:r>
          </w:p>
        </w:tc>
      </w:tr>
      <w:tr w:rsidR="00C01580" w:rsidRPr="0063676F" w14:paraId="46FC4055" w14:textId="77777777">
        <w:trPr>
          <w:cantSplit/>
        </w:trPr>
        <w:tc>
          <w:tcPr>
            <w:tcW w:w="2547" w:type="dxa"/>
            <w:shd w:val="clear" w:color="auto" w:fill="auto"/>
          </w:tcPr>
          <w:p w14:paraId="1B6B8A15" w14:textId="77777777" w:rsidR="00C01580" w:rsidRPr="0063676F" w:rsidRDefault="00C01580">
            <w:pPr>
              <w:spacing w:before="40" w:after="120"/>
              <w:ind w:right="113"/>
              <w:rPr>
                <w:lang w:eastAsia="en-US"/>
              </w:rPr>
            </w:pPr>
          </w:p>
        </w:tc>
        <w:tc>
          <w:tcPr>
            <w:tcW w:w="3643" w:type="dxa"/>
            <w:shd w:val="clear" w:color="auto" w:fill="auto"/>
          </w:tcPr>
          <w:p w14:paraId="079D06A6" w14:textId="77777777" w:rsidR="00C01580" w:rsidRPr="0063676F" w:rsidRDefault="00C01580">
            <w:pPr>
              <w:spacing w:before="40" w:after="120"/>
              <w:ind w:right="113"/>
              <w:rPr>
                <w:bCs/>
                <w:lang w:eastAsia="en-US"/>
              </w:rPr>
            </w:pPr>
            <w:r w:rsidRPr="0063676F">
              <w:rPr>
                <w:bCs/>
                <w:lang w:eastAsia="en-US"/>
              </w:rPr>
              <w:t xml:space="preserve">Thematic workshops or seminars within meetings of Working Group and of Meetings of the Parties (Parties’/stakeholders’ in-kind </w:t>
            </w:r>
            <w:r w:rsidRPr="0063676F">
              <w:rPr>
                <w:lang w:eastAsia="en-US"/>
              </w:rPr>
              <w:t>contributions</w:t>
            </w:r>
            <w:r w:rsidRPr="0063676F">
              <w:rPr>
                <w:bCs/>
                <w:lang w:eastAsia="en-US"/>
              </w:rPr>
              <w:t>)</w:t>
            </w:r>
          </w:p>
        </w:tc>
        <w:tc>
          <w:tcPr>
            <w:tcW w:w="1632" w:type="dxa"/>
            <w:shd w:val="clear" w:color="auto" w:fill="auto"/>
          </w:tcPr>
          <w:p w14:paraId="2E14B891" w14:textId="77777777" w:rsidR="00C01580" w:rsidRPr="0063676F" w:rsidRDefault="00C01580">
            <w:pPr>
              <w:spacing w:before="40" w:after="120"/>
              <w:ind w:right="113"/>
              <w:rPr>
                <w:bCs/>
                <w:lang w:eastAsia="en-US"/>
              </w:rPr>
            </w:pPr>
          </w:p>
        </w:tc>
        <w:tc>
          <w:tcPr>
            <w:tcW w:w="964" w:type="dxa"/>
            <w:shd w:val="clear" w:color="auto" w:fill="auto"/>
          </w:tcPr>
          <w:p w14:paraId="6BF9573C" w14:textId="77777777" w:rsidR="00C01580" w:rsidRPr="0063676F" w:rsidRDefault="00C01580">
            <w:pPr>
              <w:spacing w:before="40" w:after="120"/>
              <w:ind w:right="113"/>
              <w:rPr>
                <w:bCs/>
                <w:lang w:eastAsia="en-US"/>
              </w:rPr>
            </w:pPr>
          </w:p>
          <w:p w14:paraId="57947A5A" w14:textId="77777777" w:rsidR="00C01580" w:rsidRPr="0063676F" w:rsidRDefault="00C01580">
            <w:pPr>
              <w:spacing w:before="40" w:after="120"/>
              <w:ind w:right="113"/>
              <w:rPr>
                <w:bCs/>
                <w:lang w:eastAsia="en-US"/>
              </w:rPr>
            </w:pPr>
          </w:p>
        </w:tc>
        <w:tc>
          <w:tcPr>
            <w:tcW w:w="851" w:type="dxa"/>
            <w:shd w:val="clear" w:color="auto" w:fill="auto"/>
          </w:tcPr>
          <w:p w14:paraId="7626BBB7" w14:textId="77777777" w:rsidR="00C01580" w:rsidRPr="0063676F" w:rsidRDefault="00C01580">
            <w:pPr>
              <w:spacing w:before="40" w:after="120"/>
              <w:ind w:right="113"/>
              <w:rPr>
                <w:b/>
                <w:lang w:eastAsia="en-US"/>
              </w:rPr>
            </w:pPr>
          </w:p>
        </w:tc>
      </w:tr>
      <w:tr w:rsidR="00C01580" w:rsidRPr="0063676F" w14:paraId="3D5E23AA" w14:textId="77777777">
        <w:trPr>
          <w:cantSplit/>
        </w:trPr>
        <w:tc>
          <w:tcPr>
            <w:tcW w:w="2547" w:type="dxa"/>
            <w:shd w:val="clear" w:color="auto" w:fill="auto"/>
          </w:tcPr>
          <w:p w14:paraId="563CE999" w14:textId="77777777" w:rsidR="00C01580" w:rsidRPr="0063676F" w:rsidRDefault="00C01580">
            <w:pPr>
              <w:spacing w:before="40" w:after="120"/>
              <w:ind w:right="113"/>
              <w:rPr>
                <w:iCs/>
                <w:szCs w:val="18"/>
                <w:lang w:eastAsia="en-US"/>
              </w:rPr>
            </w:pPr>
          </w:p>
        </w:tc>
        <w:tc>
          <w:tcPr>
            <w:tcW w:w="3643" w:type="dxa"/>
            <w:shd w:val="clear" w:color="auto" w:fill="auto"/>
          </w:tcPr>
          <w:p w14:paraId="79DA81EC" w14:textId="77777777" w:rsidR="00C01580" w:rsidRPr="0063676F" w:rsidRDefault="00C01580">
            <w:pPr>
              <w:spacing w:before="40" w:after="120"/>
              <w:ind w:right="113"/>
              <w:rPr>
                <w:szCs w:val="18"/>
                <w:lang w:eastAsia="en-US"/>
              </w:rPr>
            </w:pPr>
            <w:r w:rsidRPr="0063676F">
              <w:rPr>
                <w:szCs w:val="18"/>
                <w:lang w:eastAsia="en-US"/>
              </w:rPr>
              <w:t>Preparation of fact sheets (</w:t>
            </w:r>
            <w:r w:rsidRPr="0063676F">
              <w:rPr>
                <w:bCs/>
                <w:lang w:eastAsia="en-US"/>
              </w:rPr>
              <w:t xml:space="preserve">Parties’/stakeholders’ </w:t>
            </w:r>
            <w:r w:rsidRPr="0063676F">
              <w:rPr>
                <w:szCs w:val="18"/>
                <w:lang w:eastAsia="en-US"/>
              </w:rPr>
              <w:t xml:space="preserve">in-kind </w:t>
            </w:r>
            <w:r w:rsidRPr="0063676F">
              <w:rPr>
                <w:lang w:eastAsia="en-US"/>
              </w:rPr>
              <w:t>contributions</w:t>
            </w:r>
            <w:r w:rsidRPr="0063676F">
              <w:rPr>
                <w:szCs w:val="18"/>
                <w:lang w:eastAsia="en-US"/>
              </w:rPr>
              <w:t>)</w:t>
            </w:r>
          </w:p>
        </w:tc>
        <w:tc>
          <w:tcPr>
            <w:tcW w:w="1632" w:type="dxa"/>
            <w:shd w:val="clear" w:color="auto" w:fill="auto"/>
          </w:tcPr>
          <w:p w14:paraId="4EB737CA" w14:textId="77777777" w:rsidR="00C01580" w:rsidRPr="0063676F" w:rsidRDefault="00C01580">
            <w:pPr>
              <w:spacing w:before="40" w:after="120"/>
              <w:ind w:right="113"/>
              <w:rPr>
                <w:lang w:eastAsia="en-US"/>
              </w:rPr>
            </w:pPr>
            <w:r w:rsidRPr="0063676F">
              <w:rPr>
                <w:lang w:eastAsia="en-US"/>
              </w:rPr>
              <w:t>-</w:t>
            </w:r>
          </w:p>
        </w:tc>
        <w:tc>
          <w:tcPr>
            <w:tcW w:w="964" w:type="dxa"/>
            <w:shd w:val="clear" w:color="auto" w:fill="auto"/>
          </w:tcPr>
          <w:p w14:paraId="65E4205D" w14:textId="77777777" w:rsidR="00C01580" w:rsidRPr="0063676F" w:rsidRDefault="00C01580">
            <w:pPr>
              <w:spacing w:before="40" w:after="120"/>
              <w:ind w:right="113"/>
              <w:rPr>
                <w:lang w:eastAsia="en-US"/>
              </w:rPr>
            </w:pPr>
          </w:p>
        </w:tc>
        <w:tc>
          <w:tcPr>
            <w:tcW w:w="851" w:type="dxa"/>
            <w:shd w:val="clear" w:color="auto" w:fill="auto"/>
          </w:tcPr>
          <w:p w14:paraId="7BBA83C5" w14:textId="77777777" w:rsidR="00C01580" w:rsidRPr="0063676F" w:rsidRDefault="00C01580">
            <w:pPr>
              <w:spacing w:before="40" w:after="120"/>
              <w:ind w:right="113"/>
              <w:rPr>
                <w:lang w:eastAsia="en-US"/>
              </w:rPr>
            </w:pPr>
          </w:p>
        </w:tc>
      </w:tr>
      <w:tr w:rsidR="00C01580" w:rsidRPr="0063676F" w14:paraId="6FF6C4C1" w14:textId="77777777">
        <w:trPr>
          <w:cantSplit/>
        </w:trPr>
        <w:tc>
          <w:tcPr>
            <w:tcW w:w="7822" w:type="dxa"/>
            <w:gridSpan w:val="3"/>
            <w:shd w:val="clear" w:color="auto" w:fill="auto"/>
          </w:tcPr>
          <w:p w14:paraId="5F8AF76A" w14:textId="77777777" w:rsidR="00C01580" w:rsidRPr="0063676F" w:rsidRDefault="00C01580">
            <w:pPr>
              <w:spacing w:before="40" w:after="120"/>
              <w:ind w:right="113"/>
              <w:rPr>
                <w:lang w:eastAsia="en-US"/>
              </w:rPr>
            </w:pPr>
            <w:r w:rsidRPr="0063676F">
              <w:rPr>
                <w:b/>
                <w:bCs/>
                <w:szCs w:val="18"/>
                <w:lang w:eastAsia="en-US"/>
              </w:rPr>
              <w:t>C.</w:t>
            </w:r>
            <w:r w:rsidRPr="0063676F">
              <w:rPr>
                <w:b/>
                <w:bCs/>
                <w:szCs w:val="18"/>
                <w:lang w:eastAsia="en-US"/>
              </w:rPr>
              <w:tab/>
              <w:t xml:space="preserve">Capacity-building </w:t>
            </w:r>
          </w:p>
        </w:tc>
        <w:tc>
          <w:tcPr>
            <w:tcW w:w="964" w:type="dxa"/>
            <w:shd w:val="clear" w:color="auto" w:fill="auto"/>
          </w:tcPr>
          <w:p w14:paraId="7142825C" w14:textId="77777777" w:rsidR="00C01580" w:rsidRPr="0063676F" w:rsidRDefault="00C01580">
            <w:pPr>
              <w:spacing w:before="40" w:after="120"/>
              <w:ind w:right="113"/>
              <w:rPr>
                <w:b/>
                <w:bCs/>
                <w:lang w:eastAsia="en-US"/>
              </w:rPr>
            </w:pPr>
            <w:r w:rsidRPr="0063676F">
              <w:rPr>
                <w:b/>
                <w:bCs/>
                <w:lang w:eastAsia="en-US"/>
              </w:rPr>
              <w:t>2.5</w:t>
            </w:r>
          </w:p>
        </w:tc>
        <w:tc>
          <w:tcPr>
            <w:tcW w:w="851" w:type="dxa"/>
            <w:shd w:val="clear" w:color="auto" w:fill="auto"/>
          </w:tcPr>
          <w:p w14:paraId="1F8FEFFF" w14:textId="77777777" w:rsidR="00C01580" w:rsidRPr="0063676F" w:rsidRDefault="00C01580">
            <w:pPr>
              <w:spacing w:before="40" w:after="120"/>
              <w:ind w:right="113"/>
              <w:rPr>
                <w:b/>
                <w:bCs/>
                <w:lang w:eastAsia="en-US"/>
              </w:rPr>
            </w:pPr>
            <w:r w:rsidRPr="0063676F">
              <w:rPr>
                <w:b/>
                <w:bCs/>
                <w:lang w:eastAsia="en-US"/>
              </w:rPr>
              <w:t>1.5</w:t>
            </w:r>
          </w:p>
        </w:tc>
      </w:tr>
      <w:tr w:rsidR="00C01580" w:rsidRPr="0063676F" w14:paraId="7E5B1820" w14:textId="77777777">
        <w:trPr>
          <w:cantSplit/>
        </w:trPr>
        <w:tc>
          <w:tcPr>
            <w:tcW w:w="2547" w:type="dxa"/>
            <w:shd w:val="clear" w:color="auto" w:fill="auto"/>
          </w:tcPr>
          <w:p w14:paraId="68E70603" w14:textId="77777777" w:rsidR="00C01580" w:rsidRPr="0063676F" w:rsidRDefault="00C01580">
            <w:pPr>
              <w:spacing w:before="40" w:after="120"/>
              <w:ind w:right="113"/>
              <w:rPr>
                <w:b/>
                <w:bCs/>
                <w:szCs w:val="18"/>
                <w:lang w:eastAsia="en-US"/>
              </w:rPr>
            </w:pPr>
          </w:p>
        </w:tc>
        <w:tc>
          <w:tcPr>
            <w:tcW w:w="3643" w:type="dxa"/>
            <w:shd w:val="clear" w:color="auto" w:fill="auto"/>
          </w:tcPr>
          <w:p w14:paraId="01DEA27F" w14:textId="39612F19" w:rsidR="00C01580" w:rsidRPr="0063676F" w:rsidRDefault="00C01580">
            <w:pPr>
              <w:spacing w:before="40" w:after="120"/>
              <w:ind w:right="113"/>
              <w:rPr>
                <w:szCs w:val="18"/>
                <w:lang w:eastAsia="en-US"/>
              </w:rPr>
            </w:pPr>
            <w:r w:rsidRPr="0063676F">
              <w:rPr>
                <w:szCs w:val="18"/>
                <w:lang w:eastAsia="en-US"/>
              </w:rPr>
              <w:t xml:space="preserve">Pilot projects, training, awareness- raising, </w:t>
            </w:r>
            <w:r>
              <w:rPr>
                <w:szCs w:val="18"/>
                <w:lang w:eastAsia="en-US"/>
              </w:rPr>
              <w:t>national implementation guidance</w:t>
            </w:r>
            <w:r w:rsidRPr="0063676F">
              <w:rPr>
                <w:szCs w:val="18"/>
                <w:lang w:eastAsia="en-US"/>
              </w:rPr>
              <w:t xml:space="preserve"> (in-kind/bilateral donor contributions) </w:t>
            </w:r>
          </w:p>
        </w:tc>
        <w:tc>
          <w:tcPr>
            <w:tcW w:w="1632" w:type="dxa"/>
            <w:shd w:val="clear" w:color="auto" w:fill="auto"/>
          </w:tcPr>
          <w:p w14:paraId="550C89D9" w14:textId="77777777" w:rsidR="00C01580" w:rsidRPr="0063676F" w:rsidRDefault="00C01580">
            <w:pPr>
              <w:spacing w:before="40" w:after="120"/>
              <w:ind w:right="113"/>
              <w:rPr>
                <w:lang w:eastAsia="en-US"/>
              </w:rPr>
            </w:pPr>
            <w:r w:rsidRPr="0063676F">
              <w:rPr>
                <w:lang w:eastAsia="en-US"/>
              </w:rPr>
              <w:t>-</w:t>
            </w:r>
          </w:p>
        </w:tc>
        <w:tc>
          <w:tcPr>
            <w:tcW w:w="964" w:type="dxa"/>
            <w:shd w:val="clear" w:color="auto" w:fill="auto"/>
          </w:tcPr>
          <w:p w14:paraId="5D112E03" w14:textId="77777777" w:rsidR="00C01580" w:rsidRPr="0063676F" w:rsidRDefault="00C01580">
            <w:pPr>
              <w:spacing w:before="40" w:after="120"/>
              <w:ind w:right="113"/>
              <w:rPr>
                <w:lang w:eastAsia="en-US"/>
              </w:rPr>
            </w:pPr>
          </w:p>
        </w:tc>
        <w:tc>
          <w:tcPr>
            <w:tcW w:w="851" w:type="dxa"/>
            <w:shd w:val="clear" w:color="auto" w:fill="auto"/>
          </w:tcPr>
          <w:p w14:paraId="771F144F" w14:textId="77777777" w:rsidR="00C01580" w:rsidRPr="0063676F" w:rsidRDefault="00C01580">
            <w:pPr>
              <w:spacing w:before="40" w:after="120"/>
              <w:ind w:right="113"/>
              <w:rPr>
                <w:lang w:eastAsia="en-US"/>
              </w:rPr>
            </w:pPr>
          </w:p>
        </w:tc>
      </w:tr>
      <w:tr w:rsidR="00C01580" w:rsidRPr="0063676F" w14:paraId="4091C40E" w14:textId="77777777">
        <w:trPr>
          <w:cantSplit/>
        </w:trPr>
        <w:tc>
          <w:tcPr>
            <w:tcW w:w="2547" w:type="dxa"/>
            <w:shd w:val="clear" w:color="auto" w:fill="auto"/>
          </w:tcPr>
          <w:p w14:paraId="07B98687" w14:textId="77777777" w:rsidR="00C01580" w:rsidRPr="0063676F" w:rsidRDefault="00C01580">
            <w:pPr>
              <w:spacing w:before="40" w:after="120"/>
              <w:ind w:right="113"/>
              <w:rPr>
                <w:lang w:eastAsia="en-US"/>
              </w:rPr>
            </w:pPr>
          </w:p>
        </w:tc>
        <w:tc>
          <w:tcPr>
            <w:tcW w:w="3643" w:type="dxa"/>
            <w:shd w:val="clear" w:color="auto" w:fill="auto"/>
          </w:tcPr>
          <w:p w14:paraId="736AA91B" w14:textId="77777777" w:rsidR="00C01580" w:rsidRPr="0063676F" w:rsidRDefault="00C01580">
            <w:pPr>
              <w:spacing w:before="40" w:after="120"/>
              <w:ind w:right="113"/>
              <w:rPr>
                <w:lang w:eastAsia="en-US"/>
              </w:rPr>
            </w:pPr>
            <w:r w:rsidRPr="0063676F">
              <w:rPr>
                <w:lang w:eastAsia="en-US"/>
              </w:rPr>
              <w:t>Finalization of Protocol video in Central Asian countries’ languages</w:t>
            </w:r>
          </w:p>
        </w:tc>
        <w:tc>
          <w:tcPr>
            <w:tcW w:w="1632" w:type="dxa"/>
            <w:shd w:val="clear" w:color="auto" w:fill="auto"/>
          </w:tcPr>
          <w:p w14:paraId="5DE65643" w14:textId="77777777" w:rsidR="00C01580" w:rsidRPr="0063676F" w:rsidRDefault="00C01580">
            <w:pPr>
              <w:spacing w:before="40" w:after="120"/>
              <w:ind w:right="113"/>
              <w:rPr>
                <w:bCs/>
                <w:lang w:eastAsia="en-US"/>
              </w:rPr>
            </w:pPr>
            <w:r w:rsidRPr="0063676F">
              <w:rPr>
                <w:bCs/>
                <w:lang w:eastAsia="en-US"/>
              </w:rPr>
              <w:t>15 000</w:t>
            </w:r>
          </w:p>
        </w:tc>
        <w:tc>
          <w:tcPr>
            <w:tcW w:w="964" w:type="dxa"/>
            <w:shd w:val="clear" w:color="auto" w:fill="auto"/>
          </w:tcPr>
          <w:p w14:paraId="68882014" w14:textId="77777777" w:rsidR="00C01580" w:rsidRPr="0063676F" w:rsidRDefault="00C01580">
            <w:pPr>
              <w:spacing w:before="40" w:after="120"/>
              <w:ind w:right="113"/>
              <w:rPr>
                <w:b/>
                <w:lang w:eastAsia="en-US"/>
              </w:rPr>
            </w:pPr>
          </w:p>
        </w:tc>
        <w:tc>
          <w:tcPr>
            <w:tcW w:w="851" w:type="dxa"/>
            <w:shd w:val="clear" w:color="auto" w:fill="auto"/>
          </w:tcPr>
          <w:p w14:paraId="49439401" w14:textId="77777777" w:rsidR="00C01580" w:rsidRPr="0063676F" w:rsidRDefault="00C01580">
            <w:pPr>
              <w:spacing w:before="40" w:after="120"/>
              <w:ind w:right="113"/>
              <w:rPr>
                <w:b/>
                <w:lang w:eastAsia="en-US"/>
              </w:rPr>
            </w:pPr>
          </w:p>
        </w:tc>
      </w:tr>
      <w:tr w:rsidR="00C01580" w:rsidRPr="0063676F" w14:paraId="5253F104" w14:textId="77777777">
        <w:trPr>
          <w:cantSplit/>
        </w:trPr>
        <w:tc>
          <w:tcPr>
            <w:tcW w:w="2547" w:type="dxa"/>
            <w:shd w:val="clear" w:color="auto" w:fill="auto"/>
          </w:tcPr>
          <w:p w14:paraId="331B10D2" w14:textId="77777777" w:rsidR="00C01580" w:rsidRPr="0063676F" w:rsidRDefault="00C01580">
            <w:pPr>
              <w:spacing w:before="40" w:after="120"/>
              <w:ind w:right="113"/>
              <w:rPr>
                <w:lang w:eastAsia="en-US"/>
              </w:rPr>
            </w:pPr>
          </w:p>
        </w:tc>
        <w:tc>
          <w:tcPr>
            <w:tcW w:w="3643" w:type="dxa"/>
            <w:shd w:val="clear" w:color="auto" w:fill="auto"/>
          </w:tcPr>
          <w:p w14:paraId="306129EC" w14:textId="77777777" w:rsidR="00C01580" w:rsidRPr="0063676F" w:rsidRDefault="00C01580">
            <w:pPr>
              <w:spacing w:before="40" w:after="120"/>
              <w:ind w:right="113"/>
              <w:rPr>
                <w:lang w:eastAsia="en-US"/>
              </w:rPr>
            </w:pPr>
            <w:r w:rsidRPr="0063676F">
              <w:rPr>
                <w:lang w:eastAsia="en-US"/>
              </w:rPr>
              <w:t>Preparation of FasTips by IAIA (in-kind)</w:t>
            </w:r>
          </w:p>
        </w:tc>
        <w:tc>
          <w:tcPr>
            <w:tcW w:w="1632" w:type="dxa"/>
            <w:shd w:val="clear" w:color="auto" w:fill="auto"/>
          </w:tcPr>
          <w:p w14:paraId="1A921036" w14:textId="77777777" w:rsidR="00C01580" w:rsidRPr="0063676F" w:rsidRDefault="00C01580">
            <w:pPr>
              <w:spacing w:before="40" w:after="120"/>
              <w:ind w:right="113"/>
              <w:rPr>
                <w:b/>
                <w:lang w:eastAsia="en-US"/>
              </w:rPr>
            </w:pPr>
            <w:r w:rsidRPr="0063676F">
              <w:rPr>
                <w:b/>
                <w:lang w:eastAsia="en-US"/>
              </w:rPr>
              <w:t>-</w:t>
            </w:r>
          </w:p>
        </w:tc>
        <w:tc>
          <w:tcPr>
            <w:tcW w:w="964" w:type="dxa"/>
            <w:shd w:val="clear" w:color="auto" w:fill="auto"/>
          </w:tcPr>
          <w:p w14:paraId="7084BA69" w14:textId="77777777" w:rsidR="00C01580" w:rsidRPr="0063676F" w:rsidRDefault="00C01580">
            <w:pPr>
              <w:spacing w:before="40" w:after="120"/>
              <w:ind w:right="113"/>
              <w:rPr>
                <w:b/>
                <w:lang w:eastAsia="en-US"/>
              </w:rPr>
            </w:pPr>
          </w:p>
        </w:tc>
        <w:tc>
          <w:tcPr>
            <w:tcW w:w="851" w:type="dxa"/>
            <w:shd w:val="clear" w:color="auto" w:fill="auto"/>
          </w:tcPr>
          <w:p w14:paraId="2EF04355" w14:textId="77777777" w:rsidR="00C01580" w:rsidRPr="0063676F" w:rsidRDefault="00C01580">
            <w:pPr>
              <w:spacing w:before="40" w:after="120"/>
              <w:ind w:right="113"/>
              <w:rPr>
                <w:b/>
                <w:lang w:eastAsia="en-US"/>
              </w:rPr>
            </w:pPr>
          </w:p>
        </w:tc>
      </w:tr>
      <w:tr w:rsidR="00C01580" w:rsidRPr="0063676F" w14:paraId="589D3D88" w14:textId="77777777">
        <w:trPr>
          <w:cantSplit/>
        </w:trPr>
        <w:tc>
          <w:tcPr>
            <w:tcW w:w="9637" w:type="dxa"/>
            <w:gridSpan w:val="5"/>
            <w:shd w:val="clear" w:color="auto" w:fill="auto"/>
          </w:tcPr>
          <w:p w14:paraId="7951F7D2" w14:textId="77777777" w:rsidR="00C01580" w:rsidRPr="0063676F" w:rsidRDefault="00C01580">
            <w:pPr>
              <w:spacing w:before="40" w:after="120"/>
              <w:ind w:right="113"/>
              <w:rPr>
                <w:b/>
                <w:lang w:eastAsia="en-US"/>
              </w:rPr>
            </w:pPr>
          </w:p>
        </w:tc>
      </w:tr>
      <w:tr w:rsidR="00C01580" w:rsidRPr="0063676F" w14:paraId="32A01637" w14:textId="77777777">
        <w:trPr>
          <w:cantSplit/>
        </w:trPr>
        <w:tc>
          <w:tcPr>
            <w:tcW w:w="7822" w:type="dxa"/>
            <w:gridSpan w:val="3"/>
            <w:shd w:val="clear" w:color="auto" w:fill="auto"/>
          </w:tcPr>
          <w:p w14:paraId="234E6931" w14:textId="77777777" w:rsidR="00C01580" w:rsidRPr="0063676F" w:rsidRDefault="00C01580">
            <w:pPr>
              <w:spacing w:before="40" w:after="120"/>
              <w:ind w:right="113"/>
              <w:rPr>
                <w:b/>
                <w:lang w:eastAsia="en-US"/>
              </w:rPr>
            </w:pPr>
            <w:r w:rsidRPr="0063676F">
              <w:rPr>
                <w:b/>
                <w:bCs/>
                <w:szCs w:val="18"/>
                <w:lang w:eastAsia="en-US"/>
              </w:rPr>
              <w:t>IV</w:t>
            </w:r>
            <w:r w:rsidRPr="0063676F">
              <w:rPr>
                <w:b/>
                <w:lang w:eastAsia="en-US"/>
              </w:rPr>
              <w:t>.     Increasing awareness, accession and implementation beyond the ECE region</w:t>
            </w:r>
          </w:p>
        </w:tc>
        <w:tc>
          <w:tcPr>
            <w:tcW w:w="964" w:type="dxa"/>
            <w:shd w:val="clear" w:color="auto" w:fill="auto"/>
          </w:tcPr>
          <w:p w14:paraId="12264E07" w14:textId="77777777" w:rsidR="00C01580" w:rsidRPr="0063676F" w:rsidRDefault="00C01580">
            <w:pPr>
              <w:spacing w:before="40" w:after="120"/>
              <w:ind w:right="113"/>
              <w:rPr>
                <w:b/>
                <w:bCs/>
                <w:lang w:eastAsia="en-US"/>
              </w:rPr>
            </w:pPr>
            <w:r w:rsidRPr="0063676F">
              <w:rPr>
                <w:b/>
                <w:bCs/>
                <w:lang w:eastAsia="en-US"/>
              </w:rPr>
              <w:t>4</w:t>
            </w:r>
          </w:p>
        </w:tc>
        <w:tc>
          <w:tcPr>
            <w:tcW w:w="851" w:type="dxa"/>
            <w:shd w:val="clear" w:color="auto" w:fill="auto"/>
          </w:tcPr>
          <w:p w14:paraId="628C121F" w14:textId="77777777" w:rsidR="00C01580" w:rsidRPr="0063676F" w:rsidRDefault="00C01580">
            <w:pPr>
              <w:spacing w:before="40" w:after="120"/>
              <w:ind w:right="113"/>
              <w:rPr>
                <w:b/>
                <w:bCs/>
                <w:lang w:eastAsia="en-US"/>
              </w:rPr>
            </w:pPr>
            <w:r w:rsidRPr="0063676F">
              <w:rPr>
                <w:b/>
                <w:bCs/>
                <w:lang w:eastAsia="en-US"/>
              </w:rPr>
              <w:t>2</w:t>
            </w:r>
          </w:p>
        </w:tc>
      </w:tr>
      <w:tr w:rsidR="00C01580" w:rsidRPr="0063676F" w14:paraId="3A8A66D1" w14:textId="77777777">
        <w:trPr>
          <w:cantSplit/>
        </w:trPr>
        <w:tc>
          <w:tcPr>
            <w:tcW w:w="2547" w:type="dxa"/>
            <w:shd w:val="clear" w:color="auto" w:fill="auto"/>
          </w:tcPr>
          <w:p w14:paraId="4281057C" w14:textId="77777777" w:rsidR="00C01580" w:rsidRPr="0063676F" w:rsidRDefault="00C01580">
            <w:pPr>
              <w:spacing w:before="40" w:after="120"/>
              <w:ind w:right="113"/>
              <w:rPr>
                <w:b/>
                <w:bCs/>
                <w:lang w:eastAsia="en-US"/>
              </w:rPr>
            </w:pPr>
          </w:p>
        </w:tc>
        <w:tc>
          <w:tcPr>
            <w:tcW w:w="3643" w:type="dxa"/>
            <w:shd w:val="clear" w:color="auto" w:fill="auto"/>
          </w:tcPr>
          <w:p w14:paraId="6ABC4727" w14:textId="77777777" w:rsidR="00C01580" w:rsidRPr="0063676F" w:rsidRDefault="00C01580">
            <w:pPr>
              <w:spacing w:before="40" w:after="120"/>
              <w:ind w:right="113"/>
              <w:rPr>
                <w:szCs w:val="18"/>
              </w:rPr>
            </w:pPr>
            <w:r w:rsidRPr="0063676F">
              <w:rPr>
                <w:szCs w:val="18"/>
                <w:lang w:eastAsia="en-US"/>
              </w:rPr>
              <w:t>Translation of existing material (in-kind).</w:t>
            </w:r>
          </w:p>
        </w:tc>
        <w:tc>
          <w:tcPr>
            <w:tcW w:w="1632" w:type="dxa"/>
            <w:shd w:val="clear" w:color="auto" w:fill="auto"/>
          </w:tcPr>
          <w:p w14:paraId="54028C97" w14:textId="77777777" w:rsidR="00C01580" w:rsidRPr="0063676F" w:rsidRDefault="00C01580">
            <w:pPr>
              <w:spacing w:before="40" w:after="120"/>
              <w:ind w:right="113"/>
              <w:rPr>
                <w:b/>
                <w:lang w:eastAsia="en-US"/>
              </w:rPr>
            </w:pPr>
          </w:p>
        </w:tc>
        <w:tc>
          <w:tcPr>
            <w:tcW w:w="964" w:type="dxa"/>
            <w:shd w:val="clear" w:color="auto" w:fill="auto"/>
          </w:tcPr>
          <w:p w14:paraId="00D86C81" w14:textId="77777777" w:rsidR="00C01580" w:rsidRPr="0063676F" w:rsidRDefault="00C01580">
            <w:pPr>
              <w:spacing w:before="40" w:after="120"/>
              <w:ind w:right="113"/>
              <w:rPr>
                <w:b/>
                <w:lang w:eastAsia="en-US"/>
              </w:rPr>
            </w:pPr>
          </w:p>
        </w:tc>
        <w:tc>
          <w:tcPr>
            <w:tcW w:w="851" w:type="dxa"/>
            <w:shd w:val="clear" w:color="auto" w:fill="auto"/>
          </w:tcPr>
          <w:p w14:paraId="09C736B5" w14:textId="77777777" w:rsidR="00C01580" w:rsidRPr="0063676F" w:rsidRDefault="00C01580">
            <w:pPr>
              <w:spacing w:before="40" w:after="120"/>
              <w:ind w:right="113"/>
              <w:rPr>
                <w:b/>
                <w:lang w:eastAsia="en-US"/>
              </w:rPr>
            </w:pPr>
          </w:p>
        </w:tc>
      </w:tr>
      <w:tr w:rsidR="00C01580" w:rsidRPr="0063676F" w14:paraId="4F5C3B5C" w14:textId="77777777">
        <w:trPr>
          <w:cantSplit/>
        </w:trPr>
        <w:tc>
          <w:tcPr>
            <w:tcW w:w="2547" w:type="dxa"/>
            <w:shd w:val="clear" w:color="auto" w:fill="auto"/>
          </w:tcPr>
          <w:p w14:paraId="6A973395" w14:textId="77777777" w:rsidR="00C01580" w:rsidRPr="0063676F" w:rsidRDefault="00C01580">
            <w:pPr>
              <w:spacing w:before="40" w:after="120"/>
              <w:ind w:right="113"/>
              <w:rPr>
                <w:b/>
                <w:bCs/>
                <w:lang w:eastAsia="en-US"/>
              </w:rPr>
            </w:pPr>
          </w:p>
        </w:tc>
        <w:tc>
          <w:tcPr>
            <w:tcW w:w="3643" w:type="dxa"/>
            <w:shd w:val="clear" w:color="auto" w:fill="auto"/>
          </w:tcPr>
          <w:p w14:paraId="45A2C095" w14:textId="77777777" w:rsidR="00C01580" w:rsidRPr="0063676F" w:rsidRDefault="00C01580">
            <w:pPr>
              <w:spacing w:before="40" w:after="120"/>
              <w:ind w:right="113"/>
              <w:rPr>
                <w:szCs w:val="18"/>
              </w:rPr>
            </w:pPr>
            <w:r w:rsidRPr="0063676F">
              <w:rPr>
                <w:szCs w:val="18"/>
                <w:lang w:eastAsia="en-US"/>
              </w:rPr>
              <w:t>Consultancy support for advocacy material</w:t>
            </w:r>
          </w:p>
        </w:tc>
        <w:tc>
          <w:tcPr>
            <w:tcW w:w="1632" w:type="dxa"/>
            <w:shd w:val="clear" w:color="auto" w:fill="auto"/>
          </w:tcPr>
          <w:p w14:paraId="0FC2EBB9" w14:textId="77777777" w:rsidR="00C01580" w:rsidRPr="0063676F" w:rsidRDefault="00C01580">
            <w:pPr>
              <w:spacing w:before="40" w:after="120"/>
              <w:ind w:right="113"/>
              <w:rPr>
                <w:bCs/>
                <w:lang w:eastAsia="en-US"/>
              </w:rPr>
            </w:pPr>
            <w:r w:rsidRPr="0063676F">
              <w:rPr>
                <w:bCs/>
                <w:lang w:eastAsia="en-US"/>
              </w:rPr>
              <w:t>20 000</w:t>
            </w:r>
          </w:p>
        </w:tc>
        <w:tc>
          <w:tcPr>
            <w:tcW w:w="964" w:type="dxa"/>
            <w:shd w:val="clear" w:color="auto" w:fill="auto"/>
          </w:tcPr>
          <w:p w14:paraId="43D9D8A5" w14:textId="77777777" w:rsidR="00C01580" w:rsidRPr="0063676F" w:rsidRDefault="00C01580">
            <w:pPr>
              <w:spacing w:before="40" w:after="120"/>
              <w:ind w:right="113"/>
              <w:rPr>
                <w:lang w:eastAsia="en-US"/>
              </w:rPr>
            </w:pPr>
          </w:p>
        </w:tc>
        <w:tc>
          <w:tcPr>
            <w:tcW w:w="851" w:type="dxa"/>
            <w:shd w:val="clear" w:color="auto" w:fill="auto"/>
          </w:tcPr>
          <w:p w14:paraId="175913E0" w14:textId="77777777" w:rsidR="00C01580" w:rsidRPr="0063676F" w:rsidRDefault="00C01580">
            <w:pPr>
              <w:spacing w:before="40" w:after="120"/>
              <w:ind w:right="113"/>
              <w:rPr>
                <w:lang w:eastAsia="en-US"/>
              </w:rPr>
            </w:pPr>
          </w:p>
        </w:tc>
      </w:tr>
      <w:tr w:rsidR="00C01580" w:rsidRPr="0063676F" w14:paraId="5583903F" w14:textId="77777777">
        <w:trPr>
          <w:cantSplit/>
        </w:trPr>
        <w:tc>
          <w:tcPr>
            <w:tcW w:w="2547" w:type="dxa"/>
            <w:shd w:val="clear" w:color="auto" w:fill="auto"/>
          </w:tcPr>
          <w:p w14:paraId="205E2119" w14:textId="77777777" w:rsidR="00C01580" w:rsidRPr="0063676F" w:rsidRDefault="00C01580">
            <w:pPr>
              <w:spacing w:before="40" w:after="120"/>
              <w:ind w:right="113"/>
              <w:rPr>
                <w:b/>
                <w:bCs/>
                <w:lang w:eastAsia="en-US"/>
              </w:rPr>
            </w:pPr>
          </w:p>
        </w:tc>
        <w:tc>
          <w:tcPr>
            <w:tcW w:w="3643" w:type="dxa"/>
            <w:shd w:val="clear" w:color="auto" w:fill="auto"/>
          </w:tcPr>
          <w:p w14:paraId="56288C67" w14:textId="77777777" w:rsidR="00C01580" w:rsidRPr="0063676F" w:rsidRDefault="00C01580">
            <w:pPr>
              <w:spacing w:before="40" w:after="120"/>
              <w:ind w:right="113"/>
              <w:rPr>
                <w:lang w:eastAsia="en-US"/>
              </w:rPr>
            </w:pPr>
            <w:r w:rsidRPr="0063676F">
              <w:rPr>
                <w:szCs w:val="18"/>
                <w:lang w:eastAsia="en-US"/>
              </w:rPr>
              <w:t>Legislative assistance and capacity-building support (in-kind)</w:t>
            </w:r>
          </w:p>
        </w:tc>
        <w:tc>
          <w:tcPr>
            <w:tcW w:w="1632" w:type="dxa"/>
            <w:shd w:val="clear" w:color="auto" w:fill="auto"/>
          </w:tcPr>
          <w:p w14:paraId="6C9F40D4" w14:textId="77777777" w:rsidR="00C01580" w:rsidRPr="0063676F" w:rsidRDefault="00C01580">
            <w:pPr>
              <w:spacing w:before="40" w:after="120"/>
              <w:ind w:right="113"/>
              <w:rPr>
                <w:b/>
                <w:lang w:eastAsia="en-US"/>
              </w:rPr>
            </w:pPr>
          </w:p>
        </w:tc>
        <w:tc>
          <w:tcPr>
            <w:tcW w:w="964" w:type="dxa"/>
            <w:shd w:val="clear" w:color="auto" w:fill="auto"/>
          </w:tcPr>
          <w:p w14:paraId="3486F70F" w14:textId="77777777" w:rsidR="00C01580" w:rsidRPr="0063676F" w:rsidRDefault="00C01580">
            <w:pPr>
              <w:spacing w:before="40" w:after="120"/>
              <w:ind w:right="113"/>
              <w:rPr>
                <w:lang w:eastAsia="en-US"/>
              </w:rPr>
            </w:pPr>
          </w:p>
        </w:tc>
        <w:tc>
          <w:tcPr>
            <w:tcW w:w="851" w:type="dxa"/>
            <w:shd w:val="clear" w:color="auto" w:fill="auto"/>
          </w:tcPr>
          <w:p w14:paraId="38C0BF9C" w14:textId="77777777" w:rsidR="00C01580" w:rsidRPr="0063676F" w:rsidRDefault="00C01580">
            <w:pPr>
              <w:spacing w:before="40" w:after="120"/>
              <w:ind w:right="113"/>
              <w:rPr>
                <w:lang w:eastAsia="en-US"/>
              </w:rPr>
            </w:pPr>
          </w:p>
        </w:tc>
      </w:tr>
      <w:tr w:rsidR="00C01580" w:rsidRPr="0063676F" w14:paraId="03A46898" w14:textId="77777777">
        <w:trPr>
          <w:cantSplit/>
        </w:trPr>
        <w:tc>
          <w:tcPr>
            <w:tcW w:w="2547" w:type="dxa"/>
            <w:shd w:val="clear" w:color="auto" w:fill="auto"/>
          </w:tcPr>
          <w:p w14:paraId="3341B327" w14:textId="77777777" w:rsidR="00C01580" w:rsidRPr="0063676F" w:rsidRDefault="00C01580">
            <w:pPr>
              <w:spacing w:before="40" w:after="120"/>
              <w:ind w:right="113"/>
              <w:rPr>
                <w:b/>
                <w:bCs/>
                <w:lang w:eastAsia="en-US"/>
              </w:rPr>
            </w:pPr>
            <w:r w:rsidRPr="0063676F">
              <w:rPr>
                <w:b/>
                <w:bCs/>
                <w:lang w:eastAsia="en-US"/>
              </w:rPr>
              <w:t>Subtotal</w:t>
            </w:r>
          </w:p>
        </w:tc>
        <w:tc>
          <w:tcPr>
            <w:tcW w:w="3643" w:type="dxa"/>
            <w:shd w:val="clear" w:color="auto" w:fill="auto"/>
          </w:tcPr>
          <w:p w14:paraId="7A82B914" w14:textId="77777777" w:rsidR="00C01580" w:rsidRPr="0063676F" w:rsidRDefault="00C01580">
            <w:pPr>
              <w:spacing w:before="40" w:after="120"/>
              <w:ind w:right="113"/>
              <w:rPr>
                <w:lang w:eastAsia="en-US"/>
              </w:rPr>
            </w:pPr>
          </w:p>
        </w:tc>
        <w:tc>
          <w:tcPr>
            <w:tcW w:w="1632" w:type="dxa"/>
            <w:shd w:val="clear" w:color="auto" w:fill="auto"/>
          </w:tcPr>
          <w:p w14:paraId="04033346" w14:textId="77777777" w:rsidR="00C01580" w:rsidRPr="0063676F" w:rsidRDefault="00C01580">
            <w:pPr>
              <w:spacing w:before="40" w:after="120"/>
              <w:ind w:right="113"/>
              <w:rPr>
                <w:b/>
                <w:iCs/>
                <w:lang w:eastAsia="en-US"/>
              </w:rPr>
            </w:pPr>
          </w:p>
        </w:tc>
        <w:tc>
          <w:tcPr>
            <w:tcW w:w="964" w:type="dxa"/>
            <w:shd w:val="clear" w:color="auto" w:fill="auto"/>
          </w:tcPr>
          <w:p w14:paraId="09D2B36A" w14:textId="77777777" w:rsidR="00C01580" w:rsidRPr="0063676F" w:rsidRDefault="00C01580">
            <w:pPr>
              <w:spacing w:before="40" w:after="120"/>
              <w:ind w:right="113"/>
              <w:rPr>
                <w:b/>
                <w:lang w:eastAsia="en-US"/>
              </w:rPr>
            </w:pPr>
          </w:p>
        </w:tc>
        <w:tc>
          <w:tcPr>
            <w:tcW w:w="851" w:type="dxa"/>
            <w:shd w:val="clear" w:color="auto" w:fill="auto"/>
          </w:tcPr>
          <w:p w14:paraId="733998B6" w14:textId="77777777" w:rsidR="00C01580" w:rsidRPr="0063676F" w:rsidRDefault="00C01580">
            <w:pPr>
              <w:spacing w:before="40" w:after="120"/>
              <w:ind w:right="113"/>
              <w:rPr>
                <w:b/>
                <w:lang w:eastAsia="en-US"/>
              </w:rPr>
            </w:pPr>
          </w:p>
        </w:tc>
      </w:tr>
      <w:tr w:rsidR="00C01580" w:rsidRPr="0063676F" w14:paraId="39EE2B6C" w14:textId="77777777">
        <w:trPr>
          <w:cantSplit/>
        </w:trPr>
        <w:tc>
          <w:tcPr>
            <w:tcW w:w="6190" w:type="dxa"/>
            <w:gridSpan w:val="2"/>
            <w:tcBorders>
              <w:bottom w:val="single" w:sz="12" w:space="0" w:color="auto"/>
            </w:tcBorders>
            <w:shd w:val="clear" w:color="auto" w:fill="auto"/>
          </w:tcPr>
          <w:p w14:paraId="554D470A" w14:textId="77777777" w:rsidR="00C01580" w:rsidRPr="0063676F" w:rsidRDefault="00C01580">
            <w:pPr>
              <w:spacing w:before="40" w:after="120"/>
              <w:ind w:right="113"/>
              <w:rPr>
                <w:bCs/>
                <w:lang w:eastAsia="en-US"/>
              </w:rPr>
            </w:pPr>
            <w:r w:rsidRPr="0063676F">
              <w:rPr>
                <w:b/>
                <w:lang w:eastAsia="en-US"/>
              </w:rPr>
              <w:t>Total activities (work areas sections I–IV)</w:t>
            </w:r>
          </w:p>
        </w:tc>
        <w:tc>
          <w:tcPr>
            <w:tcW w:w="1632" w:type="dxa"/>
            <w:tcBorders>
              <w:bottom w:val="single" w:sz="12" w:space="0" w:color="auto"/>
            </w:tcBorders>
            <w:shd w:val="clear" w:color="auto" w:fill="auto"/>
          </w:tcPr>
          <w:p w14:paraId="10AB30D7" w14:textId="77777777" w:rsidR="00C01580" w:rsidRPr="0063676F" w:rsidRDefault="00C01580">
            <w:pPr>
              <w:spacing w:before="40" w:after="120"/>
              <w:ind w:right="113"/>
              <w:rPr>
                <w:b/>
                <w:lang w:eastAsia="en-US"/>
              </w:rPr>
            </w:pPr>
            <w:r w:rsidRPr="0063676F">
              <w:rPr>
                <w:b/>
                <w:lang w:eastAsia="en-US"/>
              </w:rPr>
              <w:t>327 000</w:t>
            </w:r>
          </w:p>
        </w:tc>
        <w:tc>
          <w:tcPr>
            <w:tcW w:w="964" w:type="dxa"/>
            <w:tcBorders>
              <w:bottom w:val="single" w:sz="12" w:space="0" w:color="auto"/>
            </w:tcBorders>
            <w:shd w:val="clear" w:color="auto" w:fill="auto"/>
          </w:tcPr>
          <w:p w14:paraId="127D524B" w14:textId="77777777" w:rsidR="00C01580" w:rsidRPr="0063676F" w:rsidRDefault="00C01580">
            <w:pPr>
              <w:spacing w:before="40" w:after="120"/>
              <w:ind w:right="113"/>
              <w:rPr>
                <w:b/>
                <w:lang w:eastAsia="en-US"/>
              </w:rPr>
            </w:pPr>
            <w:r w:rsidRPr="0063676F">
              <w:rPr>
                <w:b/>
                <w:lang w:eastAsia="en-US"/>
              </w:rPr>
              <w:t>94.50</w:t>
            </w:r>
          </w:p>
        </w:tc>
        <w:tc>
          <w:tcPr>
            <w:tcW w:w="851" w:type="dxa"/>
            <w:tcBorders>
              <w:bottom w:val="single" w:sz="12" w:space="0" w:color="auto"/>
            </w:tcBorders>
            <w:shd w:val="clear" w:color="auto" w:fill="auto"/>
          </w:tcPr>
          <w:p w14:paraId="6CCAC4D6" w14:textId="77777777" w:rsidR="00C01580" w:rsidRPr="0063676F" w:rsidRDefault="00C01580">
            <w:pPr>
              <w:spacing w:before="40" w:after="120"/>
              <w:ind w:right="113"/>
              <w:rPr>
                <w:b/>
                <w:lang w:eastAsia="en-US"/>
              </w:rPr>
            </w:pPr>
            <w:r w:rsidRPr="0063676F">
              <w:rPr>
                <w:b/>
                <w:lang w:eastAsia="en-US"/>
              </w:rPr>
              <w:t>47.25</w:t>
            </w:r>
          </w:p>
        </w:tc>
      </w:tr>
    </w:tbl>
    <w:p w14:paraId="5F1D1F24" w14:textId="77777777" w:rsidR="00C01580" w:rsidRPr="00FF4E34" w:rsidRDefault="00C01580" w:rsidP="00C01580">
      <w:pPr>
        <w:keepNext/>
        <w:suppressAutoHyphens/>
        <w:spacing w:before="120" w:line="220" w:lineRule="exact"/>
        <w:ind w:left="426" w:firstLine="28"/>
        <w:rPr>
          <w:sz w:val="18"/>
          <w:szCs w:val="18"/>
          <w:lang w:eastAsia="en-US"/>
        </w:rPr>
      </w:pPr>
      <w:bookmarkStart w:id="71" w:name="_Hlk32495233"/>
      <w:bookmarkEnd w:id="69"/>
      <w:r w:rsidRPr="00FF4E34">
        <w:rPr>
          <w:i/>
          <w:sz w:val="18"/>
          <w:szCs w:val="18"/>
          <w:lang w:eastAsia="en-US"/>
        </w:rPr>
        <w:t>Abbreviations</w:t>
      </w:r>
      <w:r w:rsidRPr="00FF4E34">
        <w:rPr>
          <w:sz w:val="18"/>
          <w:szCs w:val="18"/>
          <w:lang w:eastAsia="en-US"/>
        </w:rPr>
        <w:t xml:space="preserve">: ECE, United Nations Economic Commission for Europe; G, General Service staff; IAIA, </w:t>
      </w:r>
      <w:bookmarkStart w:id="72" w:name="_Hlk60412794"/>
      <w:r w:rsidRPr="00FF4E34">
        <w:rPr>
          <w:sz w:val="18"/>
          <w:szCs w:val="18"/>
          <w:lang w:eastAsia="en-US"/>
        </w:rPr>
        <w:t>International Association for Impact Assessment</w:t>
      </w:r>
      <w:bookmarkEnd w:id="72"/>
      <w:r w:rsidRPr="00FF4E34">
        <w:rPr>
          <w:sz w:val="18"/>
          <w:szCs w:val="18"/>
          <w:lang w:eastAsia="en-US"/>
        </w:rPr>
        <w:t xml:space="preserve">; NGO, non-governmental organization; P, Professional staff; RB, regular budget; XB, Extrabudgetary. </w:t>
      </w:r>
    </w:p>
    <w:bookmarkEnd w:id="71"/>
    <w:p w14:paraId="7B408F53" w14:textId="77777777" w:rsidR="00C01580" w:rsidRPr="00FF4E34" w:rsidRDefault="00C01580" w:rsidP="00C01580">
      <w:pPr>
        <w:keepNext/>
        <w:suppressAutoHyphens/>
        <w:spacing w:before="120" w:line="220" w:lineRule="exact"/>
        <w:ind w:left="426" w:firstLine="28"/>
        <w:rPr>
          <w:sz w:val="18"/>
          <w:szCs w:val="18"/>
          <w:lang w:eastAsia="en-US"/>
        </w:rPr>
      </w:pPr>
      <w:r w:rsidRPr="00FF4E34">
        <w:rPr>
          <w:i/>
          <w:iCs/>
          <w:sz w:val="18"/>
          <w:szCs w:val="18"/>
          <w:vertAlign w:val="superscript"/>
          <w:lang w:eastAsia="en-US"/>
        </w:rPr>
        <w:t xml:space="preserve">a  </w:t>
      </w:r>
      <w:r w:rsidRPr="00FF4E34">
        <w:rPr>
          <w:sz w:val="18"/>
          <w:szCs w:val="18"/>
          <w:lang w:eastAsia="en-US"/>
        </w:rPr>
        <w:t>Financing of workplan activities for 2024–2026, as set out in table 1, is contingent on sufficient funds being made available by Parties through voluntary contributions to Convention and Protocol trust fund.</w:t>
      </w:r>
    </w:p>
    <w:p w14:paraId="29612E45" w14:textId="6DD4FCD5" w:rsidR="00C01580" w:rsidRDefault="00C01580" w:rsidP="00C01580">
      <w:pPr>
        <w:pStyle w:val="SingleTxtG"/>
        <w:rPr>
          <w:b/>
          <w:bCs/>
        </w:rPr>
      </w:pPr>
    </w:p>
    <w:p w14:paraId="2C914219" w14:textId="77777777" w:rsidR="009277A3" w:rsidRDefault="009277A3" w:rsidP="009277A3">
      <w:pPr>
        <w:pStyle w:val="SingleTxtG"/>
        <w:spacing w:after="0"/>
        <w:rPr>
          <w:lang w:eastAsia="en-US"/>
        </w:rPr>
      </w:pPr>
      <w:r w:rsidRPr="0043062B">
        <w:rPr>
          <w:lang w:eastAsia="en-US"/>
        </w:rPr>
        <w:lastRenderedPageBreak/>
        <w:t>Table 2</w:t>
      </w:r>
    </w:p>
    <w:p w14:paraId="5BA175C6" w14:textId="77777777" w:rsidR="009277A3" w:rsidRPr="009277A3" w:rsidRDefault="009277A3" w:rsidP="009277A3">
      <w:pPr>
        <w:pStyle w:val="SingleTxtG"/>
        <w:spacing w:after="0"/>
        <w:rPr>
          <w:b/>
          <w:bCs/>
        </w:rPr>
      </w:pPr>
      <w:r w:rsidRPr="009277A3">
        <w:rPr>
          <w:b/>
          <w:bCs/>
        </w:rPr>
        <w:t xml:space="preserve">Total resources for 2024–2026 </w:t>
      </w:r>
    </w:p>
    <w:p w14:paraId="5C300BB6" w14:textId="77777777" w:rsidR="009277A3" w:rsidRPr="0043062B" w:rsidRDefault="009277A3" w:rsidP="009277A3">
      <w:pPr>
        <w:pStyle w:val="SingleTxtG"/>
        <w:rPr>
          <w:sz w:val="14"/>
          <w:szCs w:val="14"/>
          <w:lang w:eastAsia="en-US"/>
        </w:rPr>
      </w:pPr>
      <w:r w:rsidRPr="009277A3">
        <w:t>(in</w:t>
      </w:r>
      <w:r w:rsidRPr="0043062B">
        <w:rPr>
          <w:sz w:val="14"/>
          <w:szCs w:val="14"/>
          <w:lang w:eastAsia="en-US"/>
        </w:rPr>
        <w:t xml:space="preserve"> US dollars)</w:t>
      </w:r>
    </w:p>
    <w:tbl>
      <w:tblPr>
        <w:tblW w:w="7370" w:type="dxa"/>
        <w:tblInd w:w="1134" w:type="dxa"/>
        <w:tblLayout w:type="fixed"/>
        <w:tblCellMar>
          <w:left w:w="0" w:type="dxa"/>
          <w:right w:w="0" w:type="dxa"/>
        </w:tblCellMar>
        <w:tblLook w:val="01E0" w:firstRow="1" w:lastRow="1" w:firstColumn="1" w:lastColumn="1" w:noHBand="0" w:noVBand="0"/>
      </w:tblPr>
      <w:tblGrid>
        <w:gridCol w:w="6034"/>
        <w:gridCol w:w="1336"/>
      </w:tblGrid>
      <w:tr w:rsidR="009277A3" w:rsidRPr="009277A3" w14:paraId="0CC50464" w14:textId="77777777" w:rsidTr="00D57A8A">
        <w:trPr>
          <w:tblHeader/>
        </w:trPr>
        <w:tc>
          <w:tcPr>
            <w:tcW w:w="6034" w:type="dxa"/>
            <w:tcBorders>
              <w:top w:val="single" w:sz="4" w:space="0" w:color="auto"/>
              <w:bottom w:val="single" w:sz="12" w:space="0" w:color="auto"/>
            </w:tcBorders>
            <w:shd w:val="clear" w:color="auto" w:fill="auto"/>
            <w:vAlign w:val="bottom"/>
          </w:tcPr>
          <w:p w14:paraId="69F7947C" w14:textId="77777777" w:rsidR="009277A3" w:rsidRPr="009277A3" w:rsidRDefault="009277A3" w:rsidP="009277A3">
            <w:pPr>
              <w:spacing w:before="80" w:after="80" w:line="200" w:lineRule="exact"/>
              <w:ind w:right="113"/>
              <w:rPr>
                <w:i/>
                <w:sz w:val="16"/>
                <w:lang w:eastAsia="en-US"/>
              </w:rPr>
            </w:pPr>
            <w:r w:rsidRPr="009277A3">
              <w:rPr>
                <w:i/>
                <w:sz w:val="16"/>
                <w:lang w:eastAsia="en-US"/>
              </w:rPr>
              <w:t>Items/activities + human resources (from table 1 above)</w:t>
            </w:r>
          </w:p>
        </w:tc>
        <w:tc>
          <w:tcPr>
            <w:tcW w:w="1336" w:type="dxa"/>
            <w:tcBorders>
              <w:top w:val="single" w:sz="4" w:space="0" w:color="auto"/>
              <w:bottom w:val="single" w:sz="12" w:space="0" w:color="auto"/>
            </w:tcBorders>
            <w:shd w:val="clear" w:color="auto" w:fill="auto"/>
            <w:vAlign w:val="bottom"/>
          </w:tcPr>
          <w:p w14:paraId="5A085580" w14:textId="77777777" w:rsidR="009277A3" w:rsidRPr="009277A3" w:rsidRDefault="009277A3" w:rsidP="009277A3">
            <w:pPr>
              <w:spacing w:before="80" w:after="80" w:line="200" w:lineRule="exact"/>
              <w:ind w:right="113"/>
              <w:rPr>
                <w:i/>
                <w:sz w:val="16"/>
                <w:lang w:eastAsia="en-US"/>
              </w:rPr>
            </w:pPr>
            <w:r w:rsidRPr="009277A3">
              <w:rPr>
                <w:i/>
                <w:sz w:val="16"/>
                <w:lang w:eastAsia="en-US"/>
              </w:rPr>
              <w:t>Costs</w:t>
            </w:r>
          </w:p>
        </w:tc>
      </w:tr>
      <w:tr w:rsidR="009277A3" w:rsidRPr="009277A3" w14:paraId="34A12131" w14:textId="77777777" w:rsidTr="00D57A8A">
        <w:trPr>
          <w:trHeight w:hRule="exact" w:val="113"/>
          <w:tblHeader/>
        </w:trPr>
        <w:tc>
          <w:tcPr>
            <w:tcW w:w="6034" w:type="dxa"/>
            <w:tcBorders>
              <w:top w:val="single" w:sz="12" w:space="0" w:color="auto"/>
            </w:tcBorders>
            <w:shd w:val="clear" w:color="auto" w:fill="auto"/>
          </w:tcPr>
          <w:p w14:paraId="30C391C9" w14:textId="77777777" w:rsidR="009277A3" w:rsidRPr="009277A3" w:rsidRDefault="009277A3" w:rsidP="009277A3">
            <w:pPr>
              <w:spacing w:before="40" w:after="120"/>
              <w:ind w:right="113"/>
              <w:rPr>
                <w:lang w:eastAsia="en-US"/>
              </w:rPr>
            </w:pPr>
          </w:p>
        </w:tc>
        <w:tc>
          <w:tcPr>
            <w:tcW w:w="1336" w:type="dxa"/>
            <w:tcBorders>
              <w:top w:val="single" w:sz="12" w:space="0" w:color="auto"/>
            </w:tcBorders>
            <w:shd w:val="clear" w:color="auto" w:fill="auto"/>
          </w:tcPr>
          <w:p w14:paraId="59BCA209" w14:textId="77777777" w:rsidR="009277A3" w:rsidRPr="009277A3" w:rsidRDefault="009277A3" w:rsidP="009277A3">
            <w:pPr>
              <w:spacing w:before="40" w:after="120"/>
              <w:ind w:right="113"/>
              <w:rPr>
                <w:lang w:eastAsia="en-US"/>
              </w:rPr>
            </w:pPr>
          </w:p>
        </w:tc>
      </w:tr>
      <w:tr w:rsidR="009277A3" w:rsidRPr="009277A3" w14:paraId="2CB8469C" w14:textId="77777777" w:rsidTr="00D57A8A">
        <w:tc>
          <w:tcPr>
            <w:tcW w:w="6034" w:type="dxa"/>
            <w:shd w:val="clear" w:color="auto" w:fill="auto"/>
          </w:tcPr>
          <w:p w14:paraId="07828675" w14:textId="77777777" w:rsidR="009277A3" w:rsidRPr="009277A3" w:rsidRDefault="009277A3" w:rsidP="009277A3">
            <w:pPr>
              <w:spacing w:before="40" w:after="120"/>
              <w:ind w:right="113"/>
              <w:rPr>
                <w:szCs w:val="18"/>
                <w:lang w:eastAsia="en-US"/>
              </w:rPr>
            </w:pPr>
            <w:bookmarkStart w:id="73" w:name="_Hlk34214090"/>
            <w:r w:rsidRPr="009277A3">
              <w:rPr>
                <w:szCs w:val="18"/>
                <w:lang w:eastAsia="en-US"/>
              </w:rPr>
              <w:t xml:space="preserve">Activities </w:t>
            </w:r>
          </w:p>
        </w:tc>
        <w:tc>
          <w:tcPr>
            <w:tcW w:w="1336" w:type="dxa"/>
            <w:shd w:val="clear" w:color="auto" w:fill="auto"/>
          </w:tcPr>
          <w:p w14:paraId="356CDF1E" w14:textId="77777777" w:rsidR="009277A3" w:rsidRPr="009277A3" w:rsidRDefault="009277A3" w:rsidP="009277A3">
            <w:pPr>
              <w:spacing w:before="40" w:after="120"/>
              <w:ind w:right="113"/>
              <w:rPr>
                <w:szCs w:val="18"/>
                <w:lang w:eastAsia="en-US"/>
              </w:rPr>
            </w:pPr>
            <w:r w:rsidRPr="009277A3">
              <w:rPr>
                <w:szCs w:val="18"/>
                <w:lang w:eastAsia="en-US"/>
              </w:rPr>
              <w:t>327 000</w:t>
            </w:r>
          </w:p>
        </w:tc>
      </w:tr>
      <w:bookmarkEnd w:id="73"/>
      <w:tr w:rsidR="009277A3" w:rsidRPr="009277A3" w14:paraId="1429551D" w14:textId="77777777" w:rsidTr="00D57A8A">
        <w:tc>
          <w:tcPr>
            <w:tcW w:w="6034" w:type="dxa"/>
            <w:shd w:val="clear" w:color="auto" w:fill="auto"/>
          </w:tcPr>
          <w:p w14:paraId="347997CE" w14:textId="77777777" w:rsidR="009277A3" w:rsidRPr="009277A3" w:rsidRDefault="009277A3" w:rsidP="009277A3">
            <w:pPr>
              <w:spacing w:before="40" w:after="120"/>
              <w:ind w:right="113"/>
              <w:rPr>
                <w:szCs w:val="18"/>
                <w:lang w:eastAsia="en-US"/>
              </w:rPr>
            </w:pPr>
            <w:r w:rsidRPr="009277A3">
              <w:rPr>
                <w:szCs w:val="18"/>
                <w:lang w:eastAsia="en-US"/>
              </w:rPr>
              <w:t>Staff</w:t>
            </w:r>
          </w:p>
        </w:tc>
        <w:tc>
          <w:tcPr>
            <w:tcW w:w="1336" w:type="dxa"/>
            <w:shd w:val="clear" w:color="auto" w:fill="auto"/>
          </w:tcPr>
          <w:p w14:paraId="37C1781A" w14:textId="77777777" w:rsidR="009277A3" w:rsidRPr="009277A3" w:rsidRDefault="009277A3" w:rsidP="009277A3">
            <w:pPr>
              <w:spacing w:before="40" w:after="120"/>
              <w:ind w:right="113"/>
              <w:rPr>
                <w:szCs w:val="18"/>
                <w:lang w:eastAsia="en-US"/>
              </w:rPr>
            </w:pPr>
          </w:p>
        </w:tc>
      </w:tr>
      <w:tr w:rsidR="009277A3" w:rsidRPr="009277A3" w14:paraId="04B2E226" w14:textId="77777777" w:rsidTr="00D57A8A">
        <w:tc>
          <w:tcPr>
            <w:tcW w:w="6034" w:type="dxa"/>
            <w:shd w:val="clear" w:color="auto" w:fill="auto"/>
          </w:tcPr>
          <w:p w14:paraId="10B300F2" w14:textId="77777777" w:rsidR="009277A3" w:rsidRPr="009277A3" w:rsidRDefault="009277A3" w:rsidP="009277A3">
            <w:pPr>
              <w:spacing w:before="40" w:after="120"/>
              <w:ind w:right="113"/>
              <w:rPr>
                <w:szCs w:val="18"/>
                <w:lang w:eastAsia="en-US"/>
              </w:rPr>
            </w:pPr>
            <w:r w:rsidRPr="009277A3">
              <w:rPr>
                <w:szCs w:val="18"/>
                <w:lang w:eastAsia="en-US"/>
              </w:rPr>
              <w:t>RB, Professional, full-time, P–4 level (31.5 work-months)</w:t>
            </w:r>
          </w:p>
        </w:tc>
        <w:tc>
          <w:tcPr>
            <w:tcW w:w="1336" w:type="dxa"/>
            <w:shd w:val="clear" w:color="auto" w:fill="auto"/>
          </w:tcPr>
          <w:p w14:paraId="3E37FB5D" w14:textId="77777777" w:rsidR="009277A3" w:rsidRPr="009277A3" w:rsidRDefault="009277A3" w:rsidP="009277A3">
            <w:pPr>
              <w:spacing w:before="40" w:after="120"/>
              <w:ind w:right="113"/>
              <w:rPr>
                <w:iCs/>
                <w:szCs w:val="18"/>
                <w:vertAlign w:val="superscript"/>
                <w:lang w:eastAsia="en-US"/>
              </w:rPr>
            </w:pPr>
            <w:r w:rsidRPr="009277A3">
              <w:rPr>
                <w:iCs/>
                <w:szCs w:val="18"/>
                <w:vertAlign w:val="superscript"/>
                <w:lang w:eastAsia="en-US"/>
              </w:rPr>
              <w:t>a</w:t>
            </w:r>
          </w:p>
        </w:tc>
      </w:tr>
      <w:tr w:rsidR="009277A3" w:rsidRPr="009277A3" w14:paraId="4E5B19E5" w14:textId="77777777" w:rsidTr="00D57A8A">
        <w:tc>
          <w:tcPr>
            <w:tcW w:w="6034" w:type="dxa"/>
            <w:shd w:val="clear" w:color="auto" w:fill="auto"/>
          </w:tcPr>
          <w:p w14:paraId="5D9A8A98" w14:textId="77777777" w:rsidR="009277A3" w:rsidRPr="009277A3" w:rsidRDefault="009277A3" w:rsidP="009277A3">
            <w:pPr>
              <w:spacing w:before="40" w:after="120"/>
              <w:ind w:right="113"/>
              <w:rPr>
                <w:szCs w:val="18"/>
                <w:lang w:eastAsia="en-US"/>
              </w:rPr>
            </w:pPr>
            <w:r w:rsidRPr="009277A3">
              <w:rPr>
                <w:szCs w:val="18"/>
                <w:lang w:eastAsia="en-US"/>
              </w:rPr>
              <w:t>RB, General Service, part-time, at 50% (15.75 work-months)</w:t>
            </w:r>
          </w:p>
        </w:tc>
        <w:tc>
          <w:tcPr>
            <w:tcW w:w="1336" w:type="dxa"/>
            <w:shd w:val="clear" w:color="auto" w:fill="auto"/>
          </w:tcPr>
          <w:p w14:paraId="0CC3CB4E" w14:textId="77777777" w:rsidR="009277A3" w:rsidRPr="009277A3" w:rsidRDefault="009277A3" w:rsidP="009277A3">
            <w:pPr>
              <w:spacing w:before="40" w:after="120"/>
              <w:ind w:right="113"/>
              <w:rPr>
                <w:iCs/>
                <w:szCs w:val="18"/>
                <w:vertAlign w:val="superscript"/>
                <w:lang w:eastAsia="en-US"/>
              </w:rPr>
            </w:pPr>
            <w:r w:rsidRPr="009277A3">
              <w:rPr>
                <w:iCs/>
                <w:szCs w:val="18"/>
                <w:vertAlign w:val="superscript"/>
                <w:lang w:eastAsia="en-US"/>
              </w:rPr>
              <w:t>a</w:t>
            </w:r>
          </w:p>
        </w:tc>
      </w:tr>
      <w:tr w:rsidR="009277A3" w:rsidRPr="009277A3" w14:paraId="7A1E2188" w14:textId="77777777" w:rsidTr="00D57A8A">
        <w:tc>
          <w:tcPr>
            <w:tcW w:w="6034" w:type="dxa"/>
            <w:shd w:val="clear" w:color="auto" w:fill="auto"/>
          </w:tcPr>
          <w:p w14:paraId="17FD46A0" w14:textId="77777777" w:rsidR="009277A3" w:rsidRPr="009277A3" w:rsidDel="005F76A2" w:rsidRDefault="009277A3" w:rsidP="009277A3">
            <w:pPr>
              <w:spacing w:before="40" w:after="120"/>
              <w:ind w:right="113"/>
              <w:rPr>
                <w:szCs w:val="18"/>
                <w:lang w:eastAsia="en-US"/>
              </w:rPr>
            </w:pPr>
            <w:r w:rsidRPr="009277A3">
              <w:rPr>
                <w:szCs w:val="18"/>
                <w:lang w:eastAsia="en-US"/>
              </w:rPr>
              <w:t xml:space="preserve">XB, Professional, full-time, P–3 level (63 work-months) </w:t>
            </w:r>
          </w:p>
        </w:tc>
        <w:tc>
          <w:tcPr>
            <w:tcW w:w="1336" w:type="dxa"/>
            <w:shd w:val="clear" w:color="auto" w:fill="auto"/>
          </w:tcPr>
          <w:p w14:paraId="6A8B3932" w14:textId="77777777" w:rsidR="009277A3" w:rsidRPr="009277A3" w:rsidRDefault="009277A3" w:rsidP="009277A3">
            <w:pPr>
              <w:spacing w:before="40" w:after="120"/>
              <w:ind w:right="113"/>
              <w:rPr>
                <w:szCs w:val="18"/>
                <w:lang w:eastAsia="en-US"/>
              </w:rPr>
            </w:pPr>
            <w:r w:rsidRPr="009277A3">
              <w:rPr>
                <w:szCs w:val="18"/>
                <w:lang w:eastAsia="en-US"/>
              </w:rPr>
              <w:t>1 200 000</w:t>
            </w:r>
          </w:p>
        </w:tc>
      </w:tr>
      <w:tr w:rsidR="009277A3" w:rsidRPr="009277A3" w14:paraId="7E6D1C40" w14:textId="77777777" w:rsidTr="00D57A8A">
        <w:tc>
          <w:tcPr>
            <w:tcW w:w="6034" w:type="dxa"/>
            <w:shd w:val="clear" w:color="auto" w:fill="auto"/>
          </w:tcPr>
          <w:p w14:paraId="70F94D99" w14:textId="77777777" w:rsidR="009277A3" w:rsidRPr="009277A3" w:rsidRDefault="009277A3" w:rsidP="009277A3">
            <w:pPr>
              <w:spacing w:before="40" w:after="120"/>
              <w:ind w:right="113"/>
              <w:rPr>
                <w:szCs w:val="18"/>
                <w:lang w:eastAsia="en-US"/>
              </w:rPr>
            </w:pPr>
            <w:r w:rsidRPr="009277A3">
              <w:rPr>
                <w:szCs w:val="18"/>
                <w:lang w:eastAsia="en-US"/>
              </w:rPr>
              <w:t xml:space="preserve">XB, General Service, part-time at 50% (15.75 work-months) </w:t>
            </w:r>
          </w:p>
        </w:tc>
        <w:tc>
          <w:tcPr>
            <w:tcW w:w="1336" w:type="dxa"/>
            <w:shd w:val="clear" w:color="auto" w:fill="auto"/>
          </w:tcPr>
          <w:p w14:paraId="2722D5B4" w14:textId="77777777" w:rsidR="009277A3" w:rsidRPr="009277A3" w:rsidRDefault="009277A3" w:rsidP="009277A3">
            <w:pPr>
              <w:spacing w:before="40" w:after="120"/>
              <w:ind w:right="113"/>
              <w:rPr>
                <w:szCs w:val="18"/>
                <w:lang w:eastAsia="en-US"/>
              </w:rPr>
            </w:pPr>
            <w:r w:rsidRPr="009277A3">
              <w:rPr>
                <w:szCs w:val="18"/>
                <w:lang w:eastAsia="en-US"/>
              </w:rPr>
              <w:t>180 000</w:t>
            </w:r>
          </w:p>
        </w:tc>
      </w:tr>
      <w:tr w:rsidR="009277A3" w:rsidRPr="009277A3" w14:paraId="505FD79C" w14:textId="77777777" w:rsidTr="00D57A8A">
        <w:tc>
          <w:tcPr>
            <w:tcW w:w="6034" w:type="dxa"/>
            <w:shd w:val="clear" w:color="auto" w:fill="auto"/>
          </w:tcPr>
          <w:p w14:paraId="3AE1B67E" w14:textId="77777777" w:rsidR="009277A3" w:rsidRPr="009277A3" w:rsidRDefault="009277A3" w:rsidP="009277A3">
            <w:pPr>
              <w:spacing w:before="40" w:after="120"/>
              <w:ind w:right="113"/>
              <w:rPr>
                <w:b/>
                <w:szCs w:val="18"/>
                <w:lang w:eastAsia="en-US"/>
              </w:rPr>
            </w:pPr>
            <w:r w:rsidRPr="009277A3">
              <w:rPr>
                <w:b/>
                <w:szCs w:val="18"/>
                <w:lang w:eastAsia="en-US"/>
              </w:rPr>
              <w:t>Subtotal</w:t>
            </w:r>
          </w:p>
        </w:tc>
        <w:tc>
          <w:tcPr>
            <w:tcW w:w="1336" w:type="dxa"/>
            <w:shd w:val="clear" w:color="auto" w:fill="auto"/>
          </w:tcPr>
          <w:p w14:paraId="0022C157" w14:textId="77777777" w:rsidR="009277A3" w:rsidRPr="009277A3" w:rsidRDefault="009277A3" w:rsidP="009277A3">
            <w:pPr>
              <w:spacing w:before="40" w:after="120"/>
              <w:ind w:right="113"/>
              <w:rPr>
                <w:b/>
                <w:szCs w:val="18"/>
                <w:lang w:eastAsia="en-US"/>
              </w:rPr>
            </w:pPr>
            <w:r w:rsidRPr="009277A3">
              <w:rPr>
                <w:b/>
                <w:szCs w:val="18"/>
                <w:lang w:eastAsia="en-US"/>
              </w:rPr>
              <w:t>1 707 000</w:t>
            </w:r>
          </w:p>
        </w:tc>
      </w:tr>
      <w:tr w:rsidR="009277A3" w:rsidRPr="009277A3" w14:paraId="1B0D767E" w14:textId="77777777" w:rsidTr="00D57A8A">
        <w:tc>
          <w:tcPr>
            <w:tcW w:w="6034" w:type="dxa"/>
            <w:shd w:val="clear" w:color="auto" w:fill="auto"/>
          </w:tcPr>
          <w:p w14:paraId="07DF4D93" w14:textId="77777777" w:rsidR="009277A3" w:rsidRPr="009277A3" w:rsidRDefault="009277A3" w:rsidP="009277A3">
            <w:pPr>
              <w:spacing w:before="40" w:after="120"/>
              <w:ind w:right="113"/>
              <w:rPr>
                <w:szCs w:val="18"/>
                <w:lang w:eastAsia="en-US"/>
              </w:rPr>
            </w:pPr>
            <w:r w:rsidRPr="009277A3">
              <w:rPr>
                <w:szCs w:val="18"/>
                <w:lang w:eastAsia="en-US"/>
              </w:rPr>
              <w:t>Overhead (13%) (rounded)</w:t>
            </w:r>
          </w:p>
        </w:tc>
        <w:tc>
          <w:tcPr>
            <w:tcW w:w="1336" w:type="dxa"/>
            <w:shd w:val="clear" w:color="auto" w:fill="auto"/>
          </w:tcPr>
          <w:p w14:paraId="1CAFB05C" w14:textId="77777777" w:rsidR="009277A3" w:rsidRPr="009277A3" w:rsidRDefault="009277A3" w:rsidP="009277A3">
            <w:pPr>
              <w:spacing w:before="40" w:after="120"/>
              <w:ind w:right="113"/>
              <w:rPr>
                <w:szCs w:val="18"/>
                <w:lang w:eastAsia="en-US"/>
              </w:rPr>
            </w:pPr>
            <w:r w:rsidRPr="009277A3">
              <w:rPr>
                <w:szCs w:val="18"/>
                <w:lang w:eastAsia="en-US"/>
              </w:rPr>
              <w:t xml:space="preserve">221 910 </w:t>
            </w:r>
          </w:p>
        </w:tc>
      </w:tr>
      <w:tr w:rsidR="009277A3" w:rsidRPr="009277A3" w14:paraId="0A3E2620" w14:textId="77777777" w:rsidTr="00D57A8A">
        <w:tc>
          <w:tcPr>
            <w:tcW w:w="6034" w:type="dxa"/>
            <w:tcBorders>
              <w:bottom w:val="single" w:sz="12" w:space="0" w:color="auto"/>
            </w:tcBorders>
            <w:shd w:val="clear" w:color="auto" w:fill="auto"/>
          </w:tcPr>
          <w:p w14:paraId="6E8774AC" w14:textId="77777777" w:rsidR="009277A3" w:rsidRPr="009277A3" w:rsidRDefault="009277A3" w:rsidP="009277A3">
            <w:pPr>
              <w:spacing w:before="40" w:after="120"/>
              <w:ind w:right="113"/>
              <w:rPr>
                <w:b/>
                <w:szCs w:val="18"/>
                <w:lang w:eastAsia="en-US"/>
              </w:rPr>
            </w:pPr>
            <w:r w:rsidRPr="009277A3">
              <w:rPr>
                <w:b/>
                <w:szCs w:val="18"/>
                <w:lang w:eastAsia="en-US"/>
              </w:rPr>
              <w:t xml:space="preserve">Total </w:t>
            </w:r>
          </w:p>
        </w:tc>
        <w:tc>
          <w:tcPr>
            <w:tcW w:w="1336" w:type="dxa"/>
            <w:tcBorders>
              <w:bottom w:val="single" w:sz="12" w:space="0" w:color="auto"/>
            </w:tcBorders>
            <w:shd w:val="clear" w:color="auto" w:fill="auto"/>
          </w:tcPr>
          <w:p w14:paraId="5D93CD77" w14:textId="77777777" w:rsidR="009277A3" w:rsidRPr="009277A3" w:rsidRDefault="009277A3" w:rsidP="009277A3">
            <w:pPr>
              <w:spacing w:before="40" w:after="120"/>
              <w:ind w:right="113"/>
              <w:rPr>
                <w:b/>
                <w:szCs w:val="18"/>
                <w:lang w:eastAsia="en-US"/>
              </w:rPr>
            </w:pPr>
            <w:r w:rsidRPr="009277A3">
              <w:rPr>
                <w:b/>
                <w:szCs w:val="18"/>
                <w:lang w:eastAsia="en-US"/>
              </w:rPr>
              <w:t>1 928 610</w:t>
            </w:r>
          </w:p>
        </w:tc>
      </w:tr>
    </w:tbl>
    <w:p w14:paraId="0C944D02" w14:textId="77777777" w:rsidR="009277A3" w:rsidRPr="004A2428" w:rsidRDefault="009277A3" w:rsidP="009277A3">
      <w:pPr>
        <w:spacing w:before="120" w:after="120" w:line="220" w:lineRule="exact"/>
        <w:ind w:left="1276" w:right="1134"/>
        <w:rPr>
          <w:sz w:val="18"/>
          <w:lang w:eastAsia="en-US"/>
        </w:rPr>
      </w:pPr>
      <w:bookmarkStart w:id="74" w:name="_Hlk32247406"/>
      <w:r w:rsidRPr="004A2428">
        <w:rPr>
          <w:i/>
          <w:sz w:val="18"/>
          <w:szCs w:val="18"/>
          <w:lang w:eastAsia="en-US"/>
        </w:rPr>
        <w:t>Note</w:t>
      </w:r>
      <w:r w:rsidRPr="004A2428">
        <w:rPr>
          <w:sz w:val="18"/>
          <w:szCs w:val="18"/>
          <w:lang w:eastAsia="en-US"/>
        </w:rPr>
        <w:t>: One post (Professional or General Service) translates into 10.5 work-months per year, or 31.5 work-months per triennium for one staff member. The above staff resource estimates are based on United Nations standard rates, including net salary, taxes and common staff costs, as well as mandatory costs for office space, information technology equipment, communication and training).</w:t>
      </w:r>
    </w:p>
    <w:bookmarkEnd w:id="74"/>
    <w:p w14:paraId="1EF4569D" w14:textId="35F28C51" w:rsidR="009277A3" w:rsidRDefault="009277A3" w:rsidP="009277A3">
      <w:pPr>
        <w:pStyle w:val="SingleTxtG"/>
        <w:ind w:left="1276"/>
        <w:rPr>
          <w:sz w:val="18"/>
          <w:szCs w:val="18"/>
          <w:lang w:eastAsia="en-US"/>
        </w:rPr>
      </w:pPr>
      <w:r w:rsidRPr="004A2428">
        <w:rPr>
          <w:i/>
          <w:iCs/>
          <w:sz w:val="18"/>
          <w:szCs w:val="18"/>
          <w:vertAlign w:val="superscript"/>
          <w:lang w:eastAsia="en-US"/>
        </w:rPr>
        <w:t xml:space="preserve">a  </w:t>
      </w:r>
      <w:r w:rsidRPr="004A2428">
        <w:rPr>
          <w:sz w:val="18"/>
          <w:szCs w:val="18"/>
          <w:lang w:eastAsia="en-US"/>
        </w:rPr>
        <w:t>Provided under United Nations regular budget. RB, Professional post is that of Secretary to Espoo Convention and Protocol, involving oversight of functioning of treaty secretariat and workplan implementation.</w:t>
      </w:r>
    </w:p>
    <w:p w14:paraId="33715929" w14:textId="77777777" w:rsidR="001F08F8" w:rsidRDefault="001F08F8" w:rsidP="009277A3">
      <w:pPr>
        <w:pStyle w:val="SingleTxtG"/>
        <w:ind w:left="1276"/>
        <w:rPr>
          <w:b/>
          <w:bCs/>
        </w:rPr>
        <w:sectPr w:rsidR="001F08F8" w:rsidSect="00A603CF">
          <w:headerReference w:type="first" r:id="rId21"/>
          <w:footerReference w:type="first" r:id="rId22"/>
          <w:footnotePr>
            <w:numRestart w:val="eachSect"/>
          </w:footnotePr>
          <w:endnotePr>
            <w:numFmt w:val="decimal"/>
          </w:endnotePr>
          <w:pgSz w:w="11907" w:h="16840" w:code="9"/>
          <w:pgMar w:top="1418" w:right="1134" w:bottom="1134" w:left="1134" w:header="680" w:footer="567" w:gutter="0"/>
          <w:cols w:space="720"/>
          <w:titlePg/>
          <w:docGrid w:linePitch="272"/>
        </w:sectPr>
      </w:pPr>
    </w:p>
    <w:p w14:paraId="50021005" w14:textId="02B42212" w:rsidR="00C1686E" w:rsidRDefault="00C1686E" w:rsidP="00C1686E">
      <w:pPr>
        <w:pStyle w:val="HChG"/>
        <w:rPr>
          <w:lang w:eastAsia="en-US"/>
        </w:rPr>
      </w:pPr>
      <w:r>
        <w:lastRenderedPageBreak/>
        <w:tab/>
      </w:r>
      <w:r w:rsidRPr="00C1686E">
        <w:t>Annex</w:t>
      </w:r>
      <w:r w:rsidRPr="00465BB3">
        <w:rPr>
          <w:lang w:eastAsia="en-US"/>
        </w:rPr>
        <w:t xml:space="preserve"> III</w:t>
      </w:r>
    </w:p>
    <w:p w14:paraId="7A2D617C" w14:textId="77777777" w:rsidR="00C1686E" w:rsidRDefault="00C1686E" w:rsidP="00C1686E">
      <w:pPr>
        <w:pStyle w:val="HChG"/>
        <w:rPr>
          <w:lang w:eastAsia="en-US"/>
        </w:rPr>
      </w:pPr>
      <w:r>
        <w:rPr>
          <w:lang w:eastAsia="en-GB"/>
        </w:rPr>
        <w:tab/>
      </w:r>
      <w:r>
        <w:rPr>
          <w:lang w:eastAsia="en-GB"/>
        </w:rPr>
        <w:tab/>
      </w:r>
      <w:r w:rsidRPr="00C1686E">
        <w:t>Activities</w:t>
      </w:r>
      <w:r w:rsidRPr="007F3DF3">
        <w:rPr>
          <w:lang w:eastAsia="en-GB"/>
        </w:rPr>
        <w:t xml:space="preserve"> </w:t>
      </w:r>
      <w:r w:rsidRPr="007F3DF3">
        <w:rPr>
          <w:lang w:eastAsia="en-US"/>
        </w:rPr>
        <w:t>requiring</w:t>
      </w:r>
      <w:r w:rsidRPr="007F3DF3">
        <w:rPr>
          <w:lang w:eastAsia="en-GB"/>
        </w:rPr>
        <w:t xml:space="preserve"> additional resources, including secretariat staffing, for implementation in the period 2024–2026, subject to funding becoming available</w:t>
      </w:r>
    </w:p>
    <w:tbl>
      <w:tblPr>
        <w:tblW w:w="7370" w:type="dxa"/>
        <w:tblInd w:w="1134" w:type="dxa"/>
        <w:tblLayout w:type="fixed"/>
        <w:tblCellMar>
          <w:left w:w="0" w:type="dxa"/>
          <w:right w:w="0" w:type="dxa"/>
        </w:tblCellMar>
        <w:tblLook w:val="01E0" w:firstRow="1" w:lastRow="1" w:firstColumn="1" w:lastColumn="1" w:noHBand="0" w:noVBand="0"/>
      </w:tblPr>
      <w:tblGrid>
        <w:gridCol w:w="1842"/>
        <w:gridCol w:w="2761"/>
        <w:gridCol w:w="1100"/>
        <w:gridCol w:w="745"/>
        <w:gridCol w:w="922"/>
      </w:tblGrid>
      <w:tr w:rsidR="00C1686E" w:rsidRPr="00311046" w14:paraId="7AEFF8EF" w14:textId="77777777">
        <w:trPr>
          <w:tblHeader/>
        </w:trPr>
        <w:tc>
          <w:tcPr>
            <w:tcW w:w="1842" w:type="dxa"/>
            <w:vMerge w:val="restart"/>
            <w:tcBorders>
              <w:top w:val="single" w:sz="12" w:space="0" w:color="auto"/>
              <w:bottom w:val="single" w:sz="12" w:space="0" w:color="auto"/>
            </w:tcBorders>
            <w:shd w:val="clear" w:color="auto" w:fill="auto"/>
            <w:vAlign w:val="bottom"/>
          </w:tcPr>
          <w:p w14:paraId="3A01D1CD" w14:textId="77777777" w:rsidR="00C1686E" w:rsidRPr="00311046" w:rsidRDefault="00C1686E">
            <w:pPr>
              <w:spacing w:before="80" w:after="80" w:line="200" w:lineRule="exact"/>
              <w:ind w:right="113"/>
              <w:rPr>
                <w:i/>
                <w:sz w:val="16"/>
                <w:lang w:eastAsia="en-US"/>
              </w:rPr>
            </w:pPr>
            <w:r w:rsidRPr="00311046">
              <w:rPr>
                <w:i/>
                <w:sz w:val="16"/>
                <w:lang w:eastAsia="en-US"/>
              </w:rPr>
              <w:t>Area</w:t>
            </w:r>
          </w:p>
        </w:tc>
        <w:tc>
          <w:tcPr>
            <w:tcW w:w="2761" w:type="dxa"/>
            <w:vMerge w:val="restart"/>
            <w:tcBorders>
              <w:top w:val="single" w:sz="12" w:space="0" w:color="auto"/>
              <w:bottom w:val="single" w:sz="12" w:space="0" w:color="auto"/>
            </w:tcBorders>
            <w:shd w:val="clear" w:color="auto" w:fill="auto"/>
            <w:vAlign w:val="bottom"/>
          </w:tcPr>
          <w:p w14:paraId="72DA73C5" w14:textId="77777777" w:rsidR="00C1686E" w:rsidRPr="00311046" w:rsidRDefault="00C1686E">
            <w:pPr>
              <w:spacing w:before="80" w:after="80" w:line="200" w:lineRule="exact"/>
              <w:ind w:right="113"/>
              <w:rPr>
                <w:i/>
                <w:sz w:val="16"/>
                <w:lang w:eastAsia="en-US"/>
              </w:rPr>
            </w:pPr>
            <w:r w:rsidRPr="00311046">
              <w:rPr>
                <w:i/>
                <w:sz w:val="16"/>
                <w:lang w:eastAsia="en-US"/>
              </w:rPr>
              <w:t>Activities, lead/supporting countries</w:t>
            </w:r>
          </w:p>
        </w:tc>
        <w:tc>
          <w:tcPr>
            <w:tcW w:w="1100" w:type="dxa"/>
            <w:vMerge w:val="restart"/>
            <w:tcBorders>
              <w:top w:val="single" w:sz="12" w:space="0" w:color="auto"/>
              <w:bottom w:val="single" w:sz="12" w:space="0" w:color="auto"/>
            </w:tcBorders>
            <w:shd w:val="clear" w:color="auto" w:fill="auto"/>
            <w:vAlign w:val="bottom"/>
          </w:tcPr>
          <w:p w14:paraId="419845A7" w14:textId="77777777" w:rsidR="00C1686E" w:rsidRPr="00311046" w:rsidRDefault="00C1686E">
            <w:pPr>
              <w:spacing w:before="80" w:after="80" w:line="200" w:lineRule="exact"/>
              <w:ind w:right="113"/>
              <w:rPr>
                <w:i/>
                <w:sz w:val="16"/>
                <w:lang w:eastAsia="en-US"/>
              </w:rPr>
            </w:pPr>
            <w:r w:rsidRPr="00311046">
              <w:rPr>
                <w:i/>
                <w:sz w:val="16"/>
                <w:lang w:eastAsia="en-US"/>
              </w:rPr>
              <w:t xml:space="preserve">Initial estimates of XB financial resources (cash and </w:t>
            </w:r>
            <w:r w:rsidRPr="00311046">
              <w:rPr>
                <w:i/>
                <w:sz w:val="16"/>
                <w:lang w:eastAsia="en-US"/>
              </w:rPr>
              <w:br/>
              <w:t xml:space="preserve">in-kind, in US dollars) </w:t>
            </w:r>
            <w:bookmarkStart w:id="75" w:name="_Hlk32167078"/>
          </w:p>
        </w:tc>
        <w:bookmarkEnd w:id="75"/>
        <w:tc>
          <w:tcPr>
            <w:tcW w:w="1667" w:type="dxa"/>
            <w:gridSpan w:val="2"/>
            <w:tcBorders>
              <w:top w:val="single" w:sz="12" w:space="0" w:color="auto"/>
            </w:tcBorders>
            <w:shd w:val="clear" w:color="auto" w:fill="auto"/>
            <w:vAlign w:val="bottom"/>
          </w:tcPr>
          <w:p w14:paraId="09B4DF87" w14:textId="77777777" w:rsidR="00C1686E" w:rsidRPr="00311046" w:rsidRDefault="00C1686E">
            <w:pPr>
              <w:spacing w:before="80" w:after="80" w:line="200" w:lineRule="exact"/>
              <w:ind w:right="113"/>
              <w:rPr>
                <w:i/>
                <w:sz w:val="16"/>
                <w:lang w:eastAsia="en-US"/>
              </w:rPr>
            </w:pPr>
            <w:r w:rsidRPr="00311046">
              <w:rPr>
                <w:i/>
                <w:sz w:val="16"/>
                <w:lang w:eastAsia="en-US"/>
              </w:rPr>
              <w:t>XB human resources needed to support implementation of activities (in person-months, with financial cost in US dollars in brackets beneath)</w:t>
            </w:r>
          </w:p>
        </w:tc>
      </w:tr>
      <w:tr w:rsidR="00C1686E" w:rsidRPr="00311046" w14:paraId="531A6913" w14:textId="77777777">
        <w:trPr>
          <w:trHeight w:hRule="exact" w:val="113"/>
          <w:tblHeader/>
        </w:trPr>
        <w:tc>
          <w:tcPr>
            <w:tcW w:w="1842" w:type="dxa"/>
            <w:vMerge/>
            <w:tcBorders>
              <w:top w:val="single" w:sz="12" w:space="0" w:color="auto"/>
            </w:tcBorders>
            <w:shd w:val="clear" w:color="auto" w:fill="auto"/>
          </w:tcPr>
          <w:p w14:paraId="632DE02F" w14:textId="77777777" w:rsidR="00C1686E" w:rsidRPr="00311046" w:rsidRDefault="00C1686E">
            <w:pPr>
              <w:spacing w:before="40" w:after="120"/>
              <w:ind w:right="113"/>
              <w:rPr>
                <w:lang w:eastAsia="en-US"/>
              </w:rPr>
            </w:pPr>
          </w:p>
        </w:tc>
        <w:tc>
          <w:tcPr>
            <w:tcW w:w="2761" w:type="dxa"/>
            <w:vMerge/>
            <w:tcBorders>
              <w:top w:val="single" w:sz="12" w:space="0" w:color="auto"/>
            </w:tcBorders>
            <w:shd w:val="clear" w:color="auto" w:fill="auto"/>
          </w:tcPr>
          <w:p w14:paraId="71FE528C" w14:textId="77777777" w:rsidR="00C1686E" w:rsidRPr="00311046" w:rsidRDefault="00C1686E">
            <w:pPr>
              <w:spacing w:before="40" w:after="120"/>
              <w:ind w:right="113"/>
              <w:rPr>
                <w:lang w:eastAsia="en-US"/>
              </w:rPr>
            </w:pPr>
          </w:p>
        </w:tc>
        <w:tc>
          <w:tcPr>
            <w:tcW w:w="1100" w:type="dxa"/>
            <w:vMerge/>
            <w:tcBorders>
              <w:top w:val="single" w:sz="12" w:space="0" w:color="auto"/>
            </w:tcBorders>
            <w:shd w:val="clear" w:color="auto" w:fill="auto"/>
          </w:tcPr>
          <w:p w14:paraId="44B1BF24" w14:textId="77777777" w:rsidR="00C1686E" w:rsidRPr="00311046" w:rsidRDefault="00C1686E">
            <w:pPr>
              <w:spacing w:before="40" w:after="120"/>
              <w:ind w:right="113"/>
              <w:rPr>
                <w:lang w:eastAsia="en-US"/>
              </w:rPr>
            </w:pPr>
          </w:p>
        </w:tc>
        <w:tc>
          <w:tcPr>
            <w:tcW w:w="1667" w:type="dxa"/>
            <w:gridSpan w:val="2"/>
            <w:shd w:val="clear" w:color="auto" w:fill="auto"/>
          </w:tcPr>
          <w:p w14:paraId="71FEB2B3" w14:textId="77777777" w:rsidR="00C1686E" w:rsidRPr="00311046" w:rsidRDefault="00C1686E">
            <w:pPr>
              <w:spacing w:before="40" w:after="120"/>
              <w:ind w:right="113"/>
              <w:rPr>
                <w:lang w:eastAsia="en-US"/>
              </w:rPr>
            </w:pPr>
          </w:p>
        </w:tc>
      </w:tr>
      <w:tr w:rsidR="00C1686E" w:rsidRPr="00311046" w14:paraId="1ECECF59" w14:textId="77777777">
        <w:trPr>
          <w:tblHeader/>
        </w:trPr>
        <w:tc>
          <w:tcPr>
            <w:tcW w:w="1842" w:type="dxa"/>
            <w:vMerge/>
            <w:tcBorders>
              <w:bottom w:val="single" w:sz="12" w:space="0" w:color="auto"/>
            </w:tcBorders>
            <w:shd w:val="clear" w:color="auto" w:fill="auto"/>
          </w:tcPr>
          <w:p w14:paraId="373DD50B" w14:textId="77777777" w:rsidR="00C1686E" w:rsidRPr="00311046" w:rsidRDefault="00C1686E">
            <w:pPr>
              <w:spacing w:before="40" w:after="120"/>
              <w:ind w:right="113"/>
              <w:rPr>
                <w:lang w:eastAsia="en-US"/>
              </w:rPr>
            </w:pPr>
          </w:p>
        </w:tc>
        <w:tc>
          <w:tcPr>
            <w:tcW w:w="2761" w:type="dxa"/>
            <w:vMerge/>
            <w:tcBorders>
              <w:bottom w:val="single" w:sz="12" w:space="0" w:color="auto"/>
            </w:tcBorders>
            <w:shd w:val="clear" w:color="auto" w:fill="auto"/>
          </w:tcPr>
          <w:p w14:paraId="5A22EA5A" w14:textId="77777777" w:rsidR="00C1686E" w:rsidRPr="00311046" w:rsidRDefault="00C1686E">
            <w:pPr>
              <w:spacing w:before="40" w:after="120"/>
              <w:ind w:right="113"/>
              <w:rPr>
                <w:lang w:eastAsia="en-US"/>
              </w:rPr>
            </w:pPr>
          </w:p>
        </w:tc>
        <w:tc>
          <w:tcPr>
            <w:tcW w:w="1100" w:type="dxa"/>
            <w:vMerge/>
            <w:tcBorders>
              <w:bottom w:val="single" w:sz="12" w:space="0" w:color="auto"/>
            </w:tcBorders>
            <w:shd w:val="clear" w:color="auto" w:fill="auto"/>
          </w:tcPr>
          <w:p w14:paraId="088552FE" w14:textId="77777777" w:rsidR="00C1686E" w:rsidRPr="00311046" w:rsidRDefault="00C1686E">
            <w:pPr>
              <w:spacing w:before="40" w:after="120"/>
              <w:ind w:right="113"/>
              <w:rPr>
                <w:lang w:eastAsia="en-US"/>
              </w:rPr>
            </w:pPr>
          </w:p>
        </w:tc>
        <w:tc>
          <w:tcPr>
            <w:tcW w:w="745" w:type="dxa"/>
            <w:tcBorders>
              <w:bottom w:val="single" w:sz="12" w:space="0" w:color="auto"/>
            </w:tcBorders>
            <w:shd w:val="clear" w:color="auto" w:fill="auto"/>
          </w:tcPr>
          <w:p w14:paraId="7DCD9B02" w14:textId="77777777" w:rsidR="00C1686E" w:rsidRPr="00311046" w:rsidRDefault="00C1686E">
            <w:pPr>
              <w:spacing w:before="40" w:after="120"/>
              <w:ind w:right="113"/>
              <w:rPr>
                <w:lang w:eastAsia="en-US"/>
              </w:rPr>
            </w:pPr>
            <w:r w:rsidRPr="00311046">
              <w:rPr>
                <w:lang w:eastAsia="en-US"/>
              </w:rPr>
              <w:t>P</w:t>
            </w:r>
          </w:p>
        </w:tc>
        <w:tc>
          <w:tcPr>
            <w:tcW w:w="922" w:type="dxa"/>
            <w:tcBorders>
              <w:bottom w:val="single" w:sz="12" w:space="0" w:color="auto"/>
            </w:tcBorders>
            <w:shd w:val="clear" w:color="auto" w:fill="auto"/>
          </w:tcPr>
          <w:p w14:paraId="53C09988" w14:textId="77777777" w:rsidR="00C1686E" w:rsidRPr="00311046" w:rsidRDefault="00C1686E">
            <w:pPr>
              <w:spacing w:before="40" w:after="120"/>
              <w:ind w:right="113"/>
              <w:rPr>
                <w:lang w:eastAsia="en-US"/>
              </w:rPr>
            </w:pPr>
            <w:r w:rsidRPr="00311046">
              <w:rPr>
                <w:lang w:eastAsia="en-US"/>
              </w:rPr>
              <w:t>G</w:t>
            </w:r>
          </w:p>
        </w:tc>
      </w:tr>
      <w:tr w:rsidR="00C1686E" w:rsidRPr="00311046" w14:paraId="7341C278" w14:textId="77777777">
        <w:trPr>
          <w:trHeight w:hRule="exact" w:val="113"/>
          <w:tblHeader/>
        </w:trPr>
        <w:tc>
          <w:tcPr>
            <w:tcW w:w="4603" w:type="dxa"/>
            <w:gridSpan w:val="2"/>
            <w:tcBorders>
              <w:top w:val="single" w:sz="12" w:space="0" w:color="auto"/>
            </w:tcBorders>
            <w:shd w:val="clear" w:color="auto" w:fill="auto"/>
          </w:tcPr>
          <w:p w14:paraId="7EF5541B" w14:textId="77777777" w:rsidR="00C1686E" w:rsidRPr="00311046" w:rsidRDefault="00C1686E">
            <w:pPr>
              <w:spacing w:before="40" w:after="120"/>
              <w:ind w:right="113"/>
              <w:rPr>
                <w:lang w:eastAsia="en-US"/>
              </w:rPr>
            </w:pPr>
          </w:p>
        </w:tc>
        <w:tc>
          <w:tcPr>
            <w:tcW w:w="2767" w:type="dxa"/>
            <w:gridSpan w:val="3"/>
            <w:tcBorders>
              <w:top w:val="single" w:sz="12" w:space="0" w:color="auto"/>
            </w:tcBorders>
            <w:shd w:val="clear" w:color="auto" w:fill="auto"/>
          </w:tcPr>
          <w:p w14:paraId="24A89AA7" w14:textId="77777777" w:rsidR="00C1686E" w:rsidRPr="00311046" w:rsidRDefault="00C1686E">
            <w:pPr>
              <w:spacing w:before="40" w:after="120"/>
              <w:ind w:right="113"/>
              <w:rPr>
                <w:lang w:eastAsia="en-US"/>
              </w:rPr>
            </w:pPr>
          </w:p>
        </w:tc>
      </w:tr>
      <w:tr w:rsidR="00C1686E" w:rsidRPr="00311046" w14:paraId="78C36160" w14:textId="77777777">
        <w:tc>
          <w:tcPr>
            <w:tcW w:w="4603" w:type="dxa"/>
            <w:gridSpan w:val="2"/>
            <w:shd w:val="clear" w:color="auto" w:fill="auto"/>
          </w:tcPr>
          <w:p w14:paraId="3CCE7293" w14:textId="77777777" w:rsidR="00C1686E" w:rsidRPr="00311046" w:rsidRDefault="00C1686E">
            <w:pPr>
              <w:spacing w:before="40" w:after="120"/>
              <w:ind w:right="113"/>
              <w:rPr>
                <w:lang w:eastAsia="en-US"/>
              </w:rPr>
            </w:pPr>
          </w:p>
        </w:tc>
        <w:tc>
          <w:tcPr>
            <w:tcW w:w="1100" w:type="dxa"/>
            <w:shd w:val="clear" w:color="auto" w:fill="auto"/>
          </w:tcPr>
          <w:p w14:paraId="570E4A57" w14:textId="77777777" w:rsidR="00C1686E" w:rsidRPr="00311046" w:rsidRDefault="00C1686E">
            <w:pPr>
              <w:spacing w:before="40" w:after="120"/>
              <w:ind w:right="113"/>
              <w:rPr>
                <w:lang w:eastAsia="en-US"/>
              </w:rPr>
            </w:pPr>
          </w:p>
        </w:tc>
        <w:tc>
          <w:tcPr>
            <w:tcW w:w="745" w:type="dxa"/>
            <w:shd w:val="clear" w:color="auto" w:fill="auto"/>
          </w:tcPr>
          <w:p w14:paraId="5A46DCBF" w14:textId="77777777" w:rsidR="00C1686E" w:rsidRPr="00311046" w:rsidRDefault="00C1686E">
            <w:pPr>
              <w:spacing w:before="40" w:after="120"/>
              <w:ind w:right="113"/>
              <w:rPr>
                <w:lang w:eastAsia="en-US"/>
              </w:rPr>
            </w:pPr>
          </w:p>
        </w:tc>
        <w:tc>
          <w:tcPr>
            <w:tcW w:w="922" w:type="dxa"/>
            <w:shd w:val="clear" w:color="auto" w:fill="auto"/>
          </w:tcPr>
          <w:p w14:paraId="6B8F6FDD" w14:textId="77777777" w:rsidR="00C1686E" w:rsidRPr="00311046" w:rsidRDefault="00C1686E">
            <w:pPr>
              <w:spacing w:before="40" w:after="120"/>
              <w:ind w:right="113"/>
              <w:rPr>
                <w:lang w:eastAsia="en-US"/>
              </w:rPr>
            </w:pPr>
          </w:p>
        </w:tc>
      </w:tr>
      <w:tr w:rsidR="00C1686E" w:rsidRPr="00311046" w14:paraId="354D3ACF" w14:textId="77777777">
        <w:tc>
          <w:tcPr>
            <w:tcW w:w="4603" w:type="dxa"/>
            <w:gridSpan w:val="2"/>
            <w:shd w:val="clear" w:color="auto" w:fill="auto"/>
          </w:tcPr>
          <w:p w14:paraId="7A7B95E2" w14:textId="77777777" w:rsidR="00C1686E" w:rsidRPr="00311046" w:rsidRDefault="00C1686E">
            <w:pPr>
              <w:spacing w:before="40" w:after="120"/>
              <w:ind w:right="113"/>
              <w:rPr>
                <w:lang w:eastAsia="en-US"/>
              </w:rPr>
            </w:pPr>
          </w:p>
        </w:tc>
        <w:tc>
          <w:tcPr>
            <w:tcW w:w="1100" w:type="dxa"/>
            <w:shd w:val="clear" w:color="auto" w:fill="auto"/>
          </w:tcPr>
          <w:p w14:paraId="72320299" w14:textId="77777777" w:rsidR="00C1686E" w:rsidRPr="00311046" w:rsidRDefault="00C1686E">
            <w:pPr>
              <w:spacing w:before="40" w:after="120"/>
              <w:ind w:right="113"/>
              <w:rPr>
                <w:lang w:eastAsia="en-US"/>
              </w:rPr>
            </w:pPr>
          </w:p>
        </w:tc>
        <w:tc>
          <w:tcPr>
            <w:tcW w:w="745" w:type="dxa"/>
            <w:shd w:val="clear" w:color="auto" w:fill="auto"/>
          </w:tcPr>
          <w:p w14:paraId="039A9F65" w14:textId="77777777" w:rsidR="00C1686E" w:rsidRPr="00311046" w:rsidRDefault="00C1686E">
            <w:pPr>
              <w:spacing w:before="40" w:after="120"/>
              <w:ind w:right="113"/>
              <w:rPr>
                <w:lang w:eastAsia="en-US"/>
              </w:rPr>
            </w:pPr>
          </w:p>
        </w:tc>
        <w:tc>
          <w:tcPr>
            <w:tcW w:w="922" w:type="dxa"/>
            <w:shd w:val="clear" w:color="auto" w:fill="auto"/>
          </w:tcPr>
          <w:p w14:paraId="5DE1AA40" w14:textId="77777777" w:rsidR="00C1686E" w:rsidRPr="00311046" w:rsidRDefault="00C1686E">
            <w:pPr>
              <w:spacing w:before="40" w:after="120"/>
              <w:ind w:right="113"/>
              <w:rPr>
                <w:lang w:eastAsia="en-US"/>
              </w:rPr>
            </w:pPr>
          </w:p>
        </w:tc>
      </w:tr>
      <w:tr w:rsidR="00C1686E" w:rsidRPr="00311046" w14:paraId="7E2C0579" w14:textId="77777777">
        <w:tc>
          <w:tcPr>
            <w:tcW w:w="1842" w:type="dxa"/>
            <w:shd w:val="clear" w:color="auto" w:fill="auto"/>
          </w:tcPr>
          <w:p w14:paraId="6ED5DDB4" w14:textId="77777777" w:rsidR="00C1686E" w:rsidRPr="00311046" w:rsidRDefault="00C1686E">
            <w:pPr>
              <w:spacing w:before="40" w:after="120"/>
              <w:ind w:right="113"/>
              <w:rPr>
                <w:bCs/>
                <w:lang w:eastAsia="en-US"/>
              </w:rPr>
            </w:pPr>
          </w:p>
        </w:tc>
        <w:tc>
          <w:tcPr>
            <w:tcW w:w="2761" w:type="dxa"/>
            <w:shd w:val="clear" w:color="auto" w:fill="auto"/>
          </w:tcPr>
          <w:p w14:paraId="1DA73FAC" w14:textId="77777777" w:rsidR="00C1686E" w:rsidRPr="00311046" w:rsidRDefault="00C1686E">
            <w:pPr>
              <w:spacing w:before="40" w:after="120"/>
              <w:ind w:right="113"/>
              <w:rPr>
                <w:lang w:eastAsia="en-US"/>
              </w:rPr>
            </w:pPr>
          </w:p>
        </w:tc>
        <w:tc>
          <w:tcPr>
            <w:tcW w:w="1100" w:type="dxa"/>
            <w:shd w:val="clear" w:color="auto" w:fill="auto"/>
          </w:tcPr>
          <w:p w14:paraId="344277EF" w14:textId="77777777" w:rsidR="00C1686E" w:rsidRPr="00311046" w:rsidRDefault="00C1686E">
            <w:pPr>
              <w:spacing w:before="40" w:after="120"/>
              <w:ind w:right="113"/>
              <w:rPr>
                <w:lang w:eastAsia="en-US"/>
              </w:rPr>
            </w:pPr>
          </w:p>
        </w:tc>
        <w:tc>
          <w:tcPr>
            <w:tcW w:w="745" w:type="dxa"/>
            <w:shd w:val="clear" w:color="auto" w:fill="auto"/>
          </w:tcPr>
          <w:p w14:paraId="74FFEC7B" w14:textId="77777777" w:rsidR="00C1686E" w:rsidRPr="00311046" w:rsidRDefault="00C1686E">
            <w:pPr>
              <w:spacing w:before="40" w:after="120"/>
              <w:ind w:right="113"/>
              <w:rPr>
                <w:lang w:eastAsia="en-US"/>
              </w:rPr>
            </w:pPr>
          </w:p>
        </w:tc>
        <w:tc>
          <w:tcPr>
            <w:tcW w:w="922" w:type="dxa"/>
            <w:shd w:val="clear" w:color="auto" w:fill="auto"/>
          </w:tcPr>
          <w:p w14:paraId="192010AA" w14:textId="77777777" w:rsidR="00C1686E" w:rsidRPr="00311046" w:rsidRDefault="00C1686E">
            <w:pPr>
              <w:spacing w:before="40" w:after="120"/>
              <w:ind w:right="113"/>
              <w:rPr>
                <w:lang w:eastAsia="en-US"/>
              </w:rPr>
            </w:pPr>
          </w:p>
        </w:tc>
      </w:tr>
      <w:tr w:rsidR="00C1686E" w:rsidRPr="00311046" w14:paraId="0242644D" w14:textId="77777777">
        <w:tc>
          <w:tcPr>
            <w:tcW w:w="1842" w:type="dxa"/>
            <w:shd w:val="clear" w:color="auto" w:fill="auto"/>
          </w:tcPr>
          <w:p w14:paraId="79DAEA3D" w14:textId="77777777" w:rsidR="00C1686E" w:rsidRPr="00311046" w:rsidRDefault="00C1686E">
            <w:pPr>
              <w:spacing w:before="40" w:after="120"/>
              <w:ind w:right="113"/>
              <w:rPr>
                <w:bCs/>
                <w:lang w:eastAsia="en-US"/>
              </w:rPr>
            </w:pPr>
          </w:p>
        </w:tc>
        <w:tc>
          <w:tcPr>
            <w:tcW w:w="2761" w:type="dxa"/>
            <w:shd w:val="clear" w:color="auto" w:fill="auto"/>
          </w:tcPr>
          <w:p w14:paraId="5E592CF4" w14:textId="77777777" w:rsidR="00C1686E" w:rsidRPr="00311046" w:rsidRDefault="00C1686E">
            <w:pPr>
              <w:spacing w:before="40" w:after="120"/>
              <w:ind w:right="113"/>
              <w:rPr>
                <w:lang w:eastAsia="en-US"/>
              </w:rPr>
            </w:pPr>
          </w:p>
        </w:tc>
        <w:tc>
          <w:tcPr>
            <w:tcW w:w="1100" w:type="dxa"/>
            <w:shd w:val="clear" w:color="auto" w:fill="auto"/>
          </w:tcPr>
          <w:p w14:paraId="1E1E8427" w14:textId="77777777" w:rsidR="00C1686E" w:rsidRPr="00311046" w:rsidRDefault="00C1686E">
            <w:pPr>
              <w:spacing w:before="40" w:after="120"/>
              <w:ind w:right="113"/>
              <w:rPr>
                <w:lang w:eastAsia="en-US"/>
              </w:rPr>
            </w:pPr>
          </w:p>
        </w:tc>
        <w:tc>
          <w:tcPr>
            <w:tcW w:w="745" w:type="dxa"/>
            <w:shd w:val="clear" w:color="auto" w:fill="auto"/>
          </w:tcPr>
          <w:p w14:paraId="13C09B25" w14:textId="77777777" w:rsidR="00C1686E" w:rsidRPr="00311046" w:rsidRDefault="00C1686E">
            <w:pPr>
              <w:spacing w:before="40" w:after="120"/>
              <w:ind w:right="113"/>
              <w:rPr>
                <w:lang w:eastAsia="en-US"/>
              </w:rPr>
            </w:pPr>
          </w:p>
        </w:tc>
        <w:tc>
          <w:tcPr>
            <w:tcW w:w="922" w:type="dxa"/>
            <w:shd w:val="clear" w:color="auto" w:fill="auto"/>
          </w:tcPr>
          <w:p w14:paraId="5F0C9F26" w14:textId="77777777" w:rsidR="00C1686E" w:rsidRPr="00311046" w:rsidRDefault="00C1686E">
            <w:pPr>
              <w:spacing w:before="40" w:after="120"/>
              <w:ind w:right="113"/>
              <w:rPr>
                <w:lang w:eastAsia="en-US"/>
              </w:rPr>
            </w:pPr>
          </w:p>
        </w:tc>
      </w:tr>
      <w:tr w:rsidR="00C1686E" w:rsidRPr="00311046" w14:paraId="738CA7D3" w14:textId="77777777">
        <w:tc>
          <w:tcPr>
            <w:tcW w:w="7370" w:type="dxa"/>
            <w:gridSpan w:val="5"/>
            <w:shd w:val="clear" w:color="auto" w:fill="auto"/>
          </w:tcPr>
          <w:p w14:paraId="480E9C3D" w14:textId="77777777" w:rsidR="00C1686E" w:rsidRPr="00311046" w:rsidRDefault="00C1686E">
            <w:pPr>
              <w:spacing w:before="40" w:after="120"/>
              <w:ind w:right="113"/>
              <w:rPr>
                <w:lang w:eastAsia="en-US"/>
              </w:rPr>
            </w:pPr>
          </w:p>
        </w:tc>
      </w:tr>
      <w:tr w:rsidR="00C1686E" w:rsidRPr="00311046" w14:paraId="754A29FD" w14:textId="77777777">
        <w:tc>
          <w:tcPr>
            <w:tcW w:w="1842" w:type="dxa"/>
            <w:shd w:val="clear" w:color="auto" w:fill="auto"/>
          </w:tcPr>
          <w:p w14:paraId="760F4E6C" w14:textId="77777777" w:rsidR="00C1686E" w:rsidRPr="00311046" w:rsidRDefault="00C1686E">
            <w:pPr>
              <w:spacing w:before="40" w:after="120"/>
              <w:ind w:right="113"/>
              <w:rPr>
                <w:bCs/>
                <w:lang w:eastAsia="en-US"/>
              </w:rPr>
            </w:pPr>
          </w:p>
        </w:tc>
        <w:tc>
          <w:tcPr>
            <w:tcW w:w="2761" w:type="dxa"/>
            <w:shd w:val="clear" w:color="auto" w:fill="auto"/>
          </w:tcPr>
          <w:p w14:paraId="44408057" w14:textId="77777777" w:rsidR="00C1686E" w:rsidRPr="00311046" w:rsidRDefault="00C1686E">
            <w:pPr>
              <w:spacing w:before="40" w:after="120"/>
              <w:ind w:right="113"/>
              <w:rPr>
                <w:lang w:eastAsia="en-US"/>
              </w:rPr>
            </w:pPr>
          </w:p>
        </w:tc>
        <w:tc>
          <w:tcPr>
            <w:tcW w:w="1100" w:type="dxa"/>
            <w:shd w:val="clear" w:color="auto" w:fill="auto"/>
          </w:tcPr>
          <w:p w14:paraId="7988743A" w14:textId="77777777" w:rsidR="00C1686E" w:rsidRPr="00311046" w:rsidRDefault="00C1686E">
            <w:pPr>
              <w:spacing w:before="40" w:after="120"/>
              <w:ind w:right="113"/>
              <w:rPr>
                <w:lang w:eastAsia="en-US"/>
              </w:rPr>
            </w:pPr>
          </w:p>
        </w:tc>
        <w:tc>
          <w:tcPr>
            <w:tcW w:w="745" w:type="dxa"/>
            <w:shd w:val="clear" w:color="auto" w:fill="auto"/>
          </w:tcPr>
          <w:p w14:paraId="02DFC11F" w14:textId="77777777" w:rsidR="00C1686E" w:rsidRPr="00311046" w:rsidRDefault="00C1686E">
            <w:pPr>
              <w:spacing w:before="40" w:after="120"/>
              <w:ind w:right="113"/>
              <w:rPr>
                <w:lang w:eastAsia="en-US"/>
              </w:rPr>
            </w:pPr>
          </w:p>
        </w:tc>
        <w:tc>
          <w:tcPr>
            <w:tcW w:w="922" w:type="dxa"/>
            <w:shd w:val="clear" w:color="auto" w:fill="auto"/>
          </w:tcPr>
          <w:p w14:paraId="5D00730A" w14:textId="77777777" w:rsidR="00C1686E" w:rsidRPr="00311046" w:rsidRDefault="00C1686E">
            <w:pPr>
              <w:spacing w:before="40" w:after="120"/>
              <w:ind w:right="113"/>
              <w:rPr>
                <w:lang w:eastAsia="en-US"/>
              </w:rPr>
            </w:pPr>
          </w:p>
        </w:tc>
      </w:tr>
      <w:tr w:rsidR="00C1686E" w:rsidRPr="00311046" w14:paraId="63C9E7BC" w14:textId="77777777">
        <w:tc>
          <w:tcPr>
            <w:tcW w:w="1842" w:type="dxa"/>
            <w:tcBorders>
              <w:bottom w:val="single" w:sz="12" w:space="0" w:color="auto"/>
            </w:tcBorders>
            <w:shd w:val="clear" w:color="auto" w:fill="auto"/>
          </w:tcPr>
          <w:p w14:paraId="3939BA35" w14:textId="77777777" w:rsidR="00C1686E" w:rsidRPr="00311046" w:rsidRDefault="00C1686E">
            <w:pPr>
              <w:spacing w:before="40" w:after="120"/>
              <w:ind w:right="113"/>
              <w:rPr>
                <w:bCs/>
                <w:lang w:eastAsia="en-US"/>
              </w:rPr>
            </w:pPr>
          </w:p>
        </w:tc>
        <w:tc>
          <w:tcPr>
            <w:tcW w:w="2761" w:type="dxa"/>
            <w:tcBorders>
              <w:bottom w:val="single" w:sz="12" w:space="0" w:color="auto"/>
            </w:tcBorders>
            <w:shd w:val="clear" w:color="auto" w:fill="auto"/>
          </w:tcPr>
          <w:p w14:paraId="76A96149" w14:textId="77777777" w:rsidR="00C1686E" w:rsidRPr="00311046" w:rsidRDefault="00C1686E">
            <w:pPr>
              <w:spacing w:before="40" w:after="120"/>
              <w:ind w:right="113"/>
              <w:rPr>
                <w:lang w:eastAsia="en-US"/>
              </w:rPr>
            </w:pPr>
          </w:p>
        </w:tc>
        <w:tc>
          <w:tcPr>
            <w:tcW w:w="1100" w:type="dxa"/>
            <w:tcBorders>
              <w:bottom w:val="single" w:sz="12" w:space="0" w:color="auto"/>
            </w:tcBorders>
            <w:shd w:val="clear" w:color="auto" w:fill="auto"/>
          </w:tcPr>
          <w:p w14:paraId="5B062C26" w14:textId="77777777" w:rsidR="00C1686E" w:rsidRPr="00311046" w:rsidRDefault="00C1686E">
            <w:pPr>
              <w:spacing w:before="40" w:after="120"/>
              <w:ind w:right="113"/>
              <w:rPr>
                <w:lang w:eastAsia="en-US"/>
              </w:rPr>
            </w:pPr>
          </w:p>
        </w:tc>
        <w:tc>
          <w:tcPr>
            <w:tcW w:w="745" w:type="dxa"/>
            <w:tcBorders>
              <w:bottom w:val="single" w:sz="12" w:space="0" w:color="auto"/>
            </w:tcBorders>
            <w:shd w:val="clear" w:color="auto" w:fill="auto"/>
          </w:tcPr>
          <w:p w14:paraId="16D886BF" w14:textId="77777777" w:rsidR="00C1686E" w:rsidRPr="00311046" w:rsidRDefault="00C1686E">
            <w:pPr>
              <w:spacing w:before="40" w:after="120"/>
              <w:ind w:right="113"/>
              <w:rPr>
                <w:bCs/>
                <w:lang w:eastAsia="en-US"/>
              </w:rPr>
            </w:pPr>
          </w:p>
        </w:tc>
        <w:tc>
          <w:tcPr>
            <w:tcW w:w="922" w:type="dxa"/>
            <w:tcBorders>
              <w:bottom w:val="single" w:sz="12" w:space="0" w:color="auto"/>
            </w:tcBorders>
            <w:shd w:val="clear" w:color="auto" w:fill="auto"/>
          </w:tcPr>
          <w:p w14:paraId="0BB6182B" w14:textId="77777777" w:rsidR="00C1686E" w:rsidRPr="00311046" w:rsidRDefault="00C1686E">
            <w:pPr>
              <w:spacing w:before="40" w:after="120"/>
              <w:ind w:right="113"/>
              <w:rPr>
                <w:lang w:eastAsia="en-US"/>
              </w:rPr>
            </w:pPr>
          </w:p>
        </w:tc>
      </w:tr>
    </w:tbl>
    <w:p w14:paraId="53CC0764" w14:textId="77777777" w:rsidR="00C1686E" w:rsidRDefault="00C1686E" w:rsidP="00C1686E">
      <w:pPr>
        <w:pStyle w:val="SingleTxtG"/>
        <w:spacing w:before="120"/>
        <w:ind w:left="1276"/>
        <w:rPr>
          <w:sz w:val="18"/>
          <w:szCs w:val="18"/>
          <w:lang w:eastAsia="en-US"/>
        </w:rPr>
      </w:pPr>
      <w:r w:rsidRPr="00FC543E">
        <w:rPr>
          <w:i/>
          <w:iCs/>
          <w:sz w:val="18"/>
          <w:szCs w:val="18"/>
          <w:lang w:eastAsia="en-US"/>
        </w:rPr>
        <w:t>Abbreviations</w:t>
      </w:r>
      <w:r w:rsidRPr="00FC543E">
        <w:rPr>
          <w:sz w:val="18"/>
          <w:szCs w:val="18"/>
          <w:lang w:eastAsia="en-US"/>
        </w:rPr>
        <w:t>: XB, extrabudgetary</w:t>
      </w:r>
    </w:p>
    <w:p w14:paraId="34FDD478" w14:textId="69E99F6F" w:rsidR="00C1686E" w:rsidRDefault="00C1686E" w:rsidP="009277A3">
      <w:pPr>
        <w:pStyle w:val="SingleTxtG"/>
        <w:ind w:left="1276"/>
        <w:rPr>
          <w:b/>
          <w:bCs/>
        </w:rPr>
      </w:pPr>
      <w:r>
        <w:rPr>
          <w:b/>
          <w:bCs/>
        </w:rPr>
        <w:br w:type="page"/>
      </w:r>
    </w:p>
    <w:p w14:paraId="642D12A2" w14:textId="3F35FCE2" w:rsidR="00847E0A" w:rsidRPr="00107FC4" w:rsidRDefault="00847E0A" w:rsidP="00847E0A">
      <w:pPr>
        <w:pStyle w:val="HChG"/>
        <w:rPr>
          <w:lang w:eastAsia="en-US"/>
        </w:rPr>
      </w:pPr>
      <w:r>
        <w:lastRenderedPageBreak/>
        <w:tab/>
      </w:r>
      <w:r>
        <w:tab/>
      </w:r>
      <w:r w:rsidRPr="00847E0A">
        <w:t>Decision</w:t>
      </w:r>
      <w:r w:rsidRPr="00107FC4">
        <w:rPr>
          <w:lang w:eastAsia="en-US"/>
        </w:rPr>
        <w:t xml:space="preserve"> IX/3–V/3</w:t>
      </w:r>
    </w:p>
    <w:p w14:paraId="3030B57B" w14:textId="77777777" w:rsidR="00847E0A" w:rsidRPr="00107FC4" w:rsidRDefault="00847E0A" w:rsidP="00847E0A">
      <w:pPr>
        <w:pStyle w:val="H1G"/>
        <w:rPr>
          <w:lang w:eastAsia="en-US"/>
        </w:rPr>
      </w:pPr>
      <w:r w:rsidRPr="00107FC4">
        <w:rPr>
          <w:lang w:eastAsia="en-US"/>
        </w:rPr>
        <w:tab/>
      </w:r>
      <w:r w:rsidRPr="00107FC4">
        <w:rPr>
          <w:lang w:eastAsia="en-US"/>
        </w:rPr>
        <w:tab/>
      </w:r>
      <w:r w:rsidRPr="00847E0A">
        <w:t>Cooperation</w:t>
      </w:r>
      <w:r w:rsidRPr="00107FC4">
        <w:rPr>
          <w:lang w:eastAsia="en-US"/>
        </w:rPr>
        <w:t xml:space="preserve"> in marine regions </w:t>
      </w:r>
    </w:p>
    <w:p w14:paraId="57AF0759" w14:textId="77777777" w:rsidR="00847E0A" w:rsidRPr="00107FC4" w:rsidRDefault="00847E0A" w:rsidP="00847E0A">
      <w:pPr>
        <w:pStyle w:val="SingleTxtG"/>
        <w:rPr>
          <w:i/>
          <w:iCs/>
          <w:lang w:eastAsia="en-US"/>
        </w:rPr>
      </w:pPr>
      <w:r w:rsidRPr="00107FC4">
        <w:rPr>
          <w:i/>
          <w:iCs/>
          <w:lang w:eastAsia="en-US"/>
        </w:rPr>
        <w:tab/>
        <w:t>The Meeting of the Parties to the Convention and the Meeting of the Parties to the Convention serving as the Meeting of the Parties to the Protocol (Meeting of the Parties to the Protocol), meeting in joint session,</w:t>
      </w:r>
    </w:p>
    <w:p w14:paraId="70B9CF19" w14:textId="07198E7B" w:rsidR="00847E0A" w:rsidRPr="00107FC4" w:rsidRDefault="00847E0A" w:rsidP="00847E0A">
      <w:pPr>
        <w:pStyle w:val="SingleTxtG"/>
        <w:rPr>
          <w:iCs/>
          <w:lang w:eastAsia="en-US"/>
        </w:rPr>
      </w:pPr>
      <w:r w:rsidRPr="00107FC4">
        <w:rPr>
          <w:i/>
          <w:lang w:eastAsia="en-US"/>
        </w:rPr>
        <w:tab/>
        <w:t xml:space="preserve">Recalling </w:t>
      </w:r>
      <w:r w:rsidRPr="00107FC4">
        <w:rPr>
          <w:lang w:eastAsia="en-US"/>
        </w:rPr>
        <w:t>the Long-term strategy and action plan for the Convention and the Protocol</w:t>
      </w:r>
      <w:r w:rsidR="00472CC2">
        <w:rPr>
          <w:rFonts w:ascii="ZWAdobeF" w:hAnsi="ZWAdobeF" w:cs="ZWAdobeF"/>
          <w:sz w:val="2"/>
          <w:szCs w:val="2"/>
          <w:lang w:eastAsia="en-US"/>
        </w:rPr>
        <w:t>16F</w:t>
      </w:r>
      <w:r w:rsidRPr="00107FC4">
        <w:rPr>
          <w:sz w:val="18"/>
          <w:vertAlign w:val="superscript"/>
          <w:lang w:eastAsia="en-US"/>
        </w:rPr>
        <w:footnoteReference w:id="18"/>
      </w:r>
      <w:r w:rsidRPr="00107FC4">
        <w:rPr>
          <w:lang w:eastAsia="en-US"/>
        </w:rPr>
        <w:t xml:space="preserve"> that call for: creating and increasing synergies and cooperation; coordinating and cooperating with relevant treaties and organizations; and contributing to wider implementation of the Convention and the Protocol within and beyond the United Nations Economic Commission for Europe (ECE) region,</w:t>
      </w:r>
    </w:p>
    <w:p w14:paraId="234AF642" w14:textId="7A7BC26C" w:rsidR="00847E0A" w:rsidRPr="00107FC4" w:rsidRDefault="00847E0A" w:rsidP="00847E0A">
      <w:pPr>
        <w:pStyle w:val="SingleTxtG"/>
        <w:rPr>
          <w:lang w:eastAsia="en-US"/>
        </w:rPr>
      </w:pPr>
      <w:r w:rsidRPr="00107FC4">
        <w:rPr>
          <w:i/>
          <w:lang w:eastAsia="en-US"/>
        </w:rPr>
        <w:tab/>
        <w:t xml:space="preserve">Recalling also </w:t>
      </w:r>
      <w:r w:rsidRPr="00107FC4">
        <w:rPr>
          <w:iCs/>
          <w:lang w:eastAsia="en-US"/>
        </w:rPr>
        <w:t>decision VIII/2–IV/2</w:t>
      </w:r>
      <w:r w:rsidR="00472CC2">
        <w:rPr>
          <w:rFonts w:ascii="ZWAdobeF" w:hAnsi="ZWAdobeF" w:cs="ZWAdobeF"/>
          <w:iCs/>
          <w:sz w:val="2"/>
          <w:szCs w:val="2"/>
          <w:lang w:eastAsia="en-US"/>
        </w:rPr>
        <w:t>17F</w:t>
      </w:r>
      <w:r w:rsidRPr="00107FC4">
        <w:rPr>
          <w:iCs/>
          <w:sz w:val="18"/>
          <w:vertAlign w:val="superscript"/>
          <w:lang w:val="fr-CH" w:eastAsia="en-US"/>
        </w:rPr>
        <w:footnoteReference w:id="19"/>
      </w:r>
      <w:r w:rsidRPr="00107FC4">
        <w:rPr>
          <w:iCs/>
          <w:lang w:eastAsia="en-US"/>
        </w:rPr>
        <w:t xml:space="preserve"> on the adoption of the workplan </w:t>
      </w:r>
      <w:r w:rsidRPr="00107FC4">
        <w:rPr>
          <w:lang w:eastAsia="en-US"/>
        </w:rPr>
        <w:t>for 2021–2023, which</w:t>
      </w:r>
      <w:r w:rsidRPr="00107FC4">
        <w:rPr>
          <w:iCs/>
          <w:lang w:eastAsia="en-US"/>
        </w:rPr>
        <w:t xml:space="preserve"> provides for the identification of </w:t>
      </w:r>
      <w:r w:rsidRPr="00107FC4">
        <w:rPr>
          <w:lang w:eastAsia="en-US"/>
        </w:rPr>
        <w:t>synergies and subregional cooperation opportunities in marine regions, with a special focus on the Mediterranean Sea,</w:t>
      </w:r>
    </w:p>
    <w:p w14:paraId="0DD60557" w14:textId="78DE9CD8" w:rsidR="00847E0A" w:rsidRPr="00107FC4" w:rsidRDefault="00847E0A" w:rsidP="00847E0A">
      <w:pPr>
        <w:pStyle w:val="SingleTxtG"/>
        <w:rPr>
          <w:lang w:eastAsia="en-US"/>
        </w:rPr>
      </w:pPr>
      <w:r w:rsidRPr="00107FC4">
        <w:rPr>
          <w:i/>
          <w:iCs/>
          <w:lang w:eastAsia="en-US"/>
        </w:rPr>
        <w:tab/>
        <w:t>Welcoming</w:t>
      </w:r>
      <w:r w:rsidRPr="00107FC4">
        <w:rPr>
          <w:lang w:eastAsia="en-US"/>
        </w:rPr>
        <w:t xml:space="preserve"> the adoption of an agreement under the United Nations Convention on the Law of the Sea on the conservation and sustainable use of marine biological diversity of areas beyond national jurisdiction,</w:t>
      </w:r>
      <w:r w:rsidR="00472CC2">
        <w:rPr>
          <w:rFonts w:ascii="ZWAdobeF" w:hAnsi="ZWAdobeF" w:cs="ZWAdobeF"/>
          <w:sz w:val="2"/>
          <w:szCs w:val="2"/>
          <w:lang w:eastAsia="en-US"/>
        </w:rPr>
        <w:t>18F</w:t>
      </w:r>
      <w:r w:rsidRPr="00107FC4">
        <w:rPr>
          <w:sz w:val="18"/>
          <w:vertAlign w:val="superscript"/>
          <w:lang w:val="fr-CH" w:eastAsia="en-US"/>
        </w:rPr>
        <w:footnoteReference w:id="20"/>
      </w:r>
    </w:p>
    <w:p w14:paraId="66979965" w14:textId="77777777" w:rsidR="00847E0A" w:rsidRPr="00107FC4" w:rsidRDefault="00847E0A" w:rsidP="00847E0A">
      <w:pPr>
        <w:pStyle w:val="SingleTxtG"/>
        <w:rPr>
          <w:lang w:eastAsia="en-US"/>
        </w:rPr>
      </w:pPr>
      <w:r w:rsidRPr="00107FC4">
        <w:rPr>
          <w:i/>
          <w:lang w:eastAsia="en-US"/>
        </w:rPr>
        <w:tab/>
        <w:t>Concerned</w:t>
      </w:r>
      <w:r w:rsidRPr="00107FC4">
        <w:rPr>
          <w:lang w:eastAsia="en-US"/>
        </w:rPr>
        <w:t xml:space="preserve"> about the growing environmental pressures on marine and coastal ecosystems and on islands and biodiversity loss caused by climate change, increasing litter pollution (loads), tourism, fishing, mining of minerals and energy production,</w:t>
      </w:r>
    </w:p>
    <w:p w14:paraId="60E499C5" w14:textId="77777777" w:rsidR="00847E0A" w:rsidRPr="00107FC4" w:rsidRDefault="00847E0A" w:rsidP="00847E0A">
      <w:pPr>
        <w:pStyle w:val="SingleTxtG"/>
        <w:rPr>
          <w:lang w:eastAsia="en-US"/>
        </w:rPr>
      </w:pPr>
      <w:r w:rsidRPr="00107FC4">
        <w:rPr>
          <w:i/>
          <w:iCs/>
          <w:lang w:eastAsia="en-US"/>
        </w:rPr>
        <w:tab/>
        <w:t xml:space="preserve">Affirming </w:t>
      </w:r>
      <w:r w:rsidRPr="00107FC4">
        <w:rPr>
          <w:lang w:eastAsia="en-US"/>
        </w:rPr>
        <w:t>the need for a</w:t>
      </w:r>
      <w:r w:rsidRPr="00107FC4">
        <w:rPr>
          <w:i/>
          <w:iCs/>
          <w:lang w:eastAsia="en-US"/>
        </w:rPr>
        <w:t xml:space="preserve"> </w:t>
      </w:r>
      <w:r w:rsidRPr="00107FC4">
        <w:rPr>
          <w:lang w:eastAsia="en-US"/>
        </w:rPr>
        <w:t>multidisciplinary, participatory and transboundary/regional approach to the protection of marine ecosystems, islands and coastal zones,</w:t>
      </w:r>
    </w:p>
    <w:p w14:paraId="3CEC11DA" w14:textId="77777777" w:rsidR="00847E0A" w:rsidRPr="00107FC4" w:rsidRDefault="00847E0A" w:rsidP="00847E0A">
      <w:pPr>
        <w:pStyle w:val="SingleTxtG"/>
        <w:rPr>
          <w:lang w:eastAsia="en-US"/>
        </w:rPr>
      </w:pPr>
      <w:r w:rsidRPr="00107FC4">
        <w:rPr>
          <w:i/>
          <w:lang w:eastAsia="en-US"/>
        </w:rPr>
        <w:tab/>
        <w:t>Wishing</w:t>
      </w:r>
      <w:r w:rsidRPr="00107FC4">
        <w:rPr>
          <w:lang w:eastAsia="en-US"/>
        </w:rPr>
        <w:t xml:space="preserve"> to promote cooperation among Parties within and between marine regions, as well as to strengthen contacts and cooperation with States outside the ECE region and with relevant regional sea conventions and commissions,</w:t>
      </w:r>
    </w:p>
    <w:p w14:paraId="4775B8A1" w14:textId="77777777" w:rsidR="00847E0A" w:rsidRPr="00107FC4" w:rsidRDefault="00847E0A" w:rsidP="00847E0A">
      <w:pPr>
        <w:pStyle w:val="SingleTxtG"/>
        <w:rPr>
          <w:lang w:val="en-US" w:eastAsia="en-US"/>
        </w:rPr>
      </w:pPr>
      <w:r w:rsidRPr="00107FC4">
        <w:rPr>
          <w:i/>
          <w:iCs/>
          <w:lang w:val="en-US" w:eastAsia="en-US"/>
        </w:rPr>
        <w:tab/>
        <w:t xml:space="preserve">Convinced </w:t>
      </w:r>
      <w:r w:rsidRPr="00107FC4">
        <w:rPr>
          <w:lang w:val="en-US" w:eastAsia="en-US"/>
        </w:rPr>
        <w:t xml:space="preserve">of the important benefits for the marine environment of widespread, effective and coherent application of the well-established procedures of the Convention and the Protocol to maritime spatial planning, strategic planning for sustainable blue economy and to other plans, </w:t>
      </w:r>
      <w:r w:rsidRPr="00107FC4">
        <w:rPr>
          <w:lang w:eastAsia="en-US"/>
        </w:rPr>
        <w:t xml:space="preserve">programmes </w:t>
      </w:r>
      <w:r w:rsidRPr="00107FC4">
        <w:rPr>
          <w:lang w:val="en-US" w:eastAsia="en-US"/>
        </w:rPr>
        <w:t>and projects in key development sectors in marine regions, including tourism, water and waste management, as well as energy, involving, for example, exploration and exploitation of hydrocarbons, cables and pipelines, tide and wave energy and offshore wind energy, in terms of prevention and mitigation of negative impacts, including in a transboundary context,</w:t>
      </w:r>
    </w:p>
    <w:p w14:paraId="0A38C990" w14:textId="77777777" w:rsidR="00847E0A" w:rsidRPr="00107FC4" w:rsidRDefault="00847E0A" w:rsidP="00847E0A">
      <w:pPr>
        <w:pStyle w:val="SingleTxtG"/>
        <w:rPr>
          <w:i/>
          <w:lang w:eastAsia="en-US"/>
        </w:rPr>
      </w:pPr>
      <w:r w:rsidRPr="00107FC4">
        <w:rPr>
          <w:i/>
          <w:iCs/>
          <w:lang w:eastAsia="en-US"/>
        </w:rPr>
        <w:tab/>
        <w:t>Acknowledging</w:t>
      </w:r>
      <w:r w:rsidRPr="00107FC4">
        <w:rPr>
          <w:lang w:eastAsia="en-US"/>
        </w:rPr>
        <w:t xml:space="preserve"> the further need to raise awareness of the benefits of the Convention and the Protocol, in particular, beyond the ECE region, and to assist countries that need support in aligning their legislation and building capacities for the implementation of the principles and provisions of those treaties,</w:t>
      </w:r>
    </w:p>
    <w:p w14:paraId="3F996152" w14:textId="77777777" w:rsidR="00847E0A" w:rsidRPr="00107FC4" w:rsidRDefault="00847E0A" w:rsidP="00847E0A">
      <w:pPr>
        <w:pStyle w:val="SingleTxtG"/>
        <w:rPr>
          <w:iCs/>
          <w:lang w:eastAsia="en-US"/>
        </w:rPr>
      </w:pPr>
      <w:r w:rsidRPr="00107FC4">
        <w:rPr>
          <w:i/>
          <w:lang w:eastAsia="en-US"/>
        </w:rPr>
        <w:tab/>
        <w:t xml:space="preserve">Recognizing </w:t>
      </w:r>
      <w:r w:rsidRPr="00107FC4">
        <w:rPr>
          <w:iCs/>
          <w:lang w:eastAsia="en-US"/>
        </w:rPr>
        <w:t xml:space="preserve">that strengthened </w:t>
      </w:r>
      <w:r w:rsidRPr="00107FC4">
        <w:rPr>
          <w:lang w:eastAsia="en-US"/>
        </w:rPr>
        <w:t xml:space="preserve">cooperation in marine regions supports the implementation of the regional sea conventions and their respective protocols and work programmes with respect to both strategic environmental assessments and environmental impact assessments in a transboundary context, taking into account the related </w:t>
      </w:r>
      <w:r w:rsidRPr="00107FC4">
        <w:rPr>
          <w:iCs/>
          <w:lang w:eastAsia="en-US"/>
        </w:rPr>
        <w:t>legal provisions and practice thereunder,</w:t>
      </w:r>
    </w:p>
    <w:p w14:paraId="7A374F9E" w14:textId="77777777" w:rsidR="00847E0A" w:rsidRPr="00107FC4" w:rsidRDefault="00847E0A" w:rsidP="00847E0A">
      <w:pPr>
        <w:pStyle w:val="SingleTxtG"/>
        <w:rPr>
          <w:lang w:eastAsia="en-US"/>
        </w:rPr>
      </w:pPr>
      <w:r w:rsidRPr="00107FC4">
        <w:rPr>
          <w:i/>
          <w:lang w:eastAsia="en-US"/>
        </w:rPr>
        <w:tab/>
        <w:t>Expressing appreciation</w:t>
      </w:r>
      <w:r w:rsidRPr="00107FC4">
        <w:rPr>
          <w:lang w:eastAsia="en-US"/>
        </w:rPr>
        <w:t xml:space="preserve"> for the donor funding and leadership from Italy for the implementation of the workplan activities related to marine regions in 2021–2023,</w:t>
      </w:r>
    </w:p>
    <w:p w14:paraId="36F64F85" w14:textId="77777777" w:rsidR="00847E0A" w:rsidRPr="00107FC4" w:rsidRDefault="00847E0A" w:rsidP="00847E0A">
      <w:pPr>
        <w:pStyle w:val="SingleTxtG"/>
        <w:rPr>
          <w:lang w:eastAsia="en-US"/>
        </w:rPr>
      </w:pPr>
      <w:r w:rsidRPr="00107FC4">
        <w:rPr>
          <w:i/>
          <w:lang w:eastAsia="en-US"/>
        </w:rPr>
        <w:lastRenderedPageBreak/>
        <w:tab/>
        <w:t xml:space="preserve">Expressing appreciation also </w:t>
      </w:r>
      <w:r w:rsidRPr="00107FC4">
        <w:rPr>
          <w:lang w:eastAsia="en-US"/>
        </w:rPr>
        <w:t>for the interest and active participation of representatives of the regional sea conventions and partner organizations,</w:t>
      </w:r>
    </w:p>
    <w:p w14:paraId="2255632E" w14:textId="77777777" w:rsidR="00847E0A" w:rsidRPr="00107FC4" w:rsidRDefault="00847E0A" w:rsidP="00847E0A">
      <w:pPr>
        <w:pStyle w:val="SingleTxtG"/>
        <w:ind w:firstLine="567"/>
        <w:rPr>
          <w:lang w:eastAsia="en-US"/>
        </w:rPr>
      </w:pPr>
      <w:r w:rsidRPr="00107FC4">
        <w:rPr>
          <w:lang w:eastAsia="en-US"/>
        </w:rPr>
        <w:t>1.</w:t>
      </w:r>
      <w:r w:rsidRPr="00107FC4">
        <w:rPr>
          <w:lang w:eastAsia="en-US"/>
        </w:rPr>
        <w:tab/>
      </w:r>
      <w:r w:rsidRPr="00107FC4">
        <w:rPr>
          <w:i/>
          <w:lang w:eastAsia="en-US"/>
        </w:rPr>
        <w:t xml:space="preserve">Welcome </w:t>
      </w:r>
      <w:r w:rsidRPr="00107FC4">
        <w:rPr>
          <w:lang w:eastAsia="en-US"/>
        </w:rPr>
        <w:t xml:space="preserve">the final report identifying synergies and possible future cooperation activities in marine regions, prepared in consultation with representatives of the Espoo Convention and its Protocol; the Arctic Council and its Working Group on the Protection of the Arctic Marine Environment; the Convention for the Protection of the Marine Environment and the Coastal Region of the Mediterranean (Barcelona Convention); the Convention on the Protection of the Black Sea Against Pollution (Bucharest Convention) and the Black Sea Commission; the Convention on the Protection of the Marine Environment of the Baltic Sea Area (Helsinki Convention); the Convention for the Protection of the Marine Environment of the North-East Atlantic (OSPAR Convention); and the Framework Convention for the Protection of the Marine Environment of the Caspian Sea (Tehran Convention), and with support from the secretariat;  </w:t>
      </w:r>
    </w:p>
    <w:p w14:paraId="40CAA896" w14:textId="77777777" w:rsidR="00847E0A" w:rsidRPr="00107FC4" w:rsidRDefault="00847E0A" w:rsidP="00847E0A">
      <w:pPr>
        <w:pStyle w:val="SingleTxtG"/>
        <w:ind w:firstLine="567"/>
        <w:rPr>
          <w:lang w:eastAsia="en-US"/>
        </w:rPr>
      </w:pPr>
      <w:r w:rsidRPr="00107FC4">
        <w:rPr>
          <w:lang w:eastAsia="en-US"/>
        </w:rPr>
        <w:t>2.</w:t>
      </w:r>
      <w:r w:rsidRPr="00107FC4">
        <w:rPr>
          <w:lang w:eastAsia="en-US"/>
        </w:rPr>
        <w:tab/>
      </w:r>
      <w:r w:rsidRPr="00107FC4">
        <w:rPr>
          <w:i/>
          <w:lang w:eastAsia="en-US"/>
        </w:rPr>
        <w:t xml:space="preserve">Also welcome </w:t>
      </w:r>
      <w:r w:rsidRPr="00107FC4">
        <w:rPr>
          <w:lang w:eastAsia="en-US"/>
        </w:rPr>
        <w:t>the case studies from Estonia, [Italy,] Poland</w:t>
      </w:r>
      <w:r>
        <w:rPr>
          <w:lang w:eastAsia="en-US"/>
        </w:rPr>
        <w:t xml:space="preserve"> and</w:t>
      </w:r>
      <w:r w:rsidRPr="00107FC4">
        <w:rPr>
          <w:lang w:eastAsia="en-US"/>
        </w:rPr>
        <w:t xml:space="preserve"> </w:t>
      </w:r>
      <w:r>
        <w:rPr>
          <w:lang w:eastAsia="en-US"/>
        </w:rPr>
        <w:t>[</w:t>
      </w:r>
      <w:r w:rsidRPr="00107FC4">
        <w:rPr>
          <w:lang w:eastAsia="en-US"/>
        </w:rPr>
        <w:t>Slovenia</w:t>
      </w:r>
      <w:r>
        <w:rPr>
          <w:lang w:eastAsia="en-US"/>
        </w:rPr>
        <w:t>]</w:t>
      </w:r>
      <w:r w:rsidRPr="00107FC4">
        <w:rPr>
          <w:lang w:eastAsia="en-US"/>
        </w:rPr>
        <w:t>, […]  that illustrate good practice and lessons learned in the application of the Convention and the Protocol to plans, programmes and projects in marine regions, inviting also other Parties and stakeholders to provide further case studies;</w:t>
      </w:r>
    </w:p>
    <w:p w14:paraId="39B26A45" w14:textId="0F34152A" w:rsidR="00847E0A" w:rsidRPr="00107FC4" w:rsidRDefault="00847E0A" w:rsidP="00847E0A">
      <w:pPr>
        <w:pStyle w:val="SingleTxtG"/>
        <w:ind w:firstLine="567"/>
        <w:rPr>
          <w:lang w:eastAsia="en-US"/>
        </w:rPr>
      </w:pPr>
      <w:r w:rsidRPr="00107FC4">
        <w:rPr>
          <w:lang w:eastAsia="en-US"/>
        </w:rPr>
        <w:t>3.</w:t>
      </w:r>
      <w:r w:rsidRPr="00107FC4">
        <w:rPr>
          <w:lang w:eastAsia="en-US"/>
        </w:rPr>
        <w:tab/>
      </w:r>
      <w:r w:rsidRPr="00107FC4">
        <w:rPr>
          <w:i/>
          <w:lang w:eastAsia="en-US"/>
        </w:rPr>
        <w:t>Agree</w:t>
      </w:r>
      <w:r w:rsidRPr="00107FC4">
        <w:rPr>
          <w:lang w:eastAsia="en-US"/>
        </w:rPr>
        <w:t xml:space="preserve"> to include in the workplan for 2024–2026 selected cooperation activities in marine regions,</w:t>
      </w:r>
      <w:r w:rsidR="00472CC2">
        <w:rPr>
          <w:rFonts w:ascii="ZWAdobeF" w:hAnsi="ZWAdobeF" w:cs="ZWAdobeF"/>
          <w:sz w:val="2"/>
          <w:szCs w:val="2"/>
          <w:lang w:eastAsia="en-US"/>
        </w:rPr>
        <w:t>19F</w:t>
      </w:r>
      <w:r w:rsidRPr="00107FC4">
        <w:rPr>
          <w:sz w:val="18"/>
          <w:vertAlign w:val="superscript"/>
          <w:lang w:val="fr-CH" w:eastAsia="en-US"/>
        </w:rPr>
        <w:footnoteReference w:id="21"/>
      </w:r>
      <w:r w:rsidRPr="00107FC4">
        <w:rPr>
          <w:lang w:eastAsia="en-US"/>
        </w:rPr>
        <w:t xml:space="preserve"> inviting Parties and stakeholders to take the necessary actions to implement them and to report on progress at the meetings of the Working Group on Environmental Impact Assessment and Strategic Environmental Assessment;</w:t>
      </w:r>
    </w:p>
    <w:p w14:paraId="0CA3A280" w14:textId="77777777" w:rsidR="00847E0A" w:rsidRPr="00107FC4" w:rsidRDefault="00847E0A" w:rsidP="00847E0A">
      <w:pPr>
        <w:pStyle w:val="SingleTxtG"/>
        <w:ind w:firstLine="567"/>
        <w:rPr>
          <w:lang w:eastAsia="en-US"/>
        </w:rPr>
      </w:pPr>
      <w:r w:rsidRPr="00107FC4">
        <w:rPr>
          <w:lang w:eastAsia="en-US"/>
        </w:rPr>
        <w:t>4.</w:t>
      </w:r>
      <w:r w:rsidRPr="00107FC4">
        <w:rPr>
          <w:lang w:eastAsia="en-US"/>
        </w:rPr>
        <w:tab/>
      </w:r>
      <w:r w:rsidRPr="00107FC4">
        <w:rPr>
          <w:i/>
          <w:lang w:eastAsia="en-US"/>
        </w:rPr>
        <w:t xml:space="preserve">Request </w:t>
      </w:r>
      <w:r w:rsidRPr="00107FC4">
        <w:rPr>
          <w:lang w:eastAsia="en-US"/>
        </w:rPr>
        <w:t xml:space="preserve">the Bureau and </w:t>
      </w:r>
      <w:r>
        <w:rPr>
          <w:lang w:eastAsia="en-US"/>
        </w:rPr>
        <w:t xml:space="preserve">the </w:t>
      </w:r>
      <w:r w:rsidRPr="00107FC4">
        <w:rPr>
          <w:lang w:eastAsia="en-US"/>
        </w:rPr>
        <w:t>Working Group to recommend possible further activities for the workplan for 2027–2029, building on progress made and needs identified in the interim;</w:t>
      </w:r>
    </w:p>
    <w:p w14:paraId="7C9DBC46" w14:textId="77777777" w:rsidR="00847E0A" w:rsidRPr="00107FC4" w:rsidRDefault="00847E0A" w:rsidP="00847E0A">
      <w:pPr>
        <w:pStyle w:val="SingleTxtG"/>
        <w:ind w:firstLine="567"/>
        <w:rPr>
          <w:lang w:eastAsia="en-US"/>
        </w:rPr>
      </w:pPr>
      <w:r w:rsidRPr="00107FC4">
        <w:rPr>
          <w:lang w:eastAsia="en-US"/>
        </w:rPr>
        <w:t>5.</w:t>
      </w:r>
      <w:r w:rsidRPr="00107FC4">
        <w:rPr>
          <w:lang w:eastAsia="en-US"/>
        </w:rPr>
        <w:tab/>
      </w:r>
      <w:r w:rsidRPr="00107FC4">
        <w:rPr>
          <w:i/>
          <w:lang w:eastAsia="en-US"/>
        </w:rPr>
        <w:t>Affirm</w:t>
      </w:r>
      <w:r w:rsidRPr="00107FC4">
        <w:rPr>
          <w:lang w:eastAsia="en-US"/>
        </w:rPr>
        <w:t xml:space="preserve"> the importance of a coordinated international cooperation among countries, partner organizations, relevant ECE and other multilateral environmental agreements, and international financial institutions within and beyond the ECE region in assessing and addressing environmental, including health, effects, in particular in transboundary and regional contexts; </w:t>
      </w:r>
    </w:p>
    <w:p w14:paraId="4A4CB6F9" w14:textId="77777777" w:rsidR="00847E0A" w:rsidRPr="00107FC4" w:rsidRDefault="00847E0A" w:rsidP="00847E0A">
      <w:pPr>
        <w:pStyle w:val="SingleTxtG"/>
        <w:ind w:firstLine="567"/>
        <w:rPr>
          <w:lang w:eastAsia="en-US"/>
        </w:rPr>
      </w:pPr>
      <w:r w:rsidRPr="00107FC4">
        <w:rPr>
          <w:lang w:eastAsia="en-US"/>
        </w:rPr>
        <w:t>6.</w:t>
      </w:r>
      <w:r w:rsidRPr="00107FC4">
        <w:rPr>
          <w:lang w:eastAsia="en-US"/>
        </w:rPr>
        <w:tab/>
      </w:r>
      <w:r w:rsidRPr="00107FC4">
        <w:rPr>
          <w:i/>
          <w:lang w:eastAsia="en-US"/>
        </w:rPr>
        <w:t>Call on</w:t>
      </w:r>
      <w:r w:rsidRPr="00107FC4">
        <w:rPr>
          <w:lang w:eastAsia="en-US"/>
        </w:rPr>
        <w:t xml:space="preserve"> Parties to promote effective and coordinated application of the provisions of the Convention and the Protocol to projects, plans and programmes, as well as, to the extent appropriate, to policies and legislation that may have an impact on marine regions, including in the framework of the regional sea conventions and commissions;</w:t>
      </w:r>
    </w:p>
    <w:p w14:paraId="7C145DDF" w14:textId="77777777" w:rsidR="00847E0A" w:rsidRPr="00107FC4" w:rsidRDefault="00847E0A" w:rsidP="00847E0A">
      <w:pPr>
        <w:pStyle w:val="SingleTxtG"/>
        <w:ind w:firstLine="567"/>
        <w:rPr>
          <w:lang w:eastAsia="en-US"/>
        </w:rPr>
      </w:pPr>
      <w:r w:rsidRPr="00107FC4">
        <w:rPr>
          <w:lang w:eastAsia="en-US"/>
        </w:rPr>
        <w:t>7.</w:t>
      </w:r>
      <w:r w:rsidRPr="00107FC4">
        <w:rPr>
          <w:i/>
          <w:lang w:eastAsia="en-US"/>
        </w:rPr>
        <w:tab/>
        <w:t xml:space="preserve">Encourage </w:t>
      </w:r>
      <w:r w:rsidRPr="00107FC4">
        <w:rPr>
          <w:lang w:eastAsia="en-US"/>
        </w:rPr>
        <w:t xml:space="preserve">States not yet Parties to the Convention and/or the Protocol to implement their principles and, as relevant, to take steps towards acceding to those treaties; </w:t>
      </w:r>
    </w:p>
    <w:p w14:paraId="34623809" w14:textId="77777777" w:rsidR="00847E0A" w:rsidRPr="00107FC4" w:rsidRDefault="00847E0A" w:rsidP="00847E0A">
      <w:pPr>
        <w:pStyle w:val="SingleTxtG"/>
        <w:ind w:firstLine="567"/>
        <w:rPr>
          <w:i/>
          <w:lang w:eastAsia="en-US"/>
        </w:rPr>
      </w:pPr>
      <w:r w:rsidRPr="00107FC4">
        <w:rPr>
          <w:lang w:eastAsia="en-US"/>
        </w:rPr>
        <w:t>8.</w:t>
      </w:r>
      <w:r w:rsidRPr="00107FC4">
        <w:rPr>
          <w:lang w:eastAsia="en-US"/>
        </w:rPr>
        <w:tab/>
      </w:r>
      <w:r w:rsidRPr="00107FC4">
        <w:rPr>
          <w:i/>
          <w:lang w:eastAsia="en-US"/>
        </w:rPr>
        <w:t xml:space="preserve">Invite </w:t>
      </w:r>
      <w:r w:rsidRPr="00107FC4">
        <w:rPr>
          <w:lang w:eastAsia="en-US"/>
        </w:rPr>
        <w:t>United Nations organizations and other relevant intergovernmental, as well as non-governmental organizations, to continue to facilitate the application of the principles of Convention and the Protocol in marine regions;</w:t>
      </w:r>
      <w:r w:rsidRPr="00107FC4">
        <w:rPr>
          <w:i/>
          <w:lang w:eastAsia="en-US"/>
        </w:rPr>
        <w:t xml:space="preserve"> </w:t>
      </w:r>
    </w:p>
    <w:p w14:paraId="42964A41" w14:textId="60589E22" w:rsidR="009277A3" w:rsidRDefault="00B91C3A" w:rsidP="00847E0A">
      <w:pPr>
        <w:pStyle w:val="SingleTxtG"/>
        <w:ind w:left="1276"/>
        <w:rPr>
          <w:lang w:eastAsia="en-US"/>
        </w:rPr>
      </w:pPr>
      <w:r>
        <w:rPr>
          <w:lang w:eastAsia="en-US"/>
        </w:rPr>
        <w:tab/>
      </w:r>
      <w:r w:rsidR="00847E0A" w:rsidRPr="00107FC4">
        <w:rPr>
          <w:lang w:eastAsia="en-US"/>
        </w:rPr>
        <w:t>9.</w:t>
      </w:r>
      <w:r w:rsidR="00847E0A" w:rsidRPr="00107FC4">
        <w:rPr>
          <w:i/>
          <w:lang w:eastAsia="en-US"/>
        </w:rPr>
        <w:tab/>
        <w:t xml:space="preserve">Encourage </w:t>
      </w:r>
      <w:r w:rsidR="00847E0A" w:rsidRPr="00107FC4">
        <w:rPr>
          <w:lang w:eastAsia="en-US"/>
        </w:rPr>
        <w:t>international financial institutions and bilateral aid agencies to ensure that their environmental assessment procedures are consistent with the Convention and the Protocol, in relation to their strategic planning and to investment projects affecting the marine environment.</w:t>
      </w:r>
    </w:p>
    <w:p w14:paraId="6BB0DB7C" w14:textId="2E462C87" w:rsidR="00847E0A" w:rsidRPr="0090356F" w:rsidRDefault="0090356F" w:rsidP="0090356F">
      <w:pPr>
        <w:spacing w:before="240"/>
        <w:jc w:val="center"/>
        <w:rPr>
          <w:u w:val="single"/>
        </w:rPr>
      </w:pPr>
      <w:r>
        <w:rPr>
          <w:u w:val="single"/>
        </w:rPr>
        <w:tab/>
      </w:r>
      <w:r>
        <w:rPr>
          <w:u w:val="single"/>
        </w:rPr>
        <w:tab/>
      </w:r>
      <w:r>
        <w:rPr>
          <w:u w:val="single"/>
        </w:rPr>
        <w:tab/>
      </w:r>
    </w:p>
    <w:sectPr w:rsidR="00847E0A" w:rsidRPr="0090356F" w:rsidSect="00A603CF">
      <w:headerReference w:type="first" r:id="rId23"/>
      <w:footerReference w:type="first" r:id="rId24"/>
      <w:footnotePr>
        <w:numRestart w:val="eachSect"/>
      </w:footnotePr>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30931" w14:textId="77777777" w:rsidR="00C62E8C" w:rsidRDefault="00C62E8C"/>
  </w:endnote>
  <w:endnote w:type="continuationSeparator" w:id="0">
    <w:p w14:paraId="6D215F3D" w14:textId="77777777" w:rsidR="00C62E8C" w:rsidRDefault="00C62E8C"/>
  </w:endnote>
  <w:endnote w:type="continuationNotice" w:id="1">
    <w:p w14:paraId="6CDD6316" w14:textId="77777777" w:rsidR="00C62E8C" w:rsidRDefault="00C62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0379" w14:textId="4713D0A2" w:rsidR="00A603CF" w:rsidRPr="00A603CF" w:rsidRDefault="00A603CF" w:rsidP="00A603CF">
    <w:pPr>
      <w:pStyle w:val="Footer"/>
      <w:tabs>
        <w:tab w:val="right" w:pos="9638"/>
      </w:tabs>
      <w:rPr>
        <w:sz w:val="18"/>
      </w:rPr>
    </w:pPr>
    <w:r w:rsidRPr="00A603CF">
      <w:rPr>
        <w:b/>
        <w:sz w:val="18"/>
      </w:rPr>
      <w:fldChar w:fldCharType="begin"/>
    </w:r>
    <w:r w:rsidRPr="00A603CF">
      <w:rPr>
        <w:b/>
        <w:sz w:val="18"/>
      </w:rPr>
      <w:instrText xml:space="preserve"> PAGE  \* MERGEFORMAT </w:instrText>
    </w:r>
    <w:r w:rsidRPr="00A603CF">
      <w:rPr>
        <w:b/>
        <w:sz w:val="18"/>
      </w:rPr>
      <w:fldChar w:fldCharType="separate"/>
    </w:r>
    <w:r w:rsidRPr="00A603CF">
      <w:rPr>
        <w:b/>
        <w:noProof/>
        <w:sz w:val="18"/>
      </w:rPr>
      <w:t>2</w:t>
    </w:r>
    <w:r w:rsidRPr="00A603C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5199" w14:textId="49F9192E" w:rsidR="00A603CF" w:rsidRPr="00A603CF" w:rsidRDefault="00A603CF" w:rsidP="00A603CF">
    <w:pPr>
      <w:pStyle w:val="Footer"/>
      <w:tabs>
        <w:tab w:val="right" w:pos="9638"/>
      </w:tabs>
      <w:rPr>
        <w:b/>
        <w:sz w:val="18"/>
      </w:rPr>
    </w:pPr>
    <w:r>
      <w:tab/>
    </w:r>
    <w:r w:rsidRPr="00A603CF">
      <w:rPr>
        <w:b/>
        <w:sz w:val="18"/>
      </w:rPr>
      <w:fldChar w:fldCharType="begin"/>
    </w:r>
    <w:r w:rsidRPr="00A603CF">
      <w:rPr>
        <w:b/>
        <w:sz w:val="18"/>
      </w:rPr>
      <w:instrText xml:space="preserve"> PAGE  \* MERGEFORMAT </w:instrText>
    </w:r>
    <w:r w:rsidRPr="00A603CF">
      <w:rPr>
        <w:b/>
        <w:sz w:val="18"/>
      </w:rPr>
      <w:fldChar w:fldCharType="separate"/>
    </w:r>
    <w:r w:rsidRPr="00A603CF">
      <w:rPr>
        <w:b/>
        <w:noProof/>
        <w:sz w:val="18"/>
      </w:rPr>
      <w:t>3</w:t>
    </w:r>
    <w:r w:rsidRPr="00A603C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016B" w14:textId="74D2E945" w:rsidR="00541BAB" w:rsidRDefault="00541BAB" w:rsidP="00541BAB">
    <w:pPr>
      <w:pStyle w:val="Footer"/>
    </w:pPr>
    <w:r w:rsidRPr="0027112F">
      <w:rPr>
        <w:noProof/>
        <w:lang w:val="en-US"/>
      </w:rPr>
      <w:drawing>
        <wp:anchor distT="0" distB="0" distL="114300" distR="114300" simplePos="0" relativeHeight="251659264" behindDoc="0" locked="1" layoutInCell="1" allowOverlap="1" wp14:anchorId="5A4BE1BE" wp14:editId="2C20229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E5D930E" w14:textId="6DFA6F93" w:rsidR="00541BAB" w:rsidRPr="00541BAB" w:rsidRDefault="00541BAB" w:rsidP="00541BAB">
    <w:pPr>
      <w:pStyle w:val="Footer"/>
      <w:ind w:right="1134"/>
      <w:rPr>
        <w:sz w:val="20"/>
      </w:rPr>
    </w:pPr>
    <w:r>
      <w:rPr>
        <w:sz w:val="20"/>
      </w:rPr>
      <w:t>GE.23-18437(E)</w:t>
    </w:r>
    <w:r>
      <w:rPr>
        <w:noProof/>
        <w:sz w:val="20"/>
      </w:rPr>
      <w:drawing>
        <wp:anchor distT="0" distB="0" distL="114300" distR="114300" simplePos="0" relativeHeight="251660288" behindDoc="0" locked="0" layoutInCell="1" allowOverlap="1" wp14:anchorId="5A664E9B" wp14:editId="50216EFA">
          <wp:simplePos x="0" y="0"/>
          <wp:positionH relativeFrom="margin">
            <wp:posOffset>5615940</wp:posOffset>
          </wp:positionH>
          <wp:positionV relativeFrom="margin">
            <wp:posOffset>8905875</wp:posOffset>
          </wp:positionV>
          <wp:extent cx="638175" cy="638175"/>
          <wp:effectExtent l="0" t="0" r="9525" b="9525"/>
          <wp:wrapNone/>
          <wp:docPr id="350611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1F66" w14:textId="1A42F6E9" w:rsidR="00A603CF" w:rsidRPr="00A603CF" w:rsidRDefault="00A603CF">
    <w:pPr>
      <w:pStyle w:val="Footer"/>
      <w:rPr>
        <w:b/>
        <w:bCs/>
        <w:sz w:val="20"/>
      </w:rPr>
    </w:pPr>
    <w:r w:rsidRPr="00A603CF">
      <w:rPr>
        <w:b/>
        <w:bCs/>
        <w:sz w:val="20"/>
      </w:rP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41EC" w14:textId="698130B4" w:rsidR="00C01580" w:rsidRPr="00C01580" w:rsidRDefault="00C01580" w:rsidP="00C01580">
    <w:pPr>
      <w:pStyle w:val="Footer"/>
      <w:jc w:val="right"/>
      <w:rPr>
        <w:b/>
        <w:bCs/>
        <w:sz w:val="20"/>
        <w:lang w:val="fr-CH"/>
      </w:rPr>
    </w:pPr>
    <w:r>
      <w:rPr>
        <w:b/>
        <w:bCs/>
        <w:sz w:val="20"/>
        <w:lang w:val="fr-CH"/>
      </w:rPr>
      <w:t>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22FA" w14:textId="067649A7" w:rsidR="00C01580" w:rsidRPr="00C01580" w:rsidRDefault="00C01580" w:rsidP="00C01580">
    <w:pPr>
      <w:pStyle w:val="Footer"/>
      <w:rPr>
        <w:b/>
        <w:bCs/>
        <w:sz w:val="20"/>
        <w:lang w:val="fr-CH"/>
      </w:rPr>
    </w:pPr>
    <w:r>
      <w:rPr>
        <w:b/>
        <w:bCs/>
        <w:sz w:val="20"/>
        <w:lang w:val="fr-CH"/>
      </w:rPr>
      <w:t>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A51C" w14:textId="37F9D083" w:rsidR="001F08F8" w:rsidRPr="00C01580" w:rsidRDefault="001F08F8" w:rsidP="001F08F8">
    <w:pPr>
      <w:pStyle w:val="Footer"/>
      <w:jc w:val="right"/>
      <w:rPr>
        <w:b/>
        <w:bCs/>
        <w:sz w:val="20"/>
        <w:lang w:val="fr-CH"/>
      </w:rPr>
    </w:pPr>
    <w:r>
      <w:rPr>
        <w:b/>
        <w:bCs/>
        <w:sz w:val="20"/>
        <w:lang w:val="fr-CH"/>
      </w:rPr>
      <w:t>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D86AD" w14:textId="77777777" w:rsidR="00C62E8C" w:rsidRPr="000B175B" w:rsidRDefault="00C62E8C" w:rsidP="000B175B">
      <w:pPr>
        <w:tabs>
          <w:tab w:val="right" w:pos="2155"/>
        </w:tabs>
        <w:spacing w:after="80"/>
        <w:ind w:left="680"/>
        <w:rPr>
          <w:u w:val="single"/>
        </w:rPr>
      </w:pPr>
      <w:r>
        <w:rPr>
          <w:u w:val="single"/>
        </w:rPr>
        <w:tab/>
      </w:r>
    </w:p>
  </w:footnote>
  <w:footnote w:type="continuationSeparator" w:id="0">
    <w:p w14:paraId="205AF65F" w14:textId="77777777" w:rsidR="00C62E8C" w:rsidRPr="00FC68B7" w:rsidRDefault="00C62E8C" w:rsidP="00FC68B7">
      <w:pPr>
        <w:tabs>
          <w:tab w:val="left" w:pos="2155"/>
        </w:tabs>
        <w:spacing w:after="80"/>
        <w:ind w:left="680"/>
        <w:rPr>
          <w:u w:val="single"/>
        </w:rPr>
      </w:pPr>
      <w:r>
        <w:rPr>
          <w:u w:val="single"/>
        </w:rPr>
        <w:tab/>
      </w:r>
    </w:p>
  </w:footnote>
  <w:footnote w:type="continuationNotice" w:id="1">
    <w:p w14:paraId="0F223632" w14:textId="77777777" w:rsidR="00C62E8C" w:rsidRDefault="00C62E8C"/>
  </w:footnote>
  <w:footnote w:id="2">
    <w:p w14:paraId="61C2DE55" w14:textId="77777777" w:rsidR="00A603CF" w:rsidRPr="00CD4FAF" w:rsidRDefault="00A603CF" w:rsidP="00A603CF">
      <w:pPr>
        <w:pStyle w:val="FootnoteText"/>
        <w:rPr>
          <w:lang w:val="es-ES"/>
        </w:rPr>
      </w:pPr>
      <w:r>
        <w:tab/>
      </w:r>
      <w:r>
        <w:rPr>
          <w:rStyle w:val="FootnoteReference"/>
        </w:rPr>
        <w:footnoteRef/>
      </w:r>
      <w:r w:rsidRPr="00943C7E">
        <w:rPr>
          <w:lang w:val="es-ES"/>
        </w:rPr>
        <w:tab/>
      </w:r>
      <w:r w:rsidRPr="00CD4FAF">
        <w:rPr>
          <w:lang w:val="es-ES"/>
        </w:rPr>
        <w:tab/>
        <w:t>ECE/MP.EIA/30/Add.1–ECE/MP.EIA/SEA/13/Add.1.</w:t>
      </w:r>
    </w:p>
  </w:footnote>
  <w:footnote w:id="3">
    <w:p w14:paraId="0BD858D2" w14:textId="77777777" w:rsidR="00A603CF" w:rsidRPr="00CD4FAF" w:rsidRDefault="00A603CF" w:rsidP="00A603CF">
      <w:pPr>
        <w:pStyle w:val="FootnoteText"/>
        <w:rPr>
          <w:lang w:val="es-ES"/>
        </w:rPr>
      </w:pPr>
      <w:r w:rsidRPr="00CD4FAF">
        <w:rPr>
          <w:lang w:val="es-ES"/>
        </w:rPr>
        <w:tab/>
      </w:r>
      <w:r>
        <w:rPr>
          <w:rStyle w:val="FootnoteReference"/>
        </w:rPr>
        <w:footnoteRef/>
      </w:r>
      <w:r w:rsidRPr="00CD4FAF">
        <w:rPr>
          <w:lang w:val="es-ES"/>
        </w:rPr>
        <w:tab/>
      </w:r>
      <w:r w:rsidRPr="00CD4FAF">
        <w:rPr>
          <w:lang w:val="es-ES"/>
        </w:rPr>
        <w:tab/>
        <w:t>ECE/MP.EIA/20/Add.3−ECE/MP.EIA/SEA/4/Add.3, decision VI/4–II/4, annex II.</w:t>
      </w:r>
    </w:p>
  </w:footnote>
  <w:footnote w:id="4">
    <w:p w14:paraId="05D42006" w14:textId="77777777" w:rsidR="00A603CF" w:rsidRPr="00930FC1" w:rsidRDefault="00A603CF" w:rsidP="00A603CF">
      <w:pPr>
        <w:pStyle w:val="FootnoteText"/>
      </w:pPr>
      <w:r w:rsidRPr="00CD4FAF">
        <w:rPr>
          <w:lang w:val="es-ES"/>
        </w:rPr>
        <w:tab/>
      </w:r>
      <w:r>
        <w:rPr>
          <w:rStyle w:val="FootnoteReference"/>
        </w:rPr>
        <w:footnoteRef/>
      </w:r>
      <w:r>
        <w:tab/>
      </w:r>
      <w:r w:rsidRPr="00042448">
        <w:t>Through decision VIII/1–IV/1, the Meetings of the Parties affirmed the necessity for each Party to contribute, to the extent possible, depending on its “economic strength</w:t>
      </w:r>
      <w:r>
        <w:t>”, as concerns States parties. The reference to “economic strength” is not applicable to contributions of the European Union. Every three years, t</w:t>
      </w:r>
      <w:r w:rsidRPr="00042448">
        <w:t xml:space="preserve">he General Assembly </w:t>
      </w:r>
      <w:r>
        <w:t xml:space="preserve">adopts an updated </w:t>
      </w:r>
      <w:r w:rsidRPr="00042448">
        <w:t xml:space="preserve">scale of assessment </w:t>
      </w:r>
      <w:r>
        <w:t xml:space="preserve">for calculating the contributions of </w:t>
      </w:r>
      <w:r w:rsidRPr="00042448">
        <w:t>State</w:t>
      </w:r>
      <w:r>
        <w:t>s</w:t>
      </w:r>
      <w:r w:rsidRPr="00042448">
        <w:t xml:space="preserve"> Member</w:t>
      </w:r>
      <w:r>
        <w:t>s</w:t>
      </w:r>
      <w:r w:rsidRPr="00042448">
        <w:t xml:space="preserve"> of the United Nations</w:t>
      </w:r>
      <w:r>
        <w:t xml:space="preserve"> to the United Nations regular budget </w:t>
      </w:r>
      <w:r w:rsidRPr="00042448">
        <w:t xml:space="preserve">according to </w:t>
      </w:r>
      <w:r>
        <w:t>their economic strength</w:t>
      </w:r>
      <w:r w:rsidRPr="00042448">
        <w:t xml:space="preserve">, </w:t>
      </w:r>
      <w:r>
        <w:t xml:space="preserve">based on </w:t>
      </w:r>
      <w:r w:rsidRPr="00042448">
        <w:t xml:space="preserve">estimates of gross national income of each State Member. </w:t>
      </w:r>
      <w:bookmarkStart w:id="0" w:name="_Hlk135755382"/>
      <w:r>
        <w:t>Consequently, by way</w:t>
      </w:r>
      <w:r w:rsidRPr="00042448">
        <w:t xml:space="preserve"> of reference</w:t>
      </w:r>
      <w:r>
        <w:t xml:space="preserve">, </w:t>
      </w:r>
      <w:bookmarkEnd w:id="0"/>
      <w:r>
        <w:t xml:space="preserve">the </w:t>
      </w:r>
      <w:r w:rsidRPr="00042448">
        <w:t xml:space="preserve">annex to the present decision lists indicative amounts of Parties’ annual contributions for 2024 </w:t>
      </w:r>
      <w:r>
        <w:t xml:space="preserve">to </w:t>
      </w:r>
      <w:r w:rsidRPr="00042448">
        <w:t xml:space="preserve">the proposed budget for 2024–2026 </w:t>
      </w:r>
      <w:r>
        <w:t xml:space="preserve">under </w:t>
      </w:r>
      <w:r w:rsidRPr="00042448">
        <w:t>the Convention and the Protocol</w:t>
      </w:r>
      <w:r>
        <w:t xml:space="preserve">, </w:t>
      </w:r>
      <w:r w:rsidRPr="00042448">
        <w:t xml:space="preserve">calculated based on </w:t>
      </w:r>
      <w:r>
        <w:t xml:space="preserve">the United Nations </w:t>
      </w:r>
      <w:r w:rsidRPr="00042448">
        <w:t xml:space="preserve">scale of assessment </w:t>
      </w:r>
      <w:r>
        <w:t xml:space="preserve">for 2022–2024 (adopted through General Assembly resolution </w:t>
      </w:r>
      <w:r w:rsidRPr="00517291">
        <w:rPr>
          <w:color w:val="000000"/>
          <w:lang w:eastAsia="zh-CN"/>
        </w:rPr>
        <w:t>76/238</w:t>
      </w:r>
      <w:r>
        <w:rPr>
          <w:color w:val="000000"/>
          <w:lang w:eastAsia="zh-CN"/>
        </w:rPr>
        <w:t xml:space="preserve"> (A/RES/76/238))</w:t>
      </w:r>
      <w:r>
        <w:t>, as adjusted to the number of Parties to the Convention.</w:t>
      </w:r>
    </w:p>
  </w:footnote>
  <w:footnote w:id="5">
    <w:p w14:paraId="5EA8134C" w14:textId="77777777" w:rsidR="00A603CF" w:rsidRPr="00A976D6" w:rsidRDefault="00A603CF" w:rsidP="00A603CF">
      <w:pPr>
        <w:pStyle w:val="FootnoteText"/>
      </w:pPr>
      <w:r>
        <w:tab/>
      </w:r>
      <w:r>
        <w:rPr>
          <w:rStyle w:val="FootnoteReference"/>
        </w:rPr>
        <w:footnoteRef/>
      </w:r>
      <w:r w:rsidRPr="00CD4FAF">
        <w:rPr>
          <w:lang w:val="es-ES"/>
        </w:rPr>
        <w:tab/>
        <w:t xml:space="preserve">ECE/MP.EIA/30/Add.1–ECE/MP.EIA/SEA/13/Add.1, decision VIII/3–IV/3, annex, para. </w:t>
      </w:r>
      <w:r>
        <w:t>6.</w:t>
      </w:r>
    </w:p>
  </w:footnote>
  <w:footnote w:id="6">
    <w:p w14:paraId="0A0FBD0C" w14:textId="77777777" w:rsidR="00C01580" w:rsidRPr="008440C4" w:rsidRDefault="00C01580" w:rsidP="00C01580">
      <w:pPr>
        <w:pStyle w:val="FootnoteText"/>
      </w:pPr>
      <w:r>
        <w:tab/>
      </w:r>
      <w:r>
        <w:rPr>
          <w:rStyle w:val="FootnoteReference"/>
        </w:rPr>
        <w:footnoteRef/>
      </w:r>
      <w:r>
        <w:t xml:space="preserve"> </w:t>
      </w:r>
      <w:r>
        <w:tab/>
        <w:t xml:space="preserve">Available at </w:t>
      </w:r>
      <w:hyperlink r:id="rId1" w:history="1">
        <w:r w:rsidRPr="00FB4A82">
          <w:rPr>
            <w:rStyle w:val="Hyperlink"/>
            <w:color w:val="auto"/>
          </w:rPr>
          <w:t>https://unece.org/info/Environment-Policy/Environmental-assessment/pub/21608</w:t>
        </w:r>
      </w:hyperlink>
      <w:r w:rsidRPr="00FB4A82">
        <w:t>.</w:t>
      </w:r>
    </w:p>
  </w:footnote>
  <w:footnote w:id="7">
    <w:p w14:paraId="18D43414" w14:textId="77777777" w:rsidR="00C01580" w:rsidRPr="00070902" w:rsidRDefault="00C01580" w:rsidP="00C01580">
      <w:pPr>
        <w:pStyle w:val="FootnoteText"/>
        <w:rPr>
          <w:lang w:val="en-US"/>
        </w:rPr>
      </w:pPr>
      <w:r>
        <w:tab/>
      </w:r>
      <w:r>
        <w:rPr>
          <w:rStyle w:val="FootnoteReference"/>
        </w:rPr>
        <w:footnoteRef/>
      </w:r>
      <w:r w:rsidRPr="00070902">
        <w:rPr>
          <w:lang w:val="en-US"/>
        </w:rPr>
        <w:t xml:space="preserve"> </w:t>
      </w:r>
      <w:r w:rsidRPr="00070902">
        <w:rPr>
          <w:lang w:val="en-US"/>
        </w:rPr>
        <w:tab/>
        <w:t xml:space="preserve">Decision I/5–V/5 (ECE/MP.EIA/SEA/2) and ECE/MP.EIA/30–ECE/MP.EIA/SEA/13, annex II. </w:t>
      </w:r>
    </w:p>
  </w:footnote>
  <w:footnote w:id="8">
    <w:p w14:paraId="1FDE9804" w14:textId="77777777" w:rsidR="00C01580" w:rsidRPr="006B7DF4" w:rsidRDefault="00C01580" w:rsidP="00C01580">
      <w:pPr>
        <w:pStyle w:val="FootnoteText"/>
      </w:pPr>
      <w:r w:rsidRPr="00070902">
        <w:rPr>
          <w:lang w:val="en-US"/>
        </w:rPr>
        <w:tab/>
      </w:r>
      <w:r>
        <w:rPr>
          <w:rStyle w:val="FootnoteReference"/>
        </w:rPr>
        <w:footnoteRef/>
      </w:r>
      <w:r>
        <w:t xml:space="preserve"> </w:t>
      </w:r>
      <w:r>
        <w:tab/>
      </w:r>
      <w:r w:rsidRPr="006B7DF4">
        <w:t>Convention</w:t>
      </w:r>
      <w:r>
        <w:t xml:space="preserve"> (art. 13),</w:t>
      </w:r>
      <w:r w:rsidRPr="006B7DF4">
        <w:t xml:space="preserve"> Protocol</w:t>
      </w:r>
      <w:r>
        <w:t xml:space="preserve"> (art. 17) and rules </w:t>
      </w:r>
      <w:r w:rsidRPr="00C8254E">
        <w:t xml:space="preserve">24–25 of </w:t>
      </w:r>
      <w:r w:rsidRPr="0052651E">
        <w:t xml:space="preserve">the </w:t>
      </w:r>
      <w:r w:rsidRPr="00C8254E">
        <w:t>rules of procedure.</w:t>
      </w:r>
      <w:r>
        <w:t xml:space="preserve"> </w:t>
      </w:r>
    </w:p>
  </w:footnote>
  <w:footnote w:id="9">
    <w:p w14:paraId="397AA67F" w14:textId="77777777" w:rsidR="00C01580" w:rsidRPr="00EC43FD" w:rsidRDefault="00C01580" w:rsidP="00C01580">
      <w:pPr>
        <w:pStyle w:val="FootnoteText"/>
      </w:pPr>
      <w:r>
        <w:tab/>
      </w:r>
      <w:r>
        <w:rPr>
          <w:rStyle w:val="FootnoteReference"/>
        </w:rPr>
        <w:footnoteRef/>
      </w:r>
      <w:r>
        <w:t xml:space="preserve"> </w:t>
      </w:r>
      <w:r>
        <w:tab/>
        <w:t xml:space="preserve">Interpretation is expected to be available for in-person meetings of the Meetings of the Parties, the Working Group and, as required, the Implementation Committee. Organization of meetings requiring remote simultaneous interpretation is subject to availability of sufficient additional funding and staffing resources. </w:t>
      </w:r>
    </w:p>
  </w:footnote>
  <w:footnote w:id="10">
    <w:p w14:paraId="31523632" w14:textId="77777777" w:rsidR="00C01580" w:rsidRPr="00E94DAA" w:rsidRDefault="00C01580" w:rsidP="00C01580">
      <w:pPr>
        <w:pStyle w:val="FootnoteText"/>
      </w:pPr>
      <w:r>
        <w:tab/>
      </w:r>
      <w:r>
        <w:rPr>
          <w:rStyle w:val="FootnoteReference"/>
        </w:rPr>
        <w:footnoteRef/>
      </w:r>
      <w:r>
        <w:t xml:space="preserve"> </w:t>
      </w:r>
      <w:r>
        <w:tab/>
        <w:t xml:space="preserve">Should the treaty secretariat’s resources for its core functions not be strengthened by at least 1 professional staff member and administrative support at 50 per cent, the secretariat will only be able to ensure reduced support to the Meetings of the Parties, the Bureau and the Working Group (reduced number of meetings, [including none in 2024], reduced meeting agendas and documentation; no support for thematic events; less detailed briefing notes to officers; limitation of follow-up activities and tasks that treaty bodies can ask secretariat to carry out). </w:t>
      </w:r>
    </w:p>
  </w:footnote>
  <w:footnote w:id="11">
    <w:p w14:paraId="39F5F0C2" w14:textId="77777777" w:rsidR="00C01580" w:rsidRPr="00E94DAA" w:rsidRDefault="00C01580" w:rsidP="00C01580">
      <w:pPr>
        <w:pStyle w:val="FootnoteText"/>
      </w:pPr>
      <w:r>
        <w:tab/>
      </w:r>
      <w:r>
        <w:rPr>
          <w:rStyle w:val="FootnoteReference"/>
        </w:rPr>
        <w:footnoteRef/>
      </w:r>
      <w:r>
        <w:t xml:space="preserve"> </w:t>
      </w:r>
      <w:r>
        <w:tab/>
        <w:t xml:space="preserve">In the absence of additional professional and administrative staffing for supporting the secretariat’s core functions, the secretariat can only ensure limited promotion of the Convention and the Protocol, and the visibility and the coordination of their activities, in terms of: website management; media coverage; promotional material; bilateral and multilateral communication with Governments and  stakeholders, including, at high-level, by ECE senior management; outreach; engagement with other relevant organizations, legal instruments and international processes; and participation in relevant meetings. </w:t>
      </w:r>
    </w:p>
  </w:footnote>
  <w:footnote w:id="12">
    <w:p w14:paraId="2B221F17" w14:textId="77777777" w:rsidR="00C01580" w:rsidRPr="00E94DAA" w:rsidRDefault="00C01580" w:rsidP="00C01580">
      <w:pPr>
        <w:pStyle w:val="FootnoteText"/>
      </w:pPr>
      <w:r>
        <w:tab/>
      </w:r>
      <w:r>
        <w:rPr>
          <w:rStyle w:val="FootnoteReference"/>
        </w:rPr>
        <w:footnoteRef/>
      </w:r>
      <w:r>
        <w:t xml:space="preserve"> </w:t>
      </w:r>
      <w:r>
        <w:tab/>
        <w:t xml:space="preserve">In the absence of additional Professional and administrative staffing, the secretariat must still ensure its core functions related to programme and budgetary management, in accordance with United Nations rules, but would need to limit the details of financial reporting to Parties. </w:t>
      </w:r>
    </w:p>
  </w:footnote>
  <w:footnote w:id="13">
    <w:p w14:paraId="417B60E7" w14:textId="77777777" w:rsidR="00C01580" w:rsidRPr="00E94DAA" w:rsidRDefault="00C01580" w:rsidP="00C01580">
      <w:pPr>
        <w:pStyle w:val="FootnoteText"/>
      </w:pPr>
      <w:r>
        <w:tab/>
      </w:r>
      <w:r>
        <w:rPr>
          <w:rStyle w:val="FootnoteReference"/>
        </w:rPr>
        <w:footnoteRef/>
      </w:r>
      <w:r>
        <w:t xml:space="preserve"> </w:t>
      </w:r>
      <w:r>
        <w:tab/>
      </w:r>
      <w:bookmarkStart w:id="36" w:name="_Hlk126593030"/>
      <w:r>
        <w:t>In the absence of additional professional and administrative staffing for supporting the secretariat’s core functions, the secretariat will only be able to ensure reduced support to the review of compliance work led by the Implementation Committee (reduced number of meetings and documentation; streamlining of the Committee’s work to reduce the secretariat’s related tasks).</w:t>
      </w:r>
    </w:p>
    <w:bookmarkEnd w:id="36"/>
  </w:footnote>
  <w:footnote w:id="14">
    <w:p w14:paraId="354144BA" w14:textId="77777777" w:rsidR="00C01580" w:rsidRPr="0094735D" w:rsidRDefault="00C01580" w:rsidP="00C01580">
      <w:pPr>
        <w:pStyle w:val="FootnoteText"/>
      </w:pPr>
      <w:r>
        <w:tab/>
      </w:r>
      <w:r>
        <w:rPr>
          <w:rStyle w:val="FootnoteReference"/>
        </w:rPr>
        <w:footnoteRef/>
      </w:r>
      <w:r>
        <w:t xml:space="preserve"> </w:t>
      </w:r>
      <w:r>
        <w:tab/>
        <w:t>As required, and to the extent feasible, the secretariat will arrange i</w:t>
      </w:r>
      <w:r w:rsidRPr="0094735D">
        <w:t xml:space="preserve">nterpretation </w:t>
      </w:r>
      <w:r>
        <w:t>between English and Russian</w:t>
      </w:r>
      <w:r w:rsidRPr="0094735D">
        <w:t xml:space="preserve"> for in-person </w:t>
      </w:r>
      <w:r>
        <w:t xml:space="preserve">Implementation Committee </w:t>
      </w:r>
      <w:r w:rsidRPr="0094735D">
        <w:t xml:space="preserve">meetings. The organization of meetings requiring remote simultaneous interpretation </w:t>
      </w:r>
      <w:r>
        <w:t>is dependent upon</w:t>
      </w:r>
      <w:r w:rsidRPr="0094735D">
        <w:t xml:space="preserve"> </w:t>
      </w:r>
      <w:r>
        <w:t xml:space="preserve">provision of </w:t>
      </w:r>
      <w:r w:rsidRPr="0094735D">
        <w:t>sufficient additional funding and staffing resources</w:t>
      </w:r>
      <w:r>
        <w:t xml:space="preserve"> by Parties</w:t>
      </w:r>
      <w:r w:rsidRPr="0094735D">
        <w:t>.</w:t>
      </w:r>
    </w:p>
  </w:footnote>
  <w:footnote w:id="15">
    <w:p w14:paraId="41BE40C4" w14:textId="77777777" w:rsidR="00C01580" w:rsidRPr="00FB309F" w:rsidRDefault="00C01580" w:rsidP="00C01580">
      <w:pPr>
        <w:pStyle w:val="FootnoteText"/>
      </w:pPr>
      <w:r>
        <w:tab/>
      </w:r>
      <w:r>
        <w:rPr>
          <w:rStyle w:val="FootnoteReference"/>
        </w:rPr>
        <w:footnoteRef/>
      </w:r>
      <w:r>
        <w:tab/>
      </w:r>
      <w:bookmarkStart w:id="45" w:name="_Hlk127452369"/>
      <w:r w:rsidRPr="00FB309F">
        <w:t xml:space="preserve">In </w:t>
      </w:r>
      <w:r>
        <w:t xml:space="preserve">the </w:t>
      </w:r>
      <w:r w:rsidRPr="00FB309F">
        <w:t xml:space="preserve">absence of additional </w:t>
      </w:r>
      <w:r>
        <w:t>P</w:t>
      </w:r>
      <w:r w:rsidRPr="00FB309F">
        <w:t xml:space="preserve">rofessional and administrative </w:t>
      </w:r>
      <w:r>
        <w:t>staffing</w:t>
      </w:r>
      <w:r w:rsidRPr="00FB309F">
        <w:t xml:space="preserve"> for supporting the </w:t>
      </w:r>
      <w:r>
        <w:t xml:space="preserve">secretariat’s </w:t>
      </w:r>
      <w:r w:rsidRPr="00FB309F">
        <w:t xml:space="preserve">core functions, </w:t>
      </w:r>
      <w:r>
        <w:t xml:space="preserve">reviews of implementation, as adopted, would be made available as official documents.  </w:t>
      </w:r>
      <w:bookmarkEnd w:id="45"/>
    </w:p>
  </w:footnote>
  <w:footnote w:id="16">
    <w:p w14:paraId="2AC163B0" w14:textId="77777777" w:rsidR="00C01580" w:rsidRPr="006D7094" w:rsidRDefault="00C01580" w:rsidP="00C01580">
      <w:pPr>
        <w:pStyle w:val="FootnoteText"/>
      </w:pPr>
      <w:r>
        <w:tab/>
      </w:r>
      <w:r>
        <w:rPr>
          <w:rStyle w:val="FootnoteReference"/>
        </w:rPr>
        <w:footnoteRef/>
      </w:r>
      <w:r>
        <w:tab/>
      </w:r>
      <w:r w:rsidRPr="00FB309F">
        <w:t xml:space="preserve">In </w:t>
      </w:r>
      <w:r w:rsidRPr="00E443DE">
        <w:t>the</w:t>
      </w:r>
      <w:r>
        <w:t xml:space="preserve"> </w:t>
      </w:r>
      <w:r w:rsidRPr="00FB309F">
        <w:t xml:space="preserve">absence of additional </w:t>
      </w:r>
      <w:r>
        <w:t xml:space="preserve">staff resources, </w:t>
      </w:r>
      <w:r w:rsidRPr="00FB309F">
        <w:t>the secretariat</w:t>
      </w:r>
      <w:r>
        <w:t xml:space="preserve"> could not support the organization of the thematic events. </w:t>
      </w:r>
    </w:p>
  </w:footnote>
  <w:footnote w:id="17">
    <w:p w14:paraId="581A29E2" w14:textId="4BCF4680" w:rsidR="00C01580" w:rsidRPr="00AF4E86" w:rsidRDefault="00C01580" w:rsidP="00C01580">
      <w:pPr>
        <w:pStyle w:val="FootnoteText"/>
        <w:rPr>
          <w:lang w:val="en-US"/>
        </w:rPr>
      </w:pPr>
      <w:r>
        <w:tab/>
      </w:r>
      <w:r>
        <w:rPr>
          <w:rStyle w:val="FootnoteReference"/>
        </w:rPr>
        <w:footnoteRef/>
      </w:r>
      <w:r w:rsidR="004D3B5D">
        <w:tab/>
      </w:r>
      <w:r>
        <w:t xml:space="preserve">Not subject to endorsement by the Meetings of the Parties. </w:t>
      </w:r>
    </w:p>
  </w:footnote>
  <w:footnote w:id="18">
    <w:p w14:paraId="7791FF38" w14:textId="77777777" w:rsidR="00847E0A" w:rsidRPr="00B932BE" w:rsidRDefault="00847E0A" w:rsidP="00847E0A">
      <w:pPr>
        <w:pStyle w:val="FootnoteText"/>
      </w:pPr>
      <w:r w:rsidRPr="00B932BE">
        <w:tab/>
      </w:r>
      <w:r>
        <w:rPr>
          <w:rStyle w:val="FootnoteReference"/>
        </w:rPr>
        <w:footnoteRef/>
      </w:r>
      <w:r w:rsidRPr="00B932BE">
        <w:tab/>
        <w:t>ECE/MP.EIA/30/Add.1–ECE/MP.EIA/SEA/13/Add.1, decision VIII/3–IV/3, annex, items II.A.5, II.B.4 and II.C.</w:t>
      </w:r>
    </w:p>
  </w:footnote>
  <w:footnote w:id="19">
    <w:p w14:paraId="36F906CC" w14:textId="77777777" w:rsidR="00847E0A" w:rsidRPr="00284FE5" w:rsidRDefault="00847E0A" w:rsidP="00847E0A">
      <w:pPr>
        <w:pStyle w:val="FootnoteText"/>
        <w:rPr>
          <w:lang w:val="en-US"/>
        </w:rPr>
      </w:pPr>
      <w:r w:rsidRPr="00B932BE">
        <w:tab/>
      </w:r>
      <w:r>
        <w:rPr>
          <w:rStyle w:val="FootnoteReference"/>
        </w:rPr>
        <w:footnoteRef/>
      </w:r>
      <w:r>
        <w:t xml:space="preserve"> </w:t>
      </w:r>
      <w:r>
        <w:tab/>
        <w:t>Ibid.</w:t>
      </w:r>
      <w:r w:rsidRPr="00284FE5">
        <w:t>, decision VIII/2–IV/2, annex I, item III.A.4.</w:t>
      </w:r>
    </w:p>
  </w:footnote>
  <w:footnote w:id="20">
    <w:p w14:paraId="0A8698E7" w14:textId="77777777" w:rsidR="00847E0A" w:rsidRPr="00CD4FAF" w:rsidRDefault="00847E0A" w:rsidP="00847E0A">
      <w:pPr>
        <w:pStyle w:val="FootnoteText"/>
      </w:pPr>
      <w:r>
        <w:tab/>
      </w:r>
      <w:r>
        <w:rPr>
          <w:rStyle w:val="FootnoteReference"/>
        </w:rPr>
        <w:footnoteRef/>
      </w:r>
      <w:r>
        <w:t xml:space="preserve"> </w:t>
      </w:r>
      <w:r>
        <w:tab/>
      </w:r>
      <w:r>
        <w:tab/>
      </w:r>
      <w:r w:rsidRPr="00CD4FAF">
        <w:t xml:space="preserve">See advance, unedited version of agreement at </w:t>
      </w:r>
      <w:hyperlink r:id="rId2" w:history="1">
        <w:r w:rsidRPr="00CD4FAF">
          <w:rPr>
            <w:rStyle w:val="Hyperlink"/>
          </w:rPr>
          <w:t>www.un.org/bbnj/sites/www.un.org.bbnj/files/draft_agreement_advanced_unedited_for_posting_v1.pdf</w:t>
        </w:r>
      </w:hyperlink>
      <w:r w:rsidRPr="00CD4FAF">
        <w:t>.</w:t>
      </w:r>
    </w:p>
  </w:footnote>
  <w:footnote w:id="21">
    <w:p w14:paraId="68A492C2" w14:textId="77777777" w:rsidR="00847E0A" w:rsidRPr="002D7722" w:rsidRDefault="00847E0A" w:rsidP="00847E0A">
      <w:pPr>
        <w:pStyle w:val="FootnoteText"/>
      </w:pPr>
      <w:r>
        <w:tab/>
      </w:r>
      <w:r>
        <w:rPr>
          <w:rStyle w:val="FootnoteReference"/>
        </w:rPr>
        <w:footnoteRef/>
      </w:r>
      <w:r w:rsidRPr="002D7722">
        <w:t xml:space="preserve"> </w:t>
      </w:r>
      <w:r>
        <w:tab/>
      </w:r>
      <w:r w:rsidRPr="002D7722">
        <w:t>ECE/MP.EIA/32/Add.1–ECE/MP.EIA/SEA/15, decision IX/2–V/2, annex I, item</w:t>
      </w:r>
      <w:r>
        <w:t>s</w:t>
      </w:r>
      <w:r w:rsidRPr="002D7722">
        <w:t>.</w:t>
      </w:r>
      <w:r>
        <w:t xml:space="preserve"> III.A. 2 and 3,</w:t>
      </w:r>
      <w:r w:rsidRPr="002D7722">
        <w:t xml:space="preserve"> forthcoming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4258" w14:textId="1CD3CC86" w:rsidR="00A603CF" w:rsidRPr="002E6806" w:rsidRDefault="004072B0">
    <w:pPr>
      <w:pStyle w:val="Header"/>
      <w:rPr>
        <w:lang w:val="es-ES_tradnl"/>
      </w:rPr>
    </w:pPr>
    <w:r w:rsidRPr="004072B0">
      <w:rPr>
        <w:lang w:val="es-ES_tradnl"/>
      </w:rPr>
      <w:t>ECE/MP.EIA/2023/1</w:t>
    </w:r>
    <w:r w:rsidR="00A603CF" w:rsidRPr="002E6806">
      <w:rPr>
        <w:lang w:val="es-ES_tradnl"/>
      </w:rPr>
      <w:br/>
    </w:r>
    <w:r w:rsidR="00BF788C">
      <w:fldChar w:fldCharType="begin"/>
    </w:r>
    <w:r w:rsidR="00BF788C" w:rsidRPr="002E6806">
      <w:rPr>
        <w:lang w:val="es-ES_tradnl"/>
      </w:rPr>
      <w:instrText xml:space="preserve"> KEYWORDS  \* MERGEFORMAT </w:instrText>
    </w:r>
    <w:r w:rsidR="00BF788C">
      <w:fldChar w:fldCharType="separate"/>
    </w:r>
    <w:r>
      <w:rPr>
        <w:lang w:val="es-ES_tradnl"/>
      </w:rPr>
      <w:t>ECE/MP.EIA/SEA/2023/1</w:t>
    </w:r>
    <w:r w:rsidR="00BF788C">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991F" w14:textId="4C223682" w:rsidR="00A603CF" w:rsidRPr="002E6806" w:rsidRDefault="004072B0" w:rsidP="00A603CF">
    <w:pPr>
      <w:pStyle w:val="Header"/>
      <w:jc w:val="right"/>
      <w:rPr>
        <w:lang w:val="es-ES_tradnl"/>
      </w:rPr>
    </w:pPr>
    <w:r w:rsidRPr="004072B0">
      <w:rPr>
        <w:lang w:val="es-ES_tradnl"/>
      </w:rPr>
      <w:t>ECE/MP.EIA/2023/1</w:t>
    </w:r>
    <w:r w:rsidR="00A603CF" w:rsidRPr="002E6806">
      <w:rPr>
        <w:lang w:val="es-ES_tradnl"/>
      </w:rPr>
      <w:br/>
    </w:r>
    <w:r w:rsidR="00BF788C">
      <w:fldChar w:fldCharType="begin"/>
    </w:r>
    <w:r w:rsidR="00BF788C" w:rsidRPr="002E6806">
      <w:rPr>
        <w:lang w:val="es-ES_tradnl"/>
      </w:rPr>
      <w:instrText xml:space="preserve"> KEYWORDS  \* MERGEFORMAT </w:instrText>
    </w:r>
    <w:r w:rsidR="00BF788C">
      <w:fldChar w:fldCharType="separate"/>
    </w:r>
    <w:r>
      <w:rPr>
        <w:lang w:val="es-ES_tradnl"/>
      </w:rPr>
      <w:t>ECE/MP.EIA/SEA/2023/1</w:t>
    </w:r>
    <w:r w:rsidR="00BF788C">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417E" w14:textId="1D6A1808" w:rsidR="00A603CF" w:rsidRPr="002E6806" w:rsidRDefault="00806486" w:rsidP="00A603CF">
    <w:pPr>
      <w:pStyle w:val="Header"/>
      <w:rPr>
        <w:lang w:val="es-ES_tradnl"/>
      </w:rPr>
    </w:pPr>
    <w:r w:rsidRPr="00806486">
      <w:rPr>
        <w:lang w:val="es-ES_tradnl"/>
      </w:rPr>
      <w:t>ECE/MP.EIA/2023/1</w:t>
    </w:r>
    <w:r w:rsidR="00A603CF" w:rsidRPr="002E6806">
      <w:rPr>
        <w:lang w:val="es-ES_tradnl"/>
      </w:rPr>
      <w:br/>
    </w:r>
    <w:r w:rsidR="00BF788C">
      <w:fldChar w:fldCharType="begin"/>
    </w:r>
    <w:r w:rsidR="00BF788C" w:rsidRPr="002E6806">
      <w:rPr>
        <w:lang w:val="es-ES_tradnl"/>
      </w:rPr>
      <w:instrText xml:space="preserve"> KEYWORDS  \* MERGEFORMAT </w:instrText>
    </w:r>
    <w:r w:rsidR="00BF788C">
      <w:fldChar w:fldCharType="separate"/>
    </w:r>
    <w:r w:rsidR="004072B0">
      <w:rPr>
        <w:lang w:val="es-ES_tradnl"/>
      </w:rPr>
      <w:t>ECE/MP.EIA/SEA/2023/1</w:t>
    </w:r>
    <w:r w:rsidR="00BF788C">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C89D" w14:textId="7606036E" w:rsidR="00C01580" w:rsidRPr="002E6806" w:rsidRDefault="00806486" w:rsidP="00C01580">
    <w:pPr>
      <w:pStyle w:val="Header"/>
      <w:jc w:val="right"/>
      <w:rPr>
        <w:lang w:val="es-ES_tradnl"/>
      </w:rPr>
    </w:pPr>
    <w:r w:rsidRPr="00806486">
      <w:rPr>
        <w:lang w:val="es-ES_tradnl"/>
      </w:rPr>
      <w:t>ECE/MP.EIA/2023/1</w:t>
    </w:r>
    <w:r w:rsidR="00C01580" w:rsidRPr="002E6806">
      <w:rPr>
        <w:lang w:val="es-ES_tradnl"/>
      </w:rPr>
      <w:br/>
    </w:r>
    <w:r w:rsidR="00BF788C">
      <w:fldChar w:fldCharType="begin"/>
    </w:r>
    <w:r w:rsidR="00BF788C" w:rsidRPr="002E6806">
      <w:rPr>
        <w:lang w:val="es-ES_tradnl"/>
      </w:rPr>
      <w:instrText xml:space="preserve"> KEYWORDS  \* MERGEFORMAT </w:instrText>
    </w:r>
    <w:r w:rsidR="00BF788C">
      <w:fldChar w:fldCharType="separate"/>
    </w:r>
    <w:r w:rsidR="004072B0">
      <w:rPr>
        <w:lang w:val="es-ES_tradnl"/>
      </w:rPr>
      <w:t>ECE/MP.EIA/SEA/2023/1</w:t>
    </w:r>
    <w:r w:rsidR="00BF788C">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1F5" w14:textId="7A5B5846" w:rsidR="00C01580" w:rsidRPr="002E6806" w:rsidRDefault="00806486" w:rsidP="00C01580">
    <w:pPr>
      <w:pStyle w:val="Header"/>
      <w:rPr>
        <w:lang w:val="es-ES_tradnl"/>
      </w:rPr>
    </w:pPr>
    <w:r w:rsidRPr="00806486">
      <w:rPr>
        <w:lang w:val="es-ES_tradnl"/>
      </w:rPr>
      <w:t>ECE/MP.EIA/2023/1</w:t>
    </w:r>
    <w:r w:rsidR="00C01580" w:rsidRPr="002E6806">
      <w:rPr>
        <w:lang w:val="es-ES_tradnl"/>
      </w:rPr>
      <w:br/>
    </w:r>
    <w:r w:rsidR="00BF788C">
      <w:fldChar w:fldCharType="begin"/>
    </w:r>
    <w:r w:rsidR="00BF788C" w:rsidRPr="002E6806">
      <w:rPr>
        <w:lang w:val="es-ES_tradnl"/>
      </w:rPr>
      <w:instrText xml:space="preserve"> KEYWORDS  \* MERGEFORMAT </w:instrText>
    </w:r>
    <w:r w:rsidR="00BF788C">
      <w:fldChar w:fldCharType="separate"/>
    </w:r>
    <w:r w:rsidR="004072B0">
      <w:rPr>
        <w:lang w:val="es-ES_tradnl"/>
      </w:rPr>
      <w:t>ECE/MP.EIA/SEA/2023/1</w:t>
    </w:r>
    <w:r w:rsidR="00BF788C">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73D5" w14:textId="419C2218" w:rsidR="001F08F8" w:rsidRPr="002E6806" w:rsidRDefault="00806486" w:rsidP="001F08F8">
    <w:pPr>
      <w:pStyle w:val="Header"/>
      <w:jc w:val="right"/>
      <w:rPr>
        <w:lang w:val="es-ES_tradnl"/>
      </w:rPr>
    </w:pPr>
    <w:r w:rsidRPr="00806486">
      <w:rPr>
        <w:lang w:val="es-ES_tradnl"/>
      </w:rPr>
      <w:t>ECE/MP.EIA/2023/1</w:t>
    </w:r>
    <w:r w:rsidR="001F08F8" w:rsidRPr="002E6806">
      <w:rPr>
        <w:lang w:val="es-ES_tradnl"/>
      </w:rPr>
      <w:br/>
    </w:r>
    <w:r w:rsidR="00BF788C">
      <w:fldChar w:fldCharType="begin"/>
    </w:r>
    <w:r w:rsidR="00BF788C" w:rsidRPr="002E6806">
      <w:rPr>
        <w:lang w:val="es-ES_tradnl"/>
      </w:rPr>
      <w:instrText xml:space="preserve"> KEYWORDS  \* MERGEFORMAT </w:instrText>
    </w:r>
    <w:r w:rsidR="00BF788C">
      <w:fldChar w:fldCharType="separate"/>
    </w:r>
    <w:r w:rsidR="004072B0">
      <w:rPr>
        <w:lang w:val="es-ES_tradnl"/>
      </w:rPr>
      <w:t>ECE/MP.EIA/SEA/2023/1</w:t>
    </w:r>
    <w:r w:rsidR="00BF788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042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9B64B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850E0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D21A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80865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FEBE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DC2A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004E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72A2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401A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82063592">
    <w:abstractNumId w:val="1"/>
  </w:num>
  <w:num w:numId="2" w16cid:durableId="958561696">
    <w:abstractNumId w:val="0"/>
  </w:num>
  <w:num w:numId="3" w16cid:durableId="2133132914">
    <w:abstractNumId w:val="2"/>
  </w:num>
  <w:num w:numId="4" w16cid:durableId="6912212">
    <w:abstractNumId w:val="3"/>
  </w:num>
  <w:num w:numId="5" w16cid:durableId="375544218">
    <w:abstractNumId w:val="8"/>
  </w:num>
  <w:num w:numId="6" w16cid:durableId="1717970448">
    <w:abstractNumId w:val="9"/>
  </w:num>
  <w:num w:numId="7" w16cid:durableId="1291860663">
    <w:abstractNumId w:val="7"/>
  </w:num>
  <w:num w:numId="8" w16cid:durableId="713776368">
    <w:abstractNumId w:val="6"/>
  </w:num>
  <w:num w:numId="9" w16cid:durableId="383675687">
    <w:abstractNumId w:val="5"/>
  </w:num>
  <w:num w:numId="10" w16cid:durableId="1402944287">
    <w:abstractNumId w:val="4"/>
  </w:num>
  <w:num w:numId="11" w16cid:durableId="2108504582">
    <w:abstractNumId w:val="15"/>
  </w:num>
  <w:num w:numId="12" w16cid:durableId="391543829">
    <w:abstractNumId w:val="14"/>
  </w:num>
  <w:num w:numId="13" w16cid:durableId="1978222091">
    <w:abstractNumId w:val="10"/>
  </w:num>
  <w:num w:numId="14" w16cid:durableId="1357265847">
    <w:abstractNumId w:val="12"/>
  </w:num>
  <w:num w:numId="15" w16cid:durableId="805316383">
    <w:abstractNumId w:val="16"/>
  </w:num>
  <w:num w:numId="16" w16cid:durableId="1252272894">
    <w:abstractNumId w:val="13"/>
  </w:num>
  <w:num w:numId="17" w16cid:durableId="1086729582">
    <w:abstractNumId w:val="17"/>
  </w:num>
  <w:num w:numId="18" w16cid:durableId="1892495044">
    <w:abstractNumId w:val="18"/>
  </w:num>
  <w:num w:numId="19" w16cid:durableId="213991357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A603CF"/>
    <w:rsid w:val="00002A7D"/>
    <w:rsid w:val="000038A8"/>
    <w:rsid w:val="00006790"/>
    <w:rsid w:val="00010654"/>
    <w:rsid w:val="00027624"/>
    <w:rsid w:val="00050F6B"/>
    <w:rsid w:val="000678CD"/>
    <w:rsid w:val="00072C8C"/>
    <w:rsid w:val="00081CE0"/>
    <w:rsid w:val="000833F5"/>
    <w:rsid w:val="00084D30"/>
    <w:rsid w:val="00090320"/>
    <w:rsid w:val="000931C0"/>
    <w:rsid w:val="000A2E09"/>
    <w:rsid w:val="000A6A18"/>
    <w:rsid w:val="000B175B"/>
    <w:rsid w:val="000B3A0F"/>
    <w:rsid w:val="000E0415"/>
    <w:rsid w:val="000E3530"/>
    <w:rsid w:val="000F7715"/>
    <w:rsid w:val="00156B99"/>
    <w:rsid w:val="00166124"/>
    <w:rsid w:val="00184DDA"/>
    <w:rsid w:val="001900CD"/>
    <w:rsid w:val="00192822"/>
    <w:rsid w:val="001A0452"/>
    <w:rsid w:val="001B108A"/>
    <w:rsid w:val="001B45BA"/>
    <w:rsid w:val="001B4B04"/>
    <w:rsid w:val="001B5875"/>
    <w:rsid w:val="001C4B9C"/>
    <w:rsid w:val="001C6663"/>
    <w:rsid w:val="001C7895"/>
    <w:rsid w:val="001D26DF"/>
    <w:rsid w:val="001E3AA7"/>
    <w:rsid w:val="001F08F8"/>
    <w:rsid w:val="001F1599"/>
    <w:rsid w:val="001F19C4"/>
    <w:rsid w:val="002043F0"/>
    <w:rsid w:val="00211E0B"/>
    <w:rsid w:val="00232575"/>
    <w:rsid w:val="00240EB4"/>
    <w:rsid w:val="00247258"/>
    <w:rsid w:val="00257CAC"/>
    <w:rsid w:val="0027237A"/>
    <w:rsid w:val="002971D0"/>
    <w:rsid w:val="002974E9"/>
    <w:rsid w:val="002A7F94"/>
    <w:rsid w:val="002B109A"/>
    <w:rsid w:val="002C6D45"/>
    <w:rsid w:val="002C7270"/>
    <w:rsid w:val="002D6E53"/>
    <w:rsid w:val="002E1B1D"/>
    <w:rsid w:val="002E6806"/>
    <w:rsid w:val="002F046D"/>
    <w:rsid w:val="002F3023"/>
    <w:rsid w:val="00301764"/>
    <w:rsid w:val="00301AF1"/>
    <w:rsid w:val="003039BF"/>
    <w:rsid w:val="00304CCD"/>
    <w:rsid w:val="00313F91"/>
    <w:rsid w:val="003215A6"/>
    <w:rsid w:val="003229D8"/>
    <w:rsid w:val="0032610F"/>
    <w:rsid w:val="00327485"/>
    <w:rsid w:val="00336C97"/>
    <w:rsid w:val="00337F88"/>
    <w:rsid w:val="00342432"/>
    <w:rsid w:val="0035223F"/>
    <w:rsid w:val="00352D4B"/>
    <w:rsid w:val="0035638C"/>
    <w:rsid w:val="003A46BB"/>
    <w:rsid w:val="003A4EC7"/>
    <w:rsid w:val="003A7295"/>
    <w:rsid w:val="003B1F60"/>
    <w:rsid w:val="003B60F5"/>
    <w:rsid w:val="003C2CC4"/>
    <w:rsid w:val="003D22CC"/>
    <w:rsid w:val="003D4B23"/>
    <w:rsid w:val="003E278A"/>
    <w:rsid w:val="003F175A"/>
    <w:rsid w:val="003F6EDE"/>
    <w:rsid w:val="004072B0"/>
    <w:rsid w:val="00413520"/>
    <w:rsid w:val="00422DE7"/>
    <w:rsid w:val="004325CB"/>
    <w:rsid w:val="00440A07"/>
    <w:rsid w:val="00441519"/>
    <w:rsid w:val="00462880"/>
    <w:rsid w:val="004642F0"/>
    <w:rsid w:val="00472CC2"/>
    <w:rsid w:val="00474C07"/>
    <w:rsid w:val="00476F24"/>
    <w:rsid w:val="004B7035"/>
    <w:rsid w:val="004C55B0"/>
    <w:rsid w:val="004D3B5D"/>
    <w:rsid w:val="004F6BA0"/>
    <w:rsid w:val="004F7334"/>
    <w:rsid w:val="00503BEA"/>
    <w:rsid w:val="00506A83"/>
    <w:rsid w:val="0052415A"/>
    <w:rsid w:val="00533616"/>
    <w:rsid w:val="00535ABA"/>
    <w:rsid w:val="0053768B"/>
    <w:rsid w:val="00541BAB"/>
    <w:rsid w:val="005420F2"/>
    <w:rsid w:val="0054285C"/>
    <w:rsid w:val="0054766F"/>
    <w:rsid w:val="005612CF"/>
    <w:rsid w:val="00564F2D"/>
    <w:rsid w:val="00584173"/>
    <w:rsid w:val="00595520"/>
    <w:rsid w:val="005A44B9"/>
    <w:rsid w:val="005B1BA0"/>
    <w:rsid w:val="005B3DB3"/>
    <w:rsid w:val="005B546D"/>
    <w:rsid w:val="005B7A53"/>
    <w:rsid w:val="005C6726"/>
    <w:rsid w:val="005D15CA"/>
    <w:rsid w:val="005F08DF"/>
    <w:rsid w:val="005F3066"/>
    <w:rsid w:val="005F3E61"/>
    <w:rsid w:val="00600C53"/>
    <w:rsid w:val="00604DDD"/>
    <w:rsid w:val="006115CC"/>
    <w:rsid w:val="00611FC4"/>
    <w:rsid w:val="006176FB"/>
    <w:rsid w:val="00621B29"/>
    <w:rsid w:val="00630FCB"/>
    <w:rsid w:val="00640B26"/>
    <w:rsid w:val="006467D8"/>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3250"/>
    <w:rsid w:val="0074533B"/>
    <w:rsid w:val="007643BC"/>
    <w:rsid w:val="007668D1"/>
    <w:rsid w:val="00780C68"/>
    <w:rsid w:val="00782629"/>
    <w:rsid w:val="007959FE"/>
    <w:rsid w:val="007A0CF1"/>
    <w:rsid w:val="007B6BA5"/>
    <w:rsid w:val="007C3390"/>
    <w:rsid w:val="007C42D8"/>
    <w:rsid w:val="007C4F4B"/>
    <w:rsid w:val="007D0028"/>
    <w:rsid w:val="007D7362"/>
    <w:rsid w:val="007F5CE2"/>
    <w:rsid w:val="007F64D5"/>
    <w:rsid w:val="007F6611"/>
    <w:rsid w:val="00806486"/>
    <w:rsid w:val="00810BAC"/>
    <w:rsid w:val="008175E9"/>
    <w:rsid w:val="008214AD"/>
    <w:rsid w:val="008242D7"/>
    <w:rsid w:val="0082577B"/>
    <w:rsid w:val="00840509"/>
    <w:rsid w:val="00847857"/>
    <w:rsid w:val="00847E0A"/>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E7EBB"/>
    <w:rsid w:val="008F143B"/>
    <w:rsid w:val="008F3882"/>
    <w:rsid w:val="008F4B7C"/>
    <w:rsid w:val="0090356F"/>
    <w:rsid w:val="00926E47"/>
    <w:rsid w:val="009277A3"/>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C2004"/>
    <w:rsid w:val="009C6C76"/>
    <w:rsid w:val="009D01C0"/>
    <w:rsid w:val="009D1CF9"/>
    <w:rsid w:val="009D6A08"/>
    <w:rsid w:val="009E0A16"/>
    <w:rsid w:val="009E3D42"/>
    <w:rsid w:val="009E5A6B"/>
    <w:rsid w:val="009E6CB7"/>
    <w:rsid w:val="009E7970"/>
    <w:rsid w:val="009F2EAC"/>
    <w:rsid w:val="009F57E3"/>
    <w:rsid w:val="00A10F4F"/>
    <w:rsid w:val="00A11067"/>
    <w:rsid w:val="00A1704A"/>
    <w:rsid w:val="00A425EB"/>
    <w:rsid w:val="00A4439A"/>
    <w:rsid w:val="00A603CF"/>
    <w:rsid w:val="00A637B0"/>
    <w:rsid w:val="00A6466A"/>
    <w:rsid w:val="00A72F22"/>
    <w:rsid w:val="00A733BC"/>
    <w:rsid w:val="00A748A6"/>
    <w:rsid w:val="00A76A69"/>
    <w:rsid w:val="00A879A4"/>
    <w:rsid w:val="00A91A3C"/>
    <w:rsid w:val="00AA0FF8"/>
    <w:rsid w:val="00AC0F2C"/>
    <w:rsid w:val="00AC502A"/>
    <w:rsid w:val="00AF41DB"/>
    <w:rsid w:val="00AF58C1"/>
    <w:rsid w:val="00B04A3F"/>
    <w:rsid w:val="00B06643"/>
    <w:rsid w:val="00B15055"/>
    <w:rsid w:val="00B20551"/>
    <w:rsid w:val="00B20D55"/>
    <w:rsid w:val="00B30179"/>
    <w:rsid w:val="00B33FC7"/>
    <w:rsid w:val="00B37B15"/>
    <w:rsid w:val="00B45C02"/>
    <w:rsid w:val="00B61C96"/>
    <w:rsid w:val="00B70B63"/>
    <w:rsid w:val="00B72A1E"/>
    <w:rsid w:val="00B75363"/>
    <w:rsid w:val="00B81E12"/>
    <w:rsid w:val="00B91C3A"/>
    <w:rsid w:val="00BA339B"/>
    <w:rsid w:val="00BB3695"/>
    <w:rsid w:val="00BC1E7E"/>
    <w:rsid w:val="00BC3305"/>
    <w:rsid w:val="00BC74E9"/>
    <w:rsid w:val="00BE36A9"/>
    <w:rsid w:val="00BE618E"/>
    <w:rsid w:val="00BE7BEC"/>
    <w:rsid w:val="00BF0A5A"/>
    <w:rsid w:val="00BF0E63"/>
    <w:rsid w:val="00BF12A3"/>
    <w:rsid w:val="00BF16D7"/>
    <w:rsid w:val="00BF2373"/>
    <w:rsid w:val="00BF788C"/>
    <w:rsid w:val="00C01580"/>
    <w:rsid w:val="00C044E2"/>
    <w:rsid w:val="00C048CB"/>
    <w:rsid w:val="00C066F3"/>
    <w:rsid w:val="00C1686E"/>
    <w:rsid w:val="00C212A4"/>
    <w:rsid w:val="00C30907"/>
    <w:rsid w:val="00C463DD"/>
    <w:rsid w:val="00C62E8C"/>
    <w:rsid w:val="00C65C34"/>
    <w:rsid w:val="00C745C3"/>
    <w:rsid w:val="00C978F5"/>
    <w:rsid w:val="00CA24A4"/>
    <w:rsid w:val="00CB348D"/>
    <w:rsid w:val="00CC557F"/>
    <w:rsid w:val="00CD46F5"/>
    <w:rsid w:val="00CE4602"/>
    <w:rsid w:val="00CE4A8F"/>
    <w:rsid w:val="00CF071D"/>
    <w:rsid w:val="00D0123D"/>
    <w:rsid w:val="00D05623"/>
    <w:rsid w:val="00D15B04"/>
    <w:rsid w:val="00D2031B"/>
    <w:rsid w:val="00D2530B"/>
    <w:rsid w:val="00D25FE2"/>
    <w:rsid w:val="00D37DA9"/>
    <w:rsid w:val="00D406A7"/>
    <w:rsid w:val="00D43252"/>
    <w:rsid w:val="00D44D86"/>
    <w:rsid w:val="00D50B7D"/>
    <w:rsid w:val="00D52012"/>
    <w:rsid w:val="00D57A8A"/>
    <w:rsid w:val="00D60BE2"/>
    <w:rsid w:val="00D704E5"/>
    <w:rsid w:val="00D72727"/>
    <w:rsid w:val="00D978C6"/>
    <w:rsid w:val="00DA0956"/>
    <w:rsid w:val="00DA357F"/>
    <w:rsid w:val="00DA3E12"/>
    <w:rsid w:val="00DB5804"/>
    <w:rsid w:val="00DC18AD"/>
    <w:rsid w:val="00DC54BF"/>
    <w:rsid w:val="00DD07F0"/>
    <w:rsid w:val="00DD1FD1"/>
    <w:rsid w:val="00DF7CAE"/>
    <w:rsid w:val="00E1029A"/>
    <w:rsid w:val="00E126D4"/>
    <w:rsid w:val="00E259F7"/>
    <w:rsid w:val="00E423C0"/>
    <w:rsid w:val="00E47394"/>
    <w:rsid w:val="00E6414C"/>
    <w:rsid w:val="00E657CD"/>
    <w:rsid w:val="00E70542"/>
    <w:rsid w:val="00E7260F"/>
    <w:rsid w:val="00E8702D"/>
    <w:rsid w:val="00E901A0"/>
    <w:rsid w:val="00E905F4"/>
    <w:rsid w:val="00E916A9"/>
    <w:rsid w:val="00E916DE"/>
    <w:rsid w:val="00E925AD"/>
    <w:rsid w:val="00E96630"/>
    <w:rsid w:val="00EA7751"/>
    <w:rsid w:val="00ED18DC"/>
    <w:rsid w:val="00ED6201"/>
    <w:rsid w:val="00ED7A2A"/>
    <w:rsid w:val="00EF1D7F"/>
    <w:rsid w:val="00EF5749"/>
    <w:rsid w:val="00F0137E"/>
    <w:rsid w:val="00F04977"/>
    <w:rsid w:val="00F21786"/>
    <w:rsid w:val="00F27D88"/>
    <w:rsid w:val="00F3706D"/>
    <w:rsid w:val="00F3742B"/>
    <w:rsid w:val="00F419E2"/>
    <w:rsid w:val="00F41FDB"/>
    <w:rsid w:val="00F5499F"/>
    <w:rsid w:val="00F56D63"/>
    <w:rsid w:val="00F5773C"/>
    <w:rsid w:val="00F609A9"/>
    <w:rsid w:val="00F80C99"/>
    <w:rsid w:val="00F8625C"/>
    <w:rsid w:val="00F867EC"/>
    <w:rsid w:val="00F91B2B"/>
    <w:rsid w:val="00F94025"/>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1FD14"/>
  <w15:docId w15:val="{3675BE56-CE35-4F10-92D1-79E29B90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character" w:customStyle="1" w:styleId="SingleTxtGChar">
    <w:name w:val="_ Single Txt_G Char"/>
    <w:link w:val="SingleTxtG"/>
    <w:rsid w:val="00A603CF"/>
    <w:rPr>
      <w:lang w:val="en-GB"/>
    </w:rPr>
  </w:style>
  <w:style w:type="character" w:customStyle="1" w:styleId="FootnoteTextChar">
    <w:name w:val="Footnote Text Char"/>
    <w:aliases w:val="5_G Char"/>
    <w:basedOn w:val="DefaultParagraphFont"/>
    <w:link w:val="FootnoteText"/>
    <w:rsid w:val="00A603CF"/>
    <w:rPr>
      <w:sz w:val="18"/>
      <w:lang w:val="en-GB"/>
    </w:rPr>
  </w:style>
  <w:style w:type="table" w:customStyle="1" w:styleId="TableGrid1">
    <w:name w:val="Table Grid1"/>
    <w:basedOn w:val="TableNormal"/>
    <w:next w:val="TableGrid"/>
    <w:rsid w:val="00C01580"/>
    <w:pPr>
      <w:suppressAutoHyphens/>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ibliography">
    <w:name w:val="Bibliography"/>
    <w:basedOn w:val="Normal"/>
    <w:next w:val="Normal"/>
    <w:uiPriority w:val="37"/>
    <w:semiHidden/>
    <w:unhideWhenUsed/>
    <w:rsid w:val="00472CC2"/>
  </w:style>
  <w:style w:type="paragraph" w:styleId="BlockText">
    <w:name w:val="Block Text"/>
    <w:basedOn w:val="Normal"/>
    <w:semiHidden/>
    <w:unhideWhenUsed/>
    <w:rsid w:val="00472CC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472CC2"/>
    <w:pPr>
      <w:spacing w:after="120"/>
    </w:pPr>
  </w:style>
  <w:style w:type="character" w:customStyle="1" w:styleId="BodyTextChar">
    <w:name w:val="Body Text Char"/>
    <w:basedOn w:val="DefaultParagraphFont"/>
    <w:link w:val="BodyText"/>
    <w:semiHidden/>
    <w:rsid w:val="00472CC2"/>
    <w:rPr>
      <w:lang w:val="en-GB"/>
    </w:rPr>
  </w:style>
  <w:style w:type="paragraph" w:styleId="BodyText2">
    <w:name w:val="Body Text 2"/>
    <w:basedOn w:val="Normal"/>
    <w:link w:val="BodyText2Char"/>
    <w:semiHidden/>
    <w:unhideWhenUsed/>
    <w:rsid w:val="00472CC2"/>
    <w:pPr>
      <w:spacing w:after="120" w:line="480" w:lineRule="auto"/>
    </w:pPr>
  </w:style>
  <w:style w:type="character" w:customStyle="1" w:styleId="BodyText2Char">
    <w:name w:val="Body Text 2 Char"/>
    <w:basedOn w:val="DefaultParagraphFont"/>
    <w:link w:val="BodyText2"/>
    <w:semiHidden/>
    <w:rsid w:val="00472CC2"/>
    <w:rPr>
      <w:lang w:val="en-GB"/>
    </w:rPr>
  </w:style>
  <w:style w:type="paragraph" w:styleId="BodyText3">
    <w:name w:val="Body Text 3"/>
    <w:basedOn w:val="Normal"/>
    <w:link w:val="BodyText3Char"/>
    <w:semiHidden/>
    <w:unhideWhenUsed/>
    <w:rsid w:val="00472CC2"/>
    <w:pPr>
      <w:spacing w:after="120"/>
    </w:pPr>
    <w:rPr>
      <w:sz w:val="16"/>
      <w:szCs w:val="16"/>
    </w:rPr>
  </w:style>
  <w:style w:type="character" w:customStyle="1" w:styleId="BodyText3Char">
    <w:name w:val="Body Text 3 Char"/>
    <w:basedOn w:val="DefaultParagraphFont"/>
    <w:link w:val="BodyText3"/>
    <w:semiHidden/>
    <w:rsid w:val="00472CC2"/>
    <w:rPr>
      <w:sz w:val="16"/>
      <w:szCs w:val="16"/>
      <w:lang w:val="en-GB"/>
    </w:rPr>
  </w:style>
  <w:style w:type="paragraph" w:styleId="BodyTextFirstIndent">
    <w:name w:val="Body Text First Indent"/>
    <w:basedOn w:val="BodyText"/>
    <w:link w:val="BodyTextFirstIndentChar"/>
    <w:semiHidden/>
    <w:unhideWhenUsed/>
    <w:rsid w:val="00472CC2"/>
    <w:pPr>
      <w:spacing w:after="0"/>
      <w:ind w:firstLine="360"/>
    </w:pPr>
  </w:style>
  <w:style w:type="character" w:customStyle="1" w:styleId="BodyTextFirstIndentChar">
    <w:name w:val="Body Text First Indent Char"/>
    <w:basedOn w:val="BodyTextChar"/>
    <w:link w:val="BodyTextFirstIndent"/>
    <w:semiHidden/>
    <w:rsid w:val="00472CC2"/>
    <w:rPr>
      <w:lang w:val="en-GB"/>
    </w:rPr>
  </w:style>
  <w:style w:type="paragraph" w:styleId="BodyTextIndent">
    <w:name w:val="Body Text Indent"/>
    <w:basedOn w:val="Normal"/>
    <w:link w:val="BodyTextIndentChar"/>
    <w:semiHidden/>
    <w:unhideWhenUsed/>
    <w:rsid w:val="00472CC2"/>
    <w:pPr>
      <w:spacing w:after="120"/>
      <w:ind w:left="283"/>
    </w:pPr>
  </w:style>
  <w:style w:type="character" w:customStyle="1" w:styleId="BodyTextIndentChar">
    <w:name w:val="Body Text Indent Char"/>
    <w:basedOn w:val="DefaultParagraphFont"/>
    <w:link w:val="BodyTextIndent"/>
    <w:semiHidden/>
    <w:rsid w:val="00472CC2"/>
    <w:rPr>
      <w:lang w:val="en-GB"/>
    </w:rPr>
  </w:style>
  <w:style w:type="paragraph" w:styleId="BodyTextFirstIndent2">
    <w:name w:val="Body Text First Indent 2"/>
    <w:basedOn w:val="BodyTextIndent"/>
    <w:link w:val="BodyTextFirstIndent2Char"/>
    <w:semiHidden/>
    <w:unhideWhenUsed/>
    <w:rsid w:val="00472CC2"/>
    <w:pPr>
      <w:spacing w:after="0"/>
      <w:ind w:left="360" w:firstLine="360"/>
    </w:pPr>
  </w:style>
  <w:style w:type="character" w:customStyle="1" w:styleId="BodyTextFirstIndent2Char">
    <w:name w:val="Body Text First Indent 2 Char"/>
    <w:basedOn w:val="BodyTextIndentChar"/>
    <w:link w:val="BodyTextFirstIndent2"/>
    <w:semiHidden/>
    <w:rsid w:val="00472CC2"/>
    <w:rPr>
      <w:lang w:val="en-GB"/>
    </w:rPr>
  </w:style>
  <w:style w:type="paragraph" w:styleId="BodyTextIndent2">
    <w:name w:val="Body Text Indent 2"/>
    <w:basedOn w:val="Normal"/>
    <w:link w:val="BodyTextIndent2Char"/>
    <w:semiHidden/>
    <w:unhideWhenUsed/>
    <w:rsid w:val="00472CC2"/>
    <w:pPr>
      <w:spacing w:after="120" w:line="480" w:lineRule="auto"/>
      <w:ind w:left="283"/>
    </w:pPr>
  </w:style>
  <w:style w:type="character" w:customStyle="1" w:styleId="BodyTextIndent2Char">
    <w:name w:val="Body Text Indent 2 Char"/>
    <w:basedOn w:val="DefaultParagraphFont"/>
    <w:link w:val="BodyTextIndent2"/>
    <w:semiHidden/>
    <w:rsid w:val="00472CC2"/>
    <w:rPr>
      <w:lang w:val="en-GB"/>
    </w:rPr>
  </w:style>
  <w:style w:type="paragraph" w:styleId="BodyTextIndent3">
    <w:name w:val="Body Text Indent 3"/>
    <w:basedOn w:val="Normal"/>
    <w:link w:val="BodyTextIndent3Char"/>
    <w:semiHidden/>
    <w:unhideWhenUsed/>
    <w:rsid w:val="00472CC2"/>
    <w:pPr>
      <w:spacing w:after="120"/>
      <w:ind w:left="283"/>
    </w:pPr>
    <w:rPr>
      <w:sz w:val="16"/>
      <w:szCs w:val="16"/>
    </w:rPr>
  </w:style>
  <w:style w:type="character" w:customStyle="1" w:styleId="BodyTextIndent3Char">
    <w:name w:val="Body Text Indent 3 Char"/>
    <w:basedOn w:val="DefaultParagraphFont"/>
    <w:link w:val="BodyTextIndent3"/>
    <w:semiHidden/>
    <w:rsid w:val="00472CC2"/>
    <w:rPr>
      <w:sz w:val="16"/>
      <w:szCs w:val="16"/>
      <w:lang w:val="en-GB"/>
    </w:rPr>
  </w:style>
  <w:style w:type="paragraph" w:styleId="Caption">
    <w:name w:val="caption"/>
    <w:basedOn w:val="Normal"/>
    <w:next w:val="Normal"/>
    <w:semiHidden/>
    <w:unhideWhenUsed/>
    <w:qFormat/>
    <w:rsid w:val="00472CC2"/>
    <w:pPr>
      <w:spacing w:after="200" w:line="240" w:lineRule="auto"/>
    </w:pPr>
    <w:rPr>
      <w:i/>
      <w:iCs/>
      <w:color w:val="1F497D" w:themeColor="text2"/>
      <w:sz w:val="18"/>
      <w:szCs w:val="18"/>
    </w:rPr>
  </w:style>
  <w:style w:type="paragraph" w:styleId="Closing">
    <w:name w:val="Closing"/>
    <w:basedOn w:val="Normal"/>
    <w:link w:val="ClosingChar"/>
    <w:semiHidden/>
    <w:unhideWhenUsed/>
    <w:rsid w:val="00472CC2"/>
    <w:pPr>
      <w:spacing w:line="240" w:lineRule="auto"/>
      <w:ind w:left="4252"/>
    </w:pPr>
  </w:style>
  <w:style w:type="character" w:customStyle="1" w:styleId="ClosingChar">
    <w:name w:val="Closing Char"/>
    <w:basedOn w:val="DefaultParagraphFont"/>
    <w:link w:val="Closing"/>
    <w:semiHidden/>
    <w:rsid w:val="00472CC2"/>
    <w:rPr>
      <w:lang w:val="en-GB"/>
    </w:rPr>
  </w:style>
  <w:style w:type="paragraph" w:styleId="CommentText">
    <w:name w:val="annotation text"/>
    <w:basedOn w:val="Normal"/>
    <w:link w:val="CommentTextChar"/>
    <w:unhideWhenUsed/>
    <w:rsid w:val="00472CC2"/>
    <w:pPr>
      <w:spacing w:line="240" w:lineRule="auto"/>
    </w:pPr>
  </w:style>
  <w:style w:type="character" w:customStyle="1" w:styleId="CommentTextChar">
    <w:name w:val="Comment Text Char"/>
    <w:basedOn w:val="DefaultParagraphFont"/>
    <w:link w:val="CommentText"/>
    <w:rsid w:val="00472CC2"/>
    <w:rPr>
      <w:lang w:val="en-GB"/>
    </w:rPr>
  </w:style>
  <w:style w:type="paragraph" w:styleId="CommentSubject">
    <w:name w:val="annotation subject"/>
    <w:basedOn w:val="CommentText"/>
    <w:next w:val="CommentText"/>
    <w:link w:val="CommentSubjectChar"/>
    <w:semiHidden/>
    <w:unhideWhenUsed/>
    <w:rsid w:val="00472CC2"/>
    <w:rPr>
      <w:b/>
      <w:bCs/>
    </w:rPr>
  </w:style>
  <w:style w:type="character" w:customStyle="1" w:styleId="CommentSubjectChar">
    <w:name w:val="Comment Subject Char"/>
    <w:basedOn w:val="CommentTextChar"/>
    <w:link w:val="CommentSubject"/>
    <w:semiHidden/>
    <w:rsid w:val="00472CC2"/>
    <w:rPr>
      <w:b/>
      <w:bCs/>
      <w:lang w:val="en-GB"/>
    </w:rPr>
  </w:style>
  <w:style w:type="paragraph" w:styleId="Date">
    <w:name w:val="Date"/>
    <w:basedOn w:val="Normal"/>
    <w:next w:val="Normal"/>
    <w:link w:val="DateChar"/>
    <w:semiHidden/>
    <w:rsid w:val="00472CC2"/>
  </w:style>
  <w:style w:type="character" w:customStyle="1" w:styleId="DateChar">
    <w:name w:val="Date Char"/>
    <w:basedOn w:val="DefaultParagraphFont"/>
    <w:link w:val="Date"/>
    <w:semiHidden/>
    <w:rsid w:val="00472CC2"/>
    <w:rPr>
      <w:lang w:val="en-GB"/>
    </w:rPr>
  </w:style>
  <w:style w:type="paragraph" w:styleId="DocumentMap">
    <w:name w:val="Document Map"/>
    <w:basedOn w:val="Normal"/>
    <w:link w:val="DocumentMapChar"/>
    <w:semiHidden/>
    <w:unhideWhenUsed/>
    <w:rsid w:val="00472CC2"/>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72CC2"/>
    <w:rPr>
      <w:rFonts w:ascii="Segoe UI" w:hAnsi="Segoe UI" w:cs="Segoe UI"/>
      <w:sz w:val="16"/>
      <w:szCs w:val="16"/>
      <w:lang w:val="en-GB"/>
    </w:rPr>
  </w:style>
  <w:style w:type="paragraph" w:styleId="E-mailSignature">
    <w:name w:val="E-mail Signature"/>
    <w:basedOn w:val="Normal"/>
    <w:link w:val="E-mailSignatureChar"/>
    <w:semiHidden/>
    <w:unhideWhenUsed/>
    <w:rsid w:val="00472CC2"/>
    <w:pPr>
      <w:spacing w:line="240" w:lineRule="auto"/>
    </w:pPr>
  </w:style>
  <w:style w:type="character" w:customStyle="1" w:styleId="E-mailSignatureChar">
    <w:name w:val="E-mail Signature Char"/>
    <w:basedOn w:val="DefaultParagraphFont"/>
    <w:link w:val="E-mailSignature"/>
    <w:semiHidden/>
    <w:rsid w:val="00472CC2"/>
    <w:rPr>
      <w:lang w:val="en-GB"/>
    </w:rPr>
  </w:style>
  <w:style w:type="paragraph" w:styleId="EnvelopeAddress">
    <w:name w:val="envelope address"/>
    <w:basedOn w:val="Normal"/>
    <w:semiHidden/>
    <w:unhideWhenUsed/>
    <w:rsid w:val="00472CC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72CC2"/>
    <w:pPr>
      <w:spacing w:line="240" w:lineRule="auto"/>
    </w:pPr>
    <w:rPr>
      <w:rFonts w:asciiTheme="majorHAnsi" w:eastAsiaTheme="majorEastAsia" w:hAnsiTheme="majorHAnsi" w:cstheme="majorBidi"/>
    </w:rPr>
  </w:style>
  <w:style w:type="paragraph" w:styleId="HTMLAddress">
    <w:name w:val="HTML Address"/>
    <w:basedOn w:val="Normal"/>
    <w:link w:val="HTMLAddressChar"/>
    <w:semiHidden/>
    <w:unhideWhenUsed/>
    <w:rsid w:val="00472CC2"/>
    <w:pPr>
      <w:spacing w:line="240" w:lineRule="auto"/>
    </w:pPr>
    <w:rPr>
      <w:i/>
      <w:iCs/>
    </w:rPr>
  </w:style>
  <w:style w:type="character" w:customStyle="1" w:styleId="HTMLAddressChar">
    <w:name w:val="HTML Address Char"/>
    <w:basedOn w:val="DefaultParagraphFont"/>
    <w:link w:val="HTMLAddress"/>
    <w:semiHidden/>
    <w:rsid w:val="00472CC2"/>
    <w:rPr>
      <w:i/>
      <w:iCs/>
      <w:lang w:val="en-GB"/>
    </w:rPr>
  </w:style>
  <w:style w:type="paragraph" w:styleId="HTMLPreformatted">
    <w:name w:val="HTML Preformatted"/>
    <w:basedOn w:val="Normal"/>
    <w:link w:val="HTMLPreformattedChar"/>
    <w:semiHidden/>
    <w:unhideWhenUsed/>
    <w:rsid w:val="00472CC2"/>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472CC2"/>
    <w:rPr>
      <w:rFonts w:ascii="Consolas" w:hAnsi="Consolas"/>
      <w:lang w:val="en-GB"/>
    </w:rPr>
  </w:style>
  <w:style w:type="paragraph" w:styleId="Index1">
    <w:name w:val="index 1"/>
    <w:basedOn w:val="Normal"/>
    <w:next w:val="Normal"/>
    <w:autoRedefine/>
    <w:semiHidden/>
    <w:unhideWhenUsed/>
    <w:rsid w:val="00472CC2"/>
    <w:pPr>
      <w:spacing w:line="240" w:lineRule="auto"/>
      <w:ind w:left="200" w:hanging="200"/>
    </w:pPr>
  </w:style>
  <w:style w:type="paragraph" w:styleId="Index2">
    <w:name w:val="index 2"/>
    <w:basedOn w:val="Normal"/>
    <w:next w:val="Normal"/>
    <w:autoRedefine/>
    <w:semiHidden/>
    <w:unhideWhenUsed/>
    <w:rsid w:val="00472CC2"/>
    <w:pPr>
      <w:spacing w:line="240" w:lineRule="auto"/>
      <w:ind w:left="400" w:hanging="200"/>
    </w:pPr>
  </w:style>
  <w:style w:type="paragraph" w:styleId="Index3">
    <w:name w:val="index 3"/>
    <w:basedOn w:val="Normal"/>
    <w:next w:val="Normal"/>
    <w:autoRedefine/>
    <w:semiHidden/>
    <w:unhideWhenUsed/>
    <w:rsid w:val="00472CC2"/>
    <w:pPr>
      <w:spacing w:line="240" w:lineRule="auto"/>
      <w:ind w:left="600" w:hanging="200"/>
    </w:pPr>
  </w:style>
  <w:style w:type="paragraph" w:styleId="Index4">
    <w:name w:val="index 4"/>
    <w:basedOn w:val="Normal"/>
    <w:next w:val="Normal"/>
    <w:autoRedefine/>
    <w:semiHidden/>
    <w:unhideWhenUsed/>
    <w:rsid w:val="00472CC2"/>
    <w:pPr>
      <w:spacing w:line="240" w:lineRule="auto"/>
      <w:ind w:left="800" w:hanging="200"/>
    </w:pPr>
  </w:style>
  <w:style w:type="paragraph" w:styleId="Index5">
    <w:name w:val="index 5"/>
    <w:basedOn w:val="Normal"/>
    <w:next w:val="Normal"/>
    <w:autoRedefine/>
    <w:semiHidden/>
    <w:unhideWhenUsed/>
    <w:rsid w:val="00472CC2"/>
    <w:pPr>
      <w:spacing w:line="240" w:lineRule="auto"/>
      <w:ind w:left="1000" w:hanging="200"/>
    </w:pPr>
  </w:style>
  <w:style w:type="paragraph" w:styleId="Index6">
    <w:name w:val="index 6"/>
    <w:basedOn w:val="Normal"/>
    <w:next w:val="Normal"/>
    <w:autoRedefine/>
    <w:semiHidden/>
    <w:unhideWhenUsed/>
    <w:rsid w:val="00472CC2"/>
    <w:pPr>
      <w:spacing w:line="240" w:lineRule="auto"/>
      <w:ind w:left="1200" w:hanging="200"/>
    </w:pPr>
  </w:style>
  <w:style w:type="paragraph" w:styleId="Index7">
    <w:name w:val="index 7"/>
    <w:basedOn w:val="Normal"/>
    <w:next w:val="Normal"/>
    <w:autoRedefine/>
    <w:semiHidden/>
    <w:unhideWhenUsed/>
    <w:rsid w:val="00472CC2"/>
    <w:pPr>
      <w:spacing w:line="240" w:lineRule="auto"/>
      <w:ind w:left="1400" w:hanging="200"/>
    </w:pPr>
  </w:style>
  <w:style w:type="paragraph" w:styleId="Index8">
    <w:name w:val="index 8"/>
    <w:basedOn w:val="Normal"/>
    <w:next w:val="Normal"/>
    <w:autoRedefine/>
    <w:semiHidden/>
    <w:unhideWhenUsed/>
    <w:rsid w:val="00472CC2"/>
    <w:pPr>
      <w:spacing w:line="240" w:lineRule="auto"/>
      <w:ind w:left="1600" w:hanging="200"/>
    </w:pPr>
  </w:style>
  <w:style w:type="paragraph" w:styleId="Index9">
    <w:name w:val="index 9"/>
    <w:basedOn w:val="Normal"/>
    <w:next w:val="Normal"/>
    <w:autoRedefine/>
    <w:semiHidden/>
    <w:unhideWhenUsed/>
    <w:rsid w:val="00472CC2"/>
    <w:pPr>
      <w:spacing w:line="240" w:lineRule="auto"/>
      <w:ind w:left="1800" w:hanging="200"/>
    </w:pPr>
  </w:style>
  <w:style w:type="paragraph" w:styleId="IndexHeading">
    <w:name w:val="index heading"/>
    <w:basedOn w:val="Normal"/>
    <w:next w:val="Index1"/>
    <w:semiHidden/>
    <w:unhideWhenUsed/>
    <w:rsid w:val="00472CC2"/>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472C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472CC2"/>
    <w:rPr>
      <w:i/>
      <w:iCs/>
      <w:color w:val="4F81BD" w:themeColor="accent1"/>
      <w:lang w:val="en-GB"/>
    </w:rPr>
  </w:style>
  <w:style w:type="paragraph" w:styleId="List">
    <w:name w:val="List"/>
    <w:basedOn w:val="Normal"/>
    <w:semiHidden/>
    <w:unhideWhenUsed/>
    <w:rsid w:val="00472CC2"/>
    <w:pPr>
      <w:ind w:left="283" w:hanging="283"/>
      <w:contextualSpacing/>
    </w:pPr>
  </w:style>
  <w:style w:type="paragraph" w:styleId="List2">
    <w:name w:val="List 2"/>
    <w:basedOn w:val="Normal"/>
    <w:semiHidden/>
    <w:unhideWhenUsed/>
    <w:rsid w:val="00472CC2"/>
    <w:pPr>
      <w:ind w:left="566" w:hanging="283"/>
      <w:contextualSpacing/>
    </w:pPr>
  </w:style>
  <w:style w:type="paragraph" w:styleId="List3">
    <w:name w:val="List 3"/>
    <w:basedOn w:val="Normal"/>
    <w:semiHidden/>
    <w:rsid w:val="00472CC2"/>
    <w:pPr>
      <w:ind w:left="849" w:hanging="283"/>
      <w:contextualSpacing/>
    </w:pPr>
  </w:style>
  <w:style w:type="paragraph" w:styleId="List4">
    <w:name w:val="List 4"/>
    <w:basedOn w:val="Normal"/>
    <w:semiHidden/>
    <w:rsid w:val="00472CC2"/>
    <w:pPr>
      <w:ind w:left="1132" w:hanging="283"/>
      <w:contextualSpacing/>
    </w:pPr>
  </w:style>
  <w:style w:type="paragraph" w:styleId="List5">
    <w:name w:val="List 5"/>
    <w:basedOn w:val="Normal"/>
    <w:semiHidden/>
    <w:unhideWhenUsed/>
    <w:rsid w:val="00472CC2"/>
    <w:pPr>
      <w:ind w:left="1415" w:hanging="283"/>
      <w:contextualSpacing/>
    </w:pPr>
  </w:style>
  <w:style w:type="paragraph" w:styleId="ListBullet">
    <w:name w:val="List Bullet"/>
    <w:basedOn w:val="Normal"/>
    <w:semiHidden/>
    <w:rsid w:val="00472CC2"/>
    <w:pPr>
      <w:numPr>
        <w:numId w:val="6"/>
      </w:numPr>
      <w:contextualSpacing/>
    </w:pPr>
  </w:style>
  <w:style w:type="paragraph" w:styleId="ListBullet2">
    <w:name w:val="List Bullet 2"/>
    <w:basedOn w:val="Normal"/>
    <w:semiHidden/>
    <w:unhideWhenUsed/>
    <w:rsid w:val="00472CC2"/>
    <w:pPr>
      <w:numPr>
        <w:numId w:val="7"/>
      </w:numPr>
      <w:contextualSpacing/>
    </w:pPr>
  </w:style>
  <w:style w:type="paragraph" w:styleId="ListBullet3">
    <w:name w:val="List Bullet 3"/>
    <w:basedOn w:val="Normal"/>
    <w:semiHidden/>
    <w:unhideWhenUsed/>
    <w:rsid w:val="00472CC2"/>
    <w:pPr>
      <w:numPr>
        <w:numId w:val="8"/>
      </w:numPr>
      <w:contextualSpacing/>
    </w:pPr>
  </w:style>
  <w:style w:type="paragraph" w:styleId="ListBullet4">
    <w:name w:val="List Bullet 4"/>
    <w:basedOn w:val="Normal"/>
    <w:semiHidden/>
    <w:unhideWhenUsed/>
    <w:rsid w:val="00472CC2"/>
    <w:pPr>
      <w:numPr>
        <w:numId w:val="9"/>
      </w:numPr>
      <w:contextualSpacing/>
    </w:pPr>
  </w:style>
  <w:style w:type="paragraph" w:styleId="ListBullet5">
    <w:name w:val="List Bullet 5"/>
    <w:basedOn w:val="Normal"/>
    <w:semiHidden/>
    <w:unhideWhenUsed/>
    <w:rsid w:val="00472CC2"/>
    <w:pPr>
      <w:numPr>
        <w:numId w:val="10"/>
      </w:numPr>
      <w:contextualSpacing/>
    </w:pPr>
  </w:style>
  <w:style w:type="paragraph" w:styleId="ListContinue">
    <w:name w:val="List Continue"/>
    <w:basedOn w:val="Normal"/>
    <w:semiHidden/>
    <w:unhideWhenUsed/>
    <w:rsid w:val="00472CC2"/>
    <w:pPr>
      <w:spacing w:after="120"/>
      <w:ind w:left="283"/>
      <w:contextualSpacing/>
    </w:pPr>
  </w:style>
  <w:style w:type="paragraph" w:styleId="ListContinue2">
    <w:name w:val="List Continue 2"/>
    <w:basedOn w:val="Normal"/>
    <w:semiHidden/>
    <w:unhideWhenUsed/>
    <w:rsid w:val="00472CC2"/>
    <w:pPr>
      <w:spacing w:after="120"/>
      <w:ind w:left="566"/>
      <w:contextualSpacing/>
    </w:pPr>
  </w:style>
  <w:style w:type="paragraph" w:styleId="ListContinue3">
    <w:name w:val="List Continue 3"/>
    <w:basedOn w:val="Normal"/>
    <w:semiHidden/>
    <w:unhideWhenUsed/>
    <w:rsid w:val="00472CC2"/>
    <w:pPr>
      <w:spacing w:after="120"/>
      <w:ind w:left="849"/>
      <w:contextualSpacing/>
    </w:pPr>
  </w:style>
  <w:style w:type="paragraph" w:styleId="ListContinue4">
    <w:name w:val="List Continue 4"/>
    <w:basedOn w:val="Normal"/>
    <w:semiHidden/>
    <w:unhideWhenUsed/>
    <w:rsid w:val="00472CC2"/>
    <w:pPr>
      <w:spacing w:after="120"/>
      <w:ind w:left="1132"/>
      <w:contextualSpacing/>
    </w:pPr>
  </w:style>
  <w:style w:type="paragraph" w:styleId="ListContinue5">
    <w:name w:val="List Continue 5"/>
    <w:basedOn w:val="Normal"/>
    <w:semiHidden/>
    <w:unhideWhenUsed/>
    <w:rsid w:val="00472CC2"/>
    <w:pPr>
      <w:spacing w:after="120"/>
      <w:ind w:left="1415"/>
      <w:contextualSpacing/>
    </w:pPr>
  </w:style>
  <w:style w:type="paragraph" w:styleId="ListNumber">
    <w:name w:val="List Number"/>
    <w:basedOn w:val="Normal"/>
    <w:semiHidden/>
    <w:unhideWhenUsed/>
    <w:rsid w:val="00472CC2"/>
    <w:pPr>
      <w:numPr>
        <w:numId w:val="5"/>
      </w:numPr>
      <w:contextualSpacing/>
    </w:pPr>
  </w:style>
  <w:style w:type="paragraph" w:styleId="ListNumber2">
    <w:name w:val="List Number 2"/>
    <w:basedOn w:val="Normal"/>
    <w:semiHidden/>
    <w:unhideWhenUsed/>
    <w:rsid w:val="00472CC2"/>
    <w:pPr>
      <w:numPr>
        <w:numId w:val="4"/>
      </w:numPr>
      <w:contextualSpacing/>
    </w:pPr>
  </w:style>
  <w:style w:type="paragraph" w:styleId="ListNumber3">
    <w:name w:val="List Number 3"/>
    <w:basedOn w:val="Normal"/>
    <w:semiHidden/>
    <w:unhideWhenUsed/>
    <w:rsid w:val="00472CC2"/>
    <w:pPr>
      <w:numPr>
        <w:numId w:val="3"/>
      </w:numPr>
      <w:contextualSpacing/>
    </w:pPr>
  </w:style>
  <w:style w:type="paragraph" w:styleId="ListNumber4">
    <w:name w:val="List Number 4"/>
    <w:basedOn w:val="Normal"/>
    <w:semiHidden/>
    <w:unhideWhenUsed/>
    <w:rsid w:val="00472CC2"/>
    <w:pPr>
      <w:numPr>
        <w:numId w:val="1"/>
      </w:numPr>
      <w:contextualSpacing/>
    </w:pPr>
  </w:style>
  <w:style w:type="paragraph" w:styleId="ListNumber5">
    <w:name w:val="List Number 5"/>
    <w:basedOn w:val="Normal"/>
    <w:semiHidden/>
    <w:unhideWhenUsed/>
    <w:rsid w:val="00472CC2"/>
    <w:pPr>
      <w:numPr>
        <w:numId w:val="2"/>
      </w:numPr>
      <w:contextualSpacing/>
    </w:pPr>
  </w:style>
  <w:style w:type="paragraph" w:styleId="ListParagraph">
    <w:name w:val="List Paragraph"/>
    <w:basedOn w:val="Normal"/>
    <w:uiPriority w:val="34"/>
    <w:semiHidden/>
    <w:qFormat/>
    <w:rsid w:val="00472CC2"/>
    <w:pPr>
      <w:ind w:left="720"/>
      <w:contextualSpacing/>
    </w:pPr>
  </w:style>
  <w:style w:type="paragraph" w:styleId="MacroText">
    <w:name w:val="macro"/>
    <w:link w:val="MacroTextChar"/>
    <w:semiHidden/>
    <w:unhideWhenUsed/>
    <w:rsid w:val="00472CC2"/>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rPr>
  </w:style>
  <w:style w:type="character" w:customStyle="1" w:styleId="MacroTextChar">
    <w:name w:val="Macro Text Char"/>
    <w:basedOn w:val="DefaultParagraphFont"/>
    <w:link w:val="MacroText"/>
    <w:semiHidden/>
    <w:rsid w:val="00472CC2"/>
    <w:rPr>
      <w:rFonts w:ascii="Consolas" w:hAnsi="Consolas"/>
      <w:lang w:val="en-GB"/>
    </w:rPr>
  </w:style>
  <w:style w:type="paragraph" w:styleId="MessageHeader">
    <w:name w:val="Message Header"/>
    <w:basedOn w:val="Normal"/>
    <w:link w:val="MessageHeaderChar"/>
    <w:semiHidden/>
    <w:rsid w:val="00472CC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72CC2"/>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472CC2"/>
    <w:pPr>
      <w:spacing w:line="240" w:lineRule="auto"/>
    </w:pPr>
    <w:rPr>
      <w:lang w:val="en-GB"/>
    </w:rPr>
  </w:style>
  <w:style w:type="paragraph" w:styleId="NormalWeb">
    <w:name w:val="Normal (Web)"/>
    <w:basedOn w:val="Normal"/>
    <w:semiHidden/>
    <w:unhideWhenUsed/>
    <w:rsid w:val="00472CC2"/>
    <w:rPr>
      <w:sz w:val="24"/>
      <w:szCs w:val="24"/>
    </w:rPr>
  </w:style>
  <w:style w:type="paragraph" w:styleId="NormalIndent">
    <w:name w:val="Normal Indent"/>
    <w:basedOn w:val="Normal"/>
    <w:semiHidden/>
    <w:unhideWhenUsed/>
    <w:rsid w:val="00472CC2"/>
    <w:pPr>
      <w:ind w:left="567"/>
    </w:pPr>
  </w:style>
  <w:style w:type="paragraph" w:styleId="NoteHeading">
    <w:name w:val="Note Heading"/>
    <w:basedOn w:val="Normal"/>
    <w:next w:val="Normal"/>
    <w:link w:val="NoteHeadingChar"/>
    <w:semiHidden/>
    <w:unhideWhenUsed/>
    <w:rsid w:val="00472CC2"/>
    <w:pPr>
      <w:spacing w:line="240" w:lineRule="auto"/>
    </w:pPr>
  </w:style>
  <w:style w:type="character" w:customStyle="1" w:styleId="NoteHeadingChar">
    <w:name w:val="Note Heading Char"/>
    <w:basedOn w:val="DefaultParagraphFont"/>
    <w:link w:val="NoteHeading"/>
    <w:semiHidden/>
    <w:rsid w:val="00472CC2"/>
    <w:rPr>
      <w:lang w:val="en-GB"/>
    </w:rPr>
  </w:style>
  <w:style w:type="paragraph" w:styleId="PlainText">
    <w:name w:val="Plain Text"/>
    <w:basedOn w:val="Normal"/>
    <w:link w:val="PlainTextChar"/>
    <w:semiHidden/>
    <w:unhideWhenUsed/>
    <w:rsid w:val="00472CC2"/>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472CC2"/>
    <w:rPr>
      <w:rFonts w:ascii="Consolas" w:hAnsi="Consolas"/>
      <w:sz w:val="21"/>
      <w:szCs w:val="21"/>
      <w:lang w:val="en-GB"/>
    </w:rPr>
  </w:style>
  <w:style w:type="paragraph" w:styleId="Quote">
    <w:name w:val="Quote"/>
    <w:basedOn w:val="Normal"/>
    <w:next w:val="Normal"/>
    <w:link w:val="QuoteChar"/>
    <w:uiPriority w:val="29"/>
    <w:semiHidden/>
    <w:qFormat/>
    <w:rsid w:val="00472CC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72CC2"/>
    <w:rPr>
      <w:i/>
      <w:iCs/>
      <w:color w:val="404040" w:themeColor="text1" w:themeTint="BF"/>
      <w:lang w:val="en-GB"/>
    </w:rPr>
  </w:style>
  <w:style w:type="paragraph" w:styleId="Salutation">
    <w:name w:val="Salutation"/>
    <w:basedOn w:val="Normal"/>
    <w:next w:val="Normal"/>
    <w:link w:val="SalutationChar"/>
    <w:semiHidden/>
    <w:rsid w:val="00472CC2"/>
  </w:style>
  <w:style w:type="character" w:customStyle="1" w:styleId="SalutationChar">
    <w:name w:val="Salutation Char"/>
    <w:basedOn w:val="DefaultParagraphFont"/>
    <w:link w:val="Salutation"/>
    <w:semiHidden/>
    <w:rsid w:val="00472CC2"/>
    <w:rPr>
      <w:lang w:val="en-GB"/>
    </w:rPr>
  </w:style>
  <w:style w:type="paragraph" w:styleId="Signature">
    <w:name w:val="Signature"/>
    <w:basedOn w:val="Normal"/>
    <w:link w:val="SignatureChar"/>
    <w:semiHidden/>
    <w:unhideWhenUsed/>
    <w:rsid w:val="00472CC2"/>
    <w:pPr>
      <w:spacing w:line="240" w:lineRule="auto"/>
      <w:ind w:left="4252"/>
    </w:pPr>
  </w:style>
  <w:style w:type="character" w:customStyle="1" w:styleId="SignatureChar">
    <w:name w:val="Signature Char"/>
    <w:basedOn w:val="DefaultParagraphFont"/>
    <w:link w:val="Signature"/>
    <w:semiHidden/>
    <w:rsid w:val="00472CC2"/>
    <w:rPr>
      <w:lang w:val="en-GB"/>
    </w:rPr>
  </w:style>
  <w:style w:type="paragraph" w:styleId="Subtitle">
    <w:name w:val="Subtitle"/>
    <w:basedOn w:val="Normal"/>
    <w:next w:val="Normal"/>
    <w:link w:val="SubtitleChar"/>
    <w:semiHidden/>
    <w:qFormat/>
    <w:rsid w:val="00472CC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472CC2"/>
    <w:rPr>
      <w:rFonts w:asciiTheme="minorHAnsi" w:eastAsiaTheme="minorEastAsia" w:hAnsiTheme="minorHAnsi" w:cstheme="minorBidi"/>
      <w:color w:val="5A5A5A" w:themeColor="text1" w:themeTint="A5"/>
      <w:spacing w:val="15"/>
      <w:sz w:val="22"/>
      <w:szCs w:val="22"/>
      <w:lang w:val="en-GB"/>
    </w:rPr>
  </w:style>
  <w:style w:type="paragraph" w:styleId="TableofAuthorities">
    <w:name w:val="table of authorities"/>
    <w:basedOn w:val="Normal"/>
    <w:next w:val="Normal"/>
    <w:semiHidden/>
    <w:unhideWhenUsed/>
    <w:rsid w:val="00472CC2"/>
    <w:pPr>
      <w:ind w:left="200" w:hanging="200"/>
    </w:pPr>
  </w:style>
  <w:style w:type="paragraph" w:styleId="TableofFigures">
    <w:name w:val="table of figures"/>
    <w:basedOn w:val="Normal"/>
    <w:next w:val="Normal"/>
    <w:semiHidden/>
    <w:unhideWhenUsed/>
    <w:rsid w:val="00472CC2"/>
  </w:style>
  <w:style w:type="paragraph" w:styleId="Title">
    <w:name w:val="Title"/>
    <w:basedOn w:val="Normal"/>
    <w:next w:val="Normal"/>
    <w:link w:val="TitleChar"/>
    <w:semiHidden/>
    <w:qFormat/>
    <w:rsid w:val="00472CC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472CC2"/>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semiHidden/>
    <w:unhideWhenUsed/>
    <w:rsid w:val="00472C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472CC2"/>
    <w:pPr>
      <w:spacing w:after="100"/>
    </w:pPr>
  </w:style>
  <w:style w:type="paragraph" w:styleId="TOC2">
    <w:name w:val="toc 2"/>
    <w:basedOn w:val="Normal"/>
    <w:next w:val="Normal"/>
    <w:autoRedefine/>
    <w:semiHidden/>
    <w:unhideWhenUsed/>
    <w:rsid w:val="00472CC2"/>
    <w:pPr>
      <w:spacing w:after="100"/>
      <w:ind w:left="200"/>
    </w:pPr>
  </w:style>
  <w:style w:type="paragraph" w:styleId="TOC3">
    <w:name w:val="toc 3"/>
    <w:basedOn w:val="Normal"/>
    <w:next w:val="Normal"/>
    <w:autoRedefine/>
    <w:semiHidden/>
    <w:unhideWhenUsed/>
    <w:rsid w:val="00472CC2"/>
    <w:pPr>
      <w:spacing w:after="100"/>
      <w:ind w:left="400"/>
    </w:pPr>
  </w:style>
  <w:style w:type="paragraph" w:styleId="TOC4">
    <w:name w:val="toc 4"/>
    <w:basedOn w:val="Normal"/>
    <w:next w:val="Normal"/>
    <w:autoRedefine/>
    <w:semiHidden/>
    <w:unhideWhenUsed/>
    <w:rsid w:val="00472CC2"/>
    <w:pPr>
      <w:spacing w:after="100"/>
      <w:ind w:left="600"/>
    </w:pPr>
  </w:style>
  <w:style w:type="paragraph" w:styleId="TOC5">
    <w:name w:val="toc 5"/>
    <w:basedOn w:val="Normal"/>
    <w:next w:val="Normal"/>
    <w:autoRedefine/>
    <w:semiHidden/>
    <w:unhideWhenUsed/>
    <w:rsid w:val="00472CC2"/>
    <w:pPr>
      <w:spacing w:after="100"/>
      <w:ind w:left="800"/>
    </w:pPr>
  </w:style>
  <w:style w:type="paragraph" w:styleId="TOC6">
    <w:name w:val="toc 6"/>
    <w:basedOn w:val="Normal"/>
    <w:next w:val="Normal"/>
    <w:autoRedefine/>
    <w:semiHidden/>
    <w:unhideWhenUsed/>
    <w:rsid w:val="00472CC2"/>
    <w:pPr>
      <w:spacing w:after="100"/>
      <w:ind w:left="1000"/>
    </w:pPr>
  </w:style>
  <w:style w:type="paragraph" w:styleId="TOC7">
    <w:name w:val="toc 7"/>
    <w:basedOn w:val="Normal"/>
    <w:next w:val="Normal"/>
    <w:autoRedefine/>
    <w:semiHidden/>
    <w:unhideWhenUsed/>
    <w:rsid w:val="00472CC2"/>
    <w:pPr>
      <w:spacing w:after="100"/>
      <w:ind w:left="1200"/>
    </w:pPr>
  </w:style>
  <w:style w:type="paragraph" w:styleId="TOC8">
    <w:name w:val="toc 8"/>
    <w:basedOn w:val="Normal"/>
    <w:next w:val="Normal"/>
    <w:autoRedefine/>
    <w:semiHidden/>
    <w:unhideWhenUsed/>
    <w:rsid w:val="00472CC2"/>
    <w:pPr>
      <w:spacing w:after="100"/>
      <w:ind w:left="1400"/>
    </w:pPr>
  </w:style>
  <w:style w:type="paragraph" w:styleId="TOC9">
    <w:name w:val="toc 9"/>
    <w:basedOn w:val="Normal"/>
    <w:next w:val="Normal"/>
    <w:autoRedefine/>
    <w:semiHidden/>
    <w:unhideWhenUsed/>
    <w:rsid w:val="00472CC2"/>
    <w:pPr>
      <w:spacing w:after="100"/>
      <w:ind w:left="1600"/>
    </w:pPr>
  </w:style>
  <w:style w:type="paragraph" w:styleId="TOCHeading">
    <w:name w:val="TOC Heading"/>
    <w:basedOn w:val="Heading1"/>
    <w:next w:val="Normal"/>
    <w:uiPriority w:val="39"/>
    <w:semiHidden/>
    <w:unhideWhenUsed/>
    <w:qFormat/>
    <w:rsid w:val="00472CC2"/>
    <w:pPr>
      <w:keepNext/>
      <w:keepLines/>
      <w:tabs>
        <w:tab w:val="clear" w:pos="1701"/>
        <w:tab w:val="clear" w:pos="2268"/>
        <w:tab w:val="clear" w:pos="2835"/>
      </w:tabs>
      <w:spacing w:before="240" w:line="240" w:lineRule="atLeast"/>
      <w:ind w:left="0"/>
      <w:outlineLvl w:val="9"/>
    </w:pPr>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010654"/>
    <w:rPr>
      <w:sz w:val="16"/>
      <w:szCs w:val="16"/>
    </w:rPr>
  </w:style>
  <w:style w:type="character" w:styleId="Mention">
    <w:name w:val="Mention"/>
    <w:basedOn w:val="DefaultParagraphFont"/>
    <w:uiPriority w:val="99"/>
    <w:unhideWhenUsed/>
    <w:rsid w:val="0001065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file:///C:/Users/delacruz/AppData/Local/Microsoft/Windows/INetCache/Content.Outlook/HFND2AKT/www.un.org/bbnj/sites/www.un.org.bbnj/files/draft_agreement_advanced_unedited_for_posting_v1.pdf" TargetMode="External"/><Relationship Id="rId1" Type="http://schemas.openxmlformats.org/officeDocument/2006/relationships/hyperlink" Target="https://unece.org/info/Environment-Policy/Environmental-assessment/pub/216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2.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3.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4.xml><?xml version="1.0" encoding="utf-8"?>
<ds:datastoreItem xmlns:ds="http://schemas.openxmlformats.org/officeDocument/2006/customXml" ds:itemID="{670A5D68-DE3C-4ACE-828D-F5160E5CE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MPEIA_E.dotm</Template>
  <TotalTime>3</TotalTime>
  <Pages>27</Pages>
  <Words>10184</Words>
  <Characters>60605</Characters>
  <Application>Microsoft Office Word</Application>
  <DocSecurity>0</DocSecurity>
  <Lines>1504</Lines>
  <Paragraphs>697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ECE/MP.EIA/2023/1</vt:lpstr>
      <vt:lpstr/>
    </vt:vector>
  </TitlesOfParts>
  <Company>CSD</Company>
  <LinksUpToDate>false</LinksUpToDate>
  <CharactersWithSpaces>70321</CharactersWithSpaces>
  <SharedDoc>false</SharedDoc>
  <HLinks>
    <vt:vector size="12" baseType="variant">
      <vt:variant>
        <vt:i4>3997701</vt:i4>
      </vt:variant>
      <vt:variant>
        <vt:i4>3</vt:i4>
      </vt:variant>
      <vt:variant>
        <vt:i4>0</vt:i4>
      </vt:variant>
      <vt:variant>
        <vt:i4>5</vt:i4>
      </vt:variant>
      <vt:variant>
        <vt:lpwstr>C:\Users\delacruz\AppData\Local\Microsoft\Windows\INetCache\Content.Outlook\HFND2AKT\www.un.org\bbnj\sites\www.un.org.bbnj\files\draft_agreement_advanced_unedited_for_posting_v1.pdf</vt:lpwstr>
      </vt:variant>
      <vt:variant>
        <vt:lpwstr/>
      </vt:variant>
      <vt:variant>
        <vt:i4>6094912</vt:i4>
      </vt:variant>
      <vt:variant>
        <vt:i4>0</vt:i4>
      </vt:variant>
      <vt:variant>
        <vt:i4>0</vt:i4>
      </vt:variant>
      <vt:variant>
        <vt:i4>5</vt:i4>
      </vt:variant>
      <vt:variant>
        <vt:lpwstr>https://unece.org/info/Environment-Policy/Environmental-assessment/pub/21608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ECE/MP.EIA/2023/1 - ECE/MP.EIA/SEA/2023/1</dc:title>
  <dc:subject>2318437</dc:subject>
  <dc:creator>Maricar De_La_Cruz</dc:creator>
  <cp:keywords>ECE/MP.EIA/SEA/2023/1</cp:keywords>
  <dc:description/>
  <cp:lastModifiedBy>Cecile Pacis</cp:lastModifiedBy>
  <cp:revision>4</cp:revision>
  <cp:lastPrinted>2023-09-26T09:14:00Z</cp:lastPrinted>
  <dcterms:created xsi:type="dcterms:W3CDTF">2023-09-26T09:14:00Z</dcterms:created>
  <dcterms:modified xsi:type="dcterms:W3CDTF">2023-09-26T09:18:00Z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9caa8fde-e394-4af1-8b10-c1462d768f50</vt:lpwstr>
  </property>
  <property fmtid="{D5CDD505-2E9C-101B-9397-08002B2CF9AE}" pid="4" name="MediaServiceImageTags">
    <vt:lpwstr/>
  </property>
</Properties>
</file>