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522568B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0C7F9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466E9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CCF1D" w14:textId="3458E24C" w:rsidR="00E52109" w:rsidRDefault="00336F4C" w:rsidP="00336F4C">
            <w:pPr>
              <w:jc w:val="right"/>
            </w:pPr>
            <w:r w:rsidRPr="00336F4C">
              <w:rPr>
                <w:sz w:val="40"/>
              </w:rPr>
              <w:t>ST</w:t>
            </w:r>
            <w:r>
              <w:t>/SG/AC.10/C.4/89</w:t>
            </w:r>
          </w:p>
        </w:tc>
      </w:tr>
      <w:tr w:rsidR="00E52109" w14:paraId="63CC1F29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5EBF28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ED23D1" wp14:editId="6B83FFE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AD81EE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3516A2" w14:textId="77777777" w:rsidR="00D94B05" w:rsidRDefault="00336F4C" w:rsidP="00336F4C">
            <w:pPr>
              <w:spacing w:before="240" w:line="240" w:lineRule="exact"/>
            </w:pPr>
            <w:r>
              <w:t>Distr.: General</w:t>
            </w:r>
          </w:p>
          <w:p w14:paraId="7E6BECD9" w14:textId="04E81B04" w:rsidR="00336F4C" w:rsidRDefault="0039155B" w:rsidP="00336F4C">
            <w:pPr>
              <w:spacing w:line="240" w:lineRule="exact"/>
            </w:pPr>
            <w:r w:rsidRPr="00646FCA">
              <w:t>1</w:t>
            </w:r>
            <w:r w:rsidR="00111B35">
              <w:t>5</w:t>
            </w:r>
            <w:r w:rsidR="00336F4C" w:rsidRPr="00646FCA">
              <w:t xml:space="preserve"> August 2023</w:t>
            </w:r>
          </w:p>
          <w:p w14:paraId="3DAD2647" w14:textId="77777777" w:rsidR="00336F4C" w:rsidRDefault="00336F4C" w:rsidP="00336F4C">
            <w:pPr>
              <w:spacing w:line="240" w:lineRule="exact"/>
            </w:pPr>
          </w:p>
          <w:p w14:paraId="50262E54" w14:textId="36A25766" w:rsidR="00336F4C" w:rsidRDefault="00336F4C" w:rsidP="00336F4C">
            <w:pPr>
              <w:spacing w:line="240" w:lineRule="exact"/>
            </w:pPr>
            <w:r>
              <w:t>Original: English</w:t>
            </w:r>
          </w:p>
        </w:tc>
      </w:tr>
    </w:tbl>
    <w:p w14:paraId="145893B0" w14:textId="77777777" w:rsidR="00336F4C" w:rsidRPr="009F0F06" w:rsidRDefault="00336F4C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25268461" w14:textId="77777777" w:rsidR="00336F4C" w:rsidRPr="009F0F06" w:rsidRDefault="00336F4C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0802E535" w14:textId="28B25FFA" w:rsidR="000618CB" w:rsidRDefault="000618CB" w:rsidP="000618CB">
      <w:pPr>
        <w:spacing w:before="120"/>
        <w:rPr>
          <w:b/>
        </w:rPr>
      </w:pPr>
      <w:r>
        <w:rPr>
          <w:b/>
        </w:rPr>
        <w:t>Forty-fifth session</w:t>
      </w:r>
    </w:p>
    <w:p w14:paraId="721FE829" w14:textId="4B4E0F5E" w:rsidR="000618CB" w:rsidRDefault="000618CB" w:rsidP="00000258">
      <w:r>
        <w:t xml:space="preserve">Geneva, </w:t>
      </w:r>
      <w:r w:rsidR="00000258">
        <w:t>6</w:t>
      </w:r>
      <w:r>
        <w:t>-</w:t>
      </w:r>
      <w:r w:rsidR="00000258">
        <w:t>8</w:t>
      </w:r>
      <w:r>
        <w:t xml:space="preserve"> </w:t>
      </w:r>
      <w:r w:rsidR="00000258">
        <w:t xml:space="preserve">December </w:t>
      </w:r>
      <w:r>
        <w:t>2023</w:t>
      </w:r>
    </w:p>
    <w:p w14:paraId="4D1A58CA" w14:textId="77777777" w:rsidR="000618CB" w:rsidRDefault="000618CB" w:rsidP="000618CB">
      <w:r>
        <w:t>Item 1 of the provisional agenda</w:t>
      </w:r>
    </w:p>
    <w:p w14:paraId="06CD2CCE" w14:textId="77777777" w:rsidR="000618CB" w:rsidRPr="00986B1E" w:rsidRDefault="000618CB" w:rsidP="000618CB">
      <w:pPr>
        <w:rPr>
          <w:b/>
          <w:bCs/>
        </w:rPr>
      </w:pPr>
      <w:r w:rsidRPr="00986B1E">
        <w:rPr>
          <w:b/>
          <w:bCs/>
        </w:rPr>
        <w:t>Adoption of the agenda</w:t>
      </w:r>
    </w:p>
    <w:p w14:paraId="083C9223" w14:textId="757264AD" w:rsidR="000618CB" w:rsidRPr="00082C9B" w:rsidRDefault="000618CB" w:rsidP="000618CB">
      <w:pPr>
        <w:pStyle w:val="HChG"/>
      </w:pPr>
      <w:r>
        <w:tab/>
      </w:r>
      <w:r>
        <w:tab/>
        <w:t>Provisional a</w:t>
      </w:r>
      <w:r w:rsidRPr="00082C9B">
        <w:t>genda for the forty-</w:t>
      </w:r>
      <w:r w:rsidR="00FD0550">
        <w:t>fifth</w:t>
      </w:r>
      <w:r w:rsidRPr="00082C9B">
        <w:t xml:space="preserve"> session</w:t>
      </w:r>
      <w:r w:rsidRPr="00082C9B">
        <w:rPr>
          <w:rStyle w:val="FootnoteReference"/>
          <w:sz w:val="20"/>
        </w:rPr>
        <w:footnoteReference w:customMarkFollows="1" w:id="2"/>
        <w:t>*,</w:t>
      </w:r>
      <w:r w:rsidRPr="00082C9B">
        <w:t xml:space="preserve"> </w:t>
      </w:r>
      <w:r w:rsidRPr="00082C9B">
        <w:rPr>
          <w:rStyle w:val="FootnoteReference"/>
          <w:sz w:val="20"/>
        </w:rPr>
        <w:footnoteReference w:customMarkFollows="1" w:id="3"/>
        <w:t>**,</w:t>
      </w:r>
      <w:r w:rsidRPr="00082C9B">
        <w:rPr>
          <w:sz w:val="20"/>
        </w:rPr>
        <w:t xml:space="preserve"> </w:t>
      </w:r>
      <w:r w:rsidRPr="00082C9B">
        <w:rPr>
          <w:rStyle w:val="FootnoteReference"/>
          <w:sz w:val="20"/>
        </w:rPr>
        <w:footnoteReference w:customMarkFollows="1" w:id="4"/>
        <w:t>***</w:t>
      </w:r>
    </w:p>
    <w:p w14:paraId="16BEFE24" w14:textId="1D55E1DD" w:rsidR="000618CB" w:rsidRPr="00082C9B" w:rsidRDefault="000618CB" w:rsidP="000618CB">
      <w:pPr>
        <w:pStyle w:val="SingleTxtG"/>
      </w:pPr>
      <w:r w:rsidRPr="00005556">
        <w:t xml:space="preserve">To be held at the Palais des Nations, Geneva, starting at </w:t>
      </w:r>
      <w:r w:rsidR="003A2224" w:rsidRPr="00005556">
        <w:t>1</w:t>
      </w:r>
      <w:r w:rsidR="006F170A" w:rsidRPr="00005556">
        <w:t>4</w:t>
      </w:r>
      <w:r w:rsidRPr="00005556">
        <w:t>:</w:t>
      </w:r>
      <w:r w:rsidR="006F170A" w:rsidRPr="00005556">
        <w:t>3</w:t>
      </w:r>
      <w:r w:rsidRPr="00005556">
        <w:t xml:space="preserve">0 on </w:t>
      </w:r>
      <w:r w:rsidR="003A2224" w:rsidRPr="00005556">
        <w:t>Wednesday</w:t>
      </w:r>
      <w:r w:rsidRPr="00005556">
        <w:t xml:space="preserve"> </w:t>
      </w:r>
      <w:r w:rsidR="003A2224" w:rsidRPr="00005556">
        <w:t xml:space="preserve">6 December </w:t>
      </w:r>
      <w:r w:rsidRPr="00005556">
        <w:t>2023</w:t>
      </w:r>
      <w:r w:rsidRPr="00151660">
        <w:t xml:space="preserve"> </w:t>
      </w:r>
    </w:p>
    <w:p w14:paraId="3828721C" w14:textId="77777777" w:rsidR="000618CB" w:rsidRPr="00324309" w:rsidRDefault="000618CB" w:rsidP="000618CB">
      <w:pPr>
        <w:pStyle w:val="SingleTxtG"/>
      </w:pPr>
      <w:r w:rsidRPr="00324309">
        <w:t>1.</w:t>
      </w:r>
      <w:r w:rsidRPr="00324309">
        <w:tab/>
        <w:t>Adoption of the agenda.</w:t>
      </w:r>
    </w:p>
    <w:p w14:paraId="02AE7D82" w14:textId="77777777" w:rsidR="000618CB" w:rsidRPr="00324309" w:rsidRDefault="000618CB" w:rsidP="000618CB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 w:rsidRPr="00324309">
        <w:t>2.</w:t>
      </w:r>
      <w:r w:rsidRPr="00324309">
        <w:tab/>
        <w:t>Work on the Globally Harmonized System</w:t>
      </w:r>
      <w:r>
        <w:t xml:space="preserve"> of Classification and Labelling of Chemicals</w:t>
      </w:r>
      <w:r w:rsidRPr="00324309">
        <w:t>:</w:t>
      </w:r>
    </w:p>
    <w:p w14:paraId="7B1195D3" w14:textId="77777777" w:rsidR="000618CB" w:rsidRDefault="000618CB" w:rsidP="000618CB">
      <w:pPr>
        <w:pStyle w:val="SingleTxtG"/>
        <w:spacing w:line="220" w:lineRule="exact"/>
        <w:ind w:left="2268" w:hanging="567"/>
      </w:pPr>
      <w:r w:rsidRPr="00324309">
        <w:t>(a)</w:t>
      </w:r>
      <w:r w:rsidRPr="00324309">
        <w:tab/>
        <w:t>Work of the Sub-Committee of Experts on the Transport of Dangerous Goods on matters of interest to the Sub-Committee</w:t>
      </w:r>
      <w:r>
        <w:t xml:space="preserve"> </w:t>
      </w:r>
      <w:r w:rsidRPr="00324309">
        <w:t xml:space="preserve">of Experts on the </w:t>
      </w:r>
      <w:r>
        <w:t>Globally Harmonized System of Classification and Labelling of Chemicals</w:t>
      </w:r>
      <w:r w:rsidRPr="00324309">
        <w:rPr>
          <w:rStyle w:val="FootnoteReference"/>
        </w:rPr>
        <w:footnoteReference w:id="5"/>
      </w:r>
      <w:r w:rsidRPr="00324309">
        <w:t>;</w:t>
      </w:r>
    </w:p>
    <w:p w14:paraId="6CADC94C" w14:textId="77777777" w:rsidR="000618CB" w:rsidRDefault="000618CB" w:rsidP="000618CB">
      <w:pPr>
        <w:pStyle w:val="SingleTxtG"/>
        <w:spacing w:line="220" w:lineRule="exact"/>
        <w:ind w:left="2268" w:hanging="567"/>
      </w:pPr>
      <w:r>
        <w:t>(b)</w:t>
      </w:r>
      <w:r>
        <w:tab/>
        <w:t>Simultaneous classification in physical hazards and precedence of hazards;</w:t>
      </w:r>
    </w:p>
    <w:p w14:paraId="62104CF0" w14:textId="77777777" w:rsidR="000618CB" w:rsidRPr="00082C9B" w:rsidRDefault="000618CB" w:rsidP="000618CB">
      <w:pPr>
        <w:pStyle w:val="SingleTxtG"/>
        <w:ind w:left="2268" w:hanging="567"/>
      </w:pPr>
      <w:r w:rsidRPr="00324309">
        <w:lastRenderedPageBreak/>
        <w:t>(</w:t>
      </w:r>
      <w:r>
        <w:t>c</w:t>
      </w:r>
      <w:r w:rsidRPr="00324309">
        <w:t>)</w:t>
      </w:r>
      <w:r w:rsidRPr="00324309">
        <w:tab/>
      </w:r>
      <w:r>
        <w:t>Use of non-animal testing methods for classification of health and environmental hazards</w:t>
      </w:r>
      <w:r w:rsidRPr="00324309">
        <w:t>;</w:t>
      </w:r>
    </w:p>
    <w:p w14:paraId="2664756C" w14:textId="77777777" w:rsidR="000618CB" w:rsidRDefault="000618CB" w:rsidP="000618CB">
      <w:pPr>
        <w:pStyle w:val="SingleTxtG"/>
        <w:ind w:left="2268" w:hanging="567"/>
      </w:pPr>
      <w:r w:rsidRPr="00324309">
        <w:t>(</w:t>
      </w:r>
      <w:r>
        <w:t>d</w:t>
      </w:r>
      <w:r w:rsidRPr="00324309">
        <w:t>)</w:t>
      </w:r>
      <w:r w:rsidRPr="00324309">
        <w:tab/>
      </w:r>
      <w:r>
        <w:t>Classification criteria for germ cell mutagenicity</w:t>
      </w:r>
      <w:r w:rsidRPr="00324309">
        <w:t xml:space="preserve">; </w:t>
      </w:r>
    </w:p>
    <w:p w14:paraId="76F968BA" w14:textId="77777777" w:rsidR="000618CB" w:rsidRPr="00324309" w:rsidRDefault="000618CB" w:rsidP="000618CB">
      <w:pPr>
        <w:pStyle w:val="SingleTxtG"/>
        <w:ind w:left="2268" w:hanging="567"/>
      </w:pPr>
      <w:r>
        <w:t>(e)</w:t>
      </w:r>
      <w:r>
        <w:tab/>
        <w:t>Potential hazard issues and their presentation in the Globally Harmonized System;</w:t>
      </w:r>
    </w:p>
    <w:p w14:paraId="5933A61F" w14:textId="77777777" w:rsidR="000618CB" w:rsidRDefault="000618CB" w:rsidP="000618CB">
      <w:pPr>
        <w:pStyle w:val="SingleTxtG"/>
        <w:ind w:left="2268" w:hanging="567"/>
      </w:pPr>
      <w:r w:rsidRPr="00324309">
        <w:t>(</w:t>
      </w:r>
      <w:r>
        <w:t>f</w:t>
      </w:r>
      <w:r w:rsidRPr="00324309">
        <w:t>)</w:t>
      </w:r>
      <w:r w:rsidRPr="00324309">
        <w:tab/>
        <w:t xml:space="preserve">Practical classification issues (proposed amendments to the Globally Harmonized System); </w:t>
      </w:r>
    </w:p>
    <w:p w14:paraId="2D78EB86" w14:textId="77777777" w:rsidR="000618CB" w:rsidRDefault="000618CB" w:rsidP="000618CB">
      <w:pPr>
        <w:pStyle w:val="SingleTxtG"/>
        <w:spacing w:line="220" w:lineRule="atLeast"/>
        <w:ind w:left="2268" w:hanging="567"/>
      </w:pPr>
      <w:r w:rsidRPr="00324309">
        <w:t>(g)</w:t>
      </w:r>
      <w:r w:rsidRPr="00324309">
        <w:tab/>
        <w:t>Nanomaterials;</w:t>
      </w:r>
    </w:p>
    <w:p w14:paraId="12F03B9D" w14:textId="0322CEAD" w:rsidR="000618CB" w:rsidRPr="00324309" w:rsidRDefault="000618CB" w:rsidP="000618CB">
      <w:pPr>
        <w:pStyle w:val="SingleTxtG"/>
        <w:spacing w:line="220" w:lineRule="atLeast"/>
        <w:ind w:left="2268" w:hanging="567"/>
      </w:pPr>
      <w:r>
        <w:t xml:space="preserve">(h) </w:t>
      </w:r>
      <w:r>
        <w:tab/>
      </w:r>
      <w:r w:rsidR="00C0458C">
        <w:t>H</w:t>
      </w:r>
      <w:r w:rsidR="00C37AB0">
        <w:t xml:space="preserve">azardous to the atmospheric </w:t>
      </w:r>
      <w:r w:rsidR="00E36300">
        <w:t>system;</w:t>
      </w:r>
      <w:r w:rsidR="005368BF">
        <w:rPr>
          <w:rStyle w:val="FootnoteReference"/>
        </w:rPr>
        <w:footnoteReference w:id="6"/>
      </w:r>
    </w:p>
    <w:p w14:paraId="252BB7E6" w14:textId="77777777" w:rsidR="000618CB" w:rsidRDefault="000618CB" w:rsidP="000618CB">
      <w:pPr>
        <w:pStyle w:val="SingleTxtG"/>
        <w:spacing w:line="220" w:lineRule="atLeast"/>
        <w:ind w:left="2268" w:hanging="567"/>
      </w:pPr>
      <w:r w:rsidRPr="00324309">
        <w:t>(</w:t>
      </w:r>
      <w:proofErr w:type="spellStart"/>
      <w:r>
        <w:t>i</w:t>
      </w:r>
      <w:proofErr w:type="spellEnd"/>
      <w:r w:rsidRPr="00324309">
        <w:t>)</w:t>
      </w:r>
      <w:r w:rsidRPr="00324309">
        <w:tab/>
        <w:t>Improvement of annexes 1 to 3 and further rationalization of precautionary statements;</w:t>
      </w:r>
    </w:p>
    <w:p w14:paraId="7DCEC6BC" w14:textId="38F5AEBA" w:rsidR="000618CB" w:rsidRPr="00324309" w:rsidRDefault="000618CB" w:rsidP="000618CB">
      <w:pPr>
        <w:pStyle w:val="SingleTxtG"/>
        <w:spacing w:line="220" w:lineRule="atLeast"/>
        <w:ind w:left="2268" w:hanging="567"/>
      </w:pPr>
      <w:r w:rsidRPr="00324309">
        <w:t>(</w:t>
      </w:r>
      <w:r w:rsidR="0024335D">
        <w:t>j</w:t>
      </w:r>
      <w:r w:rsidRPr="00324309">
        <w:t>)</w:t>
      </w:r>
      <w:r w:rsidRPr="00324309">
        <w:tab/>
      </w:r>
      <w:r>
        <w:t>Other matters</w:t>
      </w:r>
      <w:r w:rsidRPr="00324309">
        <w:t>.</w:t>
      </w:r>
    </w:p>
    <w:p w14:paraId="00AB0A18" w14:textId="77777777" w:rsidR="000618CB" w:rsidRPr="00324309" w:rsidRDefault="000618CB" w:rsidP="000618CB">
      <w:pPr>
        <w:pStyle w:val="SingleTxtG"/>
      </w:pPr>
      <w:r w:rsidRPr="00324309">
        <w:t>3.</w:t>
      </w:r>
      <w:r w:rsidRPr="00324309">
        <w:tab/>
        <w:t>Implementation:</w:t>
      </w:r>
    </w:p>
    <w:p w14:paraId="3CAEEE7F" w14:textId="77777777" w:rsidR="000618CB" w:rsidRPr="00324309" w:rsidRDefault="000618CB" w:rsidP="000618CB">
      <w:pPr>
        <w:pStyle w:val="SingleTxtG"/>
        <w:spacing w:line="220" w:lineRule="atLeast"/>
        <w:ind w:left="2268" w:hanging="567"/>
      </w:pPr>
      <w:r w:rsidRPr="00324309">
        <w:t>(a)</w:t>
      </w:r>
      <w:r w:rsidRPr="00324309">
        <w:tab/>
        <w:t>Possible development of a list of chemicals</w:t>
      </w:r>
      <w:r>
        <w:t xml:space="preserve"> classified in accordance with the Globally Harmonized System;</w:t>
      </w:r>
    </w:p>
    <w:p w14:paraId="1E004552" w14:textId="77777777" w:rsidR="000618CB" w:rsidRPr="00324309" w:rsidRDefault="000618CB" w:rsidP="000618CB">
      <w:pPr>
        <w:pStyle w:val="SingleTxtG"/>
        <w:spacing w:line="220" w:lineRule="atLeast"/>
        <w:ind w:left="2268" w:hanging="567"/>
      </w:pPr>
      <w:r w:rsidRPr="00324309">
        <w:t>(b)</w:t>
      </w:r>
      <w:r w:rsidRPr="00324309">
        <w:tab/>
        <w:t>Reports on the status of implementation;</w:t>
      </w:r>
    </w:p>
    <w:p w14:paraId="0B702F29" w14:textId="77777777" w:rsidR="000618CB" w:rsidRPr="00324309" w:rsidRDefault="000618CB" w:rsidP="000618CB">
      <w:pPr>
        <w:pStyle w:val="SingleTxtG"/>
        <w:spacing w:line="220" w:lineRule="atLeast"/>
        <w:ind w:left="2268" w:hanging="567"/>
      </w:pPr>
      <w:r w:rsidRPr="00324309">
        <w:t>(c)</w:t>
      </w:r>
      <w:r w:rsidRPr="00324309">
        <w:tab/>
        <w:t>Cooperation with other bodies or international organizations;</w:t>
      </w:r>
    </w:p>
    <w:p w14:paraId="69CDFF99" w14:textId="77777777" w:rsidR="000618CB" w:rsidRPr="00324309" w:rsidRDefault="000618CB" w:rsidP="000618CB">
      <w:pPr>
        <w:pStyle w:val="SingleTxtG"/>
        <w:spacing w:line="220" w:lineRule="atLeast"/>
        <w:ind w:left="2268" w:hanging="567"/>
      </w:pPr>
      <w:r w:rsidRPr="00324309">
        <w:t>(d)</w:t>
      </w:r>
      <w:r w:rsidRPr="00324309">
        <w:tab/>
      </w:r>
      <w:r>
        <w:t>Miscellaneous</w:t>
      </w:r>
      <w:r w:rsidRPr="00324309">
        <w:t>.</w:t>
      </w:r>
    </w:p>
    <w:p w14:paraId="1ED38A45" w14:textId="77777777" w:rsidR="000618CB" w:rsidRPr="00324309" w:rsidRDefault="000618CB" w:rsidP="000618CB">
      <w:pPr>
        <w:pStyle w:val="SingleTxtG"/>
      </w:pPr>
      <w:r w:rsidRPr="00324309">
        <w:t>4.</w:t>
      </w:r>
      <w:r w:rsidRPr="00324309">
        <w:tab/>
        <w:t xml:space="preserve">Development of guidance on the application of </w:t>
      </w:r>
      <w:r>
        <w:t>the</w:t>
      </w:r>
      <w:r w:rsidRPr="00324309">
        <w:t xml:space="preserve"> Globally Harmonized System:</w:t>
      </w:r>
    </w:p>
    <w:p w14:paraId="346C2BF2" w14:textId="77777777" w:rsidR="000618CB" w:rsidRPr="00324309" w:rsidRDefault="000618CB" w:rsidP="000618CB">
      <w:pPr>
        <w:pStyle w:val="SingleTxtG"/>
        <w:spacing w:line="220" w:lineRule="atLeast"/>
        <w:ind w:left="2268" w:hanging="567"/>
      </w:pPr>
      <w:r w:rsidRPr="00324309">
        <w:t>(</w:t>
      </w:r>
      <w:r>
        <w:t>a</w:t>
      </w:r>
      <w:r w:rsidRPr="00324309">
        <w:t>)</w:t>
      </w:r>
      <w:r w:rsidRPr="00324309">
        <w:tab/>
      </w:r>
      <w:r>
        <w:t>P</w:t>
      </w:r>
      <w:r w:rsidRPr="00324309">
        <w:t>ractical classification issues;</w:t>
      </w:r>
    </w:p>
    <w:p w14:paraId="34DEA334" w14:textId="77777777" w:rsidR="000618CB" w:rsidRPr="00324309" w:rsidRDefault="000618CB" w:rsidP="000618CB">
      <w:pPr>
        <w:pStyle w:val="SingleTxtG"/>
        <w:spacing w:line="220" w:lineRule="atLeast"/>
        <w:ind w:left="2268" w:hanging="567"/>
      </w:pPr>
      <w:r w:rsidRPr="00324309">
        <w:t>(</w:t>
      </w:r>
      <w:r>
        <w:t>b</w:t>
      </w:r>
      <w:r w:rsidRPr="00324309">
        <w:t>)</w:t>
      </w:r>
      <w:r w:rsidRPr="00324309">
        <w:tab/>
      </w:r>
      <w:r>
        <w:t>P</w:t>
      </w:r>
      <w:r w:rsidRPr="00324309">
        <w:t>ractical labelling issues;</w:t>
      </w:r>
    </w:p>
    <w:p w14:paraId="5C27D5E2" w14:textId="77777777" w:rsidR="000618CB" w:rsidRPr="00324309" w:rsidRDefault="000618CB" w:rsidP="000618CB">
      <w:pPr>
        <w:pStyle w:val="SingleTxtG"/>
        <w:spacing w:line="220" w:lineRule="atLeast"/>
        <w:ind w:left="2268" w:hanging="567"/>
      </w:pPr>
      <w:r w:rsidRPr="00324309">
        <w:t>(</w:t>
      </w:r>
      <w:r>
        <w:t>c</w:t>
      </w:r>
      <w:r w:rsidRPr="00324309">
        <w:t>)</w:t>
      </w:r>
      <w:r w:rsidRPr="00324309">
        <w:tab/>
        <w:t>Miscellaneous.</w:t>
      </w:r>
    </w:p>
    <w:p w14:paraId="7F4530B0" w14:textId="77777777" w:rsidR="000618CB" w:rsidRDefault="000618CB" w:rsidP="000618CB">
      <w:pPr>
        <w:pStyle w:val="SingleTxtG"/>
      </w:pPr>
      <w:r w:rsidRPr="00324309">
        <w:t>5.</w:t>
      </w:r>
      <w:r w:rsidRPr="00324309">
        <w:tab/>
        <w:t>Capacity building.</w:t>
      </w:r>
    </w:p>
    <w:p w14:paraId="1C69DE3B" w14:textId="77777777" w:rsidR="000618CB" w:rsidRPr="00324309" w:rsidRDefault="000618CB" w:rsidP="000618CB">
      <w:pPr>
        <w:pStyle w:val="SingleTxtG"/>
      </w:pPr>
      <w:r>
        <w:t>6.</w:t>
      </w:r>
      <w:r>
        <w:tab/>
        <w:t>Implementation of Agenda 2030 and work of the Economic and Social Council.</w:t>
      </w:r>
    </w:p>
    <w:p w14:paraId="247F2E83" w14:textId="77777777" w:rsidR="000618CB" w:rsidRPr="00324309" w:rsidRDefault="000618CB" w:rsidP="000618CB">
      <w:pPr>
        <w:pStyle w:val="SingleTxtG"/>
      </w:pPr>
      <w:r>
        <w:t>7</w:t>
      </w:r>
      <w:r w:rsidRPr="00324309">
        <w:t>.</w:t>
      </w:r>
      <w:r w:rsidRPr="00324309">
        <w:tab/>
        <w:t>Other business.</w:t>
      </w:r>
    </w:p>
    <w:p w14:paraId="3E283075" w14:textId="77777777" w:rsidR="000618CB" w:rsidRDefault="000618CB" w:rsidP="000618CB">
      <w:pPr>
        <w:pStyle w:val="SingleTxtG"/>
      </w:pPr>
      <w:r>
        <w:t>8</w:t>
      </w:r>
      <w:r w:rsidRPr="00324309">
        <w:t>.</w:t>
      </w:r>
      <w:r w:rsidRPr="00324309">
        <w:tab/>
        <w:t>Adoption of the report.</w:t>
      </w:r>
    </w:p>
    <w:p w14:paraId="26D7BC51" w14:textId="77777777" w:rsidR="000618CB" w:rsidRPr="00D8593B" w:rsidRDefault="000618CB" w:rsidP="000618C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6031AA" w14:textId="77777777" w:rsidR="000618CB" w:rsidRPr="00986B1E" w:rsidRDefault="000618CB" w:rsidP="000618CB"/>
    <w:p w14:paraId="4D1426CF" w14:textId="77777777" w:rsidR="00AF5DE1" w:rsidRPr="00336F4C" w:rsidRDefault="00AF5DE1" w:rsidP="004858F5"/>
    <w:sectPr w:rsidR="00AF5DE1" w:rsidRPr="00336F4C" w:rsidSect="00336F4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6DE4" w14:textId="77777777" w:rsidR="00862D5B" w:rsidRPr="00C47B2E" w:rsidRDefault="00862D5B" w:rsidP="00C47B2E">
      <w:pPr>
        <w:pStyle w:val="Footer"/>
      </w:pPr>
    </w:p>
  </w:endnote>
  <w:endnote w:type="continuationSeparator" w:id="0">
    <w:p w14:paraId="7F6ECCA3" w14:textId="77777777" w:rsidR="00862D5B" w:rsidRPr="00C47B2E" w:rsidRDefault="00862D5B" w:rsidP="00C47B2E">
      <w:pPr>
        <w:pStyle w:val="Footer"/>
      </w:pPr>
    </w:p>
  </w:endnote>
  <w:endnote w:type="continuationNotice" w:id="1">
    <w:p w14:paraId="1369AC09" w14:textId="77777777" w:rsidR="00862D5B" w:rsidRPr="00C47B2E" w:rsidRDefault="00862D5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CE9F" w14:textId="70CC22C0" w:rsidR="00D94B05" w:rsidRPr="00336F4C" w:rsidRDefault="00336F4C" w:rsidP="00336F4C">
    <w:pPr>
      <w:pStyle w:val="Footer"/>
      <w:tabs>
        <w:tab w:val="right" w:pos="9598"/>
        <w:tab w:val="right" w:pos="9638"/>
      </w:tabs>
      <w:rPr>
        <w:sz w:val="18"/>
      </w:rPr>
    </w:pPr>
    <w:r w:rsidRPr="00336F4C">
      <w:rPr>
        <w:b/>
        <w:sz w:val="18"/>
      </w:rPr>
      <w:fldChar w:fldCharType="begin"/>
    </w:r>
    <w:r w:rsidRPr="00336F4C">
      <w:rPr>
        <w:b/>
        <w:sz w:val="18"/>
      </w:rPr>
      <w:instrText xml:space="preserve"> PAGE  \* MERGEFORMAT </w:instrText>
    </w:r>
    <w:r w:rsidRPr="00336F4C">
      <w:rPr>
        <w:b/>
        <w:sz w:val="18"/>
      </w:rPr>
      <w:fldChar w:fldCharType="separate"/>
    </w:r>
    <w:r w:rsidRPr="00336F4C">
      <w:rPr>
        <w:b/>
        <w:noProof/>
        <w:sz w:val="18"/>
      </w:rPr>
      <w:t>2</w:t>
    </w:r>
    <w:r w:rsidRPr="00336F4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3934" w14:textId="1B64EDE7" w:rsidR="00D94B05" w:rsidRPr="00336F4C" w:rsidRDefault="00336F4C" w:rsidP="00336F4C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336F4C">
      <w:rPr>
        <w:sz w:val="18"/>
      </w:rPr>
      <w:fldChar w:fldCharType="begin"/>
    </w:r>
    <w:r w:rsidRPr="00336F4C">
      <w:rPr>
        <w:sz w:val="18"/>
      </w:rPr>
      <w:instrText xml:space="preserve"> PAGE  \* MERGEFORMAT </w:instrText>
    </w:r>
    <w:r w:rsidRPr="00336F4C">
      <w:rPr>
        <w:sz w:val="18"/>
      </w:rPr>
      <w:fldChar w:fldCharType="separate"/>
    </w:r>
    <w:r w:rsidRPr="00336F4C">
      <w:rPr>
        <w:noProof/>
        <w:sz w:val="18"/>
      </w:rPr>
      <w:t>3</w:t>
    </w:r>
    <w:r w:rsidRPr="00336F4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E0CC" w14:textId="0F4CB898" w:rsidR="00D94B05" w:rsidRDefault="0078397D" w:rsidP="0078397D">
    <w:pPr>
      <w:pStyle w:val="Footer"/>
      <w:rPr>
        <w:rFonts w:asciiTheme="majorBidi" w:hAnsiTheme="majorBidi" w:cstheme="majorBidi"/>
        <w:sz w:val="20"/>
      </w:rPr>
    </w:pPr>
    <w:r w:rsidRPr="0078397D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164B733C" wp14:editId="679074A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4CF15" w14:textId="62D893C6" w:rsidR="0078397D" w:rsidRPr="0078397D" w:rsidRDefault="0078397D" w:rsidP="0078397D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GE.23-15760(E)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1312" behindDoc="0" locked="0" layoutInCell="1" allowOverlap="1" wp14:anchorId="2E4C6227" wp14:editId="7BF0AE7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596D" w14:textId="77777777" w:rsidR="00862D5B" w:rsidRPr="00C47B2E" w:rsidRDefault="00862D5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D01B9DE" w14:textId="77777777" w:rsidR="00862D5B" w:rsidRPr="00C47B2E" w:rsidRDefault="00862D5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96B6FBE" w14:textId="77777777" w:rsidR="00862D5B" w:rsidRPr="00C47B2E" w:rsidRDefault="00862D5B" w:rsidP="00C47B2E">
      <w:pPr>
        <w:pStyle w:val="Footer"/>
      </w:pPr>
    </w:p>
  </w:footnote>
  <w:footnote w:id="2">
    <w:p w14:paraId="2E5E101D" w14:textId="00299C65" w:rsidR="000618CB" w:rsidRPr="006423FA" w:rsidRDefault="000618CB" w:rsidP="000618CB">
      <w:pPr>
        <w:pStyle w:val="FootnoteText"/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D82CAC">
        <w:rPr>
          <w:bCs/>
          <w:szCs w:val="18"/>
        </w:rPr>
        <w:t>Annotations to the agenda will be circulated as document ST/SG/AC.10/C.4/8</w:t>
      </w:r>
      <w:r w:rsidR="00FD0550">
        <w:rPr>
          <w:bCs/>
          <w:szCs w:val="18"/>
        </w:rPr>
        <w:t>9</w:t>
      </w:r>
      <w:r w:rsidRPr="00D82CAC">
        <w:rPr>
          <w:bCs/>
          <w:szCs w:val="18"/>
        </w:rPr>
        <w:t xml:space="preserve">/Add.1. The deadline for submission of documents to be considered by the Sub-Committee of Experts on the Globally Harmonized System of Classification and Labelling of Chemicals (GHS Sub-Committee) is </w:t>
      </w:r>
      <w:r w:rsidR="004E5DD4">
        <w:rPr>
          <w:bCs/>
          <w:szCs w:val="18"/>
        </w:rPr>
        <w:t>13 September</w:t>
      </w:r>
      <w:r w:rsidRPr="00D82CAC">
        <w:rPr>
          <w:bCs/>
          <w:szCs w:val="18"/>
        </w:rPr>
        <w:t xml:space="preserve"> 2023. The deadline for submission of documents to be considered by both sub-committees (i.e.: the Sub-Committee of Experts on the Transport of Dangerous Goods (TDG Sub-Committee) and the GHS Sub-Committee) is </w:t>
      </w:r>
      <w:r w:rsidR="009C471E">
        <w:rPr>
          <w:bCs/>
          <w:szCs w:val="18"/>
        </w:rPr>
        <w:t>1 September</w:t>
      </w:r>
      <w:r w:rsidRPr="00D82CAC">
        <w:rPr>
          <w:bCs/>
          <w:szCs w:val="18"/>
        </w:rPr>
        <w:t xml:space="preserve"> 2023.</w:t>
      </w:r>
    </w:p>
  </w:footnote>
  <w:footnote w:id="3">
    <w:p w14:paraId="699CFBB4" w14:textId="00881587" w:rsidR="000618CB" w:rsidRPr="00AB6F1A" w:rsidRDefault="000618CB" w:rsidP="009C471E">
      <w:pPr>
        <w:pStyle w:val="FootnoteText"/>
      </w:pPr>
      <w:r w:rsidRPr="006423FA">
        <w:tab/>
      </w:r>
      <w:r w:rsidRPr="006423FA">
        <w:rPr>
          <w:rStyle w:val="FootnoteReference"/>
          <w:sz w:val="20"/>
        </w:rPr>
        <w:t>**</w:t>
      </w:r>
      <w:r w:rsidRPr="006423FA">
        <w:t xml:space="preserve"> </w:t>
      </w:r>
      <w:r w:rsidRPr="006423FA">
        <w:tab/>
      </w:r>
      <w:bookmarkStart w:id="0" w:name="_Hlk15914872"/>
      <w:r w:rsidRPr="006423FA">
        <w:rPr>
          <w:szCs w:val="18"/>
        </w:rPr>
        <w:t xml:space="preserve">All documentation for the session will be made available online </w:t>
      </w:r>
      <w:bookmarkStart w:id="1" w:name="_Hlk15909003"/>
      <w:r w:rsidRPr="006423FA">
        <w:rPr>
          <w:szCs w:val="18"/>
        </w:rPr>
        <w:t xml:space="preserve">at: </w:t>
      </w:r>
      <w:bookmarkEnd w:id="1"/>
      <w:r w:rsidR="009C471E">
        <w:rPr>
          <w:szCs w:val="18"/>
        </w:rPr>
        <w:fldChar w:fldCharType="begin"/>
      </w:r>
      <w:r w:rsidR="009C471E">
        <w:rPr>
          <w:szCs w:val="18"/>
        </w:rPr>
        <w:instrText xml:space="preserve"> HYPERLINK "</w:instrText>
      </w:r>
      <w:r w:rsidR="009C471E" w:rsidRPr="009C471E">
        <w:rPr>
          <w:szCs w:val="18"/>
        </w:rPr>
        <w:instrText>https://unece.org/info/Transport/Dangerous-Goods/events/376527</w:instrText>
      </w:r>
      <w:r w:rsidR="009C471E">
        <w:rPr>
          <w:szCs w:val="18"/>
        </w:rPr>
        <w:instrText xml:space="preserve">" </w:instrText>
      </w:r>
      <w:r w:rsidR="009C471E">
        <w:rPr>
          <w:szCs w:val="18"/>
        </w:rPr>
      </w:r>
      <w:r w:rsidR="009C471E">
        <w:rPr>
          <w:szCs w:val="18"/>
        </w:rPr>
        <w:fldChar w:fldCharType="separate"/>
      </w:r>
      <w:r w:rsidR="009C471E" w:rsidRPr="00F40C1F">
        <w:rPr>
          <w:rStyle w:val="Hyperlink"/>
          <w:szCs w:val="18"/>
        </w:rPr>
        <w:t>https://unece.org/info/Transport/Dangerous-Goods/events/376527</w:t>
      </w:r>
      <w:r w:rsidR="009C471E">
        <w:rPr>
          <w:szCs w:val="18"/>
        </w:rPr>
        <w:fldChar w:fldCharType="end"/>
      </w:r>
      <w:r w:rsidR="009C471E">
        <w:rPr>
          <w:szCs w:val="18"/>
        </w:rPr>
        <w:t>.</w:t>
      </w:r>
      <w:r>
        <w:rPr>
          <w:szCs w:val="18"/>
        </w:rPr>
        <w:t xml:space="preserve"> </w:t>
      </w:r>
      <w:r w:rsidRPr="006423FA">
        <w:t xml:space="preserve">This will be a paperless meeting. Printed documents will not be available </w:t>
      </w:r>
      <w:r w:rsidRPr="006423FA">
        <w:rPr>
          <w:szCs w:val="18"/>
        </w:rPr>
        <w:t>in the meeting room.</w:t>
      </w:r>
      <w:bookmarkEnd w:id="0"/>
    </w:p>
  </w:footnote>
  <w:footnote w:id="4">
    <w:p w14:paraId="46711A0F" w14:textId="3FE52E97" w:rsidR="000618CB" w:rsidRPr="0045122C" w:rsidRDefault="000618CB" w:rsidP="00347316">
      <w:pPr>
        <w:pStyle w:val="FootnoteText"/>
      </w:pPr>
      <w:r>
        <w:tab/>
      </w:r>
      <w:r w:rsidRPr="005E444C">
        <w:rPr>
          <w:rStyle w:val="FootnoteReference"/>
          <w:sz w:val="20"/>
        </w:rPr>
        <w:t>***</w:t>
      </w:r>
      <w:r>
        <w:t xml:space="preserve"> </w:t>
      </w:r>
      <w:r>
        <w:tab/>
      </w:r>
      <w:r w:rsidRPr="00654515">
        <w:t>Participation will only be possible for registered delegates. All participants wishing</w:t>
      </w:r>
      <w:r>
        <w:t xml:space="preserve"> </w:t>
      </w:r>
      <w:r w:rsidRPr="00654515">
        <w:t>to attend shall register in INDICO at the following addres</w:t>
      </w:r>
      <w:r w:rsidRPr="00D50FF8">
        <w:t xml:space="preserve">s </w:t>
      </w:r>
      <w:hyperlink r:id="rId1" w:history="1">
        <w:r w:rsidR="00347316" w:rsidRPr="00A74A45">
          <w:rPr>
            <w:rStyle w:val="Hyperlink"/>
          </w:rPr>
          <w:t>https://indico.un.org/event/1001150/</w:t>
        </w:r>
      </w:hyperlink>
      <w:r w:rsidRPr="00D50FF8">
        <w:t>.  U</w:t>
      </w:r>
      <w:r w:rsidRPr="00D50FF8">
        <w:rPr>
          <w:color w:val="000000"/>
          <w:szCs w:val="18"/>
        </w:rPr>
        <w:t>pon</w:t>
      </w:r>
      <w:r w:rsidRPr="00654515">
        <w:rPr>
          <w:color w:val="000000"/>
          <w:szCs w:val="18"/>
        </w:rPr>
        <w:t xml:space="preserve"> arrival at the Palais des Nations</w:t>
      </w:r>
      <w:r>
        <w:t>, d</w:t>
      </w:r>
      <w:r w:rsidRPr="00654515">
        <w:t>elegates should</w:t>
      </w:r>
      <w:r w:rsidRPr="00654515">
        <w:rPr>
          <w:color w:val="000000"/>
          <w:szCs w:val="18"/>
        </w:rPr>
        <w:t xml:space="preserve"> obtain an identification</w:t>
      </w:r>
      <w:r>
        <w:rPr>
          <w:color w:val="000000"/>
          <w:szCs w:val="18"/>
        </w:rPr>
        <w:t xml:space="preserve"> badge at the UNOG Security and Safety Section. Practical information on access and security, including a map of the Palais des Nations can be found at the following address: </w:t>
      </w:r>
      <w:hyperlink r:id="rId2" w:history="1">
        <w:r w:rsidR="00FD5E3A" w:rsidRPr="00185BBE">
          <w:rPr>
            <w:rStyle w:val="Hyperlink"/>
          </w:rPr>
          <w:t>https://www.ungeneva.org/en/about/practical-information</w:t>
        </w:r>
      </w:hyperlink>
      <w:r w:rsidRPr="009570F8">
        <w:rPr>
          <w:color w:val="000000"/>
          <w:szCs w:val="18"/>
        </w:rPr>
        <w:t xml:space="preserve">.  In case of difficulty, please contact the secretariat by telephone (ext. </w:t>
      </w:r>
      <w:r w:rsidR="00D81E14">
        <w:rPr>
          <w:color w:val="000000"/>
          <w:szCs w:val="18"/>
        </w:rPr>
        <w:t>75028</w:t>
      </w:r>
      <w:r w:rsidRPr="009570F8">
        <w:rPr>
          <w:color w:val="000000"/>
          <w:szCs w:val="18"/>
        </w:rPr>
        <w:t>).</w:t>
      </w:r>
      <w:r>
        <w:rPr>
          <w:color w:val="000000"/>
          <w:szCs w:val="18"/>
        </w:rPr>
        <w:t xml:space="preserve"> </w:t>
      </w:r>
    </w:p>
  </w:footnote>
  <w:footnote w:id="5">
    <w:p w14:paraId="7C0179FA" w14:textId="796595AE" w:rsidR="000618CB" w:rsidRPr="00283442" w:rsidRDefault="000618CB" w:rsidP="00A007EB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  <w:t xml:space="preserve">Delegates participating </w:t>
      </w:r>
      <w:r w:rsidRPr="00554224">
        <w:t xml:space="preserve">in the work of the </w:t>
      </w:r>
      <w:r>
        <w:t xml:space="preserve">GHS </w:t>
      </w:r>
      <w:r w:rsidRPr="00554224">
        <w:t xml:space="preserve">Sub-Committee who are not normally involved in the work of the </w:t>
      </w:r>
      <w:r>
        <w:t xml:space="preserve">TDG </w:t>
      </w:r>
      <w:r w:rsidRPr="00554224">
        <w:t xml:space="preserve">Sub-Committee are invited to participate in sessions </w:t>
      </w:r>
      <w:r>
        <w:t>of the TDG</w:t>
      </w:r>
      <w:r w:rsidRPr="00554224">
        <w:t xml:space="preserve"> </w:t>
      </w:r>
      <w:r>
        <w:t xml:space="preserve">Sub-Committee </w:t>
      </w:r>
      <w:r w:rsidRPr="00554224">
        <w:t xml:space="preserve">when </w:t>
      </w:r>
      <w:r>
        <w:t>it</w:t>
      </w:r>
      <w:r w:rsidRPr="00554224">
        <w:t xml:space="preserve"> is acting as </w:t>
      </w:r>
      <w:r>
        <w:t>the</w:t>
      </w:r>
      <w:r w:rsidRPr="00554224">
        <w:t xml:space="preserve"> focal point </w:t>
      </w:r>
      <w:r>
        <w:t>of the GHS Sub-Committee for</w:t>
      </w:r>
      <w:r w:rsidRPr="00554224">
        <w:t xml:space="preserve"> physical hazards </w:t>
      </w:r>
      <w:r w:rsidRPr="00B9105A">
        <w:t>(see ST/SG/AC.10/C.4/2, par</w:t>
      </w:r>
      <w:r>
        <w:t>agraph </w:t>
      </w:r>
      <w:r w:rsidRPr="00B9105A">
        <w:t>43</w:t>
      </w:r>
      <w:r>
        <w:t> </w:t>
      </w:r>
      <w:r w:rsidRPr="00B9105A">
        <w:t xml:space="preserve">(b)). </w:t>
      </w:r>
      <w:r w:rsidRPr="007B0663">
        <w:t xml:space="preserve">At its </w:t>
      </w:r>
      <w:r>
        <w:t>sixty-</w:t>
      </w:r>
      <w:r w:rsidR="00A007EB">
        <w:t>third</w:t>
      </w:r>
      <w:r w:rsidRPr="007B0663">
        <w:t xml:space="preserve"> session</w:t>
      </w:r>
      <w:r w:rsidRPr="008B745F">
        <w:t xml:space="preserve"> </w:t>
      </w:r>
      <w:r w:rsidRPr="000968C7">
        <w:t>(</w:t>
      </w:r>
      <w:r w:rsidR="00A007EB">
        <w:t xml:space="preserve">27 November – 6 December </w:t>
      </w:r>
      <w:r>
        <w:t>2023</w:t>
      </w:r>
      <w:r w:rsidRPr="000968C7">
        <w:t>)</w:t>
      </w:r>
      <w:r w:rsidRPr="008B745F">
        <w:t xml:space="preserve"> the TDG Sub-Committee may consider matters of interest to the </w:t>
      </w:r>
      <w:r>
        <w:t xml:space="preserve">GHS </w:t>
      </w:r>
      <w:r w:rsidRPr="008B745F">
        <w:t>Sub-Committee. All the documentation for the session will be made available at</w:t>
      </w:r>
      <w:r w:rsidRPr="007F3BB9">
        <w:t xml:space="preserve"> </w:t>
      </w:r>
      <w:hyperlink r:id="rId3" w:history="1">
        <w:r w:rsidR="00A007EB" w:rsidRPr="00F40C1F">
          <w:rPr>
            <w:rStyle w:val="Hyperlink"/>
          </w:rPr>
          <w:t>https://unece.org/info/Transport/Dangerous-Goods/events/376526</w:t>
        </w:r>
      </w:hyperlink>
      <w:r>
        <w:t xml:space="preserve">. </w:t>
      </w:r>
      <w:r w:rsidRPr="00B9105A">
        <w:t xml:space="preserve">GHS Sub-Committee delegates interested in participating in the work of the TDG Sub-Committee should register for </w:t>
      </w:r>
      <w:r>
        <w:t xml:space="preserve">the TDG Sub-Committee session. </w:t>
      </w:r>
    </w:p>
  </w:footnote>
  <w:footnote w:id="6">
    <w:p w14:paraId="2DE0D84D" w14:textId="0607100F" w:rsidR="005368BF" w:rsidRPr="005368BF" w:rsidRDefault="00013099" w:rsidP="00AF61CD">
      <w:pPr>
        <w:pStyle w:val="FootnoteText"/>
        <w:rPr>
          <w:lang w:val="fr-CH"/>
        </w:rPr>
      </w:pPr>
      <w:r>
        <w:tab/>
      </w:r>
      <w:r w:rsidR="005368BF">
        <w:rPr>
          <w:rStyle w:val="FootnoteReference"/>
        </w:rPr>
        <w:footnoteRef/>
      </w:r>
      <w:r w:rsidR="005368BF">
        <w:t xml:space="preserve"> </w:t>
      </w:r>
      <w:r>
        <w:tab/>
      </w:r>
      <w:r w:rsidR="005368BF">
        <w:t xml:space="preserve">At its forty-third session, the Sub-Committee </w:t>
      </w:r>
      <w:r w:rsidR="00E152F7">
        <w:t xml:space="preserve">decided to include an item on its programme of work for </w:t>
      </w:r>
      <w:r w:rsidR="005368BF">
        <w:t>2023-2024</w:t>
      </w:r>
      <w:r w:rsidR="00E152F7">
        <w:t xml:space="preserve"> on “</w:t>
      </w:r>
      <w:r w:rsidR="00032386">
        <w:t xml:space="preserve">hazard communication </w:t>
      </w:r>
      <w:r w:rsidR="00281F2A">
        <w:t xml:space="preserve">for gases addressed in the Montreal Protocol and other Conventions” (see </w:t>
      </w:r>
      <w:r w:rsidR="00281F2A" w:rsidRPr="00281F2A">
        <w:t>ST/SG/AC.10/C.4/86</w:t>
      </w:r>
      <w:r w:rsidR="00281F2A">
        <w:t xml:space="preserve">, paragraph </w:t>
      </w:r>
      <w:r w:rsidR="00453E2B">
        <w:t>47 and annex I).</w:t>
      </w:r>
      <w:r>
        <w:t xml:space="preserve"> </w:t>
      </w:r>
      <w:r w:rsidR="000C10F1">
        <w:t>At its forty-fourth session, t</w:t>
      </w:r>
      <w:r>
        <w:t>he Sub-Committee</w:t>
      </w:r>
      <w:r w:rsidR="005758FD">
        <w:t xml:space="preserve"> </w:t>
      </w:r>
      <w:r w:rsidR="006321CC">
        <w:t xml:space="preserve">adopted </w:t>
      </w:r>
      <w:r w:rsidR="007F3A33">
        <w:t xml:space="preserve">a set of </w:t>
      </w:r>
      <w:r w:rsidR="000C10F1">
        <w:t>amendment</w:t>
      </w:r>
      <w:r w:rsidR="00920CD8">
        <w:t>s</w:t>
      </w:r>
      <w:r w:rsidR="000C10F1">
        <w:t xml:space="preserve"> to </w:t>
      </w:r>
      <w:r w:rsidR="005D39BE">
        <w:t xml:space="preserve">chapter 4.2 </w:t>
      </w:r>
      <w:r w:rsidR="006321CC">
        <w:t xml:space="preserve">to address this item </w:t>
      </w:r>
      <w:r w:rsidR="005D39BE">
        <w:t xml:space="preserve">and decided to </w:t>
      </w:r>
      <w:r w:rsidR="00920CD8">
        <w:t>star</w:t>
      </w:r>
      <w:r w:rsidR="00B70C2C">
        <w:t xml:space="preserve">t work to </w:t>
      </w:r>
      <w:r w:rsidR="008C1EE1">
        <w:t xml:space="preserve">expand </w:t>
      </w:r>
      <w:r w:rsidR="00B70C2C">
        <w:t xml:space="preserve">the scope of the GHS </w:t>
      </w:r>
      <w:r w:rsidR="008C1EE1">
        <w:t xml:space="preserve">to address </w:t>
      </w:r>
      <w:r w:rsidR="00B70C2C">
        <w:t xml:space="preserve">other </w:t>
      </w:r>
      <w:r w:rsidR="00FD5E3A">
        <w:t>substances and mixtures</w:t>
      </w:r>
      <w:r w:rsidR="00B70C2C">
        <w:t xml:space="preserve"> hazardous </w:t>
      </w:r>
      <w:r w:rsidR="00DE4E3E">
        <w:t>to the atmospheric system</w:t>
      </w:r>
      <w:r w:rsidR="00BF3AB3">
        <w:t xml:space="preserve"> (see </w:t>
      </w:r>
      <w:r w:rsidR="00BF3AB3" w:rsidRPr="00281F2A">
        <w:t>ST/SG/AC.10/C.4/86</w:t>
      </w:r>
      <w:r w:rsidR="00BF3AB3">
        <w:t>, paragraph</w:t>
      </w:r>
      <w:r w:rsidR="00441779">
        <w:t>s 22 and</w:t>
      </w:r>
      <w:r w:rsidR="00BF3AB3">
        <w:t xml:space="preserve"> </w:t>
      </w:r>
      <w:r w:rsidR="00441779">
        <w:t xml:space="preserve">23). </w:t>
      </w:r>
      <w:r w:rsidR="002E715F">
        <w:t xml:space="preserve">The renamed agenda item takes account of this decision.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CCD5" w14:textId="2482CE10" w:rsidR="00336F4C" w:rsidRPr="00336F4C" w:rsidRDefault="00111B35">
    <w:pPr>
      <w:pStyle w:val="Header"/>
    </w:pPr>
    <w:fldSimple w:instr=" TITLE  \* MERGEFORMAT ">
      <w:r w:rsidR="00FD5E3A">
        <w:t>ST/SG/AC.10/C.4/89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AECB" w14:textId="20B40646" w:rsidR="00D94B05" w:rsidRPr="00336F4C" w:rsidRDefault="00111B35" w:rsidP="00336F4C">
    <w:pPr>
      <w:pStyle w:val="Header"/>
      <w:jc w:val="right"/>
    </w:pPr>
    <w:fldSimple w:instr=" TITLE  \* MERGEFORMAT ">
      <w:r w:rsidR="00FD5E3A">
        <w:t>ST/SG/AC.10/C.4/89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2059835">
    <w:abstractNumId w:val="5"/>
  </w:num>
  <w:num w:numId="2" w16cid:durableId="2005818520">
    <w:abstractNumId w:val="4"/>
  </w:num>
  <w:num w:numId="3" w16cid:durableId="2113935142">
    <w:abstractNumId w:val="0"/>
  </w:num>
  <w:num w:numId="4" w16cid:durableId="1097562302">
    <w:abstractNumId w:val="6"/>
  </w:num>
  <w:num w:numId="5" w16cid:durableId="1262371384">
    <w:abstractNumId w:val="7"/>
  </w:num>
  <w:num w:numId="6" w16cid:durableId="702366181">
    <w:abstractNumId w:val="9"/>
  </w:num>
  <w:num w:numId="7" w16cid:durableId="1715810487">
    <w:abstractNumId w:val="3"/>
  </w:num>
  <w:num w:numId="8" w16cid:durableId="1917477326">
    <w:abstractNumId w:val="1"/>
  </w:num>
  <w:num w:numId="9" w16cid:durableId="1102728306">
    <w:abstractNumId w:val="8"/>
  </w:num>
  <w:num w:numId="10" w16cid:durableId="976640511">
    <w:abstractNumId w:val="1"/>
  </w:num>
  <w:num w:numId="11" w16cid:durableId="806312968">
    <w:abstractNumId w:val="8"/>
  </w:num>
  <w:num w:numId="12" w16cid:durableId="910041836">
    <w:abstractNumId w:val="2"/>
  </w:num>
  <w:num w:numId="13" w16cid:durableId="939413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4C"/>
    <w:rsid w:val="00000258"/>
    <w:rsid w:val="00005556"/>
    <w:rsid w:val="00013099"/>
    <w:rsid w:val="00032386"/>
    <w:rsid w:val="00046E92"/>
    <w:rsid w:val="000614DA"/>
    <w:rsid w:val="000618CB"/>
    <w:rsid w:val="00063C90"/>
    <w:rsid w:val="00070000"/>
    <w:rsid w:val="000A7548"/>
    <w:rsid w:val="000C10F1"/>
    <w:rsid w:val="00101B98"/>
    <w:rsid w:val="00111B35"/>
    <w:rsid w:val="001514D1"/>
    <w:rsid w:val="00207A24"/>
    <w:rsid w:val="0024335D"/>
    <w:rsid w:val="00247E2C"/>
    <w:rsid w:val="00281F2A"/>
    <w:rsid w:val="002A32CB"/>
    <w:rsid w:val="002D5B2C"/>
    <w:rsid w:val="002D6C53"/>
    <w:rsid w:val="002E715F"/>
    <w:rsid w:val="002F5595"/>
    <w:rsid w:val="00334F6A"/>
    <w:rsid w:val="00336F4C"/>
    <w:rsid w:val="00342AC8"/>
    <w:rsid w:val="00343302"/>
    <w:rsid w:val="00347316"/>
    <w:rsid w:val="0039155B"/>
    <w:rsid w:val="003979DE"/>
    <w:rsid w:val="003A2224"/>
    <w:rsid w:val="003B4550"/>
    <w:rsid w:val="003D2A18"/>
    <w:rsid w:val="00400BD7"/>
    <w:rsid w:val="00413386"/>
    <w:rsid w:val="00441779"/>
    <w:rsid w:val="00453E2B"/>
    <w:rsid w:val="00461253"/>
    <w:rsid w:val="004858F5"/>
    <w:rsid w:val="004A2814"/>
    <w:rsid w:val="004C0622"/>
    <w:rsid w:val="004E5DD4"/>
    <w:rsid w:val="004F73D0"/>
    <w:rsid w:val="005042C2"/>
    <w:rsid w:val="005368BF"/>
    <w:rsid w:val="005758FD"/>
    <w:rsid w:val="00583B8B"/>
    <w:rsid w:val="005D39BE"/>
    <w:rsid w:val="005E716E"/>
    <w:rsid w:val="006321CC"/>
    <w:rsid w:val="00646FCA"/>
    <w:rsid w:val="006476E1"/>
    <w:rsid w:val="006604DF"/>
    <w:rsid w:val="00671529"/>
    <w:rsid w:val="006A3120"/>
    <w:rsid w:val="006F170A"/>
    <w:rsid w:val="006F1EF5"/>
    <w:rsid w:val="0070489D"/>
    <w:rsid w:val="007200A1"/>
    <w:rsid w:val="007268F9"/>
    <w:rsid w:val="00750282"/>
    <w:rsid w:val="00764440"/>
    <w:rsid w:val="0077101B"/>
    <w:rsid w:val="0078397D"/>
    <w:rsid w:val="007C52B0"/>
    <w:rsid w:val="007C6033"/>
    <w:rsid w:val="007F3A33"/>
    <w:rsid w:val="008147C8"/>
    <w:rsid w:val="0081753A"/>
    <w:rsid w:val="008240CC"/>
    <w:rsid w:val="00857D23"/>
    <w:rsid w:val="00862D5B"/>
    <w:rsid w:val="008C1EE1"/>
    <w:rsid w:val="00920CD8"/>
    <w:rsid w:val="009265DC"/>
    <w:rsid w:val="009411B4"/>
    <w:rsid w:val="00946F1D"/>
    <w:rsid w:val="009C471E"/>
    <w:rsid w:val="009D0139"/>
    <w:rsid w:val="009D717D"/>
    <w:rsid w:val="009F5CDC"/>
    <w:rsid w:val="00A007EB"/>
    <w:rsid w:val="00A072D7"/>
    <w:rsid w:val="00A12A9D"/>
    <w:rsid w:val="00A775CF"/>
    <w:rsid w:val="00AD1A9C"/>
    <w:rsid w:val="00AF5DE1"/>
    <w:rsid w:val="00AF61CD"/>
    <w:rsid w:val="00B05B77"/>
    <w:rsid w:val="00B06045"/>
    <w:rsid w:val="00B206DD"/>
    <w:rsid w:val="00B52EF4"/>
    <w:rsid w:val="00B70C2C"/>
    <w:rsid w:val="00B777AD"/>
    <w:rsid w:val="00BF3AB3"/>
    <w:rsid w:val="00C03015"/>
    <w:rsid w:val="00C0358D"/>
    <w:rsid w:val="00C0458C"/>
    <w:rsid w:val="00C35A27"/>
    <w:rsid w:val="00C37AB0"/>
    <w:rsid w:val="00C47B2E"/>
    <w:rsid w:val="00C5222D"/>
    <w:rsid w:val="00D63CD2"/>
    <w:rsid w:val="00D81E14"/>
    <w:rsid w:val="00D87DC2"/>
    <w:rsid w:val="00D93887"/>
    <w:rsid w:val="00D94B05"/>
    <w:rsid w:val="00DC7379"/>
    <w:rsid w:val="00DE4E3E"/>
    <w:rsid w:val="00E02C2B"/>
    <w:rsid w:val="00E152F7"/>
    <w:rsid w:val="00E21C27"/>
    <w:rsid w:val="00E25826"/>
    <w:rsid w:val="00E26BCF"/>
    <w:rsid w:val="00E36300"/>
    <w:rsid w:val="00E52109"/>
    <w:rsid w:val="00E75317"/>
    <w:rsid w:val="00EC01A9"/>
    <w:rsid w:val="00EC0CE6"/>
    <w:rsid w:val="00EC7C1D"/>
    <w:rsid w:val="00ED23F5"/>
    <w:rsid w:val="00ED6C48"/>
    <w:rsid w:val="00EE3045"/>
    <w:rsid w:val="00F65F5D"/>
    <w:rsid w:val="00F86A3A"/>
    <w:rsid w:val="00FA42DA"/>
    <w:rsid w:val="00FD0550"/>
    <w:rsid w:val="00FD5E3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D61AE"/>
  <w15:docId w15:val="{903046AF-BDED-4512-AC0A-DA6F49A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uiPriority w:val="99"/>
    <w:rsid w:val="000618CB"/>
  </w:style>
  <w:style w:type="character" w:styleId="UnresolvedMention">
    <w:name w:val="Unresolved Mention"/>
    <w:basedOn w:val="DefaultParagraphFont"/>
    <w:uiPriority w:val="99"/>
    <w:semiHidden/>
    <w:unhideWhenUsed/>
    <w:rsid w:val="009C47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7A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info/Transport/Dangerous-Goods/events/376526" TargetMode="External"/><Relationship Id="rId2" Type="http://schemas.openxmlformats.org/officeDocument/2006/relationships/hyperlink" Target="https://www.ungeneva.org/en/about/practical-information" TargetMode="External"/><Relationship Id="rId1" Type="http://schemas.openxmlformats.org/officeDocument/2006/relationships/hyperlink" Target="https://indico.un.org/event/100115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AE5F3-A090-41E9-BD0A-0CEAD7A0E917}"/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297</Words>
  <Characters>1776</Characters>
  <Application>Microsoft Office Word</Application>
  <DocSecurity>0</DocSecurity>
  <Lines>56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ST/SG/AC.10/C.4/89</vt:lpstr>
      <vt:lpstr>    Provisional agenda for the forty-fifth session*, **, ***</vt:lpstr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ST/SG/AC.10/C.4/89</dc:title>
  <dc:subject>2315760</dc:subject>
  <dc:creator>Rosa Garcia-Couto</dc:creator>
  <cp:keywords/>
  <dc:description/>
  <cp:lastModifiedBy>Maria Rosario Corazon Gatmaytan</cp:lastModifiedBy>
  <cp:revision>2</cp:revision>
  <cp:lastPrinted>2023-08-10T07:31:00Z</cp:lastPrinted>
  <dcterms:created xsi:type="dcterms:W3CDTF">2023-08-15T14:33:00Z</dcterms:created>
  <dcterms:modified xsi:type="dcterms:W3CDTF">2023-08-15T14:33:00Z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