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24708AB" w14:textId="77777777" w:rsidTr="00387CD4">
        <w:trPr>
          <w:trHeight w:hRule="exact" w:val="851"/>
        </w:trPr>
        <w:tc>
          <w:tcPr>
            <w:tcW w:w="142" w:type="dxa"/>
            <w:tcBorders>
              <w:bottom w:val="single" w:sz="4" w:space="0" w:color="auto"/>
            </w:tcBorders>
          </w:tcPr>
          <w:p w14:paraId="7C4FE61F" w14:textId="77777777" w:rsidR="002D5AAC" w:rsidRDefault="002D5AAC" w:rsidP="00CE58D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03C22AF"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E0B4AF2" w14:textId="16E03D56" w:rsidR="002D5AAC" w:rsidRDefault="00CE58DE" w:rsidP="00CE58DE">
            <w:pPr>
              <w:jc w:val="right"/>
            </w:pPr>
            <w:r w:rsidRPr="00CE58DE">
              <w:rPr>
                <w:sz w:val="40"/>
              </w:rPr>
              <w:t>ECE</w:t>
            </w:r>
            <w:r>
              <w:t>/MP.EIA/WG.2/2023/2</w:t>
            </w:r>
          </w:p>
        </w:tc>
      </w:tr>
      <w:tr w:rsidR="002D5AAC" w:rsidRPr="00C64801" w14:paraId="6295DF2C" w14:textId="77777777" w:rsidTr="00387CD4">
        <w:trPr>
          <w:trHeight w:hRule="exact" w:val="2835"/>
        </w:trPr>
        <w:tc>
          <w:tcPr>
            <w:tcW w:w="1280" w:type="dxa"/>
            <w:gridSpan w:val="2"/>
            <w:tcBorders>
              <w:top w:val="single" w:sz="4" w:space="0" w:color="auto"/>
              <w:bottom w:val="single" w:sz="12" w:space="0" w:color="auto"/>
            </w:tcBorders>
          </w:tcPr>
          <w:p w14:paraId="0A247166" w14:textId="77777777" w:rsidR="002D5AAC" w:rsidRDefault="002E5067" w:rsidP="00387CD4">
            <w:pPr>
              <w:spacing w:before="120"/>
              <w:jc w:val="center"/>
            </w:pPr>
            <w:r>
              <w:rPr>
                <w:noProof/>
                <w:lang w:val="fr-CH" w:eastAsia="fr-CH"/>
              </w:rPr>
              <w:drawing>
                <wp:inline distT="0" distB="0" distL="0" distR="0" wp14:anchorId="30791917" wp14:editId="30C446B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31F116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32D8A9F9" w14:textId="77777777" w:rsidR="002D5AAC" w:rsidRDefault="00CE58DE" w:rsidP="00387CD4">
            <w:pPr>
              <w:spacing w:before="240"/>
              <w:rPr>
                <w:lang w:val="en-US"/>
              </w:rPr>
            </w:pPr>
            <w:r>
              <w:rPr>
                <w:lang w:val="en-US"/>
              </w:rPr>
              <w:t>Distr.: General</w:t>
            </w:r>
          </w:p>
          <w:p w14:paraId="261C34DC" w14:textId="77777777" w:rsidR="00CE58DE" w:rsidRDefault="00CE58DE" w:rsidP="00CE58DE">
            <w:pPr>
              <w:spacing w:line="240" w:lineRule="exact"/>
              <w:rPr>
                <w:lang w:val="en-US"/>
              </w:rPr>
            </w:pPr>
            <w:r>
              <w:rPr>
                <w:lang w:val="en-US"/>
              </w:rPr>
              <w:t>13 July 2023</w:t>
            </w:r>
          </w:p>
          <w:p w14:paraId="56324B7C" w14:textId="77777777" w:rsidR="00CE58DE" w:rsidRDefault="00CE58DE" w:rsidP="00CE58DE">
            <w:pPr>
              <w:spacing w:line="240" w:lineRule="exact"/>
              <w:rPr>
                <w:lang w:val="en-US"/>
              </w:rPr>
            </w:pPr>
            <w:r>
              <w:rPr>
                <w:lang w:val="en-US"/>
              </w:rPr>
              <w:t>Russian</w:t>
            </w:r>
          </w:p>
          <w:p w14:paraId="49EB4A80" w14:textId="67394790" w:rsidR="00CE58DE" w:rsidRPr="008D53B6" w:rsidRDefault="00CE58DE" w:rsidP="00CE58DE">
            <w:pPr>
              <w:spacing w:line="240" w:lineRule="exact"/>
              <w:rPr>
                <w:lang w:val="en-US"/>
              </w:rPr>
            </w:pPr>
            <w:r>
              <w:rPr>
                <w:lang w:val="en-US"/>
              </w:rPr>
              <w:t>Original: English</w:t>
            </w:r>
          </w:p>
        </w:tc>
      </w:tr>
    </w:tbl>
    <w:p w14:paraId="2A9F908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9B04781" w14:textId="020C51C9" w:rsidR="00CE58DE" w:rsidRPr="00CE58DE" w:rsidRDefault="00CE58DE" w:rsidP="00CE58DE">
      <w:pPr>
        <w:spacing w:before="120"/>
        <w:rPr>
          <w:bCs/>
          <w:sz w:val="28"/>
          <w:szCs w:val="28"/>
        </w:rPr>
      </w:pPr>
      <w:r w:rsidRPr="00CE58DE">
        <w:rPr>
          <w:sz w:val="28"/>
          <w:szCs w:val="28"/>
        </w:rPr>
        <w:t xml:space="preserve">Совещание Сторон Конвенции об оценке </w:t>
      </w:r>
      <w:r>
        <w:rPr>
          <w:sz w:val="28"/>
          <w:szCs w:val="28"/>
        </w:rPr>
        <w:br/>
      </w:r>
      <w:r w:rsidRPr="00CE58DE">
        <w:rPr>
          <w:sz w:val="28"/>
          <w:szCs w:val="28"/>
        </w:rPr>
        <w:t xml:space="preserve">воздействия на окружающую среду </w:t>
      </w:r>
      <w:r>
        <w:rPr>
          <w:sz w:val="28"/>
          <w:szCs w:val="28"/>
        </w:rPr>
        <w:br/>
      </w:r>
      <w:r w:rsidRPr="00CE58DE">
        <w:rPr>
          <w:sz w:val="28"/>
          <w:szCs w:val="28"/>
        </w:rPr>
        <w:t>в трансграничном контексте</w:t>
      </w:r>
    </w:p>
    <w:p w14:paraId="2AB40DB6" w14:textId="2AD68364" w:rsidR="00CE58DE" w:rsidRPr="00CE58DE" w:rsidRDefault="00CE58DE" w:rsidP="00CE58DE">
      <w:pPr>
        <w:autoSpaceDE w:val="0"/>
        <w:autoSpaceDN w:val="0"/>
        <w:adjustRightInd w:val="0"/>
        <w:spacing w:before="120"/>
        <w:rPr>
          <w:sz w:val="28"/>
          <w:szCs w:val="28"/>
        </w:rPr>
      </w:pPr>
      <w:r w:rsidRPr="00CE58DE">
        <w:rPr>
          <w:sz w:val="28"/>
          <w:szCs w:val="28"/>
        </w:rPr>
        <w:t xml:space="preserve">Совещание Сторон Конвенции об оценке </w:t>
      </w:r>
      <w:r>
        <w:rPr>
          <w:sz w:val="28"/>
          <w:szCs w:val="28"/>
        </w:rPr>
        <w:br/>
      </w:r>
      <w:r w:rsidRPr="00CE58DE">
        <w:rPr>
          <w:sz w:val="28"/>
          <w:szCs w:val="28"/>
        </w:rPr>
        <w:t xml:space="preserve">воздействия на окружающую среду </w:t>
      </w:r>
      <w:r>
        <w:rPr>
          <w:sz w:val="28"/>
          <w:szCs w:val="28"/>
        </w:rPr>
        <w:br/>
      </w:r>
      <w:r w:rsidRPr="00CE58DE">
        <w:rPr>
          <w:sz w:val="28"/>
          <w:szCs w:val="28"/>
        </w:rPr>
        <w:t xml:space="preserve">в трансграничном контексте, действующее </w:t>
      </w:r>
      <w:r>
        <w:rPr>
          <w:sz w:val="28"/>
          <w:szCs w:val="28"/>
        </w:rPr>
        <w:br/>
      </w:r>
      <w:r w:rsidRPr="00CE58DE">
        <w:rPr>
          <w:sz w:val="28"/>
          <w:szCs w:val="28"/>
        </w:rPr>
        <w:t xml:space="preserve">в качестве Совещания Сторон Протокола </w:t>
      </w:r>
      <w:r>
        <w:rPr>
          <w:sz w:val="28"/>
          <w:szCs w:val="28"/>
        </w:rPr>
        <w:br/>
      </w:r>
      <w:r w:rsidRPr="00CE58DE">
        <w:rPr>
          <w:sz w:val="28"/>
          <w:szCs w:val="28"/>
        </w:rPr>
        <w:t>по стратегической экологической оценке</w:t>
      </w:r>
    </w:p>
    <w:p w14:paraId="587EBD88" w14:textId="769E686E" w:rsidR="00CE58DE" w:rsidRPr="00CE58DE" w:rsidRDefault="00CE58DE" w:rsidP="00CE58DE">
      <w:pPr>
        <w:spacing w:before="120"/>
        <w:rPr>
          <w:b/>
          <w:sz w:val="24"/>
          <w:szCs w:val="24"/>
        </w:rPr>
      </w:pPr>
      <w:r w:rsidRPr="00CE58DE">
        <w:rPr>
          <w:b/>
          <w:bCs/>
          <w:sz w:val="24"/>
          <w:szCs w:val="24"/>
        </w:rPr>
        <w:t xml:space="preserve">Рабочая группа по оценке воздействия </w:t>
      </w:r>
      <w:r>
        <w:rPr>
          <w:b/>
          <w:bCs/>
          <w:sz w:val="24"/>
          <w:szCs w:val="24"/>
        </w:rPr>
        <w:br/>
      </w:r>
      <w:r w:rsidRPr="00CE58DE">
        <w:rPr>
          <w:b/>
          <w:bCs/>
          <w:sz w:val="24"/>
          <w:szCs w:val="24"/>
        </w:rPr>
        <w:t xml:space="preserve">на окружающую среду и стратегической </w:t>
      </w:r>
      <w:r>
        <w:rPr>
          <w:b/>
          <w:bCs/>
          <w:sz w:val="24"/>
          <w:szCs w:val="24"/>
        </w:rPr>
        <w:br/>
      </w:r>
      <w:r w:rsidRPr="00CE58DE">
        <w:rPr>
          <w:b/>
          <w:bCs/>
          <w:sz w:val="24"/>
          <w:szCs w:val="24"/>
        </w:rPr>
        <w:t>экологической оценке</w:t>
      </w:r>
    </w:p>
    <w:p w14:paraId="1139F003" w14:textId="77777777" w:rsidR="00CE58DE" w:rsidRPr="00D63297" w:rsidRDefault="00CE58DE" w:rsidP="00CE58DE">
      <w:pPr>
        <w:spacing w:before="120"/>
        <w:rPr>
          <w:b/>
        </w:rPr>
      </w:pPr>
      <w:r w:rsidRPr="00D63297">
        <w:rPr>
          <w:b/>
          <w:bCs/>
        </w:rPr>
        <w:t>Двенадцатое совещание</w:t>
      </w:r>
    </w:p>
    <w:p w14:paraId="76B96240" w14:textId="77777777" w:rsidR="00CE58DE" w:rsidRPr="00D63297" w:rsidRDefault="00CE58DE" w:rsidP="00CE58DE">
      <w:r w:rsidRPr="00D63297">
        <w:t>Женева, 13–15 июня 2023 года</w:t>
      </w:r>
    </w:p>
    <w:p w14:paraId="40FB362C" w14:textId="49C62DFE" w:rsidR="00CE58DE" w:rsidRPr="00CE58DE" w:rsidRDefault="00CE58DE" w:rsidP="00CE58DE">
      <w:pPr>
        <w:pStyle w:val="HChG"/>
      </w:pPr>
      <w:r w:rsidRPr="00D63297">
        <w:tab/>
      </w:r>
      <w:r w:rsidRPr="00D63297">
        <w:tab/>
      </w:r>
      <w:r w:rsidRPr="00CE58DE">
        <w:t>Доклад Рабочей группы по оценке воздействия на</w:t>
      </w:r>
      <w:r>
        <w:rPr>
          <w:lang w:val="en-US"/>
        </w:rPr>
        <w:t> </w:t>
      </w:r>
      <w:r w:rsidRPr="00CE58DE">
        <w:t>окружающую среду и стратегической экологической оценке о работе ее двенадцатого совещания</w:t>
      </w:r>
    </w:p>
    <w:p w14:paraId="005A18D2" w14:textId="52DF3ADF" w:rsidR="00CE58DE" w:rsidRPr="00CE58DE" w:rsidRDefault="00CE58DE" w:rsidP="00CE58DE">
      <w:pPr>
        <w:pStyle w:val="HChG"/>
      </w:pPr>
      <w:r>
        <w:tab/>
      </w:r>
      <w:r w:rsidRPr="00CE58DE">
        <w:t>I.</w:t>
      </w:r>
      <w:r w:rsidRPr="00CE58DE">
        <w:tab/>
        <w:t>Введение</w:t>
      </w:r>
    </w:p>
    <w:p w14:paraId="1B76D3CF" w14:textId="77777777" w:rsidR="00CE58DE" w:rsidRPr="00D63297" w:rsidRDefault="00CE58DE" w:rsidP="00CE58DE">
      <w:pPr>
        <w:pStyle w:val="SingleTxtG"/>
      </w:pPr>
      <w:r w:rsidRPr="00D63297">
        <w:t>1.</w:t>
      </w:r>
      <w:r w:rsidRPr="00D63297">
        <w:tab/>
        <w:t>Двенадцатое совещание Рабочей группы по оценке воздействия на окружающую среду и стратегической экологической оценке, действующей в рамках Конвенции об оценке воздействия на окружающую среду в трансграничном контексте (Конвенция Эспо) и Протокола по стратегической экологической оценке к ней, про</w:t>
      </w:r>
      <w:r>
        <w:t>ходило</w:t>
      </w:r>
      <w:r w:rsidRPr="00D63297">
        <w:t xml:space="preserve"> в Женеве 13–15 июня 2023 года в очном формате.</w:t>
      </w:r>
    </w:p>
    <w:p w14:paraId="38A8636C" w14:textId="5FC83EE1" w:rsidR="00CE58DE" w:rsidRPr="00D63297" w:rsidRDefault="00CE58DE" w:rsidP="00CE58DE">
      <w:pPr>
        <w:pStyle w:val="H1G"/>
      </w:pPr>
      <w:r>
        <w:tab/>
      </w:r>
      <w:r w:rsidRPr="00D63297">
        <w:t>A.</w:t>
      </w:r>
      <w:r w:rsidRPr="00D63297">
        <w:tab/>
      </w:r>
      <w:r w:rsidRPr="00CE58DE">
        <w:t>Участники</w:t>
      </w:r>
    </w:p>
    <w:p w14:paraId="2EFB0971" w14:textId="77777777" w:rsidR="00CE58DE" w:rsidRPr="00D63297" w:rsidRDefault="00CE58DE" w:rsidP="00CE58DE">
      <w:pPr>
        <w:pStyle w:val="SingleTxtG"/>
      </w:pPr>
      <w:r w:rsidRPr="00D63297">
        <w:t>2.</w:t>
      </w:r>
      <w:r w:rsidRPr="00D63297">
        <w:tab/>
        <w:t>На совещании присутствовали делегации следующих Сторон Конвенции и Протокола и других государств — членов Европейской экономической комиссии Организации Объединенных Наций (ЕЭК): Австрии, Азербайджана, Армении, Беларуси, Болгарии, Германии, Греции, Грузии, Ирландии, Испании, Италии, Кыргызстана, Латвии, Литвы, Люксембурга, Мальты, Нидерландов, Норвегии, Польши, Португалии, Республики Молдова, Румынии, Северной Македонии, Сербии, Словакии, Словении, Узбекистана, Финляндии, Франции, Хорватии, Черногории, Чехии, Швейцарии, Швеции и Эстонии. Европейский союз был представлен Европейской комиссией. С заявлениями от имени Европейского союза и его государств-членов выступила Швеция, председательствовавшая в Совете Европейского союза в первой половине 2023 года.</w:t>
      </w:r>
    </w:p>
    <w:p w14:paraId="6FA5FA68" w14:textId="77777777" w:rsidR="00CE58DE" w:rsidRPr="00D63297" w:rsidRDefault="00CE58DE" w:rsidP="00CE58DE">
      <w:pPr>
        <w:pStyle w:val="SingleTxtG"/>
      </w:pPr>
      <w:r w:rsidRPr="00D63297">
        <w:lastRenderedPageBreak/>
        <w:t>3.</w:t>
      </w:r>
      <w:r w:rsidRPr="00D63297">
        <w:tab/>
        <w:t>В совещании приняли участие представители следующих органов Организации Объединенных Наций: Программы развития Организации Объединенных Наций и Всемирной организации здравоохранения (ВОЗ). На нем была также представлена Европейская организация публичного права. На совещании присутствовали следующие неправительственные организации (НПО): Сеть кавказских природоохранных НПО, Европейский ЭКО-форум, Международная ассоциация по оценке воздействия (МАОВ) и Сеть по наблюдению за прозрачностью в ядерной области. На совещании также присутствовали два консультанта секретариата.</w:t>
      </w:r>
    </w:p>
    <w:p w14:paraId="4D845720" w14:textId="5C57AF6A" w:rsidR="00CE58DE" w:rsidRPr="00CE58DE" w:rsidRDefault="00CE58DE" w:rsidP="00CE58DE">
      <w:pPr>
        <w:pStyle w:val="H1G"/>
      </w:pPr>
      <w:r>
        <w:tab/>
      </w:r>
      <w:r w:rsidRPr="00D63297">
        <w:t>B.</w:t>
      </w:r>
      <w:r w:rsidRPr="00D63297">
        <w:tab/>
        <w:t>Организационные вопросы</w:t>
      </w:r>
    </w:p>
    <w:p w14:paraId="690F3D77" w14:textId="77777777" w:rsidR="00CE58DE" w:rsidRPr="00D63297" w:rsidRDefault="00CE58DE" w:rsidP="00CE58DE">
      <w:pPr>
        <w:pStyle w:val="SingleTxtG"/>
      </w:pPr>
      <w:r w:rsidRPr="00D63297">
        <w:t>4.</w:t>
      </w:r>
      <w:r w:rsidRPr="00D63297">
        <w:tab/>
        <w:t>Совещание открыла Председатель Рабочей группы г-жа Дорота Торифтер-Жуманска (Польша).</w:t>
      </w:r>
    </w:p>
    <w:p w14:paraId="08B5EC14" w14:textId="77777777" w:rsidR="00CE58DE" w:rsidRPr="00D63297" w:rsidRDefault="00CE58DE" w:rsidP="00CE58DE">
      <w:pPr>
        <w:pStyle w:val="SingleTxtG"/>
      </w:pPr>
      <w:r w:rsidRPr="00D63297">
        <w:t>5.</w:t>
      </w:r>
      <w:r w:rsidRPr="00D63297">
        <w:tab/>
        <w:t>Рабочая группа утвердила повестку дня совещания (ECE/MP.EIA/WG.2/2023/1)</w:t>
      </w:r>
      <w:r w:rsidRPr="00D63297">
        <w:rPr>
          <w:vertAlign w:val="superscript"/>
        </w:rPr>
        <w:footnoteReference w:id="1"/>
      </w:r>
      <w:r w:rsidRPr="00D63297">
        <w:t>.</w:t>
      </w:r>
      <w:bookmarkStart w:id="0" w:name="_Hlk27668062"/>
      <w:bookmarkEnd w:id="0"/>
    </w:p>
    <w:p w14:paraId="462E79AE" w14:textId="394DD643" w:rsidR="00CE58DE" w:rsidRPr="00D63297" w:rsidRDefault="00CE58DE" w:rsidP="00CE58DE">
      <w:pPr>
        <w:pStyle w:val="HChG"/>
      </w:pPr>
      <w:r>
        <w:tab/>
      </w:r>
      <w:r w:rsidRPr="00D63297">
        <w:t>II.</w:t>
      </w:r>
      <w:r w:rsidRPr="00D63297">
        <w:tab/>
      </w:r>
      <w:r w:rsidRPr="00CE58DE">
        <w:t>Положение</w:t>
      </w:r>
      <w:r w:rsidRPr="00D63297">
        <w:t xml:space="preserve"> дел с ратификацией</w:t>
      </w:r>
    </w:p>
    <w:p w14:paraId="7FFEEDCF" w14:textId="77777777" w:rsidR="00CE58DE" w:rsidRPr="00D63297" w:rsidRDefault="00CE58DE" w:rsidP="00CE58DE">
      <w:pPr>
        <w:pStyle w:val="SingleTxtG"/>
      </w:pPr>
      <w:r w:rsidRPr="00D63297">
        <w:t>6.</w:t>
      </w:r>
      <w:r w:rsidRPr="00D63297">
        <w:tab/>
        <w:t>Секретариат доложил о положении дел с ратификацией Конвенции, двух поправок и Протокола к ней (ECE/MP.EIA/WG.2/2023/INF.2). Рабочая группа напомнила, что приоритетными целями долгосрочной стратегии, которая была принята в 2020 году, являются более широкое осуществление договоров и их единообразное применение</w:t>
      </w:r>
      <w:r w:rsidRPr="00D63297">
        <w:rPr>
          <w:vertAlign w:val="superscript"/>
        </w:rPr>
        <w:footnoteReference w:id="2"/>
      </w:r>
      <w:r w:rsidRPr="00D63297">
        <w:t>.</w:t>
      </w:r>
      <w:bookmarkStart w:id="1" w:name="_Hlk29385916"/>
      <w:bookmarkStart w:id="2" w:name="_Hlk27756290"/>
      <w:bookmarkEnd w:id="1"/>
      <w:bookmarkEnd w:id="2"/>
    </w:p>
    <w:p w14:paraId="71F62A16" w14:textId="53EAEC4E" w:rsidR="00CE58DE" w:rsidRPr="00D63297" w:rsidRDefault="00CE58DE" w:rsidP="00CE58DE">
      <w:pPr>
        <w:pStyle w:val="SingleTxtG"/>
      </w:pPr>
      <w:r w:rsidRPr="00D63297">
        <w:t>7.</w:t>
      </w:r>
      <w:r w:rsidRPr="00D63297">
        <w:tab/>
        <w:t>Рабочая группа приветствовала факт ратификации Украиной двух поправок к Конвенции (вступивших для нее в силу 15 марта 2023 года), а Ирландией</w:t>
      </w:r>
      <w:r>
        <w:t xml:space="preserve"> — </w:t>
      </w:r>
      <w:r w:rsidRPr="00D63297">
        <w:t>первой поправки (вступившей для нее в силу 20 апреля 2023 года). Она приняла к сведению информацию представителя Кыргызстана и письменный отчет Бельгии о предпринятых шагах на пути к ратификации поправок, а также то, что в Бельгии процесс ратификации продвинулся дальше всего в отношении первой поправки. Рабочая группа сожалеет о полном отсутствии информации по этому вопросу от Армении, Беларуси, Боснии и Герцеговины, Казахстана, Северной Македонии и Соединенного Королевства Великобритании и Северной Ирландии.</w:t>
      </w:r>
      <w:bookmarkStart w:id="3" w:name="_Hlk123563068"/>
      <w:bookmarkEnd w:id="3"/>
    </w:p>
    <w:p w14:paraId="0BB992FE" w14:textId="77777777" w:rsidR="00CE58DE" w:rsidRPr="00D63297" w:rsidRDefault="00CE58DE" w:rsidP="00CE58DE">
      <w:pPr>
        <w:pStyle w:val="SingleTxtG"/>
      </w:pPr>
      <w:r w:rsidRPr="00D63297">
        <w:t>8.</w:t>
      </w:r>
      <w:r w:rsidRPr="00D63297">
        <w:tab/>
        <w:t>В целом Рабочая группа выразила сожаление по поводу того, что некоторые Стороны до сих пор не ратифицировали поправки к Конвенции, принятые ими около 20 лет назад. Она также напомнила, что письма, в которых был поднят вопрос о недостающих ратификациях, были в последний раз направлены по просьбе Президиума Исполнительным секретарем Европейской экономической комиссии Организации Объединенных Наций (ЕЭК) в адрес министров окружающей среды и министров иностранных дел всех заинтересованных стран в декабре 2022 года</w:t>
      </w:r>
      <w:r w:rsidRPr="00D63297">
        <w:rPr>
          <w:rStyle w:val="aa"/>
        </w:rPr>
        <w:footnoteReference w:id="3"/>
      </w:r>
      <w:r w:rsidRPr="00D63297">
        <w:t>.</w:t>
      </w:r>
    </w:p>
    <w:p w14:paraId="6948DDA2" w14:textId="29E21C81" w:rsidR="00CE58DE" w:rsidRPr="00D63297" w:rsidRDefault="00CE58DE" w:rsidP="00CE58DE">
      <w:pPr>
        <w:pStyle w:val="SingleTxtG"/>
      </w:pPr>
      <w:r w:rsidRPr="00D63297">
        <w:t>9.</w:t>
      </w:r>
      <w:r w:rsidRPr="00D63297">
        <w:tab/>
        <w:t>Рабочая группа вновь настоятельно призвала Армению, Бельгию, Северную Македонию и Соединенное Королевство Великобритании и Северной Ирландии завершить ратификацию первой поправки к следующим сессиям Совещаний Сторон (Женева, 12–15</w:t>
      </w:r>
      <w:r>
        <w:t xml:space="preserve"> </w:t>
      </w:r>
      <w:r w:rsidRPr="00D63297">
        <w:t>декабря 2023 года), чтобы обеспечить возможность глобального открытия Конвенции, решение о котором было принято Совещаниями Сторон в 2001</w:t>
      </w:r>
      <w:r>
        <w:rPr>
          <w:lang w:val="en-US"/>
        </w:rPr>
        <w:t> </w:t>
      </w:r>
      <w:r w:rsidRPr="00D63297">
        <w:t>году</w:t>
      </w:r>
      <w:r w:rsidRPr="00D63297">
        <w:rPr>
          <w:rStyle w:val="aa"/>
        </w:rPr>
        <w:footnoteReference w:id="4"/>
      </w:r>
      <w:r w:rsidRPr="00D63297">
        <w:t>. Она вновь выразила надежду на то, что к 2024–2026 годам Конвенция станет глобальным документом.</w:t>
      </w:r>
    </w:p>
    <w:p w14:paraId="2B6B7502" w14:textId="77777777" w:rsidR="00CE58DE" w:rsidRPr="00D63297" w:rsidRDefault="00CE58DE" w:rsidP="00CE58DE">
      <w:pPr>
        <w:pStyle w:val="SingleTxtG"/>
      </w:pPr>
      <w:r w:rsidRPr="00D63297">
        <w:lastRenderedPageBreak/>
        <w:t>10.</w:t>
      </w:r>
      <w:r w:rsidRPr="00D63297">
        <w:tab/>
        <w:t>Рабочая группа также в очередной раз настоятельно призвала Армению, Беларусь, Бельгию, Боснию и Герцеговину, Казахстан, Кыргызстан, Северную Македонию и Соединенное Королевство Великобритании и Северной Ирландии в те же сроки ратифицировать вторую поправку, с тем чтобы обеспечить единообразное применение Конвенции.</w:t>
      </w:r>
    </w:p>
    <w:p w14:paraId="54748972" w14:textId="542814CA" w:rsidR="00CE58DE" w:rsidRPr="00D63297" w:rsidRDefault="00CE58DE" w:rsidP="00CE58DE">
      <w:pPr>
        <w:pStyle w:val="SingleTxtG"/>
      </w:pPr>
      <w:r w:rsidRPr="00D63297">
        <w:t>11.</w:t>
      </w:r>
      <w:r w:rsidRPr="00D63297">
        <w:tab/>
        <w:t>На тот случай, если</w:t>
      </w:r>
      <w:r>
        <w:t xml:space="preserve"> </w:t>
      </w:r>
      <w:r w:rsidRPr="00D63297">
        <w:t>в сроки, указанные выше в пунктах 9 и 10, процесс ратификации завершен не будет, Рабочая группа обратилась к заинтересованным странам с просьбой объявить на следующих сессиях Рабочей группы о своем привязанном к конкретным срокам твердом обязательстве</w:t>
      </w:r>
      <w:r>
        <w:t xml:space="preserve"> </w:t>
      </w:r>
      <w:r w:rsidRPr="00D63297">
        <w:t>предпринять необходимые шаги в следующий межсессионный период (2024</w:t>
      </w:r>
      <w:r w:rsidRPr="00CE58DE">
        <w:t>–</w:t>
      </w:r>
      <w:r w:rsidRPr="00D63297">
        <w:t>2026 годы).</w:t>
      </w:r>
    </w:p>
    <w:p w14:paraId="15C9AB57" w14:textId="45726ACB" w:rsidR="00CE58DE" w:rsidRPr="00D63297" w:rsidRDefault="00CE58DE" w:rsidP="00CE58DE">
      <w:pPr>
        <w:pStyle w:val="SingleTxtG"/>
      </w:pPr>
      <w:r w:rsidRPr="00D63297">
        <w:t>12.</w:t>
      </w:r>
      <w:r w:rsidRPr="00D63297">
        <w:tab/>
        <w:t>Рабочая группа также выразила сожаление в связи с тем, что некоторые из подписавших Протокол стран еще не стали Сторонами Протокола, и настоятельно призвала Бельгию, Грецию, Грузию, Ирландию, Соединенное Королевство Великобритании и Северной Ирландии и Францию ратифицировать этот документ. Ею</w:t>
      </w:r>
      <w:r w:rsidR="00051F76">
        <w:t> </w:t>
      </w:r>
      <w:r w:rsidRPr="00D63297">
        <w:t>было отмечено стремление Франции и Греции стать Стороной Протокола к декабрю 2023 года. Она также напомнила, что на прошлом совещании Рабочей группы о своих планах присоединиться к Протоколу в 2024 году объявил Казахстан</w:t>
      </w:r>
      <w:r w:rsidRPr="00D63297">
        <w:rPr>
          <w:rStyle w:val="aa"/>
        </w:rPr>
        <w:footnoteReference w:id="5"/>
      </w:r>
      <w:r w:rsidRPr="00D63297">
        <w:t>.</w:t>
      </w:r>
    </w:p>
    <w:p w14:paraId="74BEE2AC" w14:textId="2E56237E" w:rsidR="00CE58DE" w:rsidRPr="00D63297" w:rsidRDefault="00CE58DE" w:rsidP="00CE58DE">
      <w:pPr>
        <w:pStyle w:val="SingleTxtG"/>
      </w:pPr>
      <w:r w:rsidRPr="00D63297">
        <w:t>13.</w:t>
      </w:r>
      <w:r w:rsidRPr="00D63297">
        <w:tab/>
        <w:t>Рабочая группа настоятельно рекомендовала странам</w:t>
      </w:r>
      <w:r w:rsidR="00051F76">
        <w:t xml:space="preserve"> — </w:t>
      </w:r>
      <w:r w:rsidRPr="00D63297">
        <w:t xml:space="preserve">бенефициарам технической помощи и наращивания потенциала в Восточной Европе, на Кавказе и в Центральной Азии присоединиться к Конвенции и/или Протоколу. Она отметила предпринятые на национальном уровне шаги по подготовке присоединения к Протоколу со стороны Азербайджана и к обоим документам </w:t>
      </w:r>
      <w:r w:rsidR="00051F76">
        <w:t>—</w:t>
      </w:r>
      <w:r w:rsidRPr="00D63297">
        <w:t xml:space="preserve"> со стороны Узбекистана.</w:t>
      </w:r>
    </w:p>
    <w:p w14:paraId="5A0AD7EB" w14:textId="77777777" w:rsidR="00CE58DE" w:rsidRPr="00D63297" w:rsidRDefault="00CE58DE" w:rsidP="00CE58DE">
      <w:pPr>
        <w:pStyle w:val="SingleTxtG"/>
      </w:pPr>
      <w:r w:rsidRPr="00D63297">
        <w:t>14.</w:t>
      </w:r>
      <w:r w:rsidRPr="00D63297">
        <w:tab/>
        <w:t>Рабочая группа просила Исполнительного секретаря ЕЭК довести в письмах с приглашением к участию в следующих сессиям Совещаний Сторон вышеизложенные выводы Рабочей группы до сведения министров окружающей среды и иностранных дел соответствующих Сторон, настоятельно призвав их страны завершить ратификацию.</w:t>
      </w:r>
    </w:p>
    <w:p w14:paraId="6D0A40E3" w14:textId="02DD9359" w:rsidR="00CE58DE" w:rsidRPr="00D63297" w:rsidRDefault="00CE58DE" w:rsidP="00CE58DE">
      <w:pPr>
        <w:pStyle w:val="SingleTxtG"/>
      </w:pPr>
      <w:r w:rsidRPr="00D63297">
        <w:t>15.</w:t>
      </w:r>
      <w:r w:rsidRPr="00D63297">
        <w:tab/>
        <w:t>Рабочая группа поблагодарила Румынию за отчет о состоянии ратификации Многостороннего соглашения стран Юго-Восточной Европы об осуществлении Конвенции об оценке воздействия на окружающую среду в трансграничном контексте (Бухарестское соглашение). Она предложила Хорватии и Греции ратифицировать Бухарестское соглашение и приняла к сведению их планы сделать это (в случае Хорватии, возможно,</w:t>
      </w:r>
      <w:r>
        <w:t xml:space="preserve"> — </w:t>
      </w:r>
      <w:r w:rsidRPr="00D63297">
        <w:t>до начала следующих сессий Совещаний Сторон). Рабочая группа также призвала присоединиться к этому соглашению Боснию и Герцеговину.</w:t>
      </w:r>
    </w:p>
    <w:p w14:paraId="3D684198" w14:textId="20B27282" w:rsidR="00CE58DE" w:rsidRPr="00D63297" w:rsidRDefault="00CE58DE" w:rsidP="00CE58DE">
      <w:pPr>
        <w:pStyle w:val="HChG"/>
      </w:pPr>
      <w:r>
        <w:tab/>
      </w:r>
      <w:r w:rsidRPr="00D63297">
        <w:t>III.</w:t>
      </w:r>
      <w:r w:rsidRPr="00D63297">
        <w:tab/>
        <w:t xml:space="preserve">Финансовые </w:t>
      </w:r>
      <w:r w:rsidRPr="00CE58DE">
        <w:t>механизмы</w:t>
      </w:r>
    </w:p>
    <w:p w14:paraId="63A94B3E" w14:textId="5B7AA19A" w:rsidR="00CE58DE" w:rsidRPr="00D63297" w:rsidRDefault="00CE58DE" w:rsidP="00CE58DE">
      <w:pPr>
        <w:pStyle w:val="H1G"/>
      </w:pPr>
      <w:r>
        <w:tab/>
      </w:r>
      <w:r w:rsidRPr="00D63297">
        <w:t>A.</w:t>
      </w:r>
      <w:r w:rsidRPr="00D63297">
        <w:tab/>
        <w:t xml:space="preserve">Состояние </w:t>
      </w:r>
      <w:r w:rsidRPr="00CE58DE">
        <w:t>целевого</w:t>
      </w:r>
      <w:r w:rsidRPr="00D63297">
        <w:t xml:space="preserve"> фонда в 2021–2023 годах</w:t>
      </w:r>
    </w:p>
    <w:p w14:paraId="70B8805B" w14:textId="6F9EC8F8" w:rsidR="00CE58DE" w:rsidRPr="00D63297" w:rsidRDefault="00CE58DE" w:rsidP="00CE58DE">
      <w:pPr>
        <w:pStyle w:val="SingleTxtG"/>
      </w:pPr>
      <w:r w:rsidRPr="00D63297">
        <w:t>16.</w:t>
      </w:r>
      <w:r w:rsidRPr="00D63297">
        <w:tab/>
        <w:t>Рабочая группа напомнила, что на своих прошлых сессиях (Вильнюс (в</w:t>
      </w:r>
      <w:r>
        <w:rPr>
          <w:lang w:val="en-US"/>
        </w:rPr>
        <w:t> </w:t>
      </w:r>
      <w:r w:rsidRPr="00D63297">
        <w:t>онлайновом формате), 8–11 декабря 2020 года) Совещания Сторон постановили, что все Стороны обязаны участвовать в покрытии расходов по плану работы, не покрываемых из регулярного бюджета Организации Объединенных Наций</w:t>
      </w:r>
      <w:r w:rsidRPr="00D63297">
        <w:rPr>
          <w:vertAlign w:val="superscript"/>
        </w:rPr>
        <w:footnoteReference w:id="6"/>
      </w:r>
      <w:r w:rsidRPr="00D63297">
        <w:t>. Она</w:t>
      </w:r>
      <w:r>
        <w:rPr>
          <w:lang w:val="en-US"/>
        </w:rPr>
        <w:t> </w:t>
      </w:r>
      <w:r w:rsidRPr="00D63297">
        <w:t>приняла к сведению информацию секретариата о взносах в целевой фонд Конвенции и Протокола, которые были получены до 19 мая 2023 года от 35 из 45</w:t>
      </w:r>
      <w:r>
        <w:rPr>
          <w:lang w:val="en-US"/>
        </w:rPr>
        <w:t> </w:t>
      </w:r>
      <w:r w:rsidRPr="00D63297">
        <w:t>Сторон Конвенции (ECE/MP.EIA/WG.2/2023/INF.3) и в основном представляли собой столь небольшие суммы, что половина всех поступлений пришлась на долю всего лишь трех Сторон, а 70</w:t>
      </w:r>
      <w:r w:rsidRPr="00CE58DE">
        <w:t xml:space="preserve"> </w:t>
      </w:r>
      <w:r w:rsidRPr="00D63297">
        <w:t>%</w:t>
      </w:r>
      <w:r>
        <w:t xml:space="preserve"> поступлений </w:t>
      </w:r>
      <w:r w:rsidRPr="00CE58DE">
        <w:t>—</w:t>
      </w:r>
      <w:r w:rsidRPr="00D63297">
        <w:t xml:space="preserve"> </w:t>
      </w:r>
      <w:r>
        <w:t xml:space="preserve">на долю </w:t>
      </w:r>
      <w:r w:rsidRPr="00D63297">
        <w:t>шести Сторон. Было сообщено о том, что на конец периода 2021–2023 годов следует ожидать значительного бюджетного дефицита.</w:t>
      </w:r>
    </w:p>
    <w:p w14:paraId="71212668" w14:textId="097AEB0F" w:rsidR="00CE58DE" w:rsidRPr="00D63297" w:rsidRDefault="00CE58DE" w:rsidP="00CE58DE">
      <w:pPr>
        <w:pStyle w:val="SingleTxtG"/>
      </w:pPr>
      <w:r w:rsidRPr="00D63297">
        <w:lastRenderedPageBreak/>
        <w:t>17.</w:t>
      </w:r>
      <w:r w:rsidRPr="00D63297">
        <w:tab/>
        <w:t>Рабочая группа выразила сожаление по поводу все еще неравномерного распределения бремени участия в расходах, а также общей недостаточности и непредсказуемости взносов. Она подтвердила свой предыдущий вывод о том, что принятая в 2020 году финансовая схема не позволила устранить давнюю и становящуюся все более острой проблему ограниченности ресурсов на Конвенцию и Протокол</w:t>
      </w:r>
      <w:r w:rsidRPr="00D63297">
        <w:rPr>
          <w:rStyle w:val="aa"/>
        </w:rPr>
        <w:footnoteReference w:id="7"/>
      </w:r>
      <w:r w:rsidRPr="00D63297">
        <w:t>. Рабочая группа предложила десяти нижеперечисленным Сторонам, которые до сих пор не внесли свои взносы в нынешний период 2021</w:t>
      </w:r>
      <w:r w:rsidRPr="00CE58DE">
        <w:t>–</w:t>
      </w:r>
      <w:r w:rsidRPr="00D63297">
        <w:t>2023 годов, а именно Беларуси, Боснии и Герцеговине, Греции, Казахстану, Кыргызстану, Лихтенштейну, Сербии, Соединенному Королевству Великобритании и Северной Ирландии, Украине и Хорватии,</w:t>
      </w:r>
      <w:r>
        <w:t xml:space="preserve"> — </w:t>
      </w:r>
      <w:r w:rsidRPr="00D63297">
        <w:t>сделать это в соответствии с решением VIII/1</w:t>
      </w:r>
      <w:r w:rsidRPr="00CE58DE">
        <w:t>–</w:t>
      </w:r>
      <w:r w:rsidRPr="00D63297">
        <w:t>VI/1 (ECE/MP.EIA/30/Add.1</w:t>
      </w:r>
      <w:r w:rsidRPr="00CE58DE">
        <w:t>–</w:t>
      </w:r>
      <w:r w:rsidRPr="00D63297">
        <w:t>ECE/MP.EIA/SEA/13/Add.1), как можно скорее связавшись с секретариатом, если они еще не сделали этого. Она приняла к сведению информацию секретариата о том, что взносы Греции, Украины и Хорватии находятся на стадии перечисления.</w:t>
      </w:r>
    </w:p>
    <w:p w14:paraId="1FCB4DA8" w14:textId="77777777" w:rsidR="00CE58DE" w:rsidRPr="00D63297" w:rsidRDefault="00CE58DE" w:rsidP="00CE58DE">
      <w:pPr>
        <w:pStyle w:val="SingleTxtG"/>
      </w:pPr>
      <w:r w:rsidRPr="00D63297">
        <w:t>18.</w:t>
      </w:r>
      <w:r w:rsidRPr="00D63297">
        <w:tab/>
        <w:t>Рабочая группа также предложила всем Сторонам уплачивать объявленные ими взносы в полном объеме, избегая задолженностей, и по возможности внести в текущем периоде дополнительные взносы, в отношении которых они не брали на себя обязательств. Для упорядочения и упрощения практики выставления счетов Рабочая группа решила, что в будущем, начиная со следующего периода, секретариату нужно будет рассылать ежегодные платежные требования всем Сторонам в одни и те же сроки автоматически, а не по запросу Сторон.</w:t>
      </w:r>
    </w:p>
    <w:p w14:paraId="556EF2D5" w14:textId="77777777" w:rsidR="00CE58DE" w:rsidRPr="00D63297" w:rsidRDefault="00CE58DE" w:rsidP="00CE58DE">
      <w:pPr>
        <w:pStyle w:val="SingleTxtG"/>
      </w:pPr>
      <w:r w:rsidRPr="00D63297">
        <w:t>19.</w:t>
      </w:r>
      <w:r w:rsidRPr="00D63297">
        <w:tab/>
        <w:t>Рабочая группа предложила секретариату подготовить финансовый отчет за 2021–2023 годы к следующим сессиям Совещаний Сторон.</w:t>
      </w:r>
    </w:p>
    <w:p w14:paraId="1C66B630" w14:textId="223C373A" w:rsidR="00CE58DE" w:rsidRPr="00D63297" w:rsidRDefault="00CE58DE" w:rsidP="00CE58DE">
      <w:pPr>
        <w:pStyle w:val="H1G"/>
      </w:pPr>
      <w:r>
        <w:tab/>
      </w:r>
      <w:r w:rsidRPr="00D63297">
        <w:t>B.</w:t>
      </w:r>
      <w:r w:rsidRPr="00D63297">
        <w:tab/>
        <w:t>Кадровые ресурсы секретариата</w:t>
      </w:r>
    </w:p>
    <w:p w14:paraId="2B681CFD" w14:textId="521C1DF1" w:rsidR="00CE58DE" w:rsidRPr="00D63297" w:rsidRDefault="00CE58DE" w:rsidP="00CE58DE">
      <w:pPr>
        <w:pStyle w:val="SingleTxtG"/>
      </w:pPr>
      <w:r w:rsidRPr="00D63297">
        <w:t>20.</w:t>
      </w:r>
      <w:r w:rsidRPr="00D63297">
        <w:tab/>
        <w:t>Секретариат доложил о своих кадровых ресурсах, отметив, что с 2001 года Стороны финансировали только одну должность категории специалистов и не оказывали административной поддержки в целях выполнения основных секретариатских функций по Конвенции и Протокол</w:t>
      </w:r>
      <w:r>
        <w:t>у</w:t>
      </w:r>
      <w:r w:rsidRPr="00D63297">
        <w:t xml:space="preserve">. В текущем периоде возникли дополнительные трудности, особенно в обслуживании работы, связанной с соблюдением и осуществлением, которые были вызваны длительным отпуском по болезни одного из сотрудников и изменениями в составе персонала, обусловленными применением механизма временных контрактов. Чтобы сохранить секретариатское обслуживание договоров на нынешнем уровне и избежать отмены мероприятий и совещаний, в том числе следующих сессий Совещаний Сторон, на период до конца года были приняты следующие временные чрезвычайные меры: на средства Италии к работе привлечен индивидуальный подрядчик, а с 1 марта для поддержки секретариата на неполную ставку назначен сотрудник ЕЭК из другой группы. В течение нескольких месяцев определенные административные задачи также возлагались на одного из стажеров. Секретариат подчеркнул, что такие решения носят временный характер и недостаточны для выполнения его основной регулярной работы. К марту 2024 года, после закрытия финансируемого Европейским союзом проекта </w:t>
      </w:r>
      <w:r>
        <w:t>«</w:t>
      </w:r>
      <w:r w:rsidRPr="00D63297">
        <w:t>EU4Environment</w:t>
      </w:r>
      <w:r>
        <w:t>»</w:t>
      </w:r>
      <w:r w:rsidRPr="00D63297">
        <w:t xml:space="preserve"> (</w:t>
      </w:r>
      <w:r>
        <w:t>«</w:t>
      </w:r>
      <w:r w:rsidRPr="00D63297">
        <w:t>ЕС за окружающую среду</w:t>
      </w:r>
      <w:r>
        <w:t>»</w:t>
      </w:r>
      <w:r w:rsidRPr="00D63297">
        <w:t>), перестанут работать руководитель проекта и помощник по проекту и будет постепенно свернута работа секретариата по наращиванию потенциала. Есть и положительный момент: секретариат выразил благодарность Италии за недавно объявленное ею решение о спонсорском финансировании младшего сотрудника категории специалистов в секретариате в течение 1–2 лет.</w:t>
      </w:r>
    </w:p>
    <w:p w14:paraId="542CEFAC" w14:textId="091365BC" w:rsidR="00CE58DE" w:rsidRPr="00D63297" w:rsidRDefault="00CE58DE" w:rsidP="00CE58DE">
      <w:pPr>
        <w:pStyle w:val="SingleTxtG"/>
      </w:pPr>
      <w:r w:rsidRPr="00D63297">
        <w:t>21.</w:t>
      </w:r>
      <w:r w:rsidRPr="00D63297">
        <w:tab/>
        <w:t>Председатель Рабочей группы поблагодарила секретариат за его профессионализм и жизнестойкость: в течение столь длительного времени он постоянно перегружен и находится под постоянным давлением. Ею было отмечено, что для выполнения основного мандата секретариата, который обслуживает два договора, объективно требуется более двух специалистов, что также подтверждается сравнением с секретариатами других многосторонних природоохранных соглашений ЕЭК, которые располагают в 3–8 раз б</w:t>
      </w:r>
      <w:r w:rsidRPr="003F2B19">
        <w:t>о</w:t>
      </w:r>
      <w:r w:rsidR="003F2B19" w:rsidRPr="003F2B19">
        <w:t>́</w:t>
      </w:r>
      <w:r w:rsidRPr="00D63297">
        <w:t xml:space="preserve">льшими людскими ресурсами. Она понимает, </w:t>
      </w:r>
      <w:r w:rsidRPr="00D63297">
        <w:lastRenderedPageBreak/>
        <w:t>что с обширными задачами секретариата сейчас уже невозможно справиться без стабильного привлечения дополнительного персонала.</w:t>
      </w:r>
    </w:p>
    <w:p w14:paraId="5AF38A8D" w14:textId="77777777" w:rsidR="00CE58DE" w:rsidRPr="00D63297" w:rsidRDefault="00CE58DE" w:rsidP="00CE58DE">
      <w:pPr>
        <w:pStyle w:val="SingleTxtG"/>
      </w:pPr>
      <w:r w:rsidRPr="00D63297">
        <w:t>22.</w:t>
      </w:r>
      <w:r w:rsidRPr="00D63297">
        <w:tab/>
        <w:t>Рабочая группа признала, что ресурсы секретариата находятся на критически низком уровне и отличаются нестабильностью, а это обстоятельство мешает подготовке сессий Совещаний Сторон и начиная с 2024 года не будет позволять секретариату выполнять его основной мандат. Она поблагодарила Италию за ее планы по спонсорскому финансированию младшего сотрудника категории специалистов в течение 1–2 лет и призвала другие Стороны последовать этому примеру. В то же время Рабочая группа признала, что временные варианты решения проблемы заполнения кадровых пробелов не являются устойчивыми, отметив также, что наем консультантов для выполнения основных задач секретариата Организацией Объединенных Наций не разрешен. Она также признала, что финансируемые донорами проекты по наращиванию потенциала не могут обеспечить финансирование деятельности по выполнению основных секретариатских функций и, кроме того, создадут для секретариата дополнительную рабочую нагрузку, что подразумевает необходимость решения задач, превышающих его текущие возможности, например сбора финансовых средств, подготовки проектов, набора и обучения персонала, а также выполнения требований доноров по отчетности, аудиту и оценке. В связи с этим Рабочая группа признала, что секретариат больше не может заниматься сбором финансовых средств и проведением мероприятий в целях наращивания потенциала.</w:t>
      </w:r>
    </w:p>
    <w:p w14:paraId="4C1720BC" w14:textId="0B3B0458" w:rsidR="00CE58DE" w:rsidRPr="00D63297" w:rsidRDefault="00CE58DE" w:rsidP="00CE58DE">
      <w:pPr>
        <w:pStyle w:val="SingleTxtG"/>
      </w:pPr>
      <w:r w:rsidRPr="00D63297">
        <w:t>23.</w:t>
      </w:r>
      <w:r w:rsidRPr="00D63297">
        <w:tab/>
        <w:t>Рабочая группа подтвердила выводы своего предыдущего совещания</w:t>
      </w:r>
      <w:r>
        <w:t xml:space="preserve"> </w:t>
      </w:r>
      <w:r w:rsidRPr="00D63297">
        <w:t>(Женева, 19</w:t>
      </w:r>
      <w:r>
        <w:t>–</w:t>
      </w:r>
      <w:r w:rsidRPr="00D63297">
        <w:t>21 декабря 2022 года) о том, что в целях выполнения основных секретариатских функций Стороны должны коллективно финансировать до следующего межсессионного периода 2024-2026 годов по меньшей мере одну дополнительную должность сотрудника категории специалистов и одну должность сотрудника по административной поддержке на неполной ставке,</w:t>
      </w:r>
      <w:r>
        <w:t xml:space="preserve"> </w:t>
      </w:r>
      <w:r w:rsidRPr="00D63297">
        <w:t xml:space="preserve">и если это окажется для Сторон невыполнимым в силу других национальных приоритетов финансирования, то им </w:t>
      </w:r>
      <w:r>
        <w:t>нужно будет</w:t>
      </w:r>
      <w:r w:rsidRPr="00D63297">
        <w:t xml:space="preserve"> сократить задачи секретариата по плану работы на 2024</w:t>
      </w:r>
      <w:r>
        <w:t>–</w:t>
      </w:r>
      <w:r w:rsidRPr="00D63297">
        <w:t>2026 годы</w:t>
      </w:r>
      <w:r w:rsidR="008B5E5B">
        <w:t>,</w:t>
      </w:r>
      <w:r w:rsidRPr="00D63297">
        <w:t xml:space="preserve"> с тем чтобы привести их в большее соответствие с его ограниченными ресурсами</w:t>
      </w:r>
      <w:r w:rsidRPr="00D63297">
        <w:rPr>
          <w:rStyle w:val="aa"/>
        </w:rPr>
        <w:footnoteReference w:id="8"/>
      </w:r>
      <w:r w:rsidRPr="00D63297">
        <w:t>.</w:t>
      </w:r>
    </w:p>
    <w:p w14:paraId="2E4F9A26" w14:textId="125C5A83" w:rsidR="00CE58DE" w:rsidRPr="00D63297" w:rsidRDefault="00CE58DE" w:rsidP="00CE58DE">
      <w:pPr>
        <w:pStyle w:val="H1G"/>
      </w:pPr>
      <w:r>
        <w:tab/>
      </w:r>
      <w:r w:rsidRPr="00D63297">
        <w:t>C.</w:t>
      </w:r>
      <w:r w:rsidRPr="00D63297">
        <w:tab/>
        <w:t xml:space="preserve">Обязательства по </w:t>
      </w:r>
      <w:r w:rsidRPr="00CE58DE">
        <w:t>финансированию</w:t>
      </w:r>
      <w:r w:rsidRPr="00D63297">
        <w:t xml:space="preserve"> и финансовые механизмы на</w:t>
      </w:r>
      <w:r>
        <w:t> </w:t>
      </w:r>
      <w:r w:rsidRPr="00D63297">
        <w:t>2024–2026 годы</w:t>
      </w:r>
    </w:p>
    <w:p w14:paraId="3ED97314" w14:textId="699D4C68" w:rsidR="00CE58DE" w:rsidRPr="00D63297" w:rsidRDefault="00CE58DE" w:rsidP="00CE58DE">
      <w:pPr>
        <w:pStyle w:val="SingleTxtG"/>
      </w:pPr>
      <w:r w:rsidRPr="00D63297">
        <w:t>24.</w:t>
      </w:r>
      <w:r w:rsidRPr="00D63297">
        <w:tab/>
        <w:t>Секретариат и несколько делегаций предоставили первоначальную информацию об ожидаемом финансировании Сторон в следующий межсессионный период. Рабочая группа поблагодарила 26 из 45 Сторон за информацию, предоставленную ими до и в ходе текущего совещания. В то же время она отметила, что объем финансирования, обещанный Сторонами на период 2024</w:t>
      </w:r>
      <w:r>
        <w:t>–</w:t>
      </w:r>
      <w:r w:rsidRPr="00D63297">
        <w:t>2026 годов, на сегодняшний день составляет всего лишь около 1,1 млн. долл. США, что все еще значительно меньше бюджета в размере 1 928 610 долл. США, предложенного с целью покрытия потребностей в ресурсах для плана работы на 2024</w:t>
      </w:r>
      <w:r>
        <w:t>–</w:t>
      </w:r>
      <w:r w:rsidRPr="00D63297">
        <w:t>2026 годы (ECE/MP.EIA/WG.2/2023/3, решение IX/2</w:t>
      </w:r>
      <w:r>
        <w:t>–</w:t>
      </w:r>
      <w:r w:rsidRPr="00D63297">
        <w:t>V/2, приложение II).</w:t>
      </w:r>
      <w:bookmarkStart w:id="4" w:name="_Hlk139460647"/>
      <w:bookmarkEnd w:id="4"/>
    </w:p>
    <w:p w14:paraId="3720A6D9" w14:textId="282E7CDC" w:rsidR="00CE58DE" w:rsidRPr="00D63297" w:rsidRDefault="00CE58DE" w:rsidP="00CE58DE">
      <w:pPr>
        <w:pStyle w:val="SingleTxtG"/>
      </w:pPr>
      <w:r w:rsidRPr="00D63297">
        <w:t>25.</w:t>
      </w:r>
      <w:r w:rsidRPr="00D63297">
        <w:tab/>
        <w:t>Рабочая группа выразила сожаление по поводу того, что от остальных 19</w:t>
      </w:r>
      <w:r>
        <w:t> </w:t>
      </w:r>
      <w:r w:rsidRPr="00D63297">
        <w:t>Сторон информация об их ожидаемых взносах не поступила, а это затрудняет и задерживает подготовку реалистичного плана работы, который соответствовал бы имеющемуся финансированию. Она предложила этим Сторонам (Албания, Армения, Бельгия, Беларусь, Босния и Герцеговина, Казахстан, Кипр, Кыргызстан, Лихтенштейн, Северная Македония, Польша, Португалия, Сербия, Словакия, Соединенное Королевство Великобритании и Северной Ирландии, Украина, Финляндия, Черногория и Чехия) как можно раньше проинформировать секретариат до начала следующих сессий Совещаний Сторон, но не позднее 15 октября 2023 года о своих обязательствах по финансированию</w:t>
      </w:r>
      <w:r w:rsidR="008B5E5B">
        <w:t>,</w:t>
      </w:r>
      <w:r w:rsidRPr="00D63297">
        <w:t xml:space="preserve"> с тем чтобы Стороны могли согласовать план работы, соответствующий</w:t>
      </w:r>
      <w:r>
        <w:t xml:space="preserve"> </w:t>
      </w:r>
      <w:r w:rsidRPr="00D63297">
        <w:t>имеющимся ресурсам.</w:t>
      </w:r>
    </w:p>
    <w:p w14:paraId="7AADB1D6" w14:textId="1A78C018" w:rsidR="00CE58DE" w:rsidRPr="00D63297" w:rsidRDefault="00CE58DE" w:rsidP="00CE58DE">
      <w:pPr>
        <w:pStyle w:val="SingleTxtG"/>
      </w:pPr>
      <w:r w:rsidRPr="00D63297">
        <w:lastRenderedPageBreak/>
        <w:t>26.</w:t>
      </w:r>
      <w:r w:rsidRPr="00D63297">
        <w:tab/>
        <w:t>Рабочая группа также выразила сожаление по поводу того, что, за некоторыми исключениями (в число которых входит, в частности, Франция), несмотря на обращения Президиума и Рабочей группы и письма, направленные Сторонам Исполнительным секретарем ЕЭК</w:t>
      </w:r>
      <w:r>
        <w:t xml:space="preserve"> </w:t>
      </w:r>
      <w:r w:rsidRPr="00D63297">
        <w:t>(письма от 7 декабря 2022 года), Стороны вообще не сообщили</w:t>
      </w:r>
      <w:r w:rsidRPr="009344F6">
        <w:t xml:space="preserve"> </w:t>
      </w:r>
      <w:r w:rsidRPr="00D63297">
        <w:t>суммы объявленных взносов или лишь в ограниченном размере</w:t>
      </w:r>
      <w:r>
        <w:t xml:space="preserve"> </w:t>
      </w:r>
      <w:r w:rsidRPr="00D63297">
        <w:t xml:space="preserve">увеличили </w:t>
      </w:r>
      <w:r>
        <w:t xml:space="preserve">их </w:t>
      </w:r>
      <w:r w:rsidRPr="00D63297">
        <w:t>по сравнению с</w:t>
      </w:r>
      <w:r w:rsidR="008B5E5B">
        <w:t>о</w:t>
      </w:r>
      <w:r w:rsidRPr="00D63297">
        <w:t xml:space="preserve"> взносами за предыдущие годы. Следовательно, ожидаемых поступлений на следующий период, скорее всего, будет недостаточно для покрытия намеченных бюджетных потребностей на этот период. Поэтому Рабочая группа поблагодарила национальные координационные центры за их усилия по мобилизации дополнительного финансирования внутри своих правительств и призвала их продолжать эти усилия с целью увеличения объема своих обязательств на 2024–2026 годы. Кроме того, если это практически возможно, для повышения предсказуемости финансирования и снижения административного бремени и издержек была вынесена рекомендация о том, чтобы Рабочая группа предложила Сторонам рассмотреть возможность внесения в 2024 году многолетних взносов (т.</w:t>
      </w:r>
      <w:r>
        <w:t> </w:t>
      </w:r>
      <w:r w:rsidRPr="00D63297">
        <w:t>е.</w:t>
      </w:r>
      <w:r>
        <w:t> </w:t>
      </w:r>
      <w:r w:rsidRPr="00D63297">
        <w:t>единовременных платежей, покрывающих взносы за 2024, 2025 и 2026 годы).</w:t>
      </w:r>
    </w:p>
    <w:p w14:paraId="748C6B3B" w14:textId="4CC98C2A" w:rsidR="00CE58DE" w:rsidRPr="00D63297" w:rsidRDefault="00CE58DE" w:rsidP="00CE58DE">
      <w:pPr>
        <w:pStyle w:val="SingleTxtG"/>
      </w:pPr>
      <w:r w:rsidRPr="00D63297">
        <w:t>27.</w:t>
      </w:r>
      <w:r w:rsidRPr="00D63297">
        <w:tab/>
        <w:t xml:space="preserve">Затем Рабочая группа рассмотрела и согласовала текст проекта </w:t>
      </w:r>
      <w:r>
        <w:br/>
      </w:r>
      <w:r w:rsidRPr="00D63297">
        <w:t>решения IX/1</w:t>
      </w:r>
      <w:r>
        <w:t>–</w:t>
      </w:r>
      <w:r w:rsidRPr="00D63297">
        <w:t>V/1 в пересмотренном виде и предложила секретариату препроводить его Совещаниям Сторон на их следующих сессиях. Она вновь заявила, что проект плана работы на период 2024–2026</w:t>
      </w:r>
      <w:r>
        <w:t xml:space="preserve"> </w:t>
      </w:r>
      <w:r w:rsidRPr="00D63297">
        <w:t>годов должен согласовываться с ожидаемым будущим финансированием деятельности по его осуществлению в интересах обеспечения соответствия между спросом на деятельность и услуги и предложением ресурсов и возможности осуществлять деятельность и оказывать услуги, пока не будут получены необходимые дополнительные ресурсы, лишь в сокращенном объеме.</w:t>
      </w:r>
    </w:p>
    <w:p w14:paraId="49FAA673" w14:textId="28ACECFE" w:rsidR="00CE58DE" w:rsidRPr="00D63297" w:rsidRDefault="00CE58DE" w:rsidP="00CE58DE">
      <w:pPr>
        <w:pStyle w:val="SingleTxtG"/>
      </w:pPr>
      <w:r w:rsidRPr="00D63297">
        <w:t>28.</w:t>
      </w:r>
      <w:r w:rsidRPr="00D63297">
        <w:tab/>
        <w:t>Делегация Беларуси выступила с односторонним заявлением, в котором</w:t>
      </w:r>
      <w:r>
        <w:t xml:space="preserve"> она отметила «</w:t>
      </w:r>
      <w:r w:rsidRPr="00D63297">
        <w:t>влияние беспрецедентных односторонних принудительных мер в отношении ее страны, политизации данного форума и непривлечения ее страны к участию в мероприятиях плана работы на возможности Беларуси по внесению финансовых взносов или взносов натурой в текущий межсессионный период</w:t>
      </w:r>
      <w:r>
        <w:t>»</w:t>
      </w:r>
      <w:r w:rsidRPr="00D63297">
        <w:t>. Делегация просила включить ее заявление в доклад о работе совещания.</w:t>
      </w:r>
    </w:p>
    <w:p w14:paraId="2FD078E6" w14:textId="06873FD8" w:rsidR="00CE58DE" w:rsidRPr="00D63297" w:rsidRDefault="00CE58DE" w:rsidP="00CE58DE">
      <w:pPr>
        <w:pStyle w:val="HChG"/>
      </w:pPr>
      <w:r>
        <w:tab/>
      </w:r>
      <w:r w:rsidRPr="00D63297">
        <w:t>IV.</w:t>
      </w:r>
      <w:r w:rsidRPr="00D63297">
        <w:tab/>
        <w:t xml:space="preserve">Подготовка к следующим </w:t>
      </w:r>
      <w:r w:rsidRPr="00CE58DE">
        <w:t>сессиям</w:t>
      </w:r>
      <w:r w:rsidRPr="00D63297">
        <w:t xml:space="preserve"> Совещаний Сторон</w:t>
      </w:r>
    </w:p>
    <w:p w14:paraId="6BBAD157" w14:textId="0DA903A2" w:rsidR="00CE58DE" w:rsidRPr="00D63297" w:rsidRDefault="00CE58DE" w:rsidP="00CE58DE">
      <w:pPr>
        <w:pStyle w:val="H1G"/>
      </w:pPr>
      <w:r>
        <w:tab/>
      </w:r>
      <w:r w:rsidRPr="00D63297">
        <w:t>A.</w:t>
      </w:r>
      <w:r w:rsidRPr="00D63297">
        <w:tab/>
      </w:r>
      <w:r w:rsidRPr="00CE58DE">
        <w:t>Практические</w:t>
      </w:r>
      <w:r w:rsidRPr="00D63297">
        <w:t xml:space="preserve"> меры</w:t>
      </w:r>
    </w:p>
    <w:p w14:paraId="78FDE2E0" w14:textId="659A3B55" w:rsidR="00CE58DE" w:rsidRPr="00D63297" w:rsidRDefault="00CE58DE" w:rsidP="00CE58DE">
      <w:pPr>
        <w:pStyle w:val="SingleTxtG"/>
      </w:pPr>
      <w:r w:rsidRPr="00D63297">
        <w:t>29.</w:t>
      </w:r>
      <w:r w:rsidRPr="00D63297">
        <w:tab/>
        <w:t>Рабочая группа рассмотрела практические меры по организации девятой сессии Совещания Сторон Конвенции и пятой сессии Совещания Сторон Протокола, которые планируется начать во вторник, 12 декабря, в 10 ч 00 мин и завершить в пятницу, 15</w:t>
      </w:r>
      <w:r>
        <w:t> </w:t>
      </w:r>
      <w:r w:rsidRPr="00D63297">
        <w:t>декабря 2023 года, в 13 ч 00 мин</w:t>
      </w:r>
      <w:r w:rsidR="008B5E5B">
        <w:t>,</w:t>
      </w:r>
      <w:r w:rsidRPr="00D63297">
        <w:t xml:space="preserve"> при том что сегмент высокого уровня намечено провести в четверг, 14 декабря, с 13 ч 00 мин до 15 ч 00 мин и в пятницу, 15 декабря, с 10 ч 00 мин до 13 ч 00 мин. Она отметила, что сессии будут проходить во Дворце Наций в Женеве, так как провести их у себя в стране не предложила ни одна из Сторон.</w:t>
      </w:r>
    </w:p>
    <w:p w14:paraId="3EF59759" w14:textId="1C368A98" w:rsidR="00CE58DE" w:rsidRPr="00F51885" w:rsidRDefault="00CE58DE" w:rsidP="00CE58DE">
      <w:pPr>
        <w:pStyle w:val="SingleTxtG"/>
      </w:pPr>
      <w:r w:rsidRPr="00D63297">
        <w:t>30.</w:t>
      </w:r>
      <w:r w:rsidRPr="00D63297">
        <w:tab/>
        <w:t>Секретариат представил информацию о ходе подготовки к следующим сессиям Совещаний Сторон и графике их проведения, а также предварительный перечень проектов решений и документов (ECE/MP.EIA/WG.2/2023/INF.4). Рабочая группа приняла эту информацию к сведению. Она также отметила, что в понедельник, 11</w:t>
      </w:r>
      <w:r>
        <w:t> </w:t>
      </w:r>
      <w:r w:rsidRPr="00D63297">
        <w:t>декабря 2023 года, параллельно с сессиями Совещаний Сторон планируется провести совещание Президиума для рассмотрения любых вопросов, поднятых в связи с сессиями в последнюю минуту, в частности замечаний делегаций по документации.</w:t>
      </w:r>
    </w:p>
    <w:p w14:paraId="6EBC016E" w14:textId="77777777" w:rsidR="00CE58DE" w:rsidRPr="00D63297" w:rsidRDefault="00CE58DE" w:rsidP="00CE58DE">
      <w:pPr>
        <w:pStyle w:val="SingleTxtG"/>
      </w:pPr>
      <w:r w:rsidRPr="00D63297">
        <w:t>31.</w:t>
      </w:r>
      <w:r w:rsidRPr="00D63297">
        <w:tab/>
        <w:t>Рабочая группа решила, что замечания к официальным документам должны быть представлены до 16 ноября 2023 года (за три недели до начала сессий). Председатель напомнила, что своевременное представление замечаний поможет делегациям подготовить и согласовать свои мнения в преддверии сессий, обеспечить эффективную подготовку пунктов повестки дня и облегчить достижение консенсуса по нерешенным вопросам.</w:t>
      </w:r>
    </w:p>
    <w:p w14:paraId="3D8FB978" w14:textId="3811CCAC" w:rsidR="00CE58DE" w:rsidRPr="00D63297" w:rsidRDefault="00CE58DE" w:rsidP="00CE58DE">
      <w:pPr>
        <w:pStyle w:val="H1G"/>
      </w:pPr>
      <w:r>
        <w:lastRenderedPageBreak/>
        <w:tab/>
      </w:r>
      <w:r w:rsidRPr="00D63297">
        <w:t>B.</w:t>
      </w:r>
      <w:r w:rsidRPr="00D63297">
        <w:tab/>
      </w:r>
      <w:r w:rsidRPr="00CE58DE">
        <w:t>Предварительная</w:t>
      </w:r>
      <w:r w:rsidRPr="00D63297">
        <w:t xml:space="preserve"> повестка дня </w:t>
      </w:r>
    </w:p>
    <w:p w14:paraId="4DCB08A2" w14:textId="77777777" w:rsidR="00CE58DE" w:rsidRPr="00D63297" w:rsidRDefault="00CE58DE" w:rsidP="00CE58DE">
      <w:pPr>
        <w:pStyle w:val="SingleTxtG"/>
      </w:pPr>
      <w:r w:rsidRPr="00D63297">
        <w:t>32.</w:t>
      </w:r>
      <w:r w:rsidRPr="00D63297">
        <w:tab/>
        <w:t>Рабочая группа рассмотрела и согласовала предварительную аннотированную повестку дня следующих сессий Совещаний Сторон (ECE/MP.EIA/WG.2/2023/INF.5) и предложила секретариату оформить ее в качестве официального документа до начала сессий.</w:t>
      </w:r>
    </w:p>
    <w:p w14:paraId="0117191B" w14:textId="5F3A282B" w:rsidR="00CE58DE" w:rsidRPr="00D63297" w:rsidRDefault="00CE58DE" w:rsidP="00CE58DE">
      <w:pPr>
        <w:pStyle w:val="SingleTxtG"/>
      </w:pPr>
      <w:r w:rsidRPr="00D63297">
        <w:t>33.</w:t>
      </w:r>
      <w:r w:rsidRPr="00D63297">
        <w:tab/>
        <w:t xml:space="preserve">Затем Рабочая группа сосредоточилась на обсуждении сессионного тематического мероприятия высокого уровня, посвященного роли Конвенции и Протокола в энергетическом переходе, экономике замкнутого цикла и </w:t>
      </w:r>
      <w:r>
        <w:t>«</w:t>
      </w:r>
      <w:r w:rsidRPr="00D63297">
        <w:t>зеленом</w:t>
      </w:r>
      <w:r>
        <w:t>»</w:t>
      </w:r>
      <w:r w:rsidRPr="00D63297">
        <w:t xml:space="preserve"> финансировании. Она поблагодарила Италию за финансирование подготовки этого мероприятия и справочного документа к нему при поддержке двух консультантов секретариата. Председатель напомнила, что на своем прошлом совещании Рабочая группа первоначально рассматривала возможность организации в ходе сессий Совещаний Сторон двух отдельных тематических мероприятий, в частности одного мероприятия в рамках сегмента высокого уровня по энергетическому переходу и экономике замкнутого цикла, а другого</w:t>
      </w:r>
      <w:r>
        <w:t xml:space="preserve"> — </w:t>
      </w:r>
      <w:r w:rsidRPr="00D63297">
        <w:t xml:space="preserve">во время общего сегмента, посвященного </w:t>
      </w:r>
      <w:r>
        <w:t>«</w:t>
      </w:r>
      <w:r w:rsidRPr="00D63297">
        <w:t>зеленому</w:t>
      </w:r>
      <w:r>
        <w:t>»</w:t>
      </w:r>
      <w:r w:rsidRPr="00D63297">
        <w:t xml:space="preserve"> финансированию</w:t>
      </w:r>
      <w:r w:rsidRPr="00D63297">
        <w:rPr>
          <w:rStyle w:val="aa"/>
        </w:rPr>
        <w:footnoteReference w:id="9"/>
      </w:r>
      <w:r w:rsidRPr="00D63297">
        <w:t>. Однако в отсутствие страны или организации, которая добровольно взялась бы за руководство проведением общего сегмента, Президиум принял решение внести предложение о проведении только сегмента высокого уровня с упором на все три взаимосвязанные темы.</w:t>
      </w:r>
    </w:p>
    <w:p w14:paraId="6E2AC3A6" w14:textId="77777777" w:rsidR="00CE58DE" w:rsidRPr="00D63297" w:rsidRDefault="00CE58DE" w:rsidP="00CE58DE">
      <w:pPr>
        <w:pStyle w:val="SingleTxtG"/>
      </w:pPr>
      <w:r w:rsidRPr="00D63297">
        <w:t>34.</w:t>
      </w:r>
      <w:r w:rsidRPr="00D63297">
        <w:tab/>
        <w:t>Консультанты представили наброски справочного документа и программы мероприятия высокого уровня (ECE/MP.EIA/WG.2/2023/INF.6), которые были ими подготовлены с учетом рекомендаций Президиума и Рабочей группы в консультации с представителями добровольно согласившихся на это Сторон и заинтересованных субъектов.</w:t>
      </w:r>
      <w:bookmarkStart w:id="5" w:name="_Hlk139469272"/>
      <w:bookmarkEnd w:id="5"/>
    </w:p>
    <w:p w14:paraId="79A0A2E6" w14:textId="7D57B714" w:rsidR="00CE58DE" w:rsidRPr="00D63297" w:rsidRDefault="00CE58DE" w:rsidP="00CE58DE">
      <w:pPr>
        <w:pStyle w:val="SingleTxtG"/>
      </w:pPr>
      <w:r w:rsidRPr="00D63297">
        <w:t>35.</w:t>
      </w:r>
      <w:r w:rsidRPr="00D63297">
        <w:tab/>
        <w:t xml:space="preserve">Представитель Испании приветствовал предложенные в документе пункты обсуждения и заявил о намерении его страны рассмотреть соответствующие вопросы во второй половине 2023 года, когда она будет председательствовать в Совете Европейского союза. Председатель Президиума (Греция) приветствовал эту работу и подчеркнул необходимость осветить важное значение Конвенции и Протокола при рассмотрении поднятых в справочном документе вопросов на мероприятии высокого уровня в декабре. Кроме того, Председатель Президиума, а также председатель совещания и представитель МАОВ рекомендовали сделать акцент на роли и вкладе Протокола. В качестве аргументов в поддержку этого предложения приводились, в частности, необходимость разработки планов по климату и планов использования возобновляемых источников энергии с соблюдением принципа общественного согласия и согласование Протокола со стратегическими решениями по </w:t>
      </w:r>
      <w:r>
        <w:t>«</w:t>
      </w:r>
      <w:r w:rsidRPr="00D63297">
        <w:t>зеленому</w:t>
      </w:r>
      <w:r>
        <w:t>»</w:t>
      </w:r>
      <w:r w:rsidRPr="00D63297">
        <w:t xml:space="preserve"> финансированию, в том числе и при планировании восстановления Украины после окончания продолжающейся военной агрессии Российской Федерации против этой страны. Представитель МАОВ далее рекомендовала проводить стратегические экологические оценки более высокого уровня, охватывая секторальные стратегические экологические оценки. Представитель ВОЗ положительно оценила справочный документ и выразила готовность поддержать его дальнейшую доработку, в частности акцент в нем на вопросах здравоохранения.</w:t>
      </w:r>
    </w:p>
    <w:p w14:paraId="22965701" w14:textId="77777777" w:rsidR="00CE58DE" w:rsidRPr="00D63297" w:rsidRDefault="00CE58DE" w:rsidP="00CE58DE">
      <w:pPr>
        <w:pStyle w:val="SingleTxtG"/>
      </w:pPr>
      <w:r w:rsidRPr="00D63297">
        <w:t>36.</w:t>
      </w:r>
      <w:r w:rsidRPr="00D63297">
        <w:tab/>
        <w:t>Председатель Президиума предупредил, что для положительного ответа на вопросы, которые сейчас охвачены в справочном документе, могут потребоваться предложения по внесению изменений в Конвенцию и Протокол и/или может стать необходимым введение в действие соответствующих руководящих указаний.</w:t>
      </w:r>
    </w:p>
    <w:p w14:paraId="7C94882B" w14:textId="10531C44" w:rsidR="00CE58DE" w:rsidRPr="00D63297" w:rsidRDefault="00CE58DE" w:rsidP="00CE58DE">
      <w:pPr>
        <w:pStyle w:val="SingleTxtG"/>
      </w:pPr>
      <w:r w:rsidRPr="00D63297">
        <w:t>37.</w:t>
      </w:r>
      <w:r w:rsidRPr="00D63297">
        <w:tab/>
        <w:t>По итогам обсуждений Рабочая группа положительно оценила справочный документ и предложила консультантам учесть при его дальнейшей доработке высказанные замечания. Конкретных предложений по внесению изменений в список ключевых вопросов, связанных с ролью тех или иных документов</w:t>
      </w:r>
      <w:r w:rsidR="000A480D">
        <w:t>,</w:t>
      </w:r>
      <w:r w:rsidRPr="00D63297">
        <w:t xml:space="preserve"> в том что касается тем энергетического перехода, экономики замкнутого цикла и </w:t>
      </w:r>
      <w:r>
        <w:t>«</w:t>
      </w:r>
      <w:r w:rsidRPr="00D63297">
        <w:t>зеленого</w:t>
      </w:r>
      <w:r>
        <w:t>»</w:t>
      </w:r>
      <w:r w:rsidRPr="00D63297">
        <w:t xml:space="preserve"> финансирования, не поступило.</w:t>
      </w:r>
    </w:p>
    <w:p w14:paraId="6938CC69" w14:textId="6C1204E3" w:rsidR="00CE58DE" w:rsidRPr="00D63297" w:rsidRDefault="00CE58DE" w:rsidP="00CE58DE">
      <w:pPr>
        <w:pStyle w:val="SingleTxtG"/>
      </w:pPr>
      <w:r w:rsidRPr="00D63297">
        <w:lastRenderedPageBreak/>
        <w:t>38.</w:t>
      </w:r>
      <w:r w:rsidRPr="00D63297">
        <w:tab/>
        <w:t>Рабочая группа приняла к сведению предложение о том, чтобы участниками групповой дискуссии мероприяти</w:t>
      </w:r>
      <w:r w:rsidR="000A480D">
        <w:t>я</w:t>
      </w:r>
      <w:r w:rsidRPr="00D63297">
        <w:t xml:space="preserve"> высокого уровня были представители Италии, Республики Молдова и одной НПО (она будет назначена НПО, действующими в рамках Конвенции и Протокола, для представления их согласованных мнений) и</w:t>
      </w:r>
      <w:r>
        <w:t> </w:t>
      </w:r>
      <w:r w:rsidRPr="00D63297">
        <w:t>чтобы с заявлениями с мест выступили (при рекомендуемом регламенте в 3 минуты) представители Швейцарии и ВОЗ. Она также приняла к сведению ориентировочный график выполнения подготовительных шагов, в частности крайние сроки завершения подготовки справочного документа</w:t>
      </w:r>
      <w:r>
        <w:t xml:space="preserve"> — </w:t>
      </w:r>
      <w:r w:rsidRPr="00D63297">
        <w:t>19 сентября 2023 года</w:t>
      </w:r>
      <w:r>
        <w:t xml:space="preserve"> — </w:t>
      </w:r>
      <w:r w:rsidRPr="00D63297">
        <w:t>и завершения подготовки программы мероприятия высокого уровня</w:t>
      </w:r>
      <w:r>
        <w:t xml:space="preserve"> — </w:t>
      </w:r>
      <w:r w:rsidRPr="00D63297">
        <w:t>29 сентября 2023 года.</w:t>
      </w:r>
    </w:p>
    <w:p w14:paraId="4306BC79" w14:textId="77777777" w:rsidR="00CE58DE" w:rsidRPr="00D63297" w:rsidRDefault="00CE58DE" w:rsidP="00CE58DE">
      <w:pPr>
        <w:pStyle w:val="SingleTxtG"/>
      </w:pPr>
      <w:r w:rsidRPr="00D63297">
        <w:t>39.</w:t>
      </w:r>
      <w:r w:rsidRPr="00D63297">
        <w:tab/>
        <w:t>Рабочая группа предложила делегациям внести предложения относительно дополнительных участников групповой дискуссии и по поводу выступлений с заявлениями с мест.</w:t>
      </w:r>
    </w:p>
    <w:p w14:paraId="7479501C" w14:textId="76661897" w:rsidR="00CE58DE" w:rsidRPr="00D63297" w:rsidRDefault="00CE58DE" w:rsidP="000A480D">
      <w:pPr>
        <w:pStyle w:val="H1G"/>
      </w:pPr>
      <w:r>
        <w:tab/>
      </w:r>
      <w:r w:rsidRPr="00D63297">
        <w:t>C.</w:t>
      </w:r>
      <w:r w:rsidRPr="00D63297">
        <w:tab/>
        <w:t xml:space="preserve">Проект плана работы на 2024–2026 годы </w:t>
      </w:r>
    </w:p>
    <w:p w14:paraId="6D03406C" w14:textId="354337E0" w:rsidR="00CE58DE" w:rsidRPr="00D63297" w:rsidRDefault="00CE58DE" w:rsidP="00CE58DE">
      <w:pPr>
        <w:pStyle w:val="SingleTxtG"/>
      </w:pPr>
      <w:r w:rsidRPr="00D63297">
        <w:t>40.</w:t>
      </w:r>
      <w:r w:rsidRPr="00D63297">
        <w:tab/>
        <w:t>Секретариат представил проект решения IX/2</w:t>
      </w:r>
      <w:r w:rsidR="000A480D">
        <w:t>–</w:t>
      </w:r>
      <w:r w:rsidRPr="00D63297">
        <w:t xml:space="preserve">V/2 о плане работы на </w:t>
      </w:r>
      <w:r>
        <w:br/>
      </w:r>
      <w:r w:rsidRPr="00D63297">
        <w:t>2024</w:t>
      </w:r>
      <w:r>
        <w:t>–</w:t>
      </w:r>
      <w:r w:rsidRPr="00D63297">
        <w:t>2026 годы и приложений I и II к нему, в которых содержатся описание деятельности по плану работы и характеристика относящихся к нему потребностей в ресурсах соответственно и которые были подготовлены Президиумом при поддержке секретариата (ECE/MP.EIA/WG.2/2023/3). По итогам обсуждений Рабочая группа согласовала пересмотренный проект решения и приложений к нему, в который включено конкретное описание того, каким образом будут сокращены задачи секретариата в период начиная с 2024 года, если Стороны не смогут профинансировать дополнительные кадровые ресурсы (не менее одного сотрудника категории специалистов и сотрудника по административной поддержке на полставке).</w:t>
      </w:r>
      <w:bookmarkStart w:id="6" w:name="_Hlk139531096"/>
      <w:bookmarkEnd w:id="6"/>
    </w:p>
    <w:p w14:paraId="30CB71FC" w14:textId="7755279E" w:rsidR="00CE58DE" w:rsidRPr="00D63297" w:rsidRDefault="00CE58DE" w:rsidP="00CE58DE">
      <w:pPr>
        <w:pStyle w:val="SingleTxtG"/>
      </w:pPr>
      <w:r w:rsidRPr="00D63297">
        <w:t>41.</w:t>
      </w:r>
      <w:r w:rsidRPr="00D63297">
        <w:tab/>
        <w:t>Рабочая группа просила секретариат препроводить проект решения о плане работы на 2024–2026 годы с приложениями к нему Совещаниям Сторон в качестве официального документа. Она вновь заявила, что для того, чтобы Совещания Сторон могли принять реалистичный и выполнимый план работы, необходимо заранее знать, будет ли он подкреплен соответствующими ресурсами. Она вновь настоятельно призвала все Стороны предоставить информацию о своих взносах до 15 октября 2023</w:t>
      </w:r>
      <w:r>
        <w:t> </w:t>
      </w:r>
      <w:r w:rsidRPr="00D63297">
        <w:t>года.</w:t>
      </w:r>
    </w:p>
    <w:p w14:paraId="07E0A90A" w14:textId="77777777" w:rsidR="00CE58DE" w:rsidRPr="00D63297" w:rsidRDefault="00CE58DE" w:rsidP="00CE58DE">
      <w:pPr>
        <w:pStyle w:val="SingleTxtG"/>
      </w:pPr>
      <w:r w:rsidRPr="00D63297">
        <w:t>42.</w:t>
      </w:r>
      <w:r w:rsidRPr="00D63297">
        <w:tab/>
        <w:t xml:space="preserve">Рабочая группа приняла к сведению информацию секретариата о том, что предлагаемый, немного увеличенный совместный бюджет по Конвенции Эспо и Протоколу к ней является самым маленьким из всех бюджетов по многосторонним природоохранным соглашениям ЕЭК (совокупные бюджеты по другим конвенциям и протоколам к ним достигают по отношению к нему десятикратного </w:t>
      </w:r>
      <w:r>
        <w:t>размера</w:t>
      </w:r>
      <w:r w:rsidRPr="00D63297">
        <w:t xml:space="preserve">). </w:t>
      </w:r>
    </w:p>
    <w:p w14:paraId="50C1ABF7" w14:textId="76320643" w:rsidR="00CE58DE" w:rsidRPr="00D63297" w:rsidRDefault="00CE58DE" w:rsidP="00CE58DE">
      <w:pPr>
        <w:pStyle w:val="H1G"/>
      </w:pPr>
      <w:r>
        <w:tab/>
      </w:r>
      <w:r w:rsidRPr="00D63297">
        <w:t>D.</w:t>
      </w:r>
      <w:r w:rsidRPr="00D63297">
        <w:tab/>
        <w:t xml:space="preserve">Проект </w:t>
      </w:r>
      <w:r w:rsidRPr="00CE58DE">
        <w:t>декларации</w:t>
      </w:r>
    </w:p>
    <w:p w14:paraId="30EEF993" w14:textId="77777777" w:rsidR="00CE58DE" w:rsidRPr="00D63297" w:rsidRDefault="00CE58DE" w:rsidP="00CE58DE">
      <w:pPr>
        <w:pStyle w:val="SingleTxtG"/>
      </w:pPr>
      <w:r w:rsidRPr="00D63297">
        <w:t>43.</w:t>
      </w:r>
      <w:r w:rsidRPr="00D63297">
        <w:tab/>
        <w:t>Рабочая группа пересмотрела проект Женевской декларации, подготовленный Президиумом при поддержке секретариата (ECE/MP.EIA/WG.2/2023/4), а также рассмотрела изменения к ее тексту, предложенные делегациями Европейского союза и его государств-членов, Европейским ЭКО-Форумом, Сетью по наблюдению за прозрачностью в ядерной области и ВОЗ.</w:t>
      </w:r>
    </w:p>
    <w:p w14:paraId="5AE943E2" w14:textId="17142FB2" w:rsidR="00CE58DE" w:rsidRPr="00D63297" w:rsidRDefault="00CE58DE" w:rsidP="00CE58DE">
      <w:pPr>
        <w:pStyle w:val="SingleTxtG"/>
      </w:pPr>
      <w:r w:rsidRPr="00D63297">
        <w:t>44.</w:t>
      </w:r>
      <w:r w:rsidRPr="00D63297">
        <w:tab/>
        <w:t xml:space="preserve">Делегация Беларуси выразила свою озабоченность </w:t>
      </w:r>
      <w:r>
        <w:t>«</w:t>
      </w:r>
      <w:r w:rsidRPr="00D63297">
        <w:t>в связи с политизированными, необоснованными и несбалансированными формулировками некоторых частей проекта декларации (преамбула и пункт 7)</w:t>
      </w:r>
      <w:r>
        <w:t>»</w:t>
      </w:r>
      <w:r w:rsidRPr="00D63297">
        <w:t>, подчеркнув, что из-за них она не может поддержать проект декларации в представленном виде.</w:t>
      </w:r>
    </w:p>
    <w:p w14:paraId="41DE19E1" w14:textId="77777777" w:rsidR="00CE58DE" w:rsidRPr="00D63297" w:rsidRDefault="00CE58DE" w:rsidP="00CE58DE">
      <w:pPr>
        <w:pStyle w:val="SingleTxtG"/>
      </w:pPr>
      <w:r w:rsidRPr="00D63297">
        <w:t>45.</w:t>
      </w:r>
      <w:r w:rsidRPr="00D63297">
        <w:tab/>
        <w:t>После продолжительных обсуждений Рабочая группа приняла решение о препровождении пересмотренного текста проекта декларации, в котором еще остается несколько квадратных скобок, на рассмотрение Совещаний Сторон.</w:t>
      </w:r>
    </w:p>
    <w:p w14:paraId="0093B258" w14:textId="78272FD9" w:rsidR="00CE58DE" w:rsidRPr="00D63297" w:rsidRDefault="00CE58DE" w:rsidP="00741EA6">
      <w:pPr>
        <w:pStyle w:val="H1G"/>
      </w:pPr>
      <w:r>
        <w:lastRenderedPageBreak/>
        <w:tab/>
      </w:r>
      <w:r w:rsidRPr="00D63297">
        <w:t>E.</w:t>
      </w:r>
      <w:r w:rsidRPr="00D63297">
        <w:tab/>
      </w:r>
      <w:r w:rsidRPr="00741EA6">
        <w:t>Председатели</w:t>
      </w:r>
      <w:r w:rsidRPr="00D63297">
        <w:t xml:space="preserve"> сессий</w:t>
      </w:r>
    </w:p>
    <w:p w14:paraId="3D2D9922" w14:textId="12638D3F" w:rsidR="00CE58DE" w:rsidRPr="00D63297" w:rsidRDefault="00CE58DE" w:rsidP="00CE58DE">
      <w:pPr>
        <w:pStyle w:val="SingleTxtG"/>
      </w:pPr>
      <w:r w:rsidRPr="00D63297">
        <w:t>46.</w:t>
      </w:r>
      <w:r w:rsidRPr="00D63297">
        <w:tab/>
        <w:t xml:space="preserve">Рабочая группа приветствовала предложенную кандидатуру г-на Георгиса Кремлиса (Греция), нынешнего Председателя Президиума, ответственного за вопросы Конвенции, на пост председателя общего сегмента сессий Совещаний Сторон и выдвижение кандидатуры Председателя Президиума по вопросам Протокола </w:t>
      </w:r>
      <w:r>
        <w:br/>
      </w:r>
      <w:r w:rsidRPr="00D63297">
        <w:t>г-жи Весны Колар-Планиншич (Словения) на пост сопредседателя, ответственного за вопросы Протокола,</w:t>
      </w:r>
      <w:r>
        <w:t xml:space="preserve"> — на случай необходимости, которая возникнет, </w:t>
      </w:r>
      <w:r w:rsidRPr="00D63297">
        <w:t>если к тому времени Греция все еще не будет являться Стороной Протокола.</w:t>
      </w:r>
    </w:p>
    <w:p w14:paraId="19588BEA" w14:textId="77777777" w:rsidR="00CE58DE" w:rsidRPr="00D63297" w:rsidRDefault="00CE58DE" w:rsidP="00CE58DE">
      <w:pPr>
        <w:pStyle w:val="SingleTxtG"/>
      </w:pPr>
      <w:r w:rsidRPr="00D63297">
        <w:t>47.</w:t>
      </w:r>
      <w:r w:rsidRPr="00D63297">
        <w:tab/>
        <w:t>Рабочая группа отметила, что Испания сняла свою ранее объявленную кандидатуру на пост председателя сегмента высокого уровня в связи с проведением в стране всеобщих выборов. Она предложила изучить возможности выполнения функций председателя на сегменте высокого уровня другим Сторонам.</w:t>
      </w:r>
    </w:p>
    <w:p w14:paraId="74FC57C9" w14:textId="0636B901" w:rsidR="00CE58DE" w:rsidRPr="00D63297" w:rsidRDefault="00CE58DE" w:rsidP="00CE58DE">
      <w:pPr>
        <w:pStyle w:val="H1G"/>
      </w:pPr>
      <w:r>
        <w:tab/>
      </w:r>
      <w:r w:rsidRPr="00D63297">
        <w:t>F.</w:t>
      </w:r>
      <w:r w:rsidRPr="00D63297">
        <w:tab/>
        <w:t xml:space="preserve">Должностные лица на следующий </w:t>
      </w:r>
      <w:r w:rsidRPr="00CE58DE">
        <w:t>межсессионный</w:t>
      </w:r>
      <w:r w:rsidRPr="00D63297">
        <w:t xml:space="preserve"> период</w:t>
      </w:r>
    </w:p>
    <w:p w14:paraId="0FC0BAAD" w14:textId="77777777" w:rsidR="00CE58DE" w:rsidRPr="00D63297" w:rsidRDefault="00CE58DE" w:rsidP="00CE58DE">
      <w:pPr>
        <w:pStyle w:val="SingleTxtG"/>
      </w:pPr>
      <w:r w:rsidRPr="00D63297">
        <w:t>48.</w:t>
      </w:r>
      <w:r w:rsidRPr="00D63297">
        <w:tab/>
        <w:t>Рабочая группа приветствовала назначение кандидатов на выполнение функций должностных лиц, подлежащих избранию Совещаниями Сторон на следующий межсессионный период, которые были выдвинуты Сторонами до настоящего времени (ECE/MP.EIA/WG.2/2023/INF.7), в частности готовность нынешних председателей Президиума и Рабочей группы, если потребуется, продолжать выполнять свои функции. Кроме того, по поводу состава членов Комитета по осуществлению Рабочая группа отметила, что Польша рассматривает возможность выдвижения своей кандидатуры на пост заместителя члена Комитета по вопросам Протокола для возможной замены члена Комитета по вопросам Конвенции, выдвинутого Канадой, но эта информация подлежит подтверждению на более позднем этапе, а также то, что Черногория подтвердит свою кандидатуру в состав Комитета по осуществлению в возможно более короткие сроки</w:t>
      </w:r>
      <w:r w:rsidRPr="00D63297">
        <w:rPr>
          <w:rStyle w:val="aa"/>
        </w:rPr>
        <w:footnoteReference w:id="10"/>
      </w:r>
      <w:r w:rsidRPr="00D63297">
        <w:t>.</w:t>
      </w:r>
    </w:p>
    <w:p w14:paraId="6FC62DAD" w14:textId="284EE09D" w:rsidR="00CE58DE" w:rsidRPr="00D63297" w:rsidRDefault="00CE58DE" w:rsidP="00CE58DE">
      <w:pPr>
        <w:pStyle w:val="SingleTxtG"/>
      </w:pPr>
      <w:r w:rsidRPr="00D63297">
        <w:t>49.</w:t>
      </w:r>
      <w:r w:rsidRPr="00D63297">
        <w:tab/>
        <w:t>Рабочая группа предложила Сторонам представить в секретариат не позднее 15</w:t>
      </w:r>
      <w:r>
        <w:t> </w:t>
      </w:r>
      <w:r w:rsidRPr="00D63297">
        <w:t>октября 2023 года недостающие кандидатуры подлежащих избранию должностных лиц, в том числе одного кандидата в члены Комитета по осуществлению и, если кандидатура Польши не будет подтверждена, одного кандидата в члены Комитета по вопросам Протокола.</w:t>
      </w:r>
    </w:p>
    <w:p w14:paraId="20D333D8" w14:textId="6CF8C377" w:rsidR="00CE58DE" w:rsidRPr="00D63297" w:rsidRDefault="00CE58DE" w:rsidP="00CE58DE">
      <w:pPr>
        <w:pStyle w:val="H1G"/>
      </w:pPr>
      <w:r>
        <w:tab/>
      </w:r>
      <w:r w:rsidRPr="00D63297">
        <w:t>G.</w:t>
      </w:r>
      <w:r w:rsidRPr="00D63297">
        <w:tab/>
        <w:t xml:space="preserve">Предварительное </w:t>
      </w:r>
      <w:r w:rsidRPr="00CE58DE">
        <w:t>расписание</w:t>
      </w:r>
      <w:r w:rsidRPr="00D63297">
        <w:t xml:space="preserve"> совещаний на 2024–2026 годы</w:t>
      </w:r>
    </w:p>
    <w:p w14:paraId="6178B1D2" w14:textId="7B5CBA96" w:rsidR="00CE58DE" w:rsidRPr="00D63297" w:rsidRDefault="00CE58DE" w:rsidP="00CE58DE">
      <w:pPr>
        <w:pStyle w:val="SingleTxtG"/>
      </w:pPr>
      <w:r w:rsidRPr="00D63297">
        <w:t>50.</w:t>
      </w:r>
      <w:r w:rsidRPr="00D63297">
        <w:tab/>
        <w:t>Рабочая группа приняла к сведению ориентировочное расписание совещаний на 2024–2026</w:t>
      </w:r>
      <w:r>
        <w:t xml:space="preserve"> </w:t>
      </w:r>
      <w:r w:rsidRPr="00D63297">
        <w:t>годы, которые будут проводиться при условии наличия ресурсов (ECE/MP.EIA/WG.2/2023/INF.8), и просила секретариат препроводить его Совещаниям Сторон, заключив совещания Рабочей группы и Президиума 2024 года</w:t>
      </w:r>
      <w:r w:rsidRPr="00F26CF4">
        <w:t xml:space="preserve"> </w:t>
      </w:r>
      <w:r w:rsidRPr="00D63297">
        <w:t>в квадратные скобки.</w:t>
      </w:r>
    </w:p>
    <w:p w14:paraId="6E4AA2A6" w14:textId="1C63CF35" w:rsidR="00CE58DE" w:rsidRPr="00D63297" w:rsidRDefault="00CE58DE" w:rsidP="00CE58DE">
      <w:pPr>
        <w:pStyle w:val="HChG"/>
      </w:pPr>
      <w:r>
        <w:tab/>
      </w:r>
      <w:r w:rsidRPr="00D63297">
        <w:t>V.</w:t>
      </w:r>
      <w:r w:rsidRPr="00D63297">
        <w:tab/>
        <w:t>Соблюдение и осуществление</w:t>
      </w:r>
    </w:p>
    <w:p w14:paraId="404EA095" w14:textId="06C12DEC" w:rsidR="00CE58DE" w:rsidRPr="00D63297" w:rsidRDefault="00CE58DE" w:rsidP="00CE58DE">
      <w:pPr>
        <w:pStyle w:val="H1G"/>
      </w:pPr>
      <w:r>
        <w:tab/>
      </w:r>
      <w:r w:rsidRPr="00D63297">
        <w:t>A.</w:t>
      </w:r>
      <w:r w:rsidRPr="00D63297">
        <w:tab/>
      </w:r>
      <w:r w:rsidRPr="00CE58DE">
        <w:t>Рассмотрение</w:t>
      </w:r>
      <w:r w:rsidRPr="00D63297">
        <w:t xml:space="preserve"> соблюдения и соответствующие проекты решений</w:t>
      </w:r>
    </w:p>
    <w:p w14:paraId="23734BB9" w14:textId="304DAB02" w:rsidR="00CE58DE" w:rsidRPr="00D63297" w:rsidRDefault="00CE58DE" w:rsidP="00CE58DE">
      <w:pPr>
        <w:pStyle w:val="SingleTxtG"/>
      </w:pPr>
      <w:r w:rsidRPr="00D63297">
        <w:t>51.</w:t>
      </w:r>
      <w:r w:rsidRPr="00D63297">
        <w:tab/>
        <w:t>Председатель Комитета по осуществлению доложил об основных итогах пятьдесят пятой и пятьдесят шестой сессий Комитета (Женева (в онлайновом формате), 31 января</w:t>
      </w:r>
      <w:r>
        <w:t xml:space="preserve"> — </w:t>
      </w:r>
      <w:r w:rsidRPr="00D63297">
        <w:t>3 февраля, и Женева, 2</w:t>
      </w:r>
      <w:r w:rsidR="00294022">
        <w:t>–</w:t>
      </w:r>
      <w:r w:rsidRPr="00D63297">
        <w:t>5 мая 2023 года соответственно)</w:t>
      </w:r>
      <w:r w:rsidRPr="00D63297">
        <w:rPr>
          <w:vertAlign w:val="superscript"/>
        </w:rPr>
        <w:footnoteReference w:id="11"/>
      </w:r>
      <w:r w:rsidRPr="00D63297">
        <w:t xml:space="preserve"> и</w:t>
      </w:r>
      <w:r>
        <w:t> </w:t>
      </w:r>
      <w:r w:rsidRPr="00D63297">
        <w:t>основных целях пятьдесят седьмой сессии Комитета (Женева, 29 августа</w:t>
      </w:r>
      <w:r>
        <w:t xml:space="preserve"> — </w:t>
      </w:r>
      <w:r w:rsidRPr="00D63297">
        <w:t>1</w:t>
      </w:r>
      <w:r w:rsidR="00294022">
        <w:t> </w:t>
      </w:r>
      <w:r w:rsidRPr="00D63297">
        <w:t xml:space="preserve">сентября 2023 года). Он представил первоначальные проекты решений о соблюдении </w:t>
      </w:r>
      <w:r w:rsidRPr="00D63297">
        <w:lastRenderedPageBreak/>
        <w:t>Конвенции и Протокола (ECE/MP.EIA/WG.2/2023/INF.10) для возможных замечаний делегаций. Он указал на то, что эти проекты решений будут дополнены несколькими остающимися проектами, подлежащими дополнению Комитетом на его пятьдесят седьмой сессии, после получения информации, которая еще не поступила от Сторон. Он также представил для информации и возможных замечаний Рабочей группы первоначальные предложения по внесению изменений в структуру и функции Комитета и его рабочие правила (ECE/MP.EIA/WG.2/2023/INF.10/Add.1). Предложения по поправкам направлены на совершенствование методов работы и практики Комитета в свете накопленного им опыта, в том числе по вопросам конфликта интересов и кворума, прозрачности и эффективности его коммуникации и использования видеоконференций/онлайновых совещаний.</w:t>
      </w:r>
    </w:p>
    <w:p w14:paraId="192CB8A6" w14:textId="77777777" w:rsidR="00CE58DE" w:rsidRPr="00D63297" w:rsidRDefault="00CE58DE" w:rsidP="00CE58DE">
      <w:pPr>
        <w:pStyle w:val="SingleTxtG"/>
      </w:pPr>
      <w:r w:rsidRPr="00D63297">
        <w:t>52.</w:t>
      </w:r>
      <w:r w:rsidRPr="00D63297">
        <w:tab/>
        <w:t xml:space="preserve">Рабочая группа приняла к сведению доклад Председателя Комитета, приветствовав достигнутый прогресс и признав значительным объем рабочей нагрузки на Комитет в преддверии следующих сессий Совещаний Сторон. </w:t>
      </w:r>
    </w:p>
    <w:p w14:paraId="63B473DF" w14:textId="524C9A27" w:rsidR="00CE58DE" w:rsidRPr="00D63297" w:rsidRDefault="00CE58DE" w:rsidP="00CE58DE">
      <w:pPr>
        <w:pStyle w:val="SingleTxtG"/>
      </w:pPr>
      <w:r w:rsidRPr="00D63297">
        <w:t>53.</w:t>
      </w:r>
      <w:r w:rsidRPr="00D63297">
        <w:tab/>
        <w:t>Рабочая группа также приняла к сведению заявления и предложения по пересмотру проектов решений о соблюдении, представленные делегациями Азербайджана, Беларуси, Болгарии, Европейского союза и его государств-членов и Черногории. Она предложила Комитету по осуществлению принять эти предоставленные материалы во внимание как актуальные</w:t>
      </w:r>
      <w:r>
        <w:t xml:space="preserve"> </w:t>
      </w:r>
      <w:r w:rsidRPr="00D63297">
        <w:t>при завершении работы над проектами решений о соблюдении и предложени</w:t>
      </w:r>
      <w:r>
        <w:t>ями</w:t>
      </w:r>
      <w:r w:rsidRPr="00D63297">
        <w:t xml:space="preserve"> о внесении изменений в структуру и функции Комитета и его рабочие правила на его пятьдесят седьмой сессии, прежде чем препровождать их Совещаниям Сторон на их следующих сессиях.</w:t>
      </w:r>
    </w:p>
    <w:p w14:paraId="1CCE1B5D" w14:textId="39989DF2" w:rsidR="00CE58DE" w:rsidRPr="00D63297" w:rsidRDefault="00294022" w:rsidP="00741EA6">
      <w:pPr>
        <w:pStyle w:val="H1G"/>
      </w:pPr>
      <w:r>
        <w:tab/>
      </w:r>
      <w:r w:rsidR="00CE58DE" w:rsidRPr="00D63297">
        <w:t>B.</w:t>
      </w:r>
      <w:r w:rsidR="00CE58DE" w:rsidRPr="00D63297">
        <w:tab/>
        <w:t>Представление отчетности и обзор осуществления</w:t>
      </w:r>
    </w:p>
    <w:p w14:paraId="29FC8119" w14:textId="77777777" w:rsidR="00CE58DE" w:rsidRPr="00D63297" w:rsidRDefault="00CE58DE" w:rsidP="00CE58DE">
      <w:pPr>
        <w:pStyle w:val="SingleTxtG"/>
      </w:pPr>
      <w:r w:rsidRPr="00D63297">
        <w:t>54.</w:t>
      </w:r>
      <w:r w:rsidRPr="00D63297">
        <w:tab/>
        <w:t>Рабочая группа рассмотрела, пересмотрела и согласовала проекты решений IX/5 о представлении отчетности и обзоре осуществления Конвенции (ECE/MP.EIA/WG.2/2023/5) и V/5 о представлении отчетности и обзоре осуществления Протокола (ECE/MP.EIA/WG.2/2023/6), которые будут препровождены Совещаниям Сторон на их следующих сессиях.</w:t>
      </w:r>
    </w:p>
    <w:p w14:paraId="56F16C67" w14:textId="2EF02A0D" w:rsidR="00CE58DE" w:rsidRPr="00D63297" w:rsidRDefault="00CE58DE" w:rsidP="00CE58DE">
      <w:pPr>
        <w:pStyle w:val="SingleTxtG"/>
      </w:pPr>
      <w:r w:rsidRPr="00D63297">
        <w:t>55.</w:t>
      </w:r>
      <w:r w:rsidRPr="00D63297">
        <w:tab/>
        <w:t>Рабочая группа напомнила, что на своем предыдущем совещании в декабре 2022 года она согласовала проект седьмого обзора осуществления Конвенции (ECE/MP.EIA/WG.2/2022/3) и проект четвертого обзора осуществления Протокола (ECE/MP.EIA/WG.2/2022/4)</w:t>
      </w:r>
      <w:r w:rsidRPr="00D63297">
        <w:rPr>
          <w:rStyle w:val="aa"/>
        </w:rPr>
        <w:footnoteReference w:id="12"/>
      </w:r>
      <w:r w:rsidRPr="00D63297">
        <w:t xml:space="preserve">. Ею были рассмотрены дополнительные предложения по поправкам процедурного характера, которые Европейский союз и его государства-члены представили после этого совещания к разделу II </w:t>
      </w:r>
      <w:r>
        <w:t>«</w:t>
      </w:r>
      <w:r w:rsidRPr="00D63297">
        <w:t>Методология</w:t>
      </w:r>
      <w:r>
        <w:t>»</w:t>
      </w:r>
      <w:r w:rsidRPr="00D63297">
        <w:t xml:space="preserve"> проекта седьмого обзора осуществления Конвенции и разделу I </w:t>
      </w:r>
      <w:r>
        <w:t>«</w:t>
      </w:r>
      <w:r w:rsidRPr="00D63297">
        <w:t>Методология</w:t>
      </w:r>
      <w:r>
        <w:t>»</w:t>
      </w:r>
      <w:r w:rsidRPr="00D63297">
        <w:t xml:space="preserve"> проекта четвертого обзора осуществления Протокола. На своем совещании в Женеве </w:t>
      </w:r>
      <w:r w:rsidR="00294022">
        <w:br/>
      </w:r>
      <w:r w:rsidRPr="00D63297">
        <w:t>22–23 февраля 2023 года Президиум счел эти предложения приемлемыми с тем условием, что с ними согласится Рабочая группа. Рабочая группа согласилась с дополнительными предложениями по поправкам и предложила секретариату учесть их в доработанных проектах обзоров осуществления, которые будут препровождены Совещаниям Сторон на их следующих сессиях.</w:t>
      </w:r>
    </w:p>
    <w:p w14:paraId="06D8A0D6" w14:textId="77777777" w:rsidR="00CE58DE" w:rsidRPr="00D63297" w:rsidRDefault="00CE58DE" w:rsidP="00CE58DE">
      <w:pPr>
        <w:pStyle w:val="SingleTxtG"/>
      </w:pPr>
      <w:r w:rsidRPr="00D63297">
        <w:t>56.</w:t>
      </w:r>
      <w:r w:rsidRPr="00D63297">
        <w:tab/>
        <w:t>Затем Рабочая группа рассмотрела типовые формы, доработанные Комитетом по осуществлению в консультации с Европейской комиссией для облегчения отчетности Европейского союза по Конвенции и Протоколу, и просила секретариат представить их Совещаниям Сторон для принятия к сведению на их следующих сессиях.</w:t>
      </w:r>
    </w:p>
    <w:p w14:paraId="3F9ED70F" w14:textId="508D29FF" w:rsidR="00CE58DE" w:rsidRPr="00D63297" w:rsidRDefault="00294022" w:rsidP="00294022">
      <w:pPr>
        <w:pStyle w:val="H1G"/>
      </w:pPr>
      <w:r>
        <w:lastRenderedPageBreak/>
        <w:tab/>
      </w:r>
      <w:r w:rsidR="00CE58DE" w:rsidRPr="00D63297">
        <w:t>C.</w:t>
      </w:r>
      <w:r w:rsidR="00CE58DE" w:rsidRPr="00D63297">
        <w:tab/>
      </w:r>
      <w:r w:rsidR="00CE58DE" w:rsidRPr="00294022">
        <w:t>Помощь</w:t>
      </w:r>
      <w:r w:rsidR="00CE58DE" w:rsidRPr="00D63297">
        <w:t xml:space="preserve"> в законодательной области в целях поддержки осуществления и ратификации</w:t>
      </w:r>
    </w:p>
    <w:p w14:paraId="4BAD1F75" w14:textId="77777777" w:rsidR="00CE58DE" w:rsidRPr="00D63297" w:rsidRDefault="00CE58DE" w:rsidP="00CE58DE">
      <w:pPr>
        <w:pStyle w:val="SingleTxtG"/>
      </w:pPr>
      <w:r w:rsidRPr="00D63297">
        <w:t>57.</w:t>
      </w:r>
      <w:r w:rsidRPr="00D63297">
        <w:tab/>
        <w:t>Рабочая группа рассмотрела прогресс в оказании помощи в законодательной области, предусмотренной в плане работы на 2021–2023 годы, с целью содействия осуществлению двух договоров или присоединению к ним</w:t>
      </w:r>
      <w:r w:rsidRPr="00D63297">
        <w:rPr>
          <w:rStyle w:val="aa"/>
        </w:rPr>
        <w:footnoteReference w:id="13"/>
      </w:r>
      <w:r w:rsidRPr="00D63297">
        <w:t>.</w:t>
      </w:r>
    </w:p>
    <w:p w14:paraId="4B9CB082" w14:textId="69072023" w:rsidR="00CE58DE" w:rsidRPr="00D63297" w:rsidRDefault="00CE58DE" w:rsidP="00CE58DE">
      <w:pPr>
        <w:pStyle w:val="SingleTxtG"/>
      </w:pPr>
      <w:r w:rsidRPr="00D63297">
        <w:t>58.</w:t>
      </w:r>
      <w:r w:rsidRPr="00D63297">
        <w:tab/>
        <w:t xml:space="preserve">Делегации Азербайджана, Республики Молдова и Узбекистана сообщили о прогрессе в разработке соответствующего требованиям законодательства </w:t>
      </w:r>
      <w:r>
        <w:t>по</w:t>
      </w:r>
      <w:r w:rsidRPr="00D63297">
        <w:t xml:space="preserve"> осуществлени</w:t>
      </w:r>
      <w:r>
        <w:t>ю</w:t>
      </w:r>
      <w:r w:rsidRPr="00D63297">
        <w:t xml:space="preserve"> Конвенции и Протокола, а также</w:t>
      </w:r>
      <w:r>
        <w:t xml:space="preserve"> — </w:t>
      </w:r>
      <w:r w:rsidRPr="00D63297">
        <w:t xml:space="preserve">в соответствующих случаях </w:t>
      </w:r>
      <w:r w:rsidR="00294022">
        <w:t>—</w:t>
      </w:r>
      <w:r>
        <w:t xml:space="preserve"> о</w:t>
      </w:r>
      <w:r w:rsidR="00294022">
        <w:t> </w:t>
      </w:r>
      <w:r>
        <w:t>прогрессе</w:t>
      </w:r>
      <w:r w:rsidRPr="00D63297">
        <w:t xml:space="preserve"> в деле ратификации договоров или присоединения к ним в соответствии с полученными техническими рекомендациями</w:t>
      </w:r>
      <w:r w:rsidR="00842F86">
        <w:t>.</w:t>
      </w:r>
      <w:r w:rsidRPr="00D63297">
        <w:t xml:space="preserve"> </w:t>
      </w:r>
    </w:p>
    <w:p w14:paraId="552C3F5F" w14:textId="77777777" w:rsidR="00CE58DE" w:rsidRPr="00D63297" w:rsidRDefault="00CE58DE" w:rsidP="00CE58DE">
      <w:pPr>
        <w:pStyle w:val="SingleTxtG"/>
        <w:rPr>
          <w:rFonts w:asciiTheme="majorBidi" w:hAnsiTheme="majorBidi" w:cstheme="majorBidi"/>
        </w:rPr>
      </w:pPr>
      <w:r w:rsidRPr="00D63297">
        <w:t>59.</w:t>
      </w:r>
      <w:r w:rsidRPr="00D63297">
        <w:tab/>
        <w:t xml:space="preserve">Секретариат кратко охарактеризовал график оказания помощи в разработке вторичного имплементирующего законодательства в Республике Молдова. Рабочая группа приняла к сведению доклады о ходе работы и приветствовала дальнейшие усилия Республики Молдова по разработке вторичного имплементирующего законодательства, в особенности законодательства, касающегося тех или иных аспектов контроля качества. </w:t>
      </w:r>
    </w:p>
    <w:p w14:paraId="1D87F8AE" w14:textId="51D959F7" w:rsidR="00CE58DE" w:rsidRPr="00D63297" w:rsidRDefault="00CE58DE" w:rsidP="00CE58DE">
      <w:pPr>
        <w:pStyle w:val="SingleTxtG"/>
      </w:pPr>
      <w:r w:rsidRPr="00D63297">
        <w:t>60.</w:t>
      </w:r>
      <w:r w:rsidRPr="00D63297">
        <w:tab/>
        <w:t xml:space="preserve">Рабочая группа выразила признательность Европейскому союзу за финансирование программы </w:t>
      </w:r>
      <w:r>
        <w:t>«</w:t>
      </w:r>
      <w:r w:rsidRPr="00D63297">
        <w:t>EU4Environment</w:t>
      </w:r>
      <w:r>
        <w:t>»</w:t>
      </w:r>
      <w:r w:rsidRPr="00D63297">
        <w:t xml:space="preserve"> (</w:t>
      </w:r>
      <w:r>
        <w:t>«</w:t>
      </w:r>
      <w:r w:rsidRPr="00D63297">
        <w:t>ЕС за окружающую среду</w:t>
      </w:r>
      <w:r>
        <w:t>»</w:t>
      </w:r>
      <w:r w:rsidRPr="00D63297">
        <w:t>) (2019</w:t>
      </w:r>
      <w:r w:rsidR="00294022">
        <w:t> </w:t>
      </w:r>
      <w:r>
        <w:t xml:space="preserve">— </w:t>
      </w:r>
      <w:r w:rsidRPr="00D63297">
        <w:t>конец марта 2024 года). Она предложила Сторонам и будущим Сторонам, которые воспользовались помощью в законодательной области, приступить к завершению своих правовых реформ в соответствии с Конвенцией и Протоколом.</w:t>
      </w:r>
    </w:p>
    <w:p w14:paraId="045BE489" w14:textId="1E3C7B36" w:rsidR="00CE58DE" w:rsidRPr="00D63297" w:rsidRDefault="00294022" w:rsidP="00294022">
      <w:pPr>
        <w:pStyle w:val="HChG"/>
      </w:pPr>
      <w:r>
        <w:tab/>
      </w:r>
      <w:r w:rsidR="00CE58DE" w:rsidRPr="00D63297">
        <w:t>VI.</w:t>
      </w:r>
      <w:r w:rsidR="00CE58DE" w:rsidRPr="00D63297">
        <w:tab/>
        <w:t>Содействие практическому применению Конвенции и</w:t>
      </w:r>
      <w:r>
        <w:t> </w:t>
      </w:r>
      <w:r w:rsidR="00CE58DE" w:rsidRPr="00D63297">
        <w:t>Протокола</w:t>
      </w:r>
    </w:p>
    <w:p w14:paraId="545B0D85" w14:textId="6424964C" w:rsidR="00CE58DE" w:rsidRPr="00D63297" w:rsidRDefault="00294022" w:rsidP="00294022">
      <w:pPr>
        <w:pStyle w:val="H1G"/>
      </w:pPr>
      <w:r>
        <w:tab/>
      </w:r>
      <w:r w:rsidR="00CE58DE" w:rsidRPr="00D63297">
        <w:t>A.</w:t>
      </w:r>
      <w:r w:rsidR="00CE58DE" w:rsidRPr="00D63297">
        <w:tab/>
        <w:t xml:space="preserve">Проект руководства по оценке воздействия на </w:t>
      </w:r>
      <w:r w:rsidR="00CE58DE" w:rsidRPr="00294022">
        <w:t>здоровье</w:t>
      </w:r>
      <w:r w:rsidR="00CE58DE" w:rsidRPr="00D63297">
        <w:t xml:space="preserve"> при</w:t>
      </w:r>
      <w:r>
        <w:t> </w:t>
      </w:r>
      <w:r w:rsidR="00CE58DE" w:rsidRPr="00D63297">
        <w:t xml:space="preserve">проведении стратегической экологической оценки </w:t>
      </w:r>
      <w:bookmarkStart w:id="7" w:name="_Hlk90050461"/>
    </w:p>
    <w:p w14:paraId="44229888" w14:textId="77777777" w:rsidR="00CE58DE" w:rsidRPr="00D63297" w:rsidRDefault="00CE58DE" w:rsidP="00CE58DE">
      <w:pPr>
        <w:pStyle w:val="SingleTxtG"/>
      </w:pPr>
      <w:r w:rsidRPr="00D63297">
        <w:t>61.</w:t>
      </w:r>
      <w:r w:rsidRPr="00D63297">
        <w:tab/>
        <w:t>Рабочая группа согласилась с важностью оценки воздействия на здоровье и привлечения органов здравоохранения к стратегической экологической оценке согласно требованиям Протокола.</w:t>
      </w:r>
    </w:p>
    <w:p w14:paraId="7E4284DA" w14:textId="17170EC4" w:rsidR="00CE58DE" w:rsidRPr="00D63297" w:rsidRDefault="00CE58DE" w:rsidP="00CE58DE">
      <w:pPr>
        <w:pStyle w:val="SingleTxtG"/>
      </w:pPr>
      <w:r w:rsidRPr="00D63297">
        <w:t>62.</w:t>
      </w:r>
      <w:r w:rsidRPr="00D63297">
        <w:tab/>
        <w:t>Секретариат напомнил, что разработка руководства по оценке воздействия на здоровье при проведении стратегической экологической оценки была предусмотрена в плане работы по договорам на 2017–2020</w:t>
      </w:r>
      <w:r>
        <w:t xml:space="preserve"> </w:t>
      </w:r>
      <w:r w:rsidRPr="00D63297">
        <w:t>годы, так как страны Восточной Европы, Кавказа и Центральной Азии определили этот вопрос в качестве общерегионального приоритета на региональном рабочем совещании в 2015 году</w:t>
      </w:r>
      <w:r w:rsidRPr="00D63297">
        <w:rPr>
          <w:rStyle w:val="aa"/>
        </w:rPr>
        <w:footnoteReference w:id="14"/>
      </w:r>
      <w:r w:rsidRPr="00D63297">
        <w:t xml:space="preserve">. Председатель напомнила Рабочей группе, что для выполнения этого мандата в период </w:t>
      </w:r>
      <w:r w:rsidR="00294022">
        <w:br/>
      </w:r>
      <w:r w:rsidRPr="00D63297">
        <w:t>2018</w:t>
      </w:r>
      <w:r w:rsidR="00294022">
        <w:t>–</w:t>
      </w:r>
      <w:r w:rsidRPr="00D63297">
        <w:t>2020</w:t>
      </w:r>
      <w:r w:rsidR="00294022">
        <w:t> </w:t>
      </w:r>
      <w:r w:rsidRPr="00D63297">
        <w:t>годов при поддержке консультантов, финансируемых Европейским инвестиционным банком, и в консультации с ВОЗ и целевой группой в составе представителей Австрии, Ирландии, Словении и Финляндии был подготовлен проект руководства, однако Рабочая группа не передала проект документа на рассмотрение Совещания Сторон, исходя из мнения делегации Европейского союза о необходимости его дальнейшего пересмотра</w:t>
      </w:r>
      <w:r w:rsidRPr="00D63297">
        <w:rPr>
          <w:rStyle w:val="aa"/>
        </w:rPr>
        <w:footnoteReference w:id="15"/>
      </w:r>
      <w:r w:rsidRPr="00D63297">
        <w:t>. На своей четвертой сессии (Вильнюс (в онлайновом формате), 8</w:t>
      </w:r>
      <w:r w:rsidR="00294022">
        <w:t>–</w:t>
      </w:r>
      <w:r w:rsidRPr="00D63297">
        <w:t xml:space="preserve">11 декабря 2020 года) Совещания Сторон заявили, что они </w:t>
      </w:r>
      <w:r>
        <w:t>«</w:t>
      </w:r>
      <w:r w:rsidRPr="00D63297">
        <w:t xml:space="preserve">обязуются </w:t>
      </w:r>
      <w:r w:rsidRPr="00D63297">
        <w:lastRenderedPageBreak/>
        <w:t>завершить эту работу в следующий межсессионный период, при условии наличия ресурсов, до официального принятия руководящего документа на следующей сессии Совещания Сторон Протокола</w:t>
      </w:r>
      <w:r>
        <w:t>»</w:t>
      </w:r>
      <w:r w:rsidRPr="00D63297">
        <w:rPr>
          <w:rStyle w:val="aa"/>
        </w:rPr>
        <w:footnoteReference w:id="16"/>
      </w:r>
      <w:r w:rsidRPr="00D63297">
        <w:t>, и предложили Сторонам с этой целью внести свой вклад в натуральной форме в виде экспертных знаний</w:t>
      </w:r>
      <w:r w:rsidRPr="00D63297">
        <w:rPr>
          <w:rStyle w:val="aa"/>
        </w:rPr>
        <w:footnoteReference w:id="17"/>
      </w:r>
      <w:r w:rsidRPr="00D63297">
        <w:t xml:space="preserve">. </w:t>
      </w:r>
    </w:p>
    <w:p w14:paraId="58EF8B2A" w14:textId="5168BCF9" w:rsidR="00CE58DE" w:rsidRPr="00D63297" w:rsidRDefault="00CE58DE" w:rsidP="00CE58DE">
      <w:pPr>
        <w:pStyle w:val="SingleTxtG"/>
      </w:pPr>
      <w:r w:rsidRPr="00D63297">
        <w:t>63.</w:t>
      </w:r>
      <w:r w:rsidRPr="00D63297">
        <w:tab/>
        <w:t xml:space="preserve">Рабочая группа рассмотрела текст проекта руководства в том виде, какой он имел после того, как был в последний раз пересмотрен Европейским союзом </w:t>
      </w:r>
      <w:r w:rsidR="00842F86">
        <w:br/>
      </w:r>
      <w:r w:rsidRPr="00D63297">
        <w:t>и его государствами-членами и впоследствии согласован Президиумом (ECE/MP.EIA/WG.2/2023/8). Она признала значительные усилия, которые предпринимались для завершения работы над руководством в течение более чем четырех лет, и выразила благодарность делегациям и председателям и членам Президиума, которые внесли свой вклад в достижение этой цели.</w:t>
      </w:r>
      <w:bookmarkStart w:id="8" w:name="_Hlk139527932"/>
      <w:bookmarkEnd w:id="8"/>
    </w:p>
    <w:p w14:paraId="78BAC0B7" w14:textId="56431A34" w:rsidR="00CE58DE" w:rsidRPr="00D63297" w:rsidRDefault="00CE58DE" w:rsidP="00CE58DE">
      <w:pPr>
        <w:pStyle w:val="SingleTxtG"/>
      </w:pPr>
      <w:r w:rsidRPr="00D63297">
        <w:t>64.</w:t>
      </w:r>
      <w:r w:rsidRPr="00D63297">
        <w:tab/>
        <w:t>Европейский союз и его государства-члены заявили, что основная цель предложенных ими улучшений к проекту</w:t>
      </w:r>
      <w:r>
        <w:t xml:space="preserve"> </w:t>
      </w:r>
      <w:r w:rsidRPr="00D63297">
        <w:t>заключалась в обеспечении того, чтобы документ не выходил за рамки положений Протокола, но что, по их мнению, даже с учетом этих дополнительных изменений он все равно является слишком общим. Признавая важность по возможности широкого использования этого документа, Европейский союз и его государства-члены предложили опубликовать нынешний вариант документа на вебсайте ЕЭК в качестве документа для информационных целей без его официального одобрения Совещанием Сторон Протокола на его предстоящей сессии.</w:t>
      </w:r>
    </w:p>
    <w:p w14:paraId="2F80335A" w14:textId="77777777" w:rsidR="00CE58DE" w:rsidRPr="00D63297" w:rsidRDefault="00CE58DE" w:rsidP="00CE58DE">
      <w:pPr>
        <w:pStyle w:val="SingleTxtG"/>
      </w:pPr>
      <w:r w:rsidRPr="00D63297">
        <w:t>65.</w:t>
      </w:r>
      <w:r w:rsidRPr="00D63297">
        <w:tab/>
        <w:t>Рабочая группа выразила сожаление по поводу того, что, хотя все замечания Европейского союза и его государств-членов в нынешнем варианте проекта документа были учтены, идея одобрения руководства Совещанием Сторон Протокола на его предстоящей сессии по-прежнему вызывает возражения. В своих выступлениях представитель ВОЗ и секретариат выразили сожаление по поводу предложения отказаться от одобрения документа, а также в связи с отсутствием иных объяснений причин такого отказа, помимо общего характера документа. Было высказано мнение о том, что дополнительные разъяснения на этот счет будут полезны для любой страны, желающей сослаться на этот документ в период разработки своего законодательства и развития практики по оценке воздействия на здоровье при проведении стратегической экологической оценки.</w:t>
      </w:r>
      <w:bookmarkStart w:id="9" w:name="_Hlk138320804"/>
      <w:bookmarkEnd w:id="9"/>
    </w:p>
    <w:p w14:paraId="643EDBBC" w14:textId="3A2689A1" w:rsidR="00CE58DE" w:rsidRPr="00D63297" w:rsidRDefault="00CE58DE" w:rsidP="00CE58DE">
      <w:pPr>
        <w:pStyle w:val="SingleTxtG"/>
      </w:pPr>
      <w:r w:rsidRPr="00D63297">
        <w:t>66.</w:t>
      </w:r>
      <w:r w:rsidRPr="00D63297">
        <w:tab/>
        <w:t xml:space="preserve">В заключение Рабочая группа согласилась с тем, что </w:t>
      </w:r>
      <w:r>
        <w:t>«</w:t>
      </w:r>
      <w:r w:rsidRPr="00D63297">
        <w:t>документ для целей информирования о здоровье при проведении стратегической экологической оценки</w:t>
      </w:r>
      <w:r>
        <w:t>»</w:t>
      </w:r>
      <w:r w:rsidRPr="00D63297">
        <w:t xml:space="preserve"> должен быть препровожден Совещанию Сторон Протокола на его следующей </w:t>
      </w:r>
      <w:r w:rsidR="00842F86">
        <w:br/>
      </w:r>
      <w:r w:rsidRPr="00D63297">
        <w:t xml:space="preserve">сессии в декабре 2023 года. Она приняла предложенные в ходе совещания Европейским союзом и его государствами-членами корректировки к документу ECE/MP.EIA/WG.2/2023/8, которые заключались в изменении его названия и исключении из основного текста всех упоминаний слова </w:t>
      </w:r>
      <w:r>
        <w:t>«</w:t>
      </w:r>
      <w:r w:rsidRPr="00D63297">
        <w:t>руководство</w:t>
      </w:r>
      <w:r>
        <w:t>»</w:t>
      </w:r>
      <w:r w:rsidRPr="00D63297">
        <w:t>.</w:t>
      </w:r>
    </w:p>
    <w:p w14:paraId="5A80A58B" w14:textId="77777777" w:rsidR="00CE58DE" w:rsidRPr="00D63297" w:rsidRDefault="00CE58DE" w:rsidP="00CE58DE">
      <w:pPr>
        <w:pStyle w:val="SingleTxtG"/>
      </w:pPr>
      <w:r w:rsidRPr="00D63297">
        <w:t>67.</w:t>
      </w:r>
      <w:r w:rsidRPr="00D63297">
        <w:tab/>
        <w:t>Наконец, Рабочая группа рассмотрела и согласовала текст проекта решения V/6 об оценке воздействия на здоровье при проведении стратегической экологической оценки (ECE/MP.EIA/WG.2/2023/6) в пересмотренном виде и просила секретариат препроводить его Совещанию Сторон Протокола.</w:t>
      </w:r>
    </w:p>
    <w:p w14:paraId="145BB511" w14:textId="266B5ACC" w:rsidR="00CE58DE" w:rsidRPr="00D63297" w:rsidRDefault="00294022" w:rsidP="00294022">
      <w:pPr>
        <w:pStyle w:val="H1G"/>
      </w:pPr>
      <w:r>
        <w:tab/>
      </w:r>
      <w:r w:rsidR="00CE58DE" w:rsidRPr="00D63297">
        <w:t>B.</w:t>
      </w:r>
      <w:r w:rsidR="00CE58DE" w:rsidRPr="00D63297">
        <w:tab/>
      </w:r>
      <w:r w:rsidR="00CE58DE" w:rsidRPr="00D63297">
        <w:tab/>
        <w:t xml:space="preserve">Субрегиональное </w:t>
      </w:r>
      <w:r w:rsidR="00CE58DE" w:rsidRPr="00294022">
        <w:t>сотрудничество</w:t>
      </w:r>
      <w:r w:rsidR="00CE58DE" w:rsidRPr="00D63297">
        <w:t xml:space="preserve"> и укрепление потенциала</w:t>
      </w:r>
    </w:p>
    <w:p w14:paraId="1D3E1269" w14:textId="77777777" w:rsidR="00CE58DE" w:rsidRPr="00D63297" w:rsidRDefault="00CE58DE" w:rsidP="00CE58DE">
      <w:pPr>
        <w:pStyle w:val="SingleTxtG"/>
      </w:pPr>
      <w:r w:rsidRPr="00D63297">
        <w:t>68.</w:t>
      </w:r>
      <w:r w:rsidRPr="00D63297">
        <w:tab/>
        <w:t>Рабочая группа рассмотрела прогресс в области осуществления субрегионального сотрудничества и деятельности по наращиванию потенциала, предусмотренной в текущем плане работы.</w:t>
      </w:r>
    </w:p>
    <w:p w14:paraId="715519B0" w14:textId="77777777" w:rsidR="00CE58DE" w:rsidRPr="00D63297" w:rsidRDefault="00CE58DE" w:rsidP="00CE58DE">
      <w:pPr>
        <w:pStyle w:val="SingleTxtG"/>
      </w:pPr>
      <w:r w:rsidRPr="00D63297">
        <w:t>69.</w:t>
      </w:r>
      <w:r w:rsidRPr="00D63297">
        <w:tab/>
        <w:t>Рабочая группа приветствовала результаты финансируемой Италией работы по выявлению синергии и</w:t>
      </w:r>
      <w:r>
        <w:t xml:space="preserve"> определению </w:t>
      </w:r>
      <w:r w:rsidRPr="00D63297">
        <w:t xml:space="preserve">возможной будущей деятельности по сотрудничеству в морских районах с охватом шести региональных морских конвенций </w:t>
      </w:r>
      <w:r w:rsidRPr="00D63297">
        <w:lastRenderedPageBreak/>
        <w:t>или комиссий, которую поддерживают секретариат и консультанты. Она рассмотрела документ ECE/MP.EIA/WG.2/2023/9, в котором была представлена информация о выявленных синергетических связях, в частности об обязательствах и практике по соответствующим региональным морским конвенциям, связанным с оценкой воздействия на окружающую среду и стратегической экологической оценкой, а также выдвинуты предложения по</w:t>
      </w:r>
      <w:r>
        <w:t xml:space="preserve"> </w:t>
      </w:r>
      <w:r w:rsidRPr="00D63297">
        <w:t>деятельности, которая могла бы быть включена в планы работы начиная со следующего периода 2024-2026 годов. Представителем Программы развития Организации Объединенных Наций (и бывшим консультантом секретариата по данному направлению деятельности) были представлены предложения по приоритетным направлениям будущих действий.</w:t>
      </w:r>
    </w:p>
    <w:p w14:paraId="68C76314" w14:textId="076201C9" w:rsidR="00CE58DE" w:rsidRPr="00D63297" w:rsidRDefault="00CE58DE" w:rsidP="00CE58DE">
      <w:pPr>
        <w:pStyle w:val="SingleTxtG"/>
      </w:pPr>
      <w:r w:rsidRPr="00D63297">
        <w:t>70.</w:t>
      </w:r>
      <w:r w:rsidRPr="00D63297">
        <w:tab/>
        <w:t xml:space="preserve">Рабочая группа согласовала доклад и предложенную в нем деятельность по сотрудничеству в морских районах. Она предложила делегациям на добровольной основе внести свой вклад в осуществление предложенных видов деятельности и/или предложить другие виды деятельности, проинформировав секретариат до начала следующих сессий Совещаний Сторон. Ею были согласованы отдельные приоритетные виды деятельности, предложенные для проекта плана работы на </w:t>
      </w:r>
      <w:r w:rsidR="00294022">
        <w:br/>
      </w:r>
      <w:r w:rsidRPr="00D63297">
        <w:t>2024</w:t>
      </w:r>
      <w:r w:rsidR="00294022">
        <w:t>–</w:t>
      </w:r>
      <w:r w:rsidRPr="00D63297">
        <w:t xml:space="preserve">2026 годы (см. подраздел IV.C. выше и ECE/MP.EIA/WG.2/2023/3, </w:t>
      </w:r>
      <w:r w:rsidR="00294022">
        <w:br/>
      </w:r>
      <w:r w:rsidRPr="00D63297">
        <w:t>решение IX/2</w:t>
      </w:r>
      <w:r w:rsidR="00294022">
        <w:t>–</w:t>
      </w:r>
      <w:r w:rsidRPr="00D63297">
        <w:t>V/2, приложение I, пункт III.A), включая проведение неофициальных субрегиональных совещаний по вопросам сотрудничества по Конвенции и Протоколу в морских районах для обмена информацией о планируемом или текущем применении договоров и обсуждения любых актуальных вопросов, имеющих важное значение для морской среды и соответствующих прибрежных районов. Она приняла к сведению нижеследующие предложения делегаций по проведению, спонсорской поддержке и организации таких неофициальных совещаний:</w:t>
      </w:r>
    </w:p>
    <w:p w14:paraId="4430F711" w14:textId="36E16F8B" w:rsidR="00CE58DE" w:rsidRPr="00D63297" w:rsidRDefault="00294022" w:rsidP="00CE58DE">
      <w:pPr>
        <w:pStyle w:val="SingleTxtG"/>
      </w:pPr>
      <w:r>
        <w:tab/>
      </w:r>
      <w:r w:rsidR="00CE58DE" w:rsidRPr="00D63297">
        <w:t>a)</w:t>
      </w:r>
      <w:r w:rsidR="00CE58DE" w:rsidRPr="00D63297">
        <w:tab/>
        <w:t>о проведении совещания в субрегионе Балтийского моря Латвией в 2024</w:t>
      </w:r>
      <w:r>
        <w:t> </w:t>
      </w:r>
      <w:r w:rsidR="00CE58DE" w:rsidRPr="00D63297">
        <w:t>году (подлежит подтверждению), Польшей в сотрудничестве с Германией в мае/июне 2025 года</w:t>
      </w:r>
      <w:r w:rsidR="00CE58DE">
        <w:t xml:space="preserve"> — </w:t>
      </w:r>
      <w:r w:rsidR="00CE58DE" w:rsidRPr="00D63297">
        <w:t>с направлением приглашений также представителям органов, занимающихся другими региональными морями (подлежит подтверждению), а Литвой</w:t>
      </w:r>
      <w:r w:rsidR="00CE58DE">
        <w:t xml:space="preserve"> — </w:t>
      </w:r>
      <w:r w:rsidR="00CE58DE" w:rsidRPr="00D63297">
        <w:t xml:space="preserve">в 2026 году (подлежит подтверждению); </w:t>
      </w:r>
    </w:p>
    <w:p w14:paraId="25832A3C" w14:textId="50EF63D1" w:rsidR="00CE58DE" w:rsidRPr="00D63297" w:rsidRDefault="00294022" w:rsidP="00CE58DE">
      <w:pPr>
        <w:pStyle w:val="SingleTxtG"/>
      </w:pPr>
      <w:r>
        <w:tab/>
      </w:r>
      <w:r w:rsidR="00CE58DE" w:rsidRPr="00D63297">
        <w:t>b)</w:t>
      </w:r>
      <w:r w:rsidR="00CE58DE" w:rsidRPr="00D63297">
        <w:tab/>
        <w:t>о проведении совещания в средиземноморском регионе. Первое неофициальное совещание в этом регионе обязалась организовать Италия (Рим, второй квартал 2024 года), которая также направит приглашения координационным центрам</w:t>
      </w:r>
      <w:r w:rsidR="00CE58DE">
        <w:t xml:space="preserve"> </w:t>
      </w:r>
      <w:r w:rsidR="00CE58DE" w:rsidRPr="00D63297">
        <w:t>все</w:t>
      </w:r>
      <w:r w:rsidR="00CE58DE">
        <w:t>х</w:t>
      </w:r>
      <w:r w:rsidR="00CE58DE" w:rsidRPr="00D63297">
        <w:t xml:space="preserve"> региональны</w:t>
      </w:r>
      <w:r w:rsidR="00CE58DE">
        <w:t>х</w:t>
      </w:r>
      <w:r w:rsidR="00CE58DE" w:rsidRPr="00D63297">
        <w:t xml:space="preserve"> морски</w:t>
      </w:r>
      <w:r w:rsidR="00CE58DE">
        <w:t>х</w:t>
      </w:r>
      <w:r w:rsidR="00CE58DE" w:rsidRPr="00D63297">
        <w:t xml:space="preserve"> конвенци</w:t>
      </w:r>
      <w:r w:rsidR="00CE58DE">
        <w:t>й</w:t>
      </w:r>
      <w:r w:rsidR="00CE58DE" w:rsidRPr="00D63297">
        <w:t xml:space="preserve"> и участникам из Северной Африки, а второе </w:t>
      </w:r>
      <w:r w:rsidR="00842F86">
        <w:t>—</w:t>
      </w:r>
      <w:r w:rsidR="00CE58DE" w:rsidRPr="00D63297">
        <w:t xml:space="preserve"> Словения (Порторож, Словения, сентябрь 2025 года). В отношении 2026</w:t>
      </w:r>
      <w:r w:rsidR="00842F86">
        <w:t> </w:t>
      </w:r>
      <w:r w:rsidR="00CE58DE" w:rsidRPr="00D63297">
        <w:t>года заинтересованность в проведении совещания, с условием подтверждения, выразила сначала Греция, а затем Франция.</w:t>
      </w:r>
    </w:p>
    <w:p w14:paraId="33F7F838" w14:textId="0381231C" w:rsidR="00CE58DE" w:rsidRPr="00D63297" w:rsidRDefault="00CE58DE" w:rsidP="00CE58DE">
      <w:pPr>
        <w:pStyle w:val="SingleTxtG"/>
      </w:pPr>
      <w:r w:rsidRPr="00D63297">
        <w:t>71.</w:t>
      </w:r>
      <w:r w:rsidRPr="00D63297">
        <w:tab/>
        <w:t>Секретариат подвел итоги организованного им третьего и последнего совместного технического совещания по синергии и возможной деятельности по сотрудничеству в морских районах (Женева (в онлайновом формате), 16 мая 2023</w:t>
      </w:r>
      <w:r w:rsidR="00294022">
        <w:t> </w:t>
      </w:r>
      <w:r w:rsidRPr="00D63297">
        <w:t>года), на которое собрались</w:t>
      </w:r>
      <w:r>
        <w:t xml:space="preserve"> </w:t>
      </w:r>
      <w:r w:rsidRPr="00D63297">
        <w:t>представители органов конвенций и комиссий по региональным морям и заинтересованных координационных центров по Конвенции Эспо и Протоколу. Для получения дополнительной информации делегациям было предложено ознакомиться с докладом о работе совещания и другой информацией, представленной на третьем совместном техническом совещании, в частности с исследованиями примеров надлежащей практики применения Эстонией Конвенции в отношении морского ветропарка у берегов Сааремаа и применения Италией Протокола к своим морским пространственным планам</w:t>
      </w:r>
      <w:r w:rsidRPr="00D63297">
        <w:rPr>
          <w:rStyle w:val="aa"/>
        </w:rPr>
        <w:footnoteReference w:id="18"/>
      </w:r>
      <w:r w:rsidRPr="00D63297">
        <w:t>.</w:t>
      </w:r>
    </w:p>
    <w:p w14:paraId="4AFA4D91" w14:textId="5CA31684" w:rsidR="00CE58DE" w:rsidRPr="00D63297" w:rsidRDefault="00CE58DE" w:rsidP="00CE58DE">
      <w:pPr>
        <w:pStyle w:val="SingleTxtG"/>
      </w:pPr>
      <w:r w:rsidRPr="00D63297">
        <w:t>72.</w:t>
      </w:r>
      <w:r w:rsidRPr="00D63297">
        <w:tab/>
        <w:t xml:space="preserve">Рабочая группа приняла к сведению итоги совместного технического совещания. Она приветствовала информацию о </w:t>
      </w:r>
      <w:r w:rsidR="00294022" w:rsidRPr="00D63297">
        <w:t>надлежащей</w:t>
      </w:r>
      <w:r w:rsidRPr="00D63297">
        <w:t xml:space="preserve"> практике применения договоров в морских районах, представленную к настоящему времени Италией, Эстонией и</w:t>
      </w:r>
      <w:r>
        <w:t xml:space="preserve"> — </w:t>
      </w:r>
      <w:r w:rsidRPr="00D63297">
        <w:t>дважды</w:t>
      </w:r>
      <w:r>
        <w:t xml:space="preserve"> — </w:t>
      </w:r>
      <w:r w:rsidRPr="00D63297">
        <w:t xml:space="preserve">Польшей и Словенией. Она предложила другим Сторонам вносить предложения в отношении передовой практики с целью подготовки информационных бюллетеней по исследованиям конкретной практики в соответствии </w:t>
      </w:r>
      <w:r w:rsidRPr="00D63297">
        <w:lastRenderedPageBreak/>
        <w:t>с подготовленной для этой цели типовой формой, которая будет размещена на веб-сайте ЕЭК.</w:t>
      </w:r>
    </w:p>
    <w:p w14:paraId="7F7E899D" w14:textId="7DC950A8" w:rsidR="00CE58DE" w:rsidRPr="00D63297" w:rsidRDefault="00CE58DE" w:rsidP="00CE58DE">
      <w:pPr>
        <w:pStyle w:val="SingleTxtG"/>
      </w:pPr>
      <w:r w:rsidRPr="00D63297">
        <w:t>73.</w:t>
      </w:r>
      <w:r w:rsidRPr="00D63297">
        <w:tab/>
        <w:t>Наконец, Рабочая группа пересмотрела и согласовала проект решения IX/3</w:t>
      </w:r>
      <w:r w:rsidR="00294022">
        <w:t>–</w:t>
      </w:r>
      <w:r w:rsidRPr="00D63297">
        <w:t>V/3 о сотрудничестве в морских районах (ECE/MP.EIA/WG.2/2023/3) и предложила секретариату препроводить его и доклад о синергии и возможной деятельности по сотрудничеству в морских районах</w:t>
      </w:r>
      <w:r>
        <w:t xml:space="preserve"> </w:t>
      </w:r>
      <w:r w:rsidRPr="00D63297">
        <w:t>Совещаниям Сторон в качестве официальных документов.</w:t>
      </w:r>
    </w:p>
    <w:bookmarkEnd w:id="7"/>
    <w:p w14:paraId="3472595A" w14:textId="2F284986" w:rsidR="00CE58DE" w:rsidRPr="00D63297" w:rsidRDefault="00294022" w:rsidP="00294022">
      <w:pPr>
        <w:pStyle w:val="H1G"/>
      </w:pPr>
      <w:r>
        <w:tab/>
      </w:r>
      <w:r w:rsidR="00CE58DE" w:rsidRPr="00D63297">
        <w:t>C.</w:t>
      </w:r>
      <w:r w:rsidR="00CE58DE" w:rsidRPr="00D63297">
        <w:tab/>
        <w:t>Обмен информацией о надлежащей практике</w:t>
      </w:r>
    </w:p>
    <w:p w14:paraId="21DA9B5A" w14:textId="6895C821" w:rsidR="00CE58DE" w:rsidRPr="00D63297" w:rsidRDefault="00CE58DE" w:rsidP="00CE58DE">
      <w:pPr>
        <w:pStyle w:val="SingleTxtG"/>
      </w:pPr>
      <w:r w:rsidRPr="00D63297">
        <w:t>74.</w:t>
      </w:r>
      <w:r w:rsidRPr="00D63297">
        <w:tab/>
        <w:t>Рабочая группа отметила отсутствие желающих на добровольной основе предл</w:t>
      </w:r>
      <w:r>
        <w:t>ожить</w:t>
      </w:r>
      <w:r w:rsidRPr="00D63297">
        <w:t xml:space="preserve"> информационные бюллетени по практическому применению договоров и финансировать онлайновую базу данных или сборник примеров</w:t>
      </w:r>
      <w:r>
        <w:t xml:space="preserve"> </w:t>
      </w:r>
      <w:r w:rsidRPr="00D63297">
        <w:t>надлежащей практики, предусмотренных в той</w:t>
      </w:r>
      <w:r>
        <w:t xml:space="preserve"> </w:t>
      </w:r>
      <w:r w:rsidRPr="00D63297">
        <w:t>части текущего плана работы, которая посвящена обмену информацией о надлежащей практике (решение IX/2</w:t>
      </w:r>
      <w:r w:rsidR="00294022">
        <w:t>–</w:t>
      </w:r>
      <w:r w:rsidRPr="00D63297">
        <w:t>V/2, приложение I, подраздел III.A.3, пункт 3). Она призвала Стороны представить информационные бюллетени о надлежащей практике в следующий период.</w:t>
      </w:r>
    </w:p>
    <w:p w14:paraId="5A869460" w14:textId="37875426" w:rsidR="00CE58DE" w:rsidRPr="00D63297" w:rsidRDefault="00294022" w:rsidP="00294022">
      <w:pPr>
        <w:pStyle w:val="H1G"/>
      </w:pPr>
      <w:r>
        <w:tab/>
      </w:r>
      <w:r w:rsidR="00CE58DE" w:rsidRPr="00D63297">
        <w:t>D.</w:t>
      </w:r>
      <w:r w:rsidR="00CE58DE" w:rsidRPr="00D63297">
        <w:tab/>
      </w:r>
      <w:r w:rsidR="00CE58DE" w:rsidRPr="00294022">
        <w:t>Наращивание</w:t>
      </w:r>
      <w:r w:rsidR="00CE58DE" w:rsidRPr="00D63297">
        <w:t xml:space="preserve"> потенциала</w:t>
      </w:r>
    </w:p>
    <w:p w14:paraId="77F7080E" w14:textId="77777777" w:rsidR="00CE58DE" w:rsidRPr="00D63297" w:rsidRDefault="00CE58DE" w:rsidP="00CE58DE">
      <w:pPr>
        <w:pStyle w:val="SingleTxtG"/>
      </w:pPr>
      <w:r w:rsidRPr="00D63297">
        <w:t>75.</w:t>
      </w:r>
      <w:r w:rsidRPr="00D63297">
        <w:tab/>
        <w:t>Рабочая группа положительно оценила отчеты о деятельности в области наращивания потенциала, осуществленной или запланированной в соответствии с планом работы или в связи с ним.</w:t>
      </w:r>
    </w:p>
    <w:p w14:paraId="5AFCF17A" w14:textId="7B2EB2A1" w:rsidR="00CE58DE" w:rsidRPr="00D63297" w:rsidRDefault="00CE58DE" w:rsidP="00CE58DE">
      <w:pPr>
        <w:pStyle w:val="SingleTxtG"/>
        <w:rPr>
          <w:rFonts w:asciiTheme="majorBidi" w:hAnsiTheme="majorBidi" w:cstheme="majorBidi"/>
        </w:rPr>
      </w:pPr>
      <w:r w:rsidRPr="00D63297">
        <w:t>76.</w:t>
      </w:r>
      <w:r w:rsidRPr="00D63297">
        <w:tab/>
        <w:t xml:space="preserve">Она приняла к сведению обновленную информацию секретариата о планировании и проведении мероприятий по наращиванию потенциала, финансируемых по линии проекта </w:t>
      </w:r>
      <w:r>
        <w:t>«</w:t>
      </w:r>
      <w:r w:rsidRPr="00D63297">
        <w:t>EU4Environment</w:t>
      </w:r>
      <w:r>
        <w:t>»</w:t>
      </w:r>
      <w:r w:rsidRPr="00D63297">
        <w:t xml:space="preserve"> (</w:t>
      </w:r>
      <w:r>
        <w:t>«</w:t>
      </w:r>
      <w:r w:rsidRPr="00D63297">
        <w:t>ЕС за окружающую среду</w:t>
      </w:r>
      <w:r>
        <w:t>»</w:t>
      </w:r>
      <w:r w:rsidRPr="00D63297">
        <w:t>), включая, в частности:</w:t>
      </w:r>
    </w:p>
    <w:p w14:paraId="34C8C0D8" w14:textId="5DB3FD6D" w:rsidR="00CE58DE" w:rsidRPr="00D63297" w:rsidRDefault="00294022" w:rsidP="00CE58DE">
      <w:pPr>
        <w:pStyle w:val="SingleTxtG"/>
        <w:rPr>
          <w:rFonts w:asciiTheme="majorBidi" w:hAnsiTheme="majorBidi" w:cstheme="majorBidi"/>
        </w:rPr>
      </w:pPr>
      <w:r>
        <w:tab/>
      </w:r>
      <w:r w:rsidR="00CE58DE" w:rsidRPr="00D63297">
        <w:t>a)</w:t>
      </w:r>
      <w:r w:rsidR="00CE58DE" w:rsidRPr="00D63297">
        <w:tab/>
        <w:t xml:space="preserve">два обучающих онлайновых семинара-практикума по стратегической экологической оценке для Украины с упором на территориально-пространственное планирование и экологизацию послевоенного восстановления страны в данной сфере, в которых в мае 2023 года приняли участие более 500 человек; </w:t>
      </w:r>
    </w:p>
    <w:p w14:paraId="149AEB0C" w14:textId="5D0E2207" w:rsidR="00CE58DE" w:rsidRPr="00D63297" w:rsidRDefault="00294022" w:rsidP="00CE58DE">
      <w:pPr>
        <w:pStyle w:val="SingleTxtG"/>
        <w:rPr>
          <w:rFonts w:asciiTheme="majorBidi" w:hAnsiTheme="majorBidi" w:cstheme="majorBidi"/>
        </w:rPr>
      </w:pPr>
      <w:r>
        <w:tab/>
      </w:r>
      <w:r w:rsidR="00CE58DE" w:rsidRPr="00D63297">
        <w:t>b)</w:t>
      </w:r>
      <w:r w:rsidR="00CE58DE" w:rsidRPr="00D63297">
        <w:tab/>
        <w:t xml:space="preserve">установление планов проведения двух семинаров-практикумов по стратегической экологической оценке для Армении осенью 2023 года; </w:t>
      </w:r>
    </w:p>
    <w:p w14:paraId="1637F744" w14:textId="023C41CF" w:rsidR="00CE58DE" w:rsidRPr="00D63297" w:rsidRDefault="00294022" w:rsidP="00CE58DE">
      <w:pPr>
        <w:pStyle w:val="SingleTxtG"/>
        <w:rPr>
          <w:rFonts w:asciiTheme="majorBidi" w:hAnsiTheme="majorBidi" w:cstheme="majorBidi"/>
        </w:rPr>
      </w:pPr>
      <w:r>
        <w:tab/>
      </w:r>
      <w:r w:rsidR="00CE58DE" w:rsidRPr="00D63297">
        <w:t>c)</w:t>
      </w:r>
      <w:r w:rsidR="00CE58DE" w:rsidRPr="00D63297">
        <w:tab/>
        <w:t xml:space="preserve">прогресс в выполнении проектов по стратегической экологической оценке в Азербайджане и Республике Молдова; </w:t>
      </w:r>
    </w:p>
    <w:p w14:paraId="7C159F40" w14:textId="5CB55ED1" w:rsidR="00CE58DE" w:rsidRPr="00D63297" w:rsidRDefault="00294022" w:rsidP="00CE58DE">
      <w:pPr>
        <w:pStyle w:val="SingleTxtG"/>
        <w:rPr>
          <w:rFonts w:asciiTheme="majorBidi" w:hAnsiTheme="majorBidi" w:cstheme="majorBidi"/>
        </w:rPr>
      </w:pPr>
      <w:r>
        <w:tab/>
      </w:r>
      <w:r w:rsidR="00CE58DE" w:rsidRPr="00D63297">
        <w:t>d)</w:t>
      </w:r>
      <w:r w:rsidR="00CE58DE" w:rsidRPr="00D63297">
        <w:tab/>
        <w:t>продолжающуюся разработку модели базы данных по стратегической экологической оценке, в частности на основе ответов стран-бенефициаров на соответствующие вопросники.</w:t>
      </w:r>
    </w:p>
    <w:p w14:paraId="648B5940" w14:textId="77777777" w:rsidR="00CE58DE" w:rsidRPr="00D63297" w:rsidRDefault="00CE58DE" w:rsidP="00CE58DE">
      <w:pPr>
        <w:pStyle w:val="SingleTxtG"/>
      </w:pPr>
      <w:r w:rsidRPr="00D63297">
        <w:t>77.</w:t>
      </w:r>
      <w:r w:rsidRPr="00D63297">
        <w:tab/>
        <w:t>Рабочая группа также приняла к сведению информацию об экспериментальном проекте, в частности о планировании двух параллельных мероприятий по консультациям с общественностью и повышению осведомленности общественности в Гяндже, Азербайджан, в сентябре 2023 года, которая была предоставлена делегацией Азербайджана, и обновленную информацию о руководящих принципах контроля качества документации по стратегической экологической оценке и оценке воздействия на окружающую среду, в частности о проведенном 24 мая 2023 года онлайновом семинаре-практикуме по контролю качества, которая была предоставлена делегацией Республики Молдова.</w:t>
      </w:r>
    </w:p>
    <w:p w14:paraId="50EBE7F5" w14:textId="5B17185E" w:rsidR="00CE58DE" w:rsidRPr="00D63297" w:rsidRDefault="00CE58DE" w:rsidP="00CE58DE">
      <w:pPr>
        <w:pStyle w:val="SingleTxtG"/>
      </w:pPr>
      <w:r w:rsidRPr="00D63297">
        <w:t>78.</w:t>
      </w:r>
      <w:r w:rsidRPr="00D63297">
        <w:tab/>
        <w:t>Рабочая группа также приняла к сведению обновленную письменную информацию Организации по безопасности и сотрудничеству в Европе о</w:t>
      </w:r>
      <w:r>
        <w:t xml:space="preserve"> </w:t>
      </w:r>
      <w:r w:rsidRPr="00D63297">
        <w:t>последующих мероприятиях</w:t>
      </w:r>
      <w:r>
        <w:t>,</w:t>
      </w:r>
      <w:r w:rsidRPr="006E223B">
        <w:t xml:space="preserve"> </w:t>
      </w:r>
      <w:r w:rsidRPr="00D63297">
        <w:t>запланированных в продолжение совместного с ЕЭК проекта (2019</w:t>
      </w:r>
      <w:r w:rsidR="00294022">
        <w:t>–</w:t>
      </w:r>
      <w:r w:rsidRPr="00D63297">
        <w:t xml:space="preserve">2021 годы) в Центральной Азии, который направлен на дальнейшее повышение компетентности ключевых учреждений с целью завершения в странах правовых реформ в отношении стратегической экологической оценки и на расширение </w:t>
      </w:r>
      <w:r w:rsidRPr="00D63297">
        <w:lastRenderedPageBreak/>
        <w:t>возможностей ключевых заинтересованных субъектов по проведению стратегической экологической оценки.</w:t>
      </w:r>
    </w:p>
    <w:p w14:paraId="052E7793" w14:textId="5C664794" w:rsidR="00CE58DE" w:rsidRPr="00D63297" w:rsidRDefault="00CE58DE" w:rsidP="00CE58DE">
      <w:pPr>
        <w:pStyle w:val="SingleTxtG"/>
      </w:pPr>
      <w:r w:rsidRPr="00D63297">
        <w:t>79.</w:t>
      </w:r>
      <w:r w:rsidRPr="00D63297">
        <w:tab/>
        <w:t xml:space="preserve">Представитель МАОВ сообщила о подготовке двухстраничных неофициальных буклетов </w:t>
      </w:r>
      <w:r>
        <w:t xml:space="preserve">из </w:t>
      </w:r>
      <w:r w:rsidRPr="00D63297">
        <w:t xml:space="preserve">серии </w:t>
      </w:r>
      <w:r>
        <w:t>«</w:t>
      </w:r>
      <w:r w:rsidRPr="00D63297">
        <w:t>Полезные советы</w:t>
      </w:r>
      <w:r>
        <w:t>»</w:t>
      </w:r>
      <w:r w:rsidRPr="00D63297">
        <w:t xml:space="preserve"> по ключевым вопросам практики стратегической экологической оценки</w:t>
      </w:r>
      <w:r w:rsidRPr="00D63297">
        <w:rPr>
          <w:rStyle w:val="aa"/>
        </w:rPr>
        <w:footnoteReference w:id="19"/>
      </w:r>
      <w:r w:rsidRPr="00D63297">
        <w:t>. К настоящему времени МАОВ выпустила 27</w:t>
      </w:r>
      <w:r w:rsidR="00294022">
        <w:t> </w:t>
      </w:r>
      <w:r w:rsidRPr="00D63297">
        <w:t xml:space="preserve">таких буклетов, из которых </w:t>
      </w:r>
      <w:r w:rsidR="00FF16A8">
        <w:t>4</w:t>
      </w:r>
      <w:r w:rsidRPr="00D63297">
        <w:t xml:space="preserve"> самых последних 2023 года издания были посвящены темам </w:t>
      </w:r>
      <w:r>
        <w:t>«</w:t>
      </w:r>
      <w:r w:rsidRPr="00D63297">
        <w:t xml:space="preserve">Продовольственная безопасность </w:t>
      </w:r>
      <w:r>
        <w:t>при</w:t>
      </w:r>
      <w:r w:rsidRPr="00D63297">
        <w:t xml:space="preserve"> оценке воздействия</w:t>
      </w:r>
      <w:r>
        <w:t>»</w:t>
      </w:r>
      <w:r w:rsidRPr="00D63297">
        <w:t xml:space="preserve">, </w:t>
      </w:r>
      <w:r>
        <w:t>«</w:t>
      </w:r>
      <w:r w:rsidRPr="00D63297">
        <w:t>Соблюдение и правоприменение</w:t>
      </w:r>
      <w:r>
        <w:t>»</w:t>
      </w:r>
      <w:r w:rsidRPr="00D63297">
        <w:t xml:space="preserve">, </w:t>
      </w:r>
      <w:r>
        <w:t>«</w:t>
      </w:r>
      <w:r w:rsidRPr="00D63297">
        <w:t>Права человека в оценке воздействия</w:t>
      </w:r>
      <w:r>
        <w:t>»</w:t>
      </w:r>
      <w:r w:rsidRPr="00D63297">
        <w:t xml:space="preserve"> и </w:t>
      </w:r>
      <w:r>
        <w:t>«</w:t>
      </w:r>
      <w:r w:rsidRPr="00D63297">
        <w:t>Оценка психосоциального воздействия</w:t>
      </w:r>
      <w:r>
        <w:t>»</w:t>
      </w:r>
      <w:r w:rsidRPr="00D63297">
        <w:t xml:space="preserve">. Она также проинформировала Рабочую группу о сорок третьей ежегодной конференции МАОВ на тему </w:t>
      </w:r>
      <w:r>
        <w:t>«</w:t>
      </w:r>
      <w:r w:rsidRPr="00D63297">
        <w:t>Оценка воздействия в интересах справедливых преобразований</w:t>
      </w:r>
      <w:r>
        <w:t>»</w:t>
      </w:r>
      <w:r w:rsidRPr="00D63297">
        <w:t xml:space="preserve"> (Дублин, 24–27 апреля 2024 года)</w:t>
      </w:r>
      <w:r w:rsidRPr="00D63297">
        <w:rPr>
          <w:rStyle w:val="aa"/>
        </w:rPr>
        <w:footnoteReference w:id="20"/>
      </w:r>
      <w:r w:rsidR="00294022">
        <w:t>,</w:t>
      </w:r>
      <w:r w:rsidRPr="00D63297">
        <w:t xml:space="preserve"> призвав делегации принять в ней участие. Рабочая группа приняла эту информацию к сведению.</w:t>
      </w:r>
    </w:p>
    <w:p w14:paraId="62AE0683" w14:textId="51B5D783" w:rsidR="00CE58DE" w:rsidRPr="00D63297" w:rsidRDefault="00294022" w:rsidP="00294022">
      <w:pPr>
        <w:pStyle w:val="H1G"/>
      </w:pPr>
      <w:r>
        <w:tab/>
      </w:r>
      <w:r w:rsidR="00CE58DE" w:rsidRPr="00D63297">
        <w:t>VII.</w:t>
      </w:r>
      <w:r w:rsidR="00CE58DE" w:rsidRPr="00D63297">
        <w:tab/>
      </w:r>
      <w:r w:rsidR="00CE58DE" w:rsidRPr="00D63297">
        <w:tab/>
        <w:t>Управление, координация и информационное освещение деятельности в межсессионный период</w:t>
      </w:r>
    </w:p>
    <w:p w14:paraId="493CADB3" w14:textId="77777777" w:rsidR="00CE58DE" w:rsidRPr="00D63297" w:rsidRDefault="00CE58DE" w:rsidP="00CE58DE">
      <w:pPr>
        <w:pStyle w:val="SingleTxtG"/>
      </w:pPr>
      <w:r w:rsidRPr="00D63297">
        <w:t>80.</w:t>
      </w:r>
      <w:r w:rsidRPr="00D63297">
        <w:tab/>
        <w:t>Рабочая группа рассмотрела предложения Европейского союза и его государств-членов о поправка</w:t>
      </w:r>
      <w:r>
        <w:t>х</w:t>
      </w:r>
      <w:r w:rsidRPr="00D63297">
        <w:t xml:space="preserve"> к изданной в 2020 году неофициальной записке по процедурным вопросам, имеющим отношение к совещаниям с дистанционным участием, проводимым в силу чрезвычайных обстоятельств, которые Президиум согласовал на своем совещании в феврале 2023 года (ECE/MP.EIA/WG.2/2023/INF.11).</w:t>
      </w:r>
    </w:p>
    <w:p w14:paraId="37E08B43" w14:textId="77777777" w:rsidR="00CE58DE" w:rsidRPr="00D63297" w:rsidRDefault="00CE58DE" w:rsidP="00CE58DE">
      <w:pPr>
        <w:pStyle w:val="SingleTxtG"/>
      </w:pPr>
      <w:r w:rsidRPr="00D63297">
        <w:t>81.</w:t>
      </w:r>
      <w:r w:rsidRPr="00D63297">
        <w:tab/>
        <w:t>Рабочая группа согласовала пересмотренный вариант записки, представленный к ее совещанию в неофициальном документе, и рекомендовала Совещаниям Сторон использовать данный вариант и при необходимости дополнительно адаптировать его в случае повторного возникновения чрезвычайных обстоятельств. Она пояснила, что указанная записка по процедурным вопросам не будет представлена на рассмотрение и не станет актуальной к следующим сессиям Совещаний Сторон, которые будут проходить в очной форме и в соответствии с правилами процедуры, принятыми и впоследствии измененными Совещаниями Сторон</w:t>
      </w:r>
      <w:r w:rsidRPr="00D63297">
        <w:rPr>
          <w:rStyle w:val="aa"/>
        </w:rPr>
        <w:footnoteReference w:id="21"/>
      </w:r>
      <w:r w:rsidRPr="00D63297">
        <w:t xml:space="preserve">. </w:t>
      </w:r>
    </w:p>
    <w:p w14:paraId="3C4B5E02" w14:textId="77777777" w:rsidR="00CE58DE" w:rsidRPr="00D63297" w:rsidRDefault="00CE58DE" w:rsidP="00CE58DE">
      <w:pPr>
        <w:pStyle w:val="SingleTxtG"/>
      </w:pPr>
      <w:r w:rsidRPr="00D63297">
        <w:t>82.</w:t>
      </w:r>
      <w:r w:rsidRPr="00D63297">
        <w:tab/>
        <w:t>Рабочая группа согласилась с Президиумом в том, что любое более широкое предложение о пересмотре формата сессий Совещаний Сторон или их вспомогательных органов или любых других процедурных аспектов их функционирования потребует от Совещаний Сторон выдачи конкретного мандата на пересмотр применимых правил процедуры, а также дополнительных финансовых и кадровых ресурсов.</w:t>
      </w:r>
    </w:p>
    <w:p w14:paraId="3262564F" w14:textId="17D26F78" w:rsidR="00CE58DE" w:rsidRPr="00D63297" w:rsidRDefault="00294022" w:rsidP="00294022">
      <w:pPr>
        <w:pStyle w:val="HChG"/>
      </w:pPr>
      <w:r>
        <w:tab/>
      </w:r>
      <w:r w:rsidR="00CE58DE" w:rsidRPr="00D63297">
        <w:t>VIII.</w:t>
      </w:r>
      <w:r w:rsidR="00CE58DE" w:rsidRPr="00D63297">
        <w:tab/>
        <w:t xml:space="preserve">Соответствующие </w:t>
      </w:r>
      <w:r w:rsidR="00CE58DE" w:rsidRPr="00294022">
        <w:t>события</w:t>
      </w:r>
    </w:p>
    <w:p w14:paraId="0195D78A" w14:textId="687FEE7D" w:rsidR="00CE58DE" w:rsidRPr="00D63297" w:rsidRDefault="00CE58DE" w:rsidP="00CE58DE">
      <w:pPr>
        <w:pStyle w:val="SingleTxtG"/>
      </w:pPr>
      <w:r w:rsidRPr="00D63297">
        <w:t>83.</w:t>
      </w:r>
      <w:r w:rsidRPr="00D63297">
        <w:tab/>
        <w:t>Представитель ВОЗ проинформировала участников совещания о ходе подготовки и ожидаемых итогах седьмой Конференции министров по окружающей среде и охране здоровья (Будапешт, 5</w:t>
      </w:r>
      <w:r w:rsidR="00294022">
        <w:t>–</w:t>
      </w:r>
      <w:r w:rsidRPr="00D63297">
        <w:t>7 июля 2023 года)</w:t>
      </w:r>
      <w:r w:rsidRPr="00D63297">
        <w:rPr>
          <w:rStyle w:val="aa"/>
        </w:rPr>
        <w:footnoteReference w:id="22"/>
      </w:r>
      <w:r w:rsidRPr="00D63297">
        <w:t xml:space="preserve">, которая созывается Европейским региональным бюро ВОЗ в тесном сотрудничестве с ЕЭК и Программой Организации Объединенных Наций по окружающей среде и принимающей стороной которой выступает правительство Венгрии. Она сообщила, что эта конференция завершится принятием согласованной декларации министров (Будапештской </w:t>
      </w:r>
      <w:r w:rsidRPr="00D63297">
        <w:lastRenderedPageBreak/>
        <w:t>декларации) с конкретными обязательствами министров</w:t>
      </w:r>
      <w:r>
        <w:t xml:space="preserve"> </w:t>
      </w:r>
      <w:r w:rsidRPr="00D63297">
        <w:t xml:space="preserve">окружающей среды и министров здравоохранения по ускорению прогресса на пути к решению проблем здравоохранения, связанных с изменением климата, загрязнением окружающей среды, деградацией земель и утратой биоразнообразия, за счет налаживания партнерских связей в интересах совместных действий; к совершенствованию практики руководства деятельностью в области охраны окружающей среды и здоровья; и в направлении вложения средств в людские ресурсы и человеческий потенциал, инновации и исследования в период выхода из кризиса, связанного с коронавирусной инфекцией (COVID-19). Она отметила, что, судя по согласованному на данный момент тексту проекта декларации, министры, как ожидается, должны особо </w:t>
      </w:r>
      <w:r>
        <w:t>признать</w:t>
      </w:r>
      <w:r w:rsidRPr="00D63297">
        <w:t xml:space="preserve"> необходимость </w:t>
      </w:r>
      <w:r>
        <w:t>обеспечить интеграцию</w:t>
      </w:r>
      <w:r w:rsidRPr="00D63297">
        <w:t xml:space="preserve"> оценки последствий для окружающей среды, в частности для здоровья человека, в процедуры принятия решений и планирования за счет использования мобилизующего эффекта Протокола к Конвенции Эспо, касающегося стратегических экологическим оценок, и применения таких инструментов, как оценка воздействия на здоровье. Рабочая группа приняла эту информацию к сведению.</w:t>
      </w:r>
    </w:p>
    <w:p w14:paraId="6C7A7D81" w14:textId="0AB63B88" w:rsidR="00CE58DE" w:rsidRPr="00D63297" w:rsidRDefault="00294022" w:rsidP="00294022">
      <w:pPr>
        <w:pStyle w:val="HChG"/>
      </w:pPr>
      <w:r>
        <w:tab/>
      </w:r>
      <w:r w:rsidR="00CE58DE" w:rsidRPr="00D63297">
        <w:t>IX.</w:t>
      </w:r>
      <w:r w:rsidR="00CE58DE" w:rsidRPr="00D63297">
        <w:tab/>
      </w:r>
      <w:r w:rsidR="00CE58DE" w:rsidRPr="00294022">
        <w:t>Прочие</w:t>
      </w:r>
      <w:r w:rsidR="00CE58DE" w:rsidRPr="00D63297">
        <w:t xml:space="preserve"> вопросы</w:t>
      </w:r>
    </w:p>
    <w:p w14:paraId="322DBCCB" w14:textId="77777777" w:rsidR="00CE58DE" w:rsidRPr="00D63297" w:rsidRDefault="00CE58DE" w:rsidP="00CE58DE">
      <w:pPr>
        <w:pStyle w:val="SingleTxtG"/>
      </w:pPr>
      <w:r w:rsidRPr="00D63297">
        <w:t>84.</w:t>
      </w:r>
      <w:r w:rsidRPr="00D63297">
        <w:tab/>
        <w:t>Представитель Сети по наблюдению за прозрачностью в ядерной области выступила на тему предотвращения ядерных угроз, связанных с зонами военных действий, упомянув о рисках, ассоциируемых с самим фактом существования действующих АЭС в таких зонах, и критических обстоятельствах, в которых находятся АЭС на Украине, и подчеркнув важность соблюдения протоколов безопасности в условиях крайне нестабильной ситуации войны. Она также заявила, что в соответствии с руководящими указаниями Международного агентства по атомной энергии обеспечение безопасности ядерных установок от угрозы нападения террористов или военных сил не включено в требования к основам проектирования лицензий на эксплуатацию, и рекомендовала при принятии решений по ядерным установкам использовать в качестве информационной основы предварительную оценку соответствующих потенциальных воздействий. Рабочая группа приняла это выступление к сведению.</w:t>
      </w:r>
    </w:p>
    <w:p w14:paraId="1FB09196" w14:textId="53E27882" w:rsidR="00CE58DE" w:rsidRPr="00D63297" w:rsidRDefault="00294022" w:rsidP="00294022">
      <w:pPr>
        <w:pStyle w:val="HChG"/>
      </w:pPr>
      <w:r>
        <w:tab/>
      </w:r>
      <w:r w:rsidR="00CE58DE" w:rsidRPr="00D63297">
        <w:t>X.</w:t>
      </w:r>
      <w:r w:rsidR="00CE58DE" w:rsidRPr="00D63297">
        <w:tab/>
        <w:t xml:space="preserve">Представление </w:t>
      </w:r>
      <w:r w:rsidR="00CE58DE" w:rsidRPr="00294022">
        <w:t>основных</w:t>
      </w:r>
      <w:r w:rsidR="00CE58DE" w:rsidRPr="00D63297">
        <w:t xml:space="preserve"> принятых решений и закрытие совещания</w:t>
      </w:r>
    </w:p>
    <w:p w14:paraId="53CDF92A" w14:textId="77777777" w:rsidR="00CE58DE" w:rsidRPr="00D63297" w:rsidRDefault="00CE58DE" w:rsidP="00CE58DE">
      <w:pPr>
        <w:pStyle w:val="SingleTxtG"/>
      </w:pPr>
      <w:r w:rsidRPr="00D63297">
        <w:t>85.</w:t>
      </w:r>
      <w:r w:rsidRPr="00D63297">
        <w:tab/>
        <w:t>Рабочая группа одобрила основные согласованные на совещании решения в том виде, в каком они были представлены секретариатом, и просила секретариат разместить их на веб-странице совещания. В дополнение к этому она отметила, что замечания и заявления, которые делегации представили секретариату в письменном виде, размещаются на этой веб-странице по согласованию с делегациями.</w:t>
      </w:r>
    </w:p>
    <w:p w14:paraId="1FDC99A6" w14:textId="77777777" w:rsidR="00CE58DE" w:rsidRPr="00D63297" w:rsidRDefault="00CE58DE" w:rsidP="00CE58DE">
      <w:pPr>
        <w:pStyle w:val="SingleTxtG"/>
      </w:pPr>
      <w:r w:rsidRPr="00D63297">
        <w:t>86.</w:t>
      </w:r>
      <w:r w:rsidRPr="00D63297">
        <w:tab/>
        <w:t>Рабочая группа предложила секретариату подготовить доклад о работе совещания под руководством Председателя.</w:t>
      </w:r>
    </w:p>
    <w:p w14:paraId="6CFF4387" w14:textId="77777777" w:rsidR="00CE58DE" w:rsidRPr="00D63297" w:rsidRDefault="00CE58DE" w:rsidP="00CE58DE">
      <w:pPr>
        <w:pStyle w:val="SingleTxtG"/>
      </w:pPr>
      <w:r w:rsidRPr="00D63297">
        <w:t>87.</w:t>
      </w:r>
      <w:r w:rsidRPr="00D63297">
        <w:tab/>
        <w:t>Председатель официально объявила о закрытии совещания в четверг, 15 июня 2023 года.</w:t>
      </w:r>
    </w:p>
    <w:p w14:paraId="02A5670C" w14:textId="77777777" w:rsidR="00CE58DE" w:rsidRDefault="00CE58DE" w:rsidP="00CE58DE">
      <w:pPr>
        <w:spacing w:before="240"/>
        <w:jc w:val="center"/>
        <w:rPr>
          <w:u w:val="single"/>
        </w:rPr>
      </w:pPr>
      <w:r w:rsidRPr="00D63297">
        <w:rPr>
          <w:u w:val="single"/>
        </w:rPr>
        <w:tab/>
      </w:r>
      <w:r w:rsidRPr="00D63297">
        <w:rPr>
          <w:u w:val="single"/>
        </w:rPr>
        <w:tab/>
      </w:r>
      <w:r w:rsidRPr="00D63297">
        <w:rPr>
          <w:u w:val="single"/>
        </w:rPr>
        <w:tab/>
      </w:r>
    </w:p>
    <w:p w14:paraId="7ED77835" w14:textId="4941F6C9" w:rsidR="00E12C5F" w:rsidRPr="00C64801" w:rsidRDefault="00E12C5F" w:rsidP="00D9145B"/>
    <w:sectPr w:rsidR="00E12C5F" w:rsidRPr="00C64801" w:rsidSect="00CE58DE">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6652" w14:textId="77777777" w:rsidR="00D32217" w:rsidRPr="00A312BC" w:rsidRDefault="00D32217" w:rsidP="00A312BC"/>
  </w:endnote>
  <w:endnote w:type="continuationSeparator" w:id="0">
    <w:p w14:paraId="0E6D22A8" w14:textId="77777777" w:rsidR="00D32217" w:rsidRPr="00A312BC" w:rsidRDefault="00D3221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FF1E" w14:textId="303AE79A" w:rsidR="00CE58DE" w:rsidRPr="00CE58DE" w:rsidRDefault="00CE58DE">
    <w:pPr>
      <w:pStyle w:val="a8"/>
    </w:pPr>
    <w:r w:rsidRPr="00CE58DE">
      <w:rPr>
        <w:b/>
        <w:sz w:val="18"/>
      </w:rPr>
      <w:fldChar w:fldCharType="begin"/>
    </w:r>
    <w:r w:rsidRPr="00CE58DE">
      <w:rPr>
        <w:b/>
        <w:sz w:val="18"/>
      </w:rPr>
      <w:instrText xml:space="preserve"> PAGE  \* MERGEFORMAT </w:instrText>
    </w:r>
    <w:r w:rsidRPr="00CE58DE">
      <w:rPr>
        <w:b/>
        <w:sz w:val="18"/>
      </w:rPr>
      <w:fldChar w:fldCharType="separate"/>
    </w:r>
    <w:r w:rsidRPr="00CE58DE">
      <w:rPr>
        <w:b/>
        <w:noProof/>
        <w:sz w:val="18"/>
      </w:rPr>
      <w:t>2</w:t>
    </w:r>
    <w:r w:rsidRPr="00CE58DE">
      <w:rPr>
        <w:b/>
        <w:sz w:val="18"/>
      </w:rPr>
      <w:fldChar w:fldCharType="end"/>
    </w:r>
    <w:r>
      <w:rPr>
        <w:b/>
        <w:sz w:val="18"/>
      </w:rPr>
      <w:tab/>
    </w:r>
    <w:r>
      <w:t>GE.23-13744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375" w14:textId="014612A7" w:rsidR="00CE58DE" w:rsidRPr="00CE58DE" w:rsidRDefault="00CE58DE" w:rsidP="00CE58DE">
    <w:pPr>
      <w:pStyle w:val="a8"/>
      <w:tabs>
        <w:tab w:val="clear" w:pos="9639"/>
        <w:tab w:val="right" w:pos="9638"/>
      </w:tabs>
      <w:rPr>
        <w:b/>
        <w:sz w:val="18"/>
      </w:rPr>
    </w:pPr>
    <w:r>
      <w:t>GE.23-13744</w:t>
    </w:r>
    <w:r>
      <w:tab/>
    </w:r>
    <w:r w:rsidRPr="00CE58DE">
      <w:rPr>
        <w:b/>
        <w:sz w:val="18"/>
      </w:rPr>
      <w:fldChar w:fldCharType="begin"/>
    </w:r>
    <w:r w:rsidRPr="00CE58DE">
      <w:rPr>
        <w:b/>
        <w:sz w:val="18"/>
      </w:rPr>
      <w:instrText xml:space="preserve"> PAGE  \* MERGEFORMAT </w:instrText>
    </w:r>
    <w:r w:rsidRPr="00CE58DE">
      <w:rPr>
        <w:b/>
        <w:sz w:val="18"/>
      </w:rPr>
      <w:fldChar w:fldCharType="separate"/>
    </w:r>
    <w:r w:rsidRPr="00CE58DE">
      <w:rPr>
        <w:b/>
        <w:noProof/>
        <w:sz w:val="18"/>
      </w:rPr>
      <w:t>3</w:t>
    </w:r>
    <w:r w:rsidRPr="00CE58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8645" w14:textId="01163D7E" w:rsidR="00042B72" w:rsidRPr="00CE58DE" w:rsidRDefault="00CE58DE" w:rsidP="00CE58D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B056CCD" wp14:editId="04CF4517">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23-13744  (R)</w:t>
    </w:r>
    <w:r>
      <w:rPr>
        <w:noProof/>
      </w:rPr>
      <w:drawing>
        <wp:anchor distT="0" distB="0" distL="114300" distR="114300" simplePos="0" relativeHeight="251659264" behindDoc="0" locked="0" layoutInCell="1" allowOverlap="1" wp14:anchorId="1158EBC0" wp14:editId="47A8F6F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201023   2</w:t>
    </w:r>
    <w:r w:rsidR="00C64801">
      <w:rPr>
        <w:lang w:val="en-US"/>
      </w:rPr>
      <w:t>6</w:t>
    </w:r>
    <w:r>
      <w:rPr>
        <w:lang w:val="en-US"/>
      </w:rPr>
      <w:t>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DA7C" w14:textId="77777777" w:rsidR="00D32217" w:rsidRPr="001075E9" w:rsidRDefault="00D32217" w:rsidP="001075E9">
      <w:pPr>
        <w:tabs>
          <w:tab w:val="right" w:pos="2155"/>
        </w:tabs>
        <w:spacing w:after="80" w:line="240" w:lineRule="auto"/>
        <w:ind w:left="680"/>
        <w:rPr>
          <w:u w:val="single"/>
        </w:rPr>
      </w:pPr>
      <w:r>
        <w:rPr>
          <w:u w:val="single"/>
        </w:rPr>
        <w:tab/>
      </w:r>
    </w:p>
  </w:footnote>
  <w:footnote w:type="continuationSeparator" w:id="0">
    <w:p w14:paraId="1DED9A01" w14:textId="77777777" w:rsidR="00D32217" w:rsidRDefault="00D32217" w:rsidP="00407B78">
      <w:pPr>
        <w:tabs>
          <w:tab w:val="right" w:pos="2155"/>
        </w:tabs>
        <w:spacing w:after="80"/>
        <w:ind w:left="680"/>
        <w:rPr>
          <w:u w:val="single"/>
        </w:rPr>
      </w:pPr>
      <w:r>
        <w:rPr>
          <w:u w:val="single"/>
        </w:rPr>
        <w:tab/>
      </w:r>
    </w:p>
  </w:footnote>
  <w:footnote w:id="1">
    <w:p w14:paraId="68B0E4F2" w14:textId="24B87F38" w:rsidR="00CE58DE" w:rsidRPr="00D63297" w:rsidRDefault="00CE58DE" w:rsidP="00CE58DE">
      <w:pPr>
        <w:pStyle w:val="ad"/>
      </w:pPr>
      <w:r w:rsidRPr="00D63297">
        <w:tab/>
      </w:r>
      <w:r w:rsidRPr="00CE58DE">
        <w:rPr>
          <w:rStyle w:val="aa"/>
        </w:rPr>
        <w:footnoteRef/>
      </w:r>
      <w:r w:rsidRPr="00D63297">
        <w:tab/>
        <w:t>Вся официальная и неофициальная документация совещания и другая информация, например предоставленные секретариату тексты выступлений и заявления, доступн</w:t>
      </w:r>
      <w:r w:rsidR="00DD1222">
        <w:t>ы</w:t>
      </w:r>
      <w:r w:rsidRPr="00D63297">
        <w:t xml:space="preserve"> по адресу </w:t>
      </w:r>
      <w:hyperlink r:id="rId1" w:history="1">
        <w:r w:rsidRPr="009D208F">
          <w:rPr>
            <w:rStyle w:val="af1"/>
            <w:szCs w:val="18"/>
          </w:rPr>
          <w:t>https://unece.org/info/Environmental-Policy/Environmental-Impact-Assessment/events/364361</w:t>
        </w:r>
      </w:hyperlink>
      <w:r w:rsidRPr="00D63297">
        <w:t xml:space="preserve">. </w:t>
      </w:r>
    </w:p>
  </w:footnote>
  <w:footnote w:id="2">
    <w:p w14:paraId="654BFFC3" w14:textId="657303CE" w:rsidR="00CE58DE" w:rsidRPr="00D63297" w:rsidRDefault="00CE58DE" w:rsidP="00CE58DE">
      <w:pPr>
        <w:pStyle w:val="ad"/>
      </w:pPr>
      <w:r w:rsidRPr="00D63297">
        <w:tab/>
      </w:r>
      <w:r w:rsidRPr="00CE58DE">
        <w:rPr>
          <w:rStyle w:val="aa"/>
        </w:rPr>
        <w:footnoteRef/>
      </w:r>
      <w:r w:rsidRPr="00D63297">
        <w:tab/>
        <w:t>ECE/MP.EIA/30/Add.1</w:t>
      </w:r>
      <w:r w:rsidR="00051F76">
        <w:t>–</w:t>
      </w:r>
      <w:r w:rsidRPr="00D63297">
        <w:t>ECE/MP.EIA/SEA/13/Add.1, решение VIII/3</w:t>
      </w:r>
      <w:r w:rsidR="00051F76">
        <w:t>–</w:t>
      </w:r>
      <w:r w:rsidRPr="00D63297">
        <w:t>IV/3, приложение.</w:t>
      </w:r>
    </w:p>
  </w:footnote>
  <w:footnote w:id="3">
    <w:p w14:paraId="2F9FD29A" w14:textId="4056574A" w:rsidR="00CE58DE" w:rsidRPr="00D63297" w:rsidRDefault="00CE58DE" w:rsidP="00CE58DE">
      <w:pPr>
        <w:pStyle w:val="ad"/>
      </w:pPr>
      <w:r w:rsidRPr="00D63297">
        <w:tab/>
      </w:r>
      <w:r w:rsidRPr="00CE58DE">
        <w:rPr>
          <w:rStyle w:val="aa"/>
        </w:rPr>
        <w:footnoteRef/>
      </w:r>
      <w:r w:rsidRPr="00D63297">
        <w:tab/>
        <w:t xml:space="preserve">Неофициальные записки о совещании Президиума (Женева, 9–10 июня 2022 года), пункт 10, доступны по адресу </w:t>
      </w:r>
      <w:hyperlink r:id="rId2" w:history="1">
        <w:r w:rsidRPr="009D208F">
          <w:rPr>
            <w:rStyle w:val="af1"/>
            <w:szCs w:val="18"/>
          </w:rPr>
          <w:t>https://unece.org/environmental-policy/events/bureau-espoo-convention-12</w:t>
        </w:r>
      </w:hyperlink>
      <w:r w:rsidRPr="00D63297">
        <w:t>.</w:t>
      </w:r>
    </w:p>
  </w:footnote>
  <w:footnote w:id="4">
    <w:p w14:paraId="215F33F7" w14:textId="77777777" w:rsidR="00CE58DE" w:rsidRPr="00D63297" w:rsidRDefault="00CE58DE" w:rsidP="00CE58DE">
      <w:pPr>
        <w:pStyle w:val="ad"/>
      </w:pPr>
      <w:r w:rsidRPr="00D63297">
        <w:tab/>
      </w:r>
      <w:r w:rsidRPr="00CE58DE">
        <w:rPr>
          <w:rStyle w:val="aa"/>
        </w:rPr>
        <w:footnoteRef/>
      </w:r>
      <w:r w:rsidRPr="00D63297">
        <w:tab/>
        <w:t>ECE/MP.EIA/4, приложение XIV, решение II/14, третий пункт преамбулы.</w:t>
      </w:r>
    </w:p>
  </w:footnote>
  <w:footnote w:id="5">
    <w:p w14:paraId="5C595249" w14:textId="77777777" w:rsidR="00CE58DE" w:rsidRPr="006F4563" w:rsidRDefault="00CE58DE" w:rsidP="00CE58DE">
      <w:pPr>
        <w:pStyle w:val="ad"/>
        <w:rPr>
          <w:lang w:val="en-US"/>
        </w:rPr>
      </w:pPr>
      <w:r w:rsidRPr="00D63297">
        <w:tab/>
      </w:r>
      <w:r w:rsidRPr="00CE58DE">
        <w:rPr>
          <w:rStyle w:val="aa"/>
        </w:rPr>
        <w:footnoteRef/>
      </w:r>
      <w:r w:rsidRPr="006F4563">
        <w:rPr>
          <w:lang w:val="en-US"/>
        </w:rPr>
        <w:tab/>
        <w:t xml:space="preserve">ECE/MP.EIA/WG.2/2022/2, </w:t>
      </w:r>
      <w:r w:rsidRPr="00D63297">
        <w:t>пункт</w:t>
      </w:r>
      <w:r w:rsidRPr="006F4563">
        <w:rPr>
          <w:lang w:val="en-US"/>
        </w:rPr>
        <w:t xml:space="preserve"> </w:t>
      </w:r>
      <w:proofErr w:type="gramStart"/>
      <w:r w:rsidRPr="006F4563">
        <w:rPr>
          <w:lang w:val="en-US"/>
        </w:rPr>
        <w:t>7</w:t>
      </w:r>
      <w:proofErr w:type="gramEnd"/>
      <w:r w:rsidRPr="006F4563">
        <w:rPr>
          <w:lang w:val="en-US"/>
        </w:rPr>
        <w:t>.</w:t>
      </w:r>
    </w:p>
  </w:footnote>
  <w:footnote w:id="6">
    <w:p w14:paraId="69B6A644" w14:textId="195970EA" w:rsidR="00CE58DE" w:rsidRPr="006F4563" w:rsidRDefault="00CE58DE" w:rsidP="00CE58DE">
      <w:pPr>
        <w:pStyle w:val="ad"/>
        <w:rPr>
          <w:lang w:val="en-US"/>
        </w:rPr>
      </w:pPr>
      <w:r w:rsidRPr="006F4563">
        <w:rPr>
          <w:lang w:val="en-US"/>
        </w:rPr>
        <w:tab/>
      </w:r>
      <w:r w:rsidRPr="00CE58DE">
        <w:rPr>
          <w:rStyle w:val="aa"/>
        </w:rPr>
        <w:footnoteRef/>
      </w:r>
      <w:r w:rsidRPr="006F4563">
        <w:rPr>
          <w:lang w:val="en-US"/>
        </w:rPr>
        <w:tab/>
        <w:t>ECE/MP.EIA/30/Add.1</w:t>
      </w:r>
      <w:r w:rsidR="00051F76" w:rsidRPr="00051F76">
        <w:rPr>
          <w:lang w:val="en-US"/>
        </w:rPr>
        <w:t>–</w:t>
      </w:r>
      <w:r w:rsidRPr="006F4563">
        <w:rPr>
          <w:lang w:val="en-US"/>
        </w:rPr>
        <w:t xml:space="preserve">ECE/MP.EIA/SEA/13/Add.1, </w:t>
      </w:r>
      <w:r w:rsidRPr="00D63297">
        <w:t>решение</w:t>
      </w:r>
      <w:r w:rsidRPr="006F4563">
        <w:rPr>
          <w:lang w:val="en-US"/>
        </w:rPr>
        <w:t xml:space="preserve"> VIII/1</w:t>
      </w:r>
      <w:r>
        <w:rPr>
          <w:lang w:val="en-US"/>
        </w:rPr>
        <w:t>–</w:t>
      </w:r>
      <w:r w:rsidRPr="006F4563">
        <w:rPr>
          <w:lang w:val="en-US"/>
        </w:rPr>
        <w:t xml:space="preserve">IV/1, </w:t>
      </w:r>
      <w:r w:rsidRPr="00D63297">
        <w:t>пункт</w:t>
      </w:r>
      <w:r w:rsidR="00051F76" w:rsidRPr="00051F76">
        <w:rPr>
          <w:lang w:val="en-US"/>
        </w:rPr>
        <w:t xml:space="preserve"> </w:t>
      </w:r>
      <w:proofErr w:type="gramStart"/>
      <w:r w:rsidRPr="006F4563">
        <w:rPr>
          <w:lang w:val="en-US"/>
        </w:rPr>
        <w:t>1</w:t>
      </w:r>
      <w:proofErr w:type="gramEnd"/>
      <w:r w:rsidRPr="006F4563">
        <w:rPr>
          <w:lang w:val="en-US"/>
        </w:rPr>
        <w:t>.</w:t>
      </w:r>
    </w:p>
  </w:footnote>
  <w:footnote w:id="7">
    <w:p w14:paraId="1F156030" w14:textId="77777777" w:rsidR="00CE58DE" w:rsidRPr="006F4563" w:rsidRDefault="00CE58DE" w:rsidP="00CE58DE">
      <w:pPr>
        <w:pStyle w:val="ad"/>
        <w:rPr>
          <w:lang w:val="en-US"/>
        </w:rPr>
      </w:pPr>
      <w:r w:rsidRPr="006F4563">
        <w:rPr>
          <w:lang w:val="en-US"/>
        </w:rPr>
        <w:tab/>
      </w:r>
      <w:r w:rsidRPr="00CE58DE">
        <w:rPr>
          <w:rStyle w:val="aa"/>
        </w:rPr>
        <w:footnoteRef/>
      </w:r>
      <w:r w:rsidRPr="006F4563">
        <w:rPr>
          <w:lang w:val="en-US"/>
        </w:rPr>
        <w:tab/>
        <w:t xml:space="preserve">ECE/MP.EIA/WG.2/2022/2, </w:t>
      </w:r>
      <w:r w:rsidRPr="00D63297">
        <w:t>пункт</w:t>
      </w:r>
      <w:r w:rsidRPr="006F4563">
        <w:rPr>
          <w:lang w:val="en-US"/>
        </w:rPr>
        <w:t xml:space="preserve"> </w:t>
      </w:r>
      <w:proofErr w:type="gramStart"/>
      <w:r w:rsidRPr="006F4563">
        <w:rPr>
          <w:lang w:val="en-US"/>
        </w:rPr>
        <w:t>16</w:t>
      </w:r>
      <w:proofErr w:type="gramEnd"/>
      <w:r w:rsidRPr="006F4563">
        <w:rPr>
          <w:lang w:val="en-US"/>
        </w:rPr>
        <w:t>.</w:t>
      </w:r>
    </w:p>
  </w:footnote>
  <w:footnote w:id="8">
    <w:p w14:paraId="1217D0FB" w14:textId="77777777" w:rsidR="00CE58DE" w:rsidRPr="00D63297" w:rsidRDefault="00CE58DE" w:rsidP="00CE58DE">
      <w:pPr>
        <w:pStyle w:val="ad"/>
      </w:pPr>
      <w:r w:rsidRPr="006F4563">
        <w:rPr>
          <w:lang w:val="en-US"/>
        </w:rPr>
        <w:tab/>
      </w:r>
      <w:r w:rsidRPr="00CE58DE">
        <w:rPr>
          <w:rStyle w:val="aa"/>
        </w:rPr>
        <w:footnoteRef/>
      </w:r>
      <w:r w:rsidRPr="00D63297">
        <w:tab/>
        <w:t>Там же, пункты 24–26.</w:t>
      </w:r>
    </w:p>
  </w:footnote>
  <w:footnote w:id="9">
    <w:p w14:paraId="36B8E1DC" w14:textId="77777777" w:rsidR="00CE58DE" w:rsidRPr="00D63297" w:rsidRDefault="00CE58DE" w:rsidP="00CE58DE">
      <w:pPr>
        <w:pStyle w:val="ad"/>
      </w:pPr>
      <w:r w:rsidRPr="00D63297">
        <w:tab/>
      </w:r>
      <w:r w:rsidRPr="00CE58DE">
        <w:rPr>
          <w:rStyle w:val="aa"/>
        </w:rPr>
        <w:footnoteRef/>
      </w:r>
      <w:r w:rsidRPr="00D63297">
        <w:tab/>
        <w:t>Там же, пункты 58–59.</w:t>
      </w:r>
    </w:p>
  </w:footnote>
  <w:footnote w:id="10">
    <w:p w14:paraId="6DBD82FF" w14:textId="77777777" w:rsidR="00CE58DE" w:rsidRPr="00D63297" w:rsidRDefault="00CE58DE" w:rsidP="00CE58DE">
      <w:pPr>
        <w:pStyle w:val="ad"/>
      </w:pPr>
      <w:r w:rsidRPr="00D63297">
        <w:tab/>
      </w:r>
      <w:r w:rsidRPr="00CE58DE">
        <w:rPr>
          <w:rStyle w:val="aa"/>
        </w:rPr>
        <w:footnoteRef/>
      </w:r>
      <w:r w:rsidRPr="00D63297">
        <w:tab/>
        <w:t>Кандидатура Черногории была подтверждена вскоре после совещания.</w:t>
      </w:r>
    </w:p>
  </w:footnote>
  <w:footnote w:id="11">
    <w:p w14:paraId="1A5754D2" w14:textId="04D9FBAC" w:rsidR="00CE58DE" w:rsidRPr="00D63297" w:rsidRDefault="00CE58DE" w:rsidP="00CE58DE">
      <w:pPr>
        <w:pStyle w:val="ad"/>
      </w:pPr>
      <w:r w:rsidRPr="00D63297">
        <w:tab/>
      </w:r>
      <w:r w:rsidRPr="00CE58DE">
        <w:rPr>
          <w:rStyle w:val="aa"/>
        </w:rPr>
        <w:footnoteRef/>
      </w:r>
      <w:r w:rsidRPr="00D63297">
        <w:tab/>
        <w:t xml:space="preserve">Доклады Комитета по осуществлению о работе его сессий доступны по адресу </w:t>
      </w:r>
      <w:hyperlink r:id="rId3" w:history="1">
        <w:r w:rsidR="00294022" w:rsidRPr="009D208F">
          <w:rPr>
            <w:rStyle w:val="af1"/>
          </w:rPr>
          <w:t>https://unece.org/sessions-3</w:t>
        </w:r>
      </w:hyperlink>
      <w:r w:rsidRPr="00D63297">
        <w:t>.</w:t>
      </w:r>
    </w:p>
  </w:footnote>
  <w:footnote w:id="12">
    <w:p w14:paraId="235DAA39" w14:textId="77777777" w:rsidR="00CE58DE" w:rsidRPr="00D63297" w:rsidRDefault="00CE58DE" w:rsidP="00CE58DE">
      <w:pPr>
        <w:pStyle w:val="ad"/>
      </w:pPr>
      <w:r w:rsidRPr="00D63297">
        <w:tab/>
      </w:r>
      <w:r w:rsidRPr="00CE58DE">
        <w:rPr>
          <w:rStyle w:val="aa"/>
        </w:rPr>
        <w:footnoteRef/>
      </w:r>
      <w:r w:rsidRPr="00D63297">
        <w:tab/>
        <w:t>Там же, пункт 42.</w:t>
      </w:r>
    </w:p>
  </w:footnote>
  <w:footnote w:id="13">
    <w:p w14:paraId="5B580D72" w14:textId="7A98459E" w:rsidR="00CE58DE" w:rsidRPr="00D63297" w:rsidRDefault="00CE58DE" w:rsidP="00CE58DE">
      <w:pPr>
        <w:pStyle w:val="ad"/>
      </w:pPr>
      <w:r w:rsidRPr="00D63297">
        <w:tab/>
      </w:r>
      <w:r w:rsidRPr="00CE58DE">
        <w:rPr>
          <w:rStyle w:val="aa"/>
        </w:rPr>
        <w:footnoteRef/>
      </w:r>
      <w:r w:rsidRPr="00D63297">
        <w:tab/>
        <w:t>ECE/MP.EIA/30/Add.1</w:t>
      </w:r>
      <w:r w:rsidR="00294022">
        <w:t>–</w:t>
      </w:r>
      <w:r w:rsidRPr="00D63297">
        <w:t>ECE/MP.EIA/SEA/13/Add.1, решение VIII/2</w:t>
      </w:r>
      <w:r w:rsidR="00294022">
        <w:t>–</w:t>
      </w:r>
      <w:r w:rsidRPr="00D63297">
        <w:t>IV/2, приложение I, пункт</w:t>
      </w:r>
      <w:r w:rsidR="00294022">
        <w:t> </w:t>
      </w:r>
      <w:r w:rsidRPr="00D63297">
        <w:t>II.C.</w:t>
      </w:r>
    </w:p>
  </w:footnote>
  <w:footnote w:id="14">
    <w:p w14:paraId="5C08A5DB" w14:textId="349528A7" w:rsidR="00CE58DE" w:rsidRPr="00D63297" w:rsidRDefault="00CE58DE" w:rsidP="00CE58DE">
      <w:pPr>
        <w:pStyle w:val="ad"/>
      </w:pPr>
      <w:r w:rsidRPr="00D63297">
        <w:tab/>
      </w:r>
      <w:r w:rsidRPr="00CE58DE">
        <w:rPr>
          <w:rStyle w:val="aa"/>
        </w:rPr>
        <w:footnoteRef/>
      </w:r>
      <w:r w:rsidRPr="00D63297">
        <w:tab/>
        <w:t xml:space="preserve">См. раздел 4.2 доклада о субрегиональном рабочем совещании по совершенствованию стратегической экологической оценки в отдельных странах Восточной Европы, Кавказа и Центральной Азии (Кахети, Грузия, 3–6 ноября 2015 года), проведенном при финансировании со стороны Европейского союза в рамках программы «Экологизация экономик стран Восточного соседства Европейского союза», который доступен по адресу </w:t>
      </w:r>
      <w:hyperlink r:id="rId4" w:history="1">
        <w:r w:rsidR="00294022" w:rsidRPr="009D208F">
          <w:rPr>
            <w:rStyle w:val="af1"/>
          </w:rPr>
          <w:t>https://unece.org/info/Environmental-Policy/Environmental-Impact-Assessment/events/352848</w:t>
        </w:r>
      </w:hyperlink>
      <w:r w:rsidRPr="00D63297">
        <w:t>.</w:t>
      </w:r>
    </w:p>
  </w:footnote>
  <w:footnote w:id="15">
    <w:p w14:paraId="52CF9B6C" w14:textId="77777777" w:rsidR="00CE58DE" w:rsidRPr="006F4563" w:rsidRDefault="00CE58DE" w:rsidP="00CE58DE">
      <w:pPr>
        <w:pStyle w:val="ad"/>
        <w:rPr>
          <w:lang w:val="en-US"/>
        </w:rPr>
      </w:pPr>
      <w:r w:rsidRPr="00D63297">
        <w:tab/>
      </w:r>
      <w:r w:rsidRPr="00CE58DE">
        <w:rPr>
          <w:rStyle w:val="aa"/>
        </w:rPr>
        <w:footnoteRef/>
      </w:r>
      <w:r w:rsidRPr="006F4563">
        <w:rPr>
          <w:lang w:val="en-US"/>
        </w:rPr>
        <w:tab/>
        <w:t xml:space="preserve">ECE/MP.EIA/WG.2/2020/2, </w:t>
      </w:r>
      <w:r w:rsidRPr="00D63297">
        <w:t>пункт</w:t>
      </w:r>
      <w:r w:rsidRPr="006F4563">
        <w:rPr>
          <w:lang w:val="en-US"/>
        </w:rPr>
        <w:t xml:space="preserve"> </w:t>
      </w:r>
      <w:proofErr w:type="gramStart"/>
      <w:r w:rsidRPr="006F4563">
        <w:rPr>
          <w:lang w:val="en-US"/>
        </w:rPr>
        <w:t>41</w:t>
      </w:r>
      <w:proofErr w:type="gramEnd"/>
      <w:r w:rsidRPr="006F4563">
        <w:rPr>
          <w:lang w:val="en-US"/>
        </w:rPr>
        <w:t>.</w:t>
      </w:r>
    </w:p>
  </w:footnote>
  <w:footnote w:id="16">
    <w:p w14:paraId="018A6869" w14:textId="44374538" w:rsidR="00CE58DE" w:rsidRPr="006F4563" w:rsidRDefault="00CE58DE" w:rsidP="00CE58DE">
      <w:pPr>
        <w:pStyle w:val="ad"/>
        <w:rPr>
          <w:lang w:val="en-US"/>
        </w:rPr>
      </w:pPr>
      <w:r w:rsidRPr="006F4563">
        <w:rPr>
          <w:lang w:val="en-US"/>
        </w:rPr>
        <w:tab/>
      </w:r>
      <w:r w:rsidRPr="00CE58DE">
        <w:rPr>
          <w:rStyle w:val="aa"/>
        </w:rPr>
        <w:footnoteRef/>
      </w:r>
      <w:r w:rsidRPr="006F4563">
        <w:rPr>
          <w:lang w:val="en-US"/>
        </w:rPr>
        <w:tab/>
        <w:t>ECE/MP.EIA/30/Add.1</w:t>
      </w:r>
      <w:r w:rsidR="00294022" w:rsidRPr="00294022">
        <w:rPr>
          <w:lang w:val="en-US"/>
        </w:rPr>
        <w:t>–</w:t>
      </w:r>
      <w:r w:rsidRPr="006F4563">
        <w:rPr>
          <w:lang w:val="en-US"/>
        </w:rPr>
        <w:t>ECE/MP.EIA/SEA/13/Add.1, VIII/3</w:t>
      </w:r>
      <w:r w:rsidR="00294022" w:rsidRPr="00294022">
        <w:rPr>
          <w:lang w:val="en-US"/>
        </w:rPr>
        <w:t>–</w:t>
      </w:r>
      <w:r w:rsidRPr="006F4563">
        <w:rPr>
          <w:lang w:val="en-US"/>
        </w:rPr>
        <w:t xml:space="preserve">IV/3, </w:t>
      </w:r>
      <w:r w:rsidRPr="00D63297">
        <w:t>приложение</w:t>
      </w:r>
      <w:r w:rsidRPr="006F4563">
        <w:rPr>
          <w:lang w:val="en-US"/>
        </w:rPr>
        <w:t xml:space="preserve">, </w:t>
      </w:r>
      <w:r w:rsidRPr="00D63297">
        <w:t>Вильнюсская</w:t>
      </w:r>
      <w:r w:rsidRPr="006F4563">
        <w:rPr>
          <w:lang w:val="en-US"/>
        </w:rPr>
        <w:t xml:space="preserve"> </w:t>
      </w:r>
      <w:r w:rsidRPr="00D63297">
        <w:t>декларация</w:t>
      </w:r>
      <w:r w:rsidRPr="006F4563">
        <w:rPr>
          <w:lang w:val="en-US"/>
        </w:rPr>
        <w:t xml:space="preserve">, </w:t>
      </w:r>
      <w:r w:rsidRPr="00D63297">
        <w:t>пункт</w:t>
      </w:r>
      <w:r w:rsidRPr="006F4563">
        <w:rPr>
          <w:lang w:val="en-US"/>
        </w:rPr>
        <w:t xml:space="preserve"> </w:t>
      </w:r>
      <w:proofErr w:type="gramStart"/>
      <w:r w:rsidRPr="006F4563">
        <w:rPr>
          <w:lang w:val="en-US"/>
        </w:rPr>
        <w:t>13</w:t>
      </w:r>
      <w:proofErr w:type="gramEnd"/>
      <w:r w:rsidRPr="006F4563">
        <w:rPr>
          <w:lang w:val="en-US"/>
        </w:rPr>
        <w:t>.</w:t>
      </w:r>
    </w:p>
  </w:footnote>
  <w:footnote w:id="17">
    <w:p w14:paraId="35D44662" w14:textId="2A353542" w:rsidR="00CE58DE" w:rsidRPr="00CE58DE" w:rsidRDefault="00CE58DE" w:rsidP="00CE58DE">
      <w:pPr>
        <w:pStyle w:val="ad"/>
        <w:rPr>
          <w:lang w:val="en-US"/>
        </w:rPr>
      </w:pPr>
      <w:r w:rsidRPr="006F4563">
        <w:rPr>
          <w:lang w:val="en-US"/>
        </w:rPr>
        <w:tab/>
      </w:r>
      <w:r w:rsidRPr="00CE58DE">
        <w:rPr>
          <w:rStyle w:val="aa"/>
        </w:rPr>
        <w:footnoteRef/>
      </w:r>
      <w:r w:rsidRPr="00D63297">
        <w:rPr>
          <w:lang w:val="en-US"/>
        </w:rPr>
        <w:tab/>
        <w:t>ECE/MP.EIA/30</w:t>
      </w:r>
      <w:r w:rsidR="00294022" w:rsidRPr="00294022">
        <w:rPr>
          <w:lang w:val="en-US"/>
        </w:rPr>
        <w:t>–</w:t>
      </w:r>
      <w:r w:rsidRPr="00D63297">
        <w:rPr>
          <w:lang w:val="en-US"/>
        </w:rPr>
        <w:t xml:space="preserve">ECE/MP.EIA/SEA/13, </w:t>
      </w:r>
      <w:r w:rsidRPr="00D63297">
        <w:t>пункт</w:t>
      </w:r>
      <w:r w:rsidRPr="00D63297">
        <w:rPr>
          <w:lang w:val="en-US"/>
        </w:rPr>
        <w:t xml:space="preserve"> </w:t>
      </w:r>
      <w:proofErr w:type="gramStart"/>
      <w:r w:rsidRPr="00D63297">
        <w:rPr>
          <w:lang w:val="en-US"/>
        </w:rPr>
        <w:t>33</w:t>
      </w:r>
      <w:proofErr w:type="gramEnd"/>
      <w:r w:rsidRPr="00D63297">
        <w:rPr>
          <w:lang w:val="en-US"/>
        </w:rPr>
        <w:t>.</w:t>
      </w:r>
    </w:p>
  </w:footnote>
  <w:footnote w:id="18">
    <w:p w14:paraId="2B9CE6F6" w14:textId="5BDE0169" w:rsidR="00CE58DE" w:rsidRPr="00D63297" w:rsidRDefault="00CE58DE" w:rsidP="00CE58DE">
      <w:pPr>
        <w:pStyle w:val="ad"/>
      </w:pPr>
      <w:r w:rsidRPr="00D63297">
        <w:rPr>
          <w:lang w:val="en-US"/>
        </w:rPr>
        <w:tab/>
      </w:r>
      <w:r w:rsidRPr="00CE58DE">
        <w:rPr>
          <w:rStyle w:val="aa"/>
        </w:rPr>
        <w:footnoteRef/>
      </w:r>
      <w:r w:rsidRPr="00D63297">
        <w:tab/>
        <w:t xml:space="preserve">См. </w:t>
      </w:r>
      <w:hyperlink r:id="rId5" w:history="1">
        <w:r w:rsidR="00294022" w:rsidRPr="009D208F">
          <w:rPr>
            <w:rStyle w:val="af1"/>
          </w:rPr>
          <w:t>https://unece.org/info/Environmental-Policy/Environmental-Impact-Assessment/events/376908</w:t>
        </w:r>
      </w:hyperlink>
      <w:r w:rsidRPr="00D63297">
        <w:t>.</w:t>
      </w:r>
    </w:p>
  </w:footnote>
  <w:footnote w:id="19">
    <w:p w14:paraId="3D5523A4" w14:textId="5473FB68" w:rsidR="00CE58DE" w:rsidRPr="00D63297" w:rsidRDefault="00CE58DE" w:rsidP="00CE58DE">
      <w:pPr>
        <w:pStyle w:val="ad"/>
      </w:pPr>
      <w:r w:rsidRPr="00D63297">
        <w:tab/>
      </w:r>
      <w:r w:rsidRPr="00CE58DE">
        <w:rPr>
          <w:rStyle w:val="aa"/>
        </w:rPr>
        <w:footnoteRef/>
      </w:r>
      <w:r w:rsidRPr="00D63297">
        <w:tab/>
        <w:t xml:space="preserve">Информацию о серии буклетов </w:t>
      </w:r>
      <w:r w:rsidR="00294022">
        <w:t>«</w:t>
      </w:r>
      <w:r w:rsidRPr="00D63297">
        <w:t>Полезные советы</w:t>
      </w:r>
      <w:r w:rsidR="00294022">
        <w:t>»</w:t>
      </w:r>
      <w:r w:rsidRPr="00D63297">
        <w:t xml:space="preserve"> на английском языке см. по адресу </w:t>
      </w:r>
      <w:hyperlink r:id="rId6" w:history="1">
        <w:r w:rsidR="00294022" w:rsidRPr="009D208F">
          <w:rPr>
            <w:rStyle w:val="af1"/>
          </w:rPr>
          <w:t>www.iaia.org/fasttips.php</w:t>
        </w:r>
      </w:hyperlink>
      <w:r w:rsidRPr="00D63297">
        <w:t xml:space="preserve">; их переводы см. по адресу </w:t>
      </w:r>
      <w:hyperlink r:id="rId7" w:history="1">
        <w:r w:rsidR="00294022" w:rsidRPr="009D208F">
          <w:rPr>
            <w:rStyle w:val="af1"/>
          </w:rPr>
          <w:t>www.iaia.org/translated-documents.php</w:t>
        </w:r>
      </w:hyperlink>
      <w:r w:rsidRPr="00D63297">
        <w:t>.</w:t>
      </w:r>
    </w:p>
  </w:footnote>
  <w:footnote w:id="20">
    <w:p w14:paraId="06450DDE" w14:textId="762E7366" w:rsidR="00CE58DE" w:rsidRPr="00D63297" w:rsidRDefault="00CE58DE" w:rsidP="00CE58DE">
      <w:pPr>
        <w:pStyle w:val="ad"/>
      </w:pPr>
      <w:r w:rsidRPr="00D63297">
        <w:tab/>
      </w:r>
      <w:r w:rsidRPr="00CE58DE">
        <w:rPr>
          <w:rStyle w:val="aa"/>
        </w:rPr>
        <w:footnoteRef/>
      </w:r>
      <w:r w:rsidRPr="00D63297">
        <w:tab/>
        <w:t xml:space="preserve">Более подробную информацию см. по адресу </w:t>
      </w:r>
      <w:hyperlink r:id="rId8" w:history="1">
        <w:r w:rsidR="00FF16A8" w:rsidRPr="008200F9">
          <w:rPr>
            <w:rStyle w:val="af1"/>
          </w:rPr>
          <w:t>https://2024.iaia.org/</w:t>
        </w:r>
      </w:hyperlink>
      <w:r w:rsidRPr="00D63297">
        <w:t>.</w:t>
      </w:r>
    </w:p>
  </w:footnote>
  <w:footnote w:id="21">
    <w:p w14:paraId="2231B579" w14:textId="4E96A530" w:rsidR="00CE58DE" w:rsidRPr="00D63297" w:rsidRDefault="00CE58DE" w:rsidP="00CE58DE">
      <w:pPr>
        <w:pStyle w:val="ad"/>
      </w:pPr>
      <w:r w:rsidRPr="00D63297">
        <w:tab/>
      </w:r>
      <w:r w:rsidRPr="00CE58DE">
        <w:rPr>
          <w:rStyle w:val="aa"/>
        </w:rPr>
        <w:footnoteRef/>
      </w:r>
      <w:r w:rsidRPr="00D63297">
        <w:tab/>
        <w:t>Правила процедуры Совещания Сторон Конвенции об оценке воздействия на окружающую среду в трансграничном контексте (ECE/MP.EIA/2, приложение I, решение I/1) с поправками, внесенными в 2011 году решением V/1 Совещания Сторон Конвенции (ECE/MP.EIA/15) и</w:t>
      </w:r>
      <w:r w:rsidR="00294022">
        <w:t> </w:t>
      </w:r>
      <w:r w:rsidRPr="00D63297">
        <w:t>решением I/1 Совещания Сторон Конвенции, действующего в качестве Совещания Сторон Протокола (ECE/MP.EIA/SEA/2). Доступн</w:t>
      </w:r>
      <w:r>
        <w:t>ы</w:t>
      </w:r>
      <w:r w:rsidRPr="00D63297">
        <w:t xml:space="preserve"> в виде неофициальной публикации по адресу </w:t>
      </w:r>
      <w:hyperlink r:id="rId9" w:history="1">
        <w:r w:rsidR="00294022" w:rsidRPr="009D208F">
          <w:rPr>
            <w:rStyle w:val="af1"/>
          </w:rPr>
          <w:t>https://unece.org/environment-policyenvironmental-assessment/meeting-parties-convention</w:t>
        </w:r>
      </w:hyperlink>
      <w:r w:rsidRPr="00D63297">
        <w:t>.</w:t>
      </w:r>
    </w:p>
  </w:footnote>
  <w:footnote w:id="22">
    <w:p w14:paraId="680BA2CB" w14:textId="3A523E18" w:rsidR="00CE58DE" w:rsidRPr="00D63297" w:rsidRDefault="00CE58DE" w:rsidP="00CE58DE">
      <w:pPr>
        <w:pStyle w:val="ad"/>
      </w:pPr>
      <w:r w:rsidRPr="00D63297">
        <w:tab/>
      </w:r>
      <w:r w:rsidRPr="00CE58DE">
        <w:rPr>
          <w:rStyle w:val="aa"/>
        </w:rPr>
        <w:footnoteRef/>
      </w:r>
      <w:r w:rsidRPr="00D63297">
        <w:tab/>
        <w:t xml:space="preserve">См. </w:t>
      </w:r>
      <w:hyperlink r:id="rId10" w:history="1">
        <w:r w:rsidR="00294022" w:rsidRPr="009D208F">
          <w:rPr>
            <w:rStyle w:val="af1"/>
          </w:rPr>
          <w:t>www.who.int/europe/event/seventh-ministerial-conference-on-environment-and-health</w:t>
        </w:r>
      </w:hyperlink>
      <w:r w:rsidRPr="00D6329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9E0E" w14:textId="3887F342" w:rsidR="00CE58DE" w:rsidRPr="00CE58DE" w:rsidRDefault="0083475A">
    <w:pPr>
      <w:pStyle w:val="a5"/>
    </w:pPr>
    <w:r>
      <w:fldChar w:fldCharType="begin"/>
    </w:r>
    <w:r>
      <w:instrText xml:space="preserve"> TITLE  \* MERGEFORMAT </w:instrText>
    </w:r>
    <w:r>
      <w:fldChar w:fldCharType="separate"/>
    </w:r>
    <w:r>
      <w:t>ECE/MP.EIA/WG.2/2023/2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E745" w14:textId="5E431E59" w:rsidR="00CE58DE" w:rsidRPr="00CE58DE" w:rsidRDefault="0083475A" w:rsidP="00CE58DE">
    <w:pPr>
      <w:pStyle w:val="a5"/>
      <w:jc w:val="right"/>
    </w:pPr>
    <w:r>
      <w:fldChar w:fldCharType="begin"/>
    </w:r>
    <w:r>
      <w:instrText xml:space="preserve"> TITLE  \* MERGEFORMAT </w:instrText>
    </w:r>
    <w:r>
      <w:fldChar w:fldCharType="separate"/>
    </w:r>
    <w:r>
      <w:t>ECE/MP.EIA/WG.2/2023/2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17"/>
    <w:rsid w:val="00033EE1"/>
    <w:rsid w:val="00042B72"/>
    <w:rsid w:val="00051F76"/>
    <w:rsid w:val="000558BD"/>
    <w:rsid w:val="000A480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94022"/>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2B19"/>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41EA6"/>
    <w:rsid w:val="00757357"/>
    <w:rsid w:val="00792497"/>
    <w:rsid w:val="00806737"/>
    <w:rsid w:val="00825F8D"/>
    <w:rsid w:val="0083475A"/>
    <w:rsid w:val="00834B71"/>
    <w:rsid w:val="00842F86"/>
    <w:rsid w:val="0086445C"/>
    <w:rsid w:val="00894693"/>
    <w:rsid w:val="008A08D7"/>
    <w:rsid w:val="008A37C8"/>
    <w:rsid w:val="008B5E5B"/>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64801"/>
    <w:rsid w:val="00C71E84"/>
    <w:rsid w:val="00C805C9"/>
    <w:rsid w:val="00C92939"/>
    <w:rsid w:val="00CA1679"/>
    <w:rsid w:val="00CB151C"/>
    <w:rsid w:val="00CE58DE"/>
    <w:rsid w:val="00CE5A1A"/>
    <w:rsid w:val="00CF55F6"/>
    <w:rsid w:val="00D32217"/>
    <w:rsid w:val="00D33D63"/>
    <w:rsid w:val="00D5253A"/>
    <w:rsid w:val="00D873A8"/>
    <w:rsid w:val="00D90028"/>
    <w:rsid w:val="00D90138"/>
    <w:rsid w:val="00D9145B"/>
    <w:rsid w:val="00DD1222"/>
    <w:rsid w:val="00DD78D1"/>
    <w:rsid w:val="00DE32CD"/>
    <w:rsid w:val="00DF5767"/>
    <w:rsid w:val="00DF71B9"/>
    <w:rsid w:val="00E12C5F"/>
    <w:rsid w:val="00E73F76"/>
    <w:rsid w:val="00EA2C9F"/>
    <w:rsid w:val="00EA420E"/>
    <w:rsid w:val="00ED0BDA"/>
    <w:rsid w:val="00EE142A"/>
    <w:rsid w:val="00EF1360"/>
    <w:rsid w:val="00EF3220"/>
    <w:rsid w:val="00F2523A"/>
    <w:rsid w:val="00F30A78"/>
    <w:rsid w:val="00F43903"/>
    <w:rsid w:val="00F73C9D"/>
    <w:rsid w:val="00F94155"/>
    <w:rsid w:val="00F9783F"/>
    <w:rsid w:val="00FD2EF7"/>
    <w:rsid w:val="00FE447E"/>
    <w:rsid w:val="00FF16A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89775"/>
  <w15:docId w15:val="{8CF53B19-DAFD-4B9B-BAD9-CB4CA3E5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4_GR,Footnote Reference Superscript,BVI fnr,Footnote symbol,Footnote call,SUPERS,(Footnote Reference),Footnote,Voetnootverwijzing,Times 10 Point,Exposant 3 Point,Footnote reference number,note TESI,Footnotes refs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styleId="af3">
    <w:name w:val="Unresolved Mention"/>
    <w:basedOn w:val="a0"/>
    <w:uiPriority w:val="99"/>
    <w:semiHidden/>
    <w:unhideWhenUsed/>
    <w:rsid w:val="00CE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2024.iaia.org/" TargetMode="External"/><Relationship Id="rId3" Type="http://schemas.openxmlformats.org/officeDocument/2006/relationships/hyperlink" Target="https://unece.org/sessions-3" TargetMode="External"/><Relationship Id="rId7" Type="http://schemas.openxmlformats.org/officeDocument/2006/relationships/hyperlink" Target="http://www.iaia.org/translated-documents.php" TargetMode="External"/><Relationship Id="rId2" Type="http://schemas.openxmlformats.org/officeDocument/2006/relationships/hyperlink" Target="https://unece.org/environmental-policy/events/bureau-espoo-convention-12" TargetMode="External"/><Relationship Id="rId1" Type="http://schemas.openxmlformats.org/officeDocument/2006/relationships/hyperlink" Target="https://unece.org/info/Environmental-Policy/Environmental-Impact-Assessment/events/364361" TargetMode="External"/><Relationship Id="rId6" Type="http://schemas.openxmlformats.org/officeDocument/2006/relationships/hyperlink" Target="http://www.iaia.org/fasttips.php" TargetMode="External"/><Relationship Id="rId5" Type="http://schemas.openxmlformats.org/officeDocument/2006/relationships/hyperlink" Target="https://unece.org/info/Environmental-Policy/Environmental-Impact-Assessment/events/376908" TargetMode="External"/><Relationship Id="rId10" Type="http://schemas.openxmlformats.org/officeDocument/2006/relationships/hyperlink" Target="http://www.who.int/europe/event/seventh-ministerial-conference-on-environment-and-health" TargetMode="External"/><Relationship Id="rId4" Type="http://schemas.openxmlformats.org/officeDocument/2006/relationships/hyperlink" Target="https://unece.org/info/Environmental-Policy/Environmental-Impact-Assessment/events/352848" TargetMode="External"/><Relationship Id="rId9" Type="http://schemas.openxmlformats.org/officeDocument/2006/relationships/hyperlink" Target="https://unece.org/environment-policyenvironmental-assessment/meeting-parties-conven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98459-D984-4BF4-B852-3468019A9708}">
  <ds:schemaRefs>
    <ds:schemaRef ds:uri="http://schemas.openxmlformats.org/officeDocument/2006/bibliography"/>
  </ds:schemaRefs>
</ds:datastoreItem>
</file>

<file path=customXml/itemProps2.xml><?xml version="1.0" encoding="utf-8"?>
<ds:datastoreItem xmlns:ds="http://schemas.openxmlformats.org/officeDocument/2006/customXml" ds:itemID="{81D19E18-C810-43B9-97DE-83FECC833AC1}"/>
</file>

<file path=customXml/itemProps3.xml><?xml version="1.0" encoding="utf-8"?>
<ds:datastoreItem xmlns:ds="http://schemas.openxmlformats.org/officeDocument/2006/customXml" ds:itemID="{2FF7C8E2-6B70-41A6-BC3F-965DE3B032BF}"/>
</file>

<file path=docProps/app.xml><?xml version="1.0" encoding="utf-8"?>
<Properties xmlns="http://schemas.openxmlformats.org/officeDocument/2006/extended-properties" xmlns:vt="http://schemas.openxmlformats.org/officeDocument/2006/docPropsVTypes">
  <Template>ECE.dotm</Template>
  <TotalTime>5</TotalTime>
  <Pages>16</Pages>
  <Words>6549</Words>
  <Characters>44627</Characters>
  <Application>Microsoft Office Word</Application>
  <DocSecurity>0</DocSecurity>
  <Lines>757</Lines>
  <Paragraphs>136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ECE/MP.EIA/WG.2/2023/2</vt:lpstr>
      <vt:lpstr>A/</vt:lpstr>
      <vt:lpstr>A/</vt:lpstr>
    </vt:vector>
  </TitlesOfParts>
  <Company>DCM</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ECE/MP.EIA/WG.2/2023/2</dc:title>
  <dc:subject/>
  <dc:creator>Anna BLAGODATSKIKH</dc:creator>
  <cp:keywords/>
  <cp:lastModifiedBy>Anna Blagodatskikh</cp:lastModifiedBy>
  <cp:revision>3</cp:revision>
  <cp:lastPrinted>2023-10-26T06:35:00Z</cp:lastPrinted>
  <dcterms:created xsi:type="dcterms:W3CDTF">2023-10-26T06:35:00Z</dcterms:created>
  <dcterms:modified xsi:type="dcterms:W3CDTF">2023-10-26T06:40:00Z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