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D54BC" w:rsidRDefault="00982036" w:rsidP="00982036">
      <w:pPr>
        <w:spacing w:before="120"/>
        <w:rPr>
          <w:b/>
          <w:sz w:val="28"/>
          <w:szCs w:val="28"/>
        </w:rPr>
      </w:pPr>
      <w:r w:rsidRPr="002D54BC">
        <w:rPr>
          <w:b/>
          <w:sz w:val="28"/>
          <w:szCs w:val="28"/>
        </w:rPr>
        <w:t>Economic Commission for Europe</w:t>
      </w:r>
      <w:r w:rsidR="0090465E" w:rsidRPr="002D54BC">
        <w:rPr>
          <w:b/>
          <w:sz w:val="28"/>
          <w:szCs w:val="28"/>
        </w:rPr>
        <w:t xml:space="preserve"> </w:t>
      </w:r>
    </w:p>
    <w:p w14:paraId="0EAD9853" w14:textId="77777777" w:rsidR="00982036" w:rsidRPr="00130E08" w:rsidRDefault="00982036" w:rsidP="00982036">
      <w:pPr>
        <w:spacing w:before="120"/>
        <w:rPr>
          <w:sz w:val="28"/>
          <w:szCs w:val="28"/>
        </w:rPr>
      </w:pPr>
      <w:r w:rsidRPr="00130E08">
        <w:rPr>
          <w:sz w:val="28"/>
          <w:szCs w:val="28"/>
        </w:rPr>
        <w:t>Inland Transport Committee</w:t>
      </w:r>
    </w:p>
    <w:p w14:paraId="34B956AF" w14:textId="77777777" w:rsidR="00982036" w:rsidRPr="00130E08" w:rsidRDefault="00982036" w:rsidP="00982036">
      <w:pPr>
        <w:spacing w:before="120"/>
        <w:rPr>
          <w:b/>
          <w:sz w:val="24"/>
          <w:szCs w:val="24"/>
        </w:rPr>
      </w:pPr>
      <w:r w:rsidRPr="00130E08">
        <w:rPr>
          <w:b/>
          <w:sz w:val="24"/>
          <w:szCs w:val="24"/>
        </w:rPr>
        <w:t>Working Party on the Transport of Dangerous Goods</w:t>
      </w:r>
    </w:p>
    <w:p w14:paraId="453F49B2" w14:textId="36D848D2" w:rsidR="00982036" w:rsidRPr="00130E08" w:rsidRDefault="007851CB" w:rsidP="00084795">
      <w:pPr>
        <w:spacing w:before="120"/>
        <w:rPr>
          <w:b/>
        </w:rPr>
      </w:pPr>
      <w:r w:rsidRPr="00130E08">
        <w:rPr>
          <w:b/>
        </w:rPr>
        <w:t>1</w:t>
      </w:r>
      <w:r w:rsidR="009E5870" w:rsidRPr="00130E08">
        <w:rPr>
          <w:b/>
        </w:rPr>
        <w:t>1</w:t>
      </w:r>
      <w:r w:rsidR="004738F0" w:rsidRPr="00130E08">
        <w:rPr>
          <w:b/>
        </w:rPr>
        <w:t>4</w:t>
      </w:r>
      <w:r w:rsidRPr="00130E08">
        <w:rPr>
          <w:b/>
        </w:rPr>
        <w:t>th</w:t>
      </w:r>
      <w:r w:rsidR="00982036" w:rsidRPr="00130E08">
        <w:rPr>
          <w:b/>
        </w:rPr>
        <w:t xml:space="preserve"> session</w:t>
      </w:r>
      <w:r w:rsidR="001D4954" w:rsidRPr="00130E08">
        <w:rPr>
          <w:b/>
        </w:rPr>
        <w:tab/>
      </w:r>
      <w:r w:rsidR="001D4954" w:rsidRPr="00130E08">
        <w:rPr>
          <w:b/>
        </w:rPr>
        <w:tab/>
      </w:r>
      <w:r w:rsidR="001D4954" w:rsidRPr="00130E08">
        <w:rPr>
          <w:b/>
        </w:rPr>
        <w:tab/>
      </w:r>
      <w:r w:rsidR="001D4954" w:rsidRPr="00130E08">
        <w:rPr>
          <w:b/>
        </w:rPr>
        <w:tab/>
      </w:r>
      <w:r w:rsidR="001D4954" w:rsidRPr="00130E08">
        <w:rPr>
          <w:b/>
        </w:rPr>
        <w:tab/>
      </w:r>
      <w:r w:rsidR="001D4954" w:rsidRPr="00130E08">
        <w:rPr>
          <w:b/>
        </w:rPr>
        <w:tab/>
      </w:r>
      <w:r w:rsidR="001D4954" w:rsidRPr="00130E08">
        <w:rPr>
          <w:b/>
        </w:rPr>
        <w:tab/>
      </w:r>
      <w:r w:rsidR="001D4954" w:rsidRPr="00130E08">
        <w:rPr>
          <w:b/>
        </w:rPr>
        <w:tab/>
      </w:r>
      <w:r w:rsidR="001D4954" w:rsidRPr="00130E08">
        <w:rPr>
          <w:b/>
        </w:rPr>
        <w:tab/>
      </w:r>
      <w:r w:rsidR="002709B0" w:rsidRPr="00130E08">
        <w:rPr>
          <w:b/>
        </w:rPr>
        <w:tab/>
      </w:r>
      <w:r w:rsidR="002709B0" w:rsidRPr="00130E08">
        <w:rPr>
          <w:b/>
        </w:rPr>
        <w:tab/>
      </w:r>
      <w:r w:rsidR="0048788C" w:rsidRPr="00130E08">
        <w:rPr>
          <w:b/>
        </w:rPr>
        <w:t>2</w:t>
      </w:r>
      <w:r w:rsidR="00913E4C">
        <w:rPr>
          <w:b/>
        </w:rPr>
        <w:t>3</w:t>
      </w:r>
      <w:r w:rsidR="00481CA8" w:rsidRPr="00130E08">
        <w:rPr>
          <w:b/>
        </w:rPr>
        <w:t xml:space="preserve"> October 2023</w:t>
      </w:r>
    </w:p>
    <w:p w14:paraId="32D3BD42" w14:textId="77777777" w:rsidR="00481CA8" w:rsidRPr="00130E08" w:rsidRDefault="00481CA8" w:rsidP="00481CA8">
      <w:pPr>
        <w:rPr>
          <w:rFonts w:eastAsia="SimSun"/>
        </w:rPr>
      </w:pPr>
      <w:r w:rsidRPr="00130E08">
        <w:rPr>
          <w:rFonts w:eastAsia="SimSun"/>
        </w:rPr>
        <w:t>Geneva, 6-10 November 2023</w:t>
      </w:r>
    </w:p>
    <w:p w14:paraId="6568205C" w14:textId="6A0467EC" w:rsidR="0090465E" w:rsidRPr="00130E08" w:rsidRDefault="0090465E" w:rsidP="0090465E">
      <w:r w:rsidRPr="00130E08">
        <w:t xml:space="preserve">Item </w:t>
      </w:r>
      <w:r w:rsidR="0048788C" w:rsidRPr="00130E08">
        <w:t>4</w:t>
      </w:r>
      <w:r w:rsidRPr="00130E08">
        <w:t xml:space="preserve"> of the provisional agenda</w:t>
      </w:r>
    </w:p>
    <w:p w14:paraId="66AE5DC9" w14:textId="460F4DFE" w:rsidR="0090465E" w:rsidRPr="00130E08" w:rsidRDefault="00AC2978" w:rsidP="0090465E">
      <w:pPr>
        <w:rPr>
          <w:b/>
        </w:rPr>
      </w:pPr>
      <w:r w:rsidRPr="00130E08">
        <w:rPr>
          <w:b/>
          <w:bCs/>
        </w:rPr>
        <w:t>Work of the RID/ADR/ADN Joint Meeting</w:t>
      </w:r>
    </w:p>
    <w:p w14:paraId="3EC21670" w14:textId="77777777" w:rsidR="00B24879" w:rsidRPr="00130E08" w:rsidRDefault="0090465E" w:rsidP="00B24879">
      <w:pPr>
        <w:pStyle w:val="HChG"/>
        <w:rPr>
          <w:lang w:val="en-GB"/>
        </w:rPr>
      </w:pPr>
      <w:r w:rsidRPr="00130E08">
        <w:rPr>
          <w:lang w:val="en-GB"/>
        </w:rPr>
        <w:tab/>
      </w:r>
      <w:r w:rsidRPr="00130E08">
        <w:rPr>
          <w:lang w:val="en-GB"/>
        </w:rPr>
        <w:tab/>
      </w:r>
      <w:r w:rsidR="00B24879" w:rsidRPr="00130E08">
        <w:rPr>
          <w:lang w:val="en-GB"/>
        </w:rPr>
        <w:t>Transport of waste in inner packagings packed together in an outer packaging</w:t>
      </w:r>
    </w:p>
    <w:p w14:paraId="05A39B1D" w14:textId="36E389C0" w:rsidR="005E50D9" w:rsidRPr="00130E08" w:rsidRDefault="00B24879" w:rsidP="00B24879">
      <w:pPr>
        <w:pStyle w:val="H1G"/>
      </w:pPr>
      <w:r w:rsidRPr="00130E08">
        <w:rPr>
          <w:rFonts w:eastAsia="Calibri"/>
        </w:rPr>
        <w:tab/>
      </w:r>
      <w:r w:rsidRPr="00130E08">
        <w:rPr>
          <w:rFonts w:eastAsia="Calibri"/>
        </w:rPr>
        <w:tab/>
      </w:r>
      <w:r w:rsidRPr="00130E08">
        <w:t>Transmitted by the European Federation of Waste Management and Environmental Services (FEAD)</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36293" w:rsidRPr="00130E08" w14:paraId="43FEF835" w14:textId="77777777" w:rsidTr="00036293">
        <w:trPr>
          <w:jc w:val="center"/>
        </w:trPr>
        <w:tc>
          <w:tcPr>
            <w:tcW w:w="9629" w:type="dxa"/>
            <w:shd w:val="clear" w:color="auto" w:fill="auto"/>
          </w:tcPr>
          <w:p w14:paraId="05986FA0" w14:textId="7DAACC53" w:rsidR="00036293" w:rsidRPr="00130E08" w:rsidRDefault="00036293" w:rsidP="00036293">
            <w:pPr>
              <w:spacing w:before="240" w:after="120"/>
              <w:ind w:left="255"/>
              <w:rPr>
                <w:i/>
                <w:sz w:val="24"/>
              </w:rPr>
            </w:pPr>
            <w:r w:rsidRPr="00130E08">
              <w:rPr>
                <w:i/>
                <w:sz w:val="24"/>
                <w:szCs w:val="24"/>
              </w:rPr>
              <w:t>Summary</w:t>
            </w:r>
          </w:p>
        </w:tc>
      </w:tr>
      <w:tr w:rsidR="00036293" w:rsidRPr="00130E08" w14:paraId="32956409" w14:textId="77777777" w:rsidTr="00036293">
        <w:trPr>
          <w:jc w:val="center"/>
        </w:trPr>
        <w:tc>
          <w:tcPr>
            <w:tcW w:w="9629" w:type="dxa"/>
            <w:shd w:val="clear" w:color="auto" w:fill="auto"/>
          </w:tcPr>
          <w:p w14:paraId="1C6D7B93" w14:textId="77777777" w:rsidR="00036293" w:rsidRPr="00130E08" w:rsidRDefault="00036293" w:rsidP="00036293">
            <w:pPr>
              <w:pBdr>
                <w:top w:val="nil"/>
                <w:left w:val="nil"/>
                <w:bottom w:val="nil"/>
                <w:right w:val="nil"/>
                <w:between w:val="nil"/>
              </w:pBdr>
              <w:spacing w:after="120"/>
              <w:ind w:left="3402" w:right="1134" w:hanging="2268"/>
              <w:jc w:val="both"/>
              <w:rPr>
                <w:color w:val="000000"/>
              </w:rPr>
            </w:pPr>
            <w:r w:rsidRPr="00130E08">
              <w:rPr>
                <w:b/>
                <w:color w:val="000000"/>
              </w:rPr>
              <w:t>Executive summary</w:t>
            </w:r>
            <w:r w:rsidRPr="00130E08">
              <w:rPr>
                <w:color w:val="000000"/>
              </w:rPr>
              <w:t>:</w:t>
            </w:r>
            <w:r w:rsidRPr="00130E08">
              <w:rPr>
                <w:color w:val="000000"/>
              </w:rPr>
              <w:tab/>
              <w:t>This document considers the need to introduce a solution to carry waste in inner packagings packed together in an outer packaging where the existing combination packaging rules are not sufficient to cover all the possible variations encountered in the waste management reality, in which often only the inner packagings are available, and a suitable outer packaging has to be added.</w:t>
            </w:r>
          </w:p>
          <w:p w14:paraId="2784F41A" w14:textId="2F2A6DC7" w:rsidR="00036293" w:rsidRPr="00130E08" w:rsidRDefault="00036293" w:rsidP="00FD3054">
            <w:pPr>
              <w:spacing w:after="120"/>
              <w:ind w:left="3402" w:right="1134" w:hanging="2268"/>
              <w:jc w:val="both"/>
            </w:pPr>
            <w:r w:rsidRPr="00130E08">
              <w:rPr>
                <w:b/>
                <w:color w:val="000000"/>
              </w:rPr>
              <w:t>Action to be taken</w:t>
            </w:r>
            <w:r w:rsidRPr="00130E08">
              <w:rPr>
                <w:color w:val="000000"/>
              </w:rPr>
              <w:t>:</w:t>
            </w:r>
            <w:r w:rsidRPr="00130E08">
              <w:rPr>
                <w:color w:val="000000"/>
              </w:rPr>
              <w:tab/>
              <w:t>Introduce a new 4.1.1.5.3 and 5.4.1.1.3.3.</w:t>
            </w:r>
          </w:p>
        </w:tc>
      </w:tr>
      <w:tr w:rsidR="00036293" w:rsidRPr="00130E08" w14:paraId="26A38919" w14:textId="77777777" w:rsidTr="00036293">
        <w:trPr>
          <w:jc w:val="center"/>
        </w:trPr>
        <w:tc>
          <w:tcPr>
            <w:tcW w:w="9629" w:type="dxa"/>
            <w:shd w:val="clear" w:color="auto" w:fill="auto"/>
          </w:tcPr>
          <w:p w14:paraId="282B77E6" w14:textId="77777777" w:rsidR="00036293" w:rsidRPr="00130E08" w:rsidRDefault="00036293" w:rsidP="00FD3054">
            <w:pPr>
              <w:tabs>
                <w:tab w:val="left" w:pos="3386"/>
              </w:tabs>
            </w:pPr>
          </w:p>
        </w:tc>
      </w:tr>
    </w:tbl>
    <w:p w14:paraId="543A44BE" w14:textId="2DF15567" w:rsidR="000203ED" w:rsidRPr="00130E08" w:rsidRDefault="00E12B02" w:rsidP="00E12B02">
      <w:pPr>
        <w:pStyle w:val="HChG"/>
        <w:rPr>
          <w:lang w:val="en-GB"/>
        </w:rPr>
      </w:pPr>
      <w:r w:rsidRPr="00130E08">
        <w:rPr>
          <w:lang w:val="en-GB"/>
        </w:rPr>
        <w:tab/>
        <w:t>I.</w:t>
      </w:r>
      <w:r w:rsidRPr="00130E08">
        <w:rPr>
          <w:lang w:val="en-GB"/>
        </w:rPr>
        <w:tab/>
      </w:r>
      <w:r w:rsidRPr="00130E08">
        <w:rPr>
          <w:lang w:val="en-GB"/>
        </w:rPr>
        <w:tab/>
      </w:r>
      <w:r w:rsidR="000203ED" w:rsidRPr="00130E08">
        <w:rPr>
          <w:lang w:val="en-GB"/>
        </w:rPr>
        <w:t>Introduction</w:t>
      </w:r>
    </w:p>
    <w:p w14:paraId="5A6BFDDF" w14:textId="45C65109" w:rsidR="000203ED" w:rsidRPr="00130E08" w:rsidRDefault="00500E3C" w:rsidP="00500E3C">
      <w:pPr>
        <w:pStyle w:val="SingleTxtG"/>
        <w:rPr>
          <w:lang w:val="en-GB"/>
        </w:rPr>
      </w:pPr>
      <w:r w:rsidRPr="00130E08">
        <w:rPr>
          <w:lang w:val="en-GB"/>
        </w:rPr>
        <w:t>1.</w:t>
      </w:r>
      <w:r w:rsidRPr="00130E08">
        <w:rPr>
          <w:lang w:val="en-GB"/>
        </w:rPr>
        <w:tab/>
      </w:r>
      <w:r w:rsidR="000203ED" w:rsidRPr="00130E08">
        <w:rPr>
          <w:lang w:val="en-GB"/>
        </w:rPr>
        <w:t>4.1.1.5.1 foresees certain variations of inner packaging without further testing of the outer packaging.</w:t>
      </w:r>
    </w:p>
    <w:p w14:paraId="78076DA8" w14:textId="17B99721" w:rsidR="000203ED" w:rsidRPr="00130E08" w:rsidRDefault="00500E3C" w:rsidP="00500E3C">
      <w:pPr>
        <w:pStyle w:val="SingleTxtG"/>
        <w:rPr>
          <w:rFonts w:ascii="Raleway" w:eastAsia="Raleway" w:hAnsi="Raleway" w:cs="Raleway"/>
          <w:smallCaps/>
          <w:color w:val="333333"/>
          <w:sz w:val="23"/>
          <w:szCs w:val="23"/>
          <w:lang w:val="en-GB"/>
        </w:rPr>
      </w:pPr>
      <w:r w:rsidRPr="00130E08">
        <w:rPr>
          <w:rFonts w:eastAsia="Raleway"/>
          <w:smallCaps/>
          <w:color w:val="333333"/>
          <w:lang w:val="en-GB"/>
        </w:rPr>
        <w:t>2.</w:t>
      </w:r>
      <w:r w:rsidRPr="00130E08">
        <w:rPr>
          <w:rFonts w:eastAsia="Raleway"/>
          <w:smallCaps/>
          <w:color w:val="333333"/>
          <w:lang w:val="en-GB"/>
        </w:rPr>
        <w:tab/>
      </w:r>
      <w:r w:rsidR="000203ED" w:rsidRPr="00130E08">
        <w:rPr>
          <w:lang w:val="en-GB"/>
        </w:rPr>
        <w:t>6.1.5.1.7 determines specific testing rules for outer packaging with variations of inner packagings.</w:t>
      </w:r>
    </w:p>
    <w:p w14:paraId="2DF5A8B9" w14:textId="1B3CB645" w:rsidR="000203ED" w:rsidRPr="00130E08" w:rsidRDefault="00500E3C" w:rsidP="00500E3C">
      <w:pPr>
        <w:pStyle w:val="SingleTxtG"/>
        <w:rPr>
          <w:lang w:val="en-GB"/>
        </w:rPr>
      </w:pPr>
      <w:r w:rsidRPr="00130E08">
        <w:rPr>
          <w:lang w:val="en-GB"/>
        </w:rPr>
        <w:t>3.</w:t>
      </w:r>
      <w:r w:rsidRPr="00130E08">
        <w:rPr>
          <w:lang w:val="en-GB"/>
        </w:rPr>
        <w:tab/>
      </w:r>
      <w:r w:rsidR="000203ED" w:rsidRPr="00130E08">
        <w:rPr>
          <w:lang w:val="en-GB"/>
        </w:rPr>
        <w:t>Original products are packed in a combination packaging, specifically tested for that purpose (see RID/ADR 6.1.5). For waste collection, often only the inner packaging remains available (see pictures</w:t>
      </w:r>
      <w:r w:rsidR="00A25F95" w:rsidRPr="00130E08">
        <w:rPr>
          <w:lang w:val="en-GB"/>
        </w:rPr>
        <w:t xml:space="preserve"> below</w:t>
      </w:r>
      <w:r w:rsidR="000203ED" w:rsidRPr="00130E08">
        <w:rPr>
          <w:lang w:val="en-GB"/>
        </w:rPr>
        <w:t xml:space="preserve">). This waste must be sorted, according to its hazardous properties, and be packed fulfilling all the requirements of RID/ADR. </w:t>
      </w:r>
    </w:p>
    <w:p w14:paraId="45B2B922" w14:textId="4E344C7F" w:rsidR="000203ED" w:rsidRPr="00130E08" w:rsidRDefault="00500E3C" w:rsidP="00500E3C">
      <w:pPr>
        <w:pStyle w:val="SingleTxtG"/>
        <w:rPr>
          <w:lang w:val="en-GB"/>
        </w:rPr>
      </w:pPr>
      <w:r w:rsidRPr="00130E08">
        <w:rPr>
          <w:lang w:val="en-GB"/>
        </w:rPr>
        <w:t>4.</w:t>
      </w:r>
      <w:r w:rsidRPr="00130E08">
        <w:rPr>
          <w:lang w:val="en-GB"/>
        </w:rPr>
        <w:tab/>
      </w:r>
      <w:r w:rsidR="000203ED" w:rsidRPr="00130E08">
        <w:rPr>
          <w:lang w:val="en-GB"/>
        </w:rPr>
        <w:t>The variations foreseen under 4.1.1.5.1 and even the provisions in 6.1.5.1.7 are too strict for the waste management as the existing variations of inner packaging are much wider as those foreseen under 4.1.1.5.1 or the packaging cannot be correctly used in accordance with the certification under 6.1.5.1.7. Also, for safety reasons it is not realistic to repack each single packaging containing waste. Hence, there is a lack of a simple legal solution available to replace the missing outer packaging.</w:t>
      </w:r>
    </w:p>
    <w:p w14:paraId="4B3CCDB1" w14:textId="1371475B" w:rsidR="000203ED" w:rsidRPr="00130E08" w:rsidRDefault="00500E3C" w:rsidP="00500E3C">
      <w:pPr>
        <w:pStyle w:val="SingleTxtG"/>
        <w:rPr>
          <w:lang w:val="en-GB"/>
        </w:rPr>
      </w:pPr>
      <w:r w:rsidRPr="00130E08">
        <w:rPr>
          <w:lang w:val="en-GB"/>
        </w:rPr>
        <w:t>5.</w:t>
      </w:r>
      <w:r w:rsidRPr="00130E08">
        <w:rPr>
          <w:lang w:val="en-GB"/>
        </w:rPr>
        <w:tab/>
      </w:r>
      <w:r w:rsidR="000203ED" w:rsidRPr="00130E08">
        <w:rPr>
          <w:lang w:val="en-GB"/>
        </w:rPr>
        <w:t>In absence of applicable rules in RID/ADR, some countries have developed their national derogations to provide solutions for the waste management. Therefore, there is a need for harmonised rules that ensure a level playing field between countries and allow for international transports.</w:t>
      </w:r>
    </w:p>
    <w:p w14:paraId="76ABD6BD" w14:textId="3A68D262" w:rsidR="000203ED" w:rsidRPr="00130E08" w:rsidRDefault="00500E3C" w:rsidP="00500E3C">
      <w:pPr>
        <w:pStyle w:val="SingleTxtG"/>
        <w:rPr>
          <w:lang w:val="en-GB"/>
        </w:rPr>
      </w:pPr>
      <w:r w:rsidRPr="00130E08">
        <w:rPr>
          <w:lang w:val="en-GB"/>
        </w:rPr>
        <w:t>6.</w:t>
      </w:r>
      <w:r w:rsidRPr="00130E08">
        <w:rPr>
          <w:lang w:val="en-GB"/>
        </w:rPr>
        <w:tab/>
      </w:r>
      <w:r w:rsidR="000203ED" w:rsidRPr="00130E08">
        <w:rPr>
          <w:lang w:val="en-GB"/>
        </w:rPr>
        <w:t>The following pictures show situations faced daily by the waste management sector:</w:t>
      </w:r>
    </w:p>
    <w:p w14:paraId="395A0FE4" w14:textId="77777777" w:rsidR="000203ED" w:rsidRPr="00130E08" w:rsidRDefault="000203ED" w:rsidP="000203ED">
      <w:pPr>
        <w:pBdr>
          <w:top w:val="nil"/>
          <w:left w:val="nil"/>
          <w:bottom w:val="nil"/>
          <w:right w:val="nil"/>
          <w:between w:val="nil"/>
        </w:pBdr>
        <w:spacing w:after="120"/>
        <w:ind w:left="1134"/>
        <w:jc w:val="center"/>
        <w:rPr>
          <w:color w:val="000000"/>
        </w:rPr>
      </w:pPr>
      <w:r w:rsidRPr="00130E08">
        <w:rPr>
          <w:noProof/>
          <w:color w:val="000000"/>
        </w:rPr>
        <w:lastRenderedPageBreak/>
        <w:drawing>
          <wp:inline distT="0" distB="0" distL="0" distR="0" wp14:anchorId="2DF92E1E" wp14:editId="4B6AF6C3">
            <wp:extent cx="3034030" cy="2040255"/>
            <wp:effectExtent l="0" t="0" r="0" b="0"/>
            <wp:docPr id="3" name="image4.jpg" descr="A picture containing trash,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rash, several&#10;&#10;Description automatically generated"/>
                    <pic:cNvPicPr preferRelativeResize="0"/>
                  </pic:nvPicPr>
                  <pic:blipFill>
                    <a:blip r:embed="rId11"/>
                    <a:srcRect t="10619" r="-2" b="-2"/>
                    <a:stretch>
                      <a:fillRect/>
                    </a:stretch>
                  </pic:blipFill>
                  <pic:spPr>
                    <a:xfrm>
                      <a:off x="0" y="0"/>
                      <a:ext cx="3034030" cy="2040255"/>
                    </a:xfrm>
                    <a:prstGeom prst="rect">
                      <a:avLst/>
                    </a:prstGeom>
                    <a:ln/>
                  </pic:spPr>
                </pic:pic>
              </a:graphicData>
            </a:graphic>
          </wp:inline>
        </w:drawing>
      </w:r>
    </w:p>
    <w:p w14:paraId="4F2061CA" w14:textId="22B4F0B6" w:rsidR="000203ED" w:rsidRPr="00130E08" w:rsidRDefault="000203ED" w:rsidP="000203ED">
      <w:pPr>
        <w:pBdr>
          <w:top w:val="nil"/>
          <w:left w:val="nil"/>
          <w:bottom w:val="nil"/>
          <w:right w:val="nil"/>
          <w:between w:val="nil"/>
        </w:pBdr>
        <w:spacing w:after="120"/>
        <w:ind w:left="1134" w:right="1134"/>
        <w:jc w:val="center"/>
        <w:rPr>
          <w:color w:val="000000"/>
        </w:rPr>
      </w:pPr>
      <w:r w:rsidRPr="00130E08">
        <w:rPr>
          <w:color w:val="000000"/>
        </w:rPr>
        <w:t>Fig.</w:t>
      </w:r>
      <w:r w:rsidR="00564B71" w:rsidRPr="00130E08">
        <w:rPr>
          <w:color w:val="000000"/>
        </w:rPr>
        <w:t xml:space="preserve"> </w:t>
      </w:r>
      <w:r w:rsidRPr="00130E08">
        <w:rPr>
          <w:color w:val="000000"/>
        </w:rPr>
        <w:t>1: unsorted waste offered for disposal</w:t>
      </w:r>
      <w:r w:rsidR="004B3E9B" w:rsidRPr="00130E08">
        <w:rPr>
          <w:color w:val="000000"/>
        </w:rPr>
        <w:t>.</w:t>
      </w:r>
    </w:p>
    <w:p w14:paraId="2854528F" w14:textId="77777777" w:rsidR="000203ED" w:rsidRPr="00130E08" w:rsidRDefault="000203ED" w:rsidP="000203ED">
      <w:pPr>
        <w:pBdr>
          <w:top w:val="nil"/>
          <w:left w:val="nil"/>
          <w:bottom w:val="nil"/>
          <w:right w:val="nil"/>
          <w:between w:val="nil"/>
        </w:pBdr>
        <w:spacing w:after="120"/>
        <w:ind w:left="1134"/>
        <w:jc w:val="center"/>
        <w:rPr>
          <w:color w:val="000000"/>
        </w:rPr>
      </w:pPr>
      <w:r w:rsidRPr="00130E08">
        <w:rPr>
          <w:noProof/>
          <w:color w:val="000000"/>
        </w:rPr>
        <w:drawing>
          <wp:inline distT="0" distB="0" distL="0" distR="0" wp14:anchorId="618963B7" wp14:editId="6EC34B41">
            <wp:extent cx="2013585" cy="3002280"/>
            <wp:effectExtent l="0" t="0" r="0" b="0"/>
            <wp:docPr id="2" name="image5.jpg"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indoor&#10;&#10;Description automatically generated"/>
                    <pic:cNvPicPr preferRelativeResize="0"/>
                  </pic:nvPicPr>
                  <pic:blipFill>
                    <a:blip r:embed="rId12"/>
                    <a:srcRect l="10440" r="39279" b="-2"/>
                    <a:stretch>
                      <a:fillRect/>
                    </a:stretch>
                  </pic:blipFill>
                  <pic:spPr>
                    <a:xfrm rot="5400000">
                      <a:off x="0" y="0"/>
                      <a:ext cx="2013585" cy="3002280"/>
                    </a:xfrm>
                    <a:prstGeom prst="rect">
                      <a:avLst/>
                    </a:prstGeom>
                    <a:ln/>
                  </pic:spPr>
                </pic:pic>
              </a:graphicData>
            </a:graphic>
          </wp:inline>
        </w:drawing>
      </w:r>
    </w:p>
    <w:p w14:paraId="45EFF910" w14:textId="2AEEBE0C" w:rsidR="000203ED" w:rsidRPr="00130E08" w:rsidRDefault="000203ED" w:rsidP="009A208A">
      <w:pPr>
        <w:pBdr>
          <w:top w:val="nil"/>
          <w:left w:val="nil"/>
          <w:bottom w:val="nil"/>
          <w:right w:val="nil"/>
          <w:between w:val="nil"/>
        </w:pBdr>
        <w:spacing w:after="120"/>
        <w:ind w:left="2268" w:right="1134"/>
        <w:jc w:val="center"/>
        <w:rPr>
          <w:color w:val="000000"/>
        </w:rPr>
      </w:pPr>
      <w:r w:rsidRPr="00130E08">
        <w:rPr>
          <w:color w:val="000000"/>
        </w:rPr>
        <w:t>Fig.</w:t>
      </w:r>
      <w:r w:rsidR="007F1052" w:rsidRPr="00130E08">
        <w:rPr>
          <w:color w:val="000000"/>
        </w:rPr>
        <w:t xml:space="preserve"> </w:t>
      </w:r>
      <w:r w:rsidRPr="00130E08">
        <w:rPr>
          <w:color w:val="000000"/>
        </w:rPr>
        <w:t>2: university laboratory waste offered for disposal</w:t>
      </w:r>
      <w:r w:rsidR="004B3E9B" w:rsidRPr="00130E08">
        <w:rPr>
          <w:color w:val="000000"/>
        </w:rPr>
        <w:t>.</w:t>
      </w:r>
    </w:p>
    <w:p w14:paraId="0D66268F" w14:textId="37971762" w:rsidR="000203ED" w:rsidRPr="00130E08" w:rsidRDefault="00500E3C" w:rsidP="00500E3C">
      <w:pPr>
        <w:pStyle w:val="SingleTxtG"/>
        <w:rPr>
          <w:lang w:val="en-GB"/>
        </w:rPr>
      </w:pPr>
      <w:r w:rsidRPr="00130E08">
        <w:rPr>
          <w:lang w:val="en-GB"/>
        </w:rPr>
        <w:t>7.</w:t>
      </w:r>
      <w:r w:rsidRPr="00130E08">
        <w:rPr>
          <w:lang w:val="en-GB"/>
        </w:rPr>
        <w:tab/>
      </w:r>
      <w:r w:rsidR="000203ED" w:rsidRPr="00130E08">
        <w:rPr>
          <w:lang w:val="en-GB"/>
        </w:rPr>
        <w:t>This proposal clarifies the situation faced in waste management and does not increase the current risk level.</w:t>
      </w:r>
    </w:p>
    <w:p w14:paraId="772685E2" w14:textId="4B47C749" w:rsidR="000203ED" w:rsidRPr="00130E08" w:rsidRDefault="00500E3C" w:rsidP="00500E3C">
      <w:pPr>
        <w:pStyle w:val="SingleTxtG"/>
        <w:rPr>
          <w:lang w:val="en-GB"/>
        </w:rPr>
      </w:pPr>
      <w:r w:rsidRPr="00130E08">
        <w:rPr>
          <w:lang w:val="en-GB"/>
        </w:rPr>
        <w:t>8.</w:t>
      </w:r>
      <w:r w:rsidRPr="00130E08">
        <w:rPr>
          <w:lang w:val="en-GB"/>
        </w:rPr>
        <w:tab/>
      </w:r>
      <w:r w:rsidR="000203ED" w:rsidRPr="00130E08">
        <w:rPr>
          <w:lang w:val="en-GB"/>
        </w:rPr>
        <w:t xml:space="preserve">The proposal has been discussed at the Joint Meeting of the RID Committee of Experts and the Working Party on the Transport of Dangerous Goods (WP.15/AC.1) and within the </w:t>
      </w:r>
      <w:r w:rsidR="00976BF8" w:rsidRPr="00130E08">
        <w:rPr>
          <w:lang w:val="en-GB"/>
        </w:rPr>
        <w:t>informal</w:t>
      </w:r>
      <w:r w:rsidR="000203ED" w:rsidRPr="00130E08">
        <w:rPr>
          <w:lang w:val="en-GB"/>
        </w:rPr>
        <w:t xml:space="preserve"> working group on the Transport of Hazardous Waste.</w:t>
      </w:r>
    </w:p>
    <w:p w14:paraId="28EA106E" w14:textId="6FFCFA80" w:rsidR="000203ED" w:rsidRPr="00130E08" w:rsidRDefault="00500E3C" w:rsidP="00500E3C">
      <w:pPr>
        <w:pStyle w:val="SingleTxtG"/>
        <w:rPr>
          <w:lang w:val="en-GB"/>
        </w:rPr>
      </w:pPr>
      <w:r w:rsidRPr="00130E08">
        <w:rPr>
          <w:lang w:val="en-GB"/>
        </w:rPr>
        <w:t>9.</w:t>
      </w:r>
      <w:r w:rsidRPr="00130E08">
        <w:rPr>
          <w:lang w:val="en-GB"/>
        </w:rPr>
        <w:tab/>
      </w:r>
      <w:r w:rsidR="000203ED" w:rsidRPr="00130E08">
        <w:rPr>
          <w:lang w:val="en-GB"/>
        </w:rPr>
        <w:t xml:space="preserve">In September 2023, the </w:t>
      </w:r>
      <w:r w:rsidR="000B2C58" w:rsidRPr="00130E08">
        <w:rPr>
          <w:lang w:val="en-GB"/>
        </w:rPr>
        <w:t xml:space="preserve">RID/ADR/ADN </w:t>
      </w:r>
      <w:r w:rsidR="000203ED" w:rsidRPr="00130E08">
        <w:rPr>
          <w:lang w:val="en-GB"/>
        </w:rPr>
        <w:t>Joint Meeting adopted the amendments submitted in informal document INF.39/Rev.1 and agreed to keep them in square brackets (see annex III of the report), subject to a further review by WP.15 and the RID Committee of Experts’ standing working group during their forthcoming sessions. FEAD agreed to submit an informal document to WP.15 and the RID Committee of Experts’ standing working group for this purpose.</w:t>
      </w:r>
    </w:p>
    <w:p w14:paraId="36850B0D" w14:textId="620EC104" w:rsidR="000203ED" w:rsidRPr="00130E08" w:rsidRDefault="000203ED" w:rsidP="00500E3C">
      <w:pPr>
        <w:pStyle w:val="HChG"/>
        <w:rPr>
          <w:lang w:val="en-GB"/>
        </w:rPr>
      </w:pPr>
      <w:r w:rsidRPr="00130E08">
        <w:rPr>
          <w:lang w:val="en-GB"/>
        </w:rPr>
        <w:tab/>
      </w:r>
      <w:r w:rsidR="00500E3C" w:rsidRPr="00130E08">
        <w:rPr>
          <w:lang w:val="en-GB"/>
        </w:rPr>
        <w:t>II.</w:t>
      </w:r>
      <w:r w:rsidR="00500E3C" w:rsidRPr="00130E08">
        <w:rPr>
          <w:lang w:val="en-GB"/>
        </w:rPr>
        <w:tab/>
      </w:r>
      <w:r w:rsidRPr="00130E08">
        <w:rPr>
          <w:lang w:val="en-GB"/>
        </w:rPr>
        <w:t>Proposal</w:t>
      </w:r>
    </w:p>
    <w:p w14:paraId="2905C951" w14:textId="1B82E522" w:rsidR="000203ED" w:rsidRPr="00130E08" w:rsidRDefault="00500E3C" w:rsidP="00500E3C">
      <w:pPr>
        <w:pStyle w:val="SingleTxtG"/>
        <w:rPr>
          <w:color w:val="000000"/>
          <w:lang w:val="en-GB"/>
        </w:rPr>
      </w:pPr>
      <w:r w:rsidRPr="00130E08">
        <w:rPr>
          <w:color w:val="000000"/>
          <w:lang w:val="en-GB"/>
        </w:rPr>
        <w:t>10.</w:t>
      </w:r>
      <w:r w:rsidRPr="00130E08">
        <w:rPr>
          <w:color w:val="000000"/>
          <w:lang w:val="en-GB"/>
        </w:rPr>
        <w:tab/>
      </w:r>
      <w:r w:rsidR="000203ED" w:rsidRPr="00130E08">
        <w:rPr>
          <w:color w:val="000000"/>
          <w:lang w:val="en-GB"/>
        </w:rPr>
        <w:t xml:space="preserve">After further discussion on the derogation clause in paragraph (b) within the </w:t>
      </w:r>
      <w:r w:rsidR="0094125F" w:rsidRPr="00130E08">
        <w:rPr>
          <w:color w:val="000000"/>
          <w:lang w:val="en-GB"/>
        </w:rPr>
        <w:t>informal</w:t>
      </w:r>
      <w:r w:rsidR="000203ED" w:rsidRPr="00130E08">
        <w:rPr>
          <w:color w:val="000000"/>
          <w:lang w:val="en-GB"/>
        </w:rPr>
        <w:t xml:space="preserve"> </w:t>
      </w:r>
      <w:r w:rsidR="00FB30BE" w:rsidRPr="00130E08">
        <w:rPr>
          <w:color w:val="000000"/>
          <w:lang w:val="en-GB"/>
        </w:rPr>
        <w:t>working</w:t>
      </w:r>
      <w:r w:rsidR="000203ED" w:rsidRPr="00130E08">
        <w:rPr>
          <w:color w:val="000000"/>
          <w:lang w:val="en-GB"/>
        </w:rPr>
        <w:t xml:space="preserve"> </w:t>
      </w:r>
      <w:r w:rsidR="00073C7F" w:rsidRPr="00130E08">
        <w:rPr>
          <w:color w:val="000000"/>
          <w:lang w:val="en-GB"/>
        </w:rPr>
        <w:t>group</w:t>
      </w:r>
      <w:r w:rsidR="000203ED" w:rsidRPr="00130E08">
        <w:rPr>
          <w:color w:val="000000"/>
          <w:lang w:val="en-GB"/>
        </w:rPr>
        <w:t xml:space="preserve"> on waste, </w:t>
      </w:r>
      <w:r w:rsidR="000203ED" w:rsidRPr="00130E08">
        <w:rPr>
          <w:lang w:val="en-GB"/>
        </w:rPr>
        <w:t xml:space="preserve">FEAD suggests adding the following new 4.1.1.5.3. Text added after the </w:t>
      </w:r>
      <w:r w:rsidR="00073C7F" w:rsidRPr="00130E08">
        <w:rPr>
          <w:lang w:val="en-GB"/>
        </w:rPr>
        <w:t xml:space="preserve">RID/ADR/ADN </w:t>
      </w:r>
      <w:r w:rsidR="000203ED" w:rsidRPr="00130E08">
        <w:rPr>
          <w:lang w:val="en-GB"/>
        </w:rPr>
        <w:t>Joint Meeting in Geneva is underlined and bold. The propos</w:t>
      </w:r>
      <w:r w:rsidR="0094125F" w:rsidRPr="00130E08">
        <w:rPr>
          <w:lang w:val="en-GB"/>
        </w:rPr>
        <w:t>ed</w:t>
      </w:r>
      <w:r w:rsidR="000203ED" w:rsidRPr="00130E08">
        <w:rPr>
          <w:lang w:val="en-GB"/>
        </w:rPr>
        <w:t xml:space="preserve"> text is written first in English and </w:t>
      </w:r>
      <w:r w:rsidR="00130E08" w:rsidRPr="00130E08">
        <w:rPr>
          <w:lang w:val="en-GB"/>
        </w:rPr>
        <w:t xml:space="preserve">then </w:t>
      </w:r>
      <w:r w:rsidR="000203ED" w:rsidRPr="00130E08">
        <w:rPr>
          <w:lang w:val="en-GB"/>
        </w:rPr>
        <w:t>below in French.</w:t>
      </w:r>
    </w:p>
    <w:p w14:paraId="16DA4838" w14:textId="5B080301" w:rsidR="000203ED" w:rsidRPr="00130E08" w:rsidRDefault="000203ED" w:rsidP="000203ED">
      <w:pPr>
        <w:pStyle w:val="SingleTxtG"/>
        <w:ind w:left="2268" w:right="850" w:hanging="1134"/>
        <w:rPr>
          <w:lang w:val="en-GB"/>
        </w:rPr>
      </w:pPr>
      <w:r w:rsidRPr="00130E08">
        <w:rPr>
          <w:lang w:val="en-GB"/>
        </w:rPr>
        <w:t>“4.1.1.5.3</w:t>
      </w:r>
      <w:r w:rsidRPr="00130E08">
        <w:rPr>
          <w:lang w:val="en-GB"/>
        </w:rPr>
        <w:tab/>
        <w:t xml:space="preserve">For the carriage of waste, other than articles, inner packagings of different sizes and shapes, containing liquids or solids, can e packed together in one outer packaging, provided that the following conditions are met: </w:t>
      </w:r>
    </w:p>
    <w:p w14:paraId="4F114F54" w14:textId="77777777" w:rsidR="000203ED" w:rsidRPr="00130E08" w:rsidRDefault="000203ED" w:rsidP="000203ED">
      <w:pPr>
        <w:pStyle w:val="SingleTxtG"/>
        <w:ind w:left="2835" w:right="850" w:hanging="567"/>
        <w:rPr>
          <w:lang w:val="en-GB"/>
        </w:rPr>
      </w:pPr>
      <w:r w:rsidRPr="00130E08">
        <w:rPr>
          <w:lang w:val="en-GB"/>
        </w:rPr>
        <w:t>(a)</w:t>
      </w:r>
      <w:r w:rsidRPr="00130E08">
        <w:rPr>
          <w:lang w:val="en-GB"/>
        </w:rPr>
        <w:tab/>
        <w:t xml:space="preserve">The waste carried in each inner packaging is not classified as class 1, 2, 6.2 or 7; </w:t>
      </w:r>
    </w:p>
    <w:p w14:paraId="661D3230" w14:textId="77777777" w:rsidR="000203ED" w:rsidRPr="00130E08" w:rsidRDefault="000203ED" w:rsidP="000203ED">
      <w:pPr>
        <w:pStyle w:val="SingleTxtG"/>
        <w:ind w:left="2835" w:right="850" w:hanging="567"/>
        <w:rPr>
          <w:lang w:val="en-GB"/>
        </w:rPr>
      </w:pPr>
      <w:r w:rsidRPr="00130E08">
        <w:rPr>
          <w:lang w:val="en-GB"/>
        </w:rPr>
        <w:t>(b)</w:t>
      </w:r>
      <w:r w:rsidRPr="00130E08">
        <w:rPr>
          <w:lang w:val="en-GB"/>
        </w:rPr>
        <w:tab/>
        <w:t xml:space="preserve">By derogation from </w:t>
      </w:r>
      <w:r w:rsidRPr="00130E08">
        <w:rPr>
          <w:b/>
          <w:color w:val="000000"/>
          <w:u w:val="single"/>
          <w:lang w:val="en-GB"/>
        </w:rPr>
        <w:t>4.1.1.5, 4.1.1.5.1, 4.1.1.5.2, 4.1.1.21, 4.1.3.1 to 4.1.3.5, 4.1.3.7, 4.1.4, 6.1.5.2.1, 6.5.6.1.2 and 6.6.5.2.1,</w:t>
      </w:r>
    </w:p>
    <w:p w14:paraId="091B5221" w14:textId="77777777" w:rsidR="000203ED" w:rsidRPr="00130E08" w:rsidRDefault="000203ED" w:rsidP="000203ED">
      <w:pPr>
        <w:pStyle w:val="SingleTxtG"/>
        <w:ind w:left="3402" w:right="850" w:hanging="567"/>
        <w:rPr>
          <w:lang w:val="en-GB"/>
        </w:rPr>
      </w:pPr>
      <w:r w:rsidRPr="00130E08">
        <w:rPr>
          <w:lang w:val="en-GB"/>
        </w:rPr>
        <w:lastRenderedPageBreak/>
        <w:t>(i)</w:t>
      </w:r>
      <w:r w:rsidRPr="00130E08">
        <w:rPr>
          <w:lang w:val="en-GB"/>
        </w:rPr>
        <w:tab/>
        <w:t xml:space="preserve">The outer packaging is one of the following types: </w:t>
      </w:r>
    </w:p>
    <w:p w14:paraId="782A64AC" w14:textId="77777777" w:rsidR="000203ED" w:rsidRPr="00130E08" w:rsidRDefault="000203ED" w:rsidP="000203ED">
      <w:pPr>
        <w:pStyle w:val="SingleTxtG"/>
        <w:ind w:left="3969" w:right="850" w:hanging="567"/>
        <w:rPr>
          <w:lang w:val="en-GB"/>
        </w:rPr>
      </w:pPr>
      <w:r w:rsidRPr="00130E08">
        <w:rPr>
          <w:lang w:val="en-GB"/>
        </w:rPr>
        <w:t>-</w:t>
      </w:r>
      <w:r w:rsidRPr="00130E08">
        <w:rPr>
          <w:lang w:val="en-GB"/>
        </w:rPr>
        <w:tab/>
        <w:t xml:space="preserve">1H2, 1A2, 3A2, 3H1, 3H2, 4A or 4H2, </w:t>
      </w:r>
    </w:p>
    <w:p w14:paraId="0D650C87" w14:textId="77777777" w:rsidR="000203ED" w:rsidRPr="00130E08" w:rsidRDefault="000203ED" w:rsidP="000203ED">
      <w:pPr>
        <w:pStyle w:val="SingleTxtG"/>
        <w:ind w:left="3969" w:right="850" w:hanging="567"/>
        <w:rPr>
          <w:lang w:val="en-GB"/>
        </w:rPr>
      </w:pPr>
      <w:r w:rsidRPr="00130E08">
        <w:rPr>
          <w:lang w:val="en-GB"/>
        </w:rPr>
        <w:t>-</w:t>
      </w:r>
      <w:r w:rsidRPr="00130E08">
        <w:rPr>
          <w:lang w:val="en-GB"/>
        </w:rPr>
        <w:tab/>
        <w:t xml:space="preserve">11A, 11H1 or 11H2, </w:t>
      </w:r>
    </w:p>
    <w:p w14:paraId="789E5C33" w14:textId="77777777" w:rsidR="000203ED" w:rsidRPr="00130E08" w:rsidRDefault="000203ED" w:rsidP="000203ED">
      <w:pPr>
        <w:pStyle w:val="SingleTxtG"/>
        <w:ind w:left="3969" w:right="850" w:hanging="567"/>
        <w:rPr>
          <w:lang w:val="en-GB"/>
        </w:rPr>
      </w:pPr>
      <w:r w:rsidRPr="00130E08">
        <w:rPr>
          <w:lang w:val="en-GB"/>
        </w:rPr>
        <w:t>-</w:t>
      </w:r>
      <w:r w:rsidRPr="00130E08">
        <w:rPr>
          <w:lang w:val="en-GB"/>
        </w:rPr>
        <w:tab/>
        <w:t>50A or 50H;</w:t>
      </w:r>
    </w:p>
    <w:p w14:paraId="6E440377" w14:textId="77777777" w:rsidR="000203ED" w:rsidRPr="00130E08" w:rsidRDefault="000203ED" w:rsidP="000203ED">
      <w:pPr>
        <w:pStyle w:val="SingleTxtG"/>
        <w:ind w:left="3402" w:right="850" w:hanging="567"/>
        <w:rPr>
          <w:lang w:val="en-GB"/>
        </w:rPr>
      </w:pPr>
      <w:r w:rsidRPr="00130E08">
        <w:rPr>
          <w:lang w:val="en-GB"/>
        </w:rPr>
        <w:t>(ii)</w:t>
      </w:r>
      <w:r w:rsidRPr="00130E08">
        <w:rPr>
          <w:lang w:val="en-GB"/>
        </w:rPr>
        <w:tab/>
        <w:t xml:space="preserve">The outer packaging is tested for packing group I; </w:t>
      </w:r>
    </w:p>
    <w:p w14:paraId="4245DEA5" w14:textId="77777777" w:rsidR="000203ED" w:rsidRPr="00130E08" w:rsidRDefault="000203ED" w:rsidP="000203ED">
      <w:pPr>
        <w:pStyle w:val="SingleTxtG"/>
        <w:ind w:left="3402" w:right="850" w:hanging="567"/>
        <w:rPr>
          <w:lang w:val="en-GB"/>
        </w:rPr>
      </w:pPr>
      <w:r w:rsidRPr="00130E08">
        <w:rPr>
          <w:lang w:val="en-GB"/>
        </w:rPr>
        <w:t>(iii)</w:t>
      </w:r>
      <w:r w:rsidRPr="00130E08">
        <w:rPr>
          <w:lang w:val="en-GB"/>
        </w:rPr>
        <w:tab/>
        <w:t xml:space="preserve">The outer packaging does not need to be tested according to the tests required for packagings intended to contain liquids, but it shall be capable of retaining liquids under normal conditions of carriage; </w:t>
      </w:r>
    </w:p>
    <w:p w14:paraId="0D7B47DF" w14:textId="77777777" w:rsidR="000203ED" w:rsidRPr="00130E08" w:rsidRDefault="000203ED" w:rsidP="000203ED">
      <w:pPr>
        <w:pStyle w:val="SingleTxtG"/>
        <w:ind w:left="3402" w:right="850" w:hanging="567"/>
        <w:rPr>
          <w:lang w:val="en-GB"/>
        </w:rPr>
      </w:pPr>
      <w:r w:rsidRPr="00130E08">
        <w:rPr>
          <w:lang w:val="en-GB"/>
        </w:rPr>
        <w:t>(iv)</w:t>
      </w:r>
      <w:r w:rsidRPr="00130E08">
        <w:rPr>
          <w:lang w:val="en-GB"/>
        </w:rPr>
        <w:tab/>
        <w:t>Sufficient cushioning material is used to prevent significant movement of the inner packagings under normal conditions of transport;</w:t>
      </w:r>
    </w:p>
    <w:p w14:paraId="4D80E704" w14:textId="77777777" w:rsidR="000203ED" w:rsidRPr="00130E08" w:rsidRDefault="000203ED" w:rsidP="000203ED">
      <w:pPr>
        <w:pStyle w:val="SingleTxtG"/>
        <w:ind w:left="3402" w:right="850" w:hanging="567"/>
        <w:rPr>
          <w:lang w:val="en-GB"/>
        </w:rPr>
      </w:pPr>
      <w:r w:rsidRPr="00130E08">
        <w:rPr>
          <w:lang w:val="en-GB"/>
        </w:rPr>
        <w:t>(v)</w:t>
      </w:r>
      <w:r w:rsidRPr="00130E08">
        <w:rPr>
          <w:lang w:val="en-GB"/>
        </w:rPr>
        <w:tab/>
        <w:t xml:space="preserve">If the outer packaging contains inner packagings that are liable to break easily, such as those made of glass, porcelain or stoneware, or non-leakproof inner packagings, the outer packaging has a means of retaining any free liquid that might escape from the inner packagings during carriage, e.g. absorbent material or other equally efficient means of retainment; </w:t>
      </w:r>
    </w:p>
    <w:p w14:paraId="652B5659" w14:textId="77777777" w:rsidR="000203ED" w:rsidRPr="00130E08" w:rsidRDefault="000203ED" w:rsidP="000203ED">
      <w:pPr>
        <w:pStyle w:val="SingleTxtG"/>
        <w:ind w:left="3402" w:right="850" w:hanging="567"/>
        <w:rPr>
          <w:lang w:val="en-GB"/>
        </w:rPr>
      </w:pPr>
      <w:r w:rsidRPr="00130E08">
        <w:rPr>
          <w:lang w:val="en-GB"/>
        </w:rPr>
        <w:t>(vi)</w:t>
      </w:r>
      <w:r w:rsidRPr="00130E08">
        <w:rPr>
          <w:lang w:val="en-GB"/>
        </w:rPr>
        <w:tab/>
        <w:t>For polyethylene outer packaging, proof of sufficient chemical compatibility is deemed to have been provided if the chemical compatibility of the material of the outer packaging with all the standard liquids described in 6.1.6.1 has been verified as part of a design type test and approval for packaging of the same material with code 1H1 or 3H1;</w:t>
      </w:r>
    </w:p>
    <w:p w14:paraId="4A9C82A0" w14:textId="77777777" w:rsidR="000203ED" w:rsidRPr="00130E08" w:rsidRDefault="000203ED" w:rsidP="000203ED">
      <w:pPr>
        <w:pStyle w:val="SingleTxtG"/>
        <w:ind w:left="2835" w:right="850" w:hanging="567"/>
        <w:rPr>
          <w:lang w:val="en-GB"/>
        </w:rPr>
      </w:pPr>
      <w:r w:rsidRPr="00130E08">
        <w:rPr>
          <w:lang w:val="en-GB"/>
        </w:rPr>
        <w:t>(c)</w:t>
      </w:r>
      <w:r w:rsidRPr="00130E08">
        <w:rPr>
          <w:lang w:val="en-GB"/>
        </w:rPr>
        <w:tab/>
        <w:t>Depending on the waste identified in each inner packaging, inner packagings are packed together in an appropriate outer packaging only by trained and competent personnel in accordance with 1.3.2.2, with the use of instructions or procedures ensuring compliance with 4.1.1.6 and the provisions of mixed packing of 4.1.10.4;</w:t>
      </w:r>
    </w:p>
    <w:p w14:paraId="714C1C59" w14:textId="77777777" w:rsidR="000203ED" w:rsidRPr="00130E08" w:rsidRDefault="000203ED" w:rsidP="000203ED">
      <w:pPr>
        <w:pStyle w:val="SingleTxtG"/>
        <w:ind w:left="2835" w:right="850" w:hanging="567"/>
        <w:rPr>
          <w:lang w:val="en-GB"/>
        </w:rPr>
      </w:pPr>
      <w:r w:rsidRPr="00130E08">
        <w:rPr>
          <w:lang w:val="en-GB"/>
        </w:rPr>
        <w:t>(d)</w:t>
      </w:r>
      <w:r w:rsidRPr="00130E08">
        <w:rPr>
          <w:lang w:val="en-GB"/>
        </w:rPr>
        <w:tab/>
        <w:t>The waste contained in one outer packaging is assigned to the most appropriate entry. More than one entry may be used, if needed. In derogation of 5.1.4, the only marking and labelling on the outer packaging corresponds to the entry or entries assigned to the outer packaging.”</w:t>
      </w:r>
    </w:p>
    <w:p w14:paraId="63F349F6" w14:textId="3576F16F" w:rsidR="000203ED" w:rsidRPr="00AD5BA1" w:rsidRDefault="000203ED" w:rsidP="00D877E0">
      <w:pPr>
        <w:pStyle w:val="SingleTxtG"/>
        <w:rPr>
          <w:lang w:val="en-GB"/>
        </w:rPr>
      </w:pPr>
      <w:r w:rsidRPr="00130E08">
        <w:rPr>
          <w:lang w:val="en-GB"/>
        </w:rPr>
        <w:tab/>
      </w:r>
      <w:r w:rsidRPr="00AD5BA1">
        <w:rPr>
          <w:lang w:val="en-GB"/>
        </w:rPr>
        <w:t>A new paragraph 5.4.1.1.3.</w:t>
      </w:r>
      <w:r w:rsidR="009D12A5" w:rsidRPr="00AD5BA1">
        <w:rPr>
          <w:lang w:val="en-GB"/>
        </w:rPr>
        <w:t>3</w:t>
      </w:r>
      <w:r w:rsidRPr="00AD5BA1">
        <w:rPr>
          <w:lang w:val="en-GB"/>
        </w:rPr>
        <w:t xml:space="preserve"> is added as follows:</w:t>
      </w:r>
    </w:p>
    <w:p w14:paraId="0769601A" w14:textId="427BC330" w:rsidR="000203ED" w:rsidRPr="00130E08" w:rsidRDefault="000203ED" w:rsidP="000203ED">
      <w:pPr>
        <w:pStyle w:val="SingleTxtG"/>
        <w:ind w:left="2268" w:right="850" w:hanging="1134"/>
        <w:rPr>
          <w:lang w:val="en-GB"/>
        </w:rPr>
      </w:pPr>
      <w:r w:rsidRPr="00130E08">
        <w:rPr>
          <w:lang w:val="en-GB"/>
        </w:rPr>
        <w:t>“5.4.1.1.3.3</w:t>
      </w:r>
      <w:r w:rsidRPr="00130E08">
        <w:rPr>
          <w:lang w:val="en-GB"/>
        </w:rPr>
        <w:tab/>
        <w:t>Special provisions for the carriage of waste in inner packagings packed together in an outer packaging</w:t>
      </w:r>
      <w:r w:rsidR="00F05A9E" w:rsidRPr="00130E08">
        <w:rPr>
          <w:lang w:val="en-GB"/>
        </w:rPr>
        <w:t> :</w:t>
      </w:r>
    </w:p>
    <w:p w14:paraId="709870FA" w14:textId="16FE6477" w:rsidR="000203ED" w:rsidRPr="00130E08" w:rsidRDefault="00372DB1" w:rsidP="00D877E0">
      <w:pPr>
        <w:pStyle w:val="SingleTxtG"/>
        <w:ind w:left="2058" w:hanging="357"/>
        <w:rPr>
          <w:lang w:val="en-GB"/>
        </w:rPr>
      </w:pPr>
      <w:r w:rsidRPr="00130E08">
        <w:rPr>
          <w:lang w:val="en-GB"/>
        </w:rPr>
        <w:t>(a)</w:t>
      </w:r>
      <w:r w:rsidRPr="00130E08">
        <w:rPr>
          <w:lang w:val="en-GB"/>
        </w:rPr>
        <w:tab/>
      </w:r>
      <w:r w:rsidR="000203ED" w:rsidRPr="00130E08">
        <w:rPr>
          <w:lang w:val="en-GB"/>
        </w:rPr>
        <w:t>For carriage in accordance with 4.1.1.5.3, a statement shall be included in the transport document, as follows "Carriage in accordance with 4.1.1.5.3". The additional statement prescribed in 5.4.1.1.3.2 is not necessary. For example:</w:t>
      </w:r>
    </w:p>
    <w:p w14:paraId="2333151E" w14:textId="12E60F8E" w:rsidR="000203ED" w:rsidRPr="00130E08" w:rsidRDefault="00372DB1" w:rsidP="00D877E0">
      <w:pPr>
        <w:pStyle w:val="SingleTxtG"/>
        <w:ind w:left="2058" w:hanging="357"/>
        <w:rPr>
          <w:lang w:val="en-GB"/>
        </w:rPr>
      </w:pPr>
      <w:r w:rsidRPr="00130E08">
        <w:rPr>
          <w:lang w:val="en-GB"/>
        </w:rPr>
        <w:t>(b)</w:t>
      </w:r>
      <w:r w:rsidRPr="00130E08">
        <w:rPr>
          <w:lang w:val="en-GB"/>
        </w:rPr>
        <w:tab/>
      </w:r>
      <w:r w:rsidR="000203ED" w:rsidRPr="00130E08">
        <w:rPr>
          <w:lang w:val="en-GB"/>
        </w:rPr>
        <w:t>"UN 1993, WASTE FLAMMABLE LIQUID, N.O.S., 3, III, (ADR:) (E); CARRIAGE IN ACCORDANCE WITH 4.1.1.5.3".</w:t>
      </w:r>
    </w:p>
    <w:p w14:paraId="79BDE1C2" w14:textId="48FA7526" w:rsidR="000203ED" w:rsidRPr="00130E08" w:rsidRDefault="00D877E0" w:rsidP="00ED2821">
      <w:pPr>
        <w:pStyle w:val="SingleTxtG"/>
        <w:ind w:left="1701"/>
        <w:rPr>
          <w:lang w:val="en-GB"/>
        </w:rPr>
      </w:pPr>
      <w:r w:rsidRPr="00130E08">
        <w:rPr>
          <w:lang w:val="en-GB"/>
        </w:rPr>
        <w:t>(c)</w:t>
      </w:r>
      <w:r w:rsidRPr="00130E08">
        <w:rPr>
          <w:lang w:val="en-GB"/>
        </w:rPr>
        <w:tab/>
      </w:r>
      <w:r w:rsidR="000203ED" w:rsidRPr="00130E08">
        <w:rPr>
          <w:lang w:val="en-GB"/>
        </w:rPr>
        <w:t>Information in the transport document in accordance with 5.4.1.1, shall be based on the entry or entries assigned to the outer packaging in accordance with 4.1.1.5.3 (d). The technical name, as prescribed in chapter 3.3, special provision 274, need not be added.”</w:t>
      </w:r>
    </w:p>
    <w:p w14:paraId="048AC2B8" w14:textId="77777777" w:rsidR="000203ED" w:rsidRPr="00B536BC" w:rsidRDefault="000203ED" w:rsidP="000203ED">
      <w:pPr>
        <w:pStyle w:val="SingleTxtG"/>
        <w:ind w:left="2268" w:hanging="1134"/>
        <w:jc w:val="center"/>
        <w:rPr>
          <w:lang w:val="fr-BE"/>
        </w:rPr>
      </w:pPr>
      <w:r w:rsidRPr="00B536BC">
        <w:rPr>
          <w:lang w:val="fr-BE"/>
        </w:rPr>
        <w:t>----------------------------------------------</w:t>
      </w:r>
    </w:p>
    <w:p w14:paraId="35674326" w14:textId="77777777" w:rsidR="000203ED" w:rsidRPr="00B81B99" w:rsidRDefault="000203ED" w:rsidP="000203ED">
      <w:pPr>
        <w:pStyle w:val="SingleTxtG"/>
        <w:ind w:left="2268" w:hanging="1134"/>
        <w:rPr>
          <w:lang w:val="fr-FR"/>
        </w:rPr>
      </w:pPr>
      <w:r>
        <w:rPr>
          <w:lang w:val="fr-FR"/>
        </w:rPr>
        <w:t>« </w:t>
      </w:r>
      <w:r w:rsidRPr="00B81B99">
        <w:rPr>
          <w:lang w:val="fr-FR"/>
        </w:rPr>
        <w:t>4.1.1.5.3</w:t>
      </w:r>
      <w:r w:rsidRPr="00B81B99">
        <w:rPr>
          <w:lang w:val="fr-FR"/>
        </w:rPr>
        <w:tab/>
        <w:t>Pour le transport de déchets, autres que des objets, des emballages intérieurs de tailles et de formes différentes, contenant des liquides ou des solides, peuvent être emballés ensemble dans un emballage extérieur, à condition que</w:t>
      </w:r>
      <w:r>
        <w:rPr>
          <w:lang w:val="fr-FR"/>
        </w:rPr>
        <w:t xml:space="preserve"> </w:t>
      </w:r>
      <w:r w:rsidRPr="00F713B3">
        <w:rPr>
          <w:lang w:val="fr-FR"/>
        </w:rPr>
        <w:t>les conditions suivantes soient</w:t>
      </w:r>
      <w:r>
        <w:rPr>
          <w:lang w:val="fr-FR"/>
        </w:rPr>
        <w:t xml:space="preserve"> </w:t>
      </w:r>
      <w:r w:rsidRPr="00F713B3">
        <w:rPr>
          <w:lang w:val="fr-FR"/>
        </w:rPr>
        <w:t>remplies</w:t>
      </w:r>
      <w:r w:rsidRPr="00B81B99">
        <w:rPr>
          <w:lang w:val="fr-FR"/>
        </w:rPr>
        <w:t> :</w:t>
      </w:r>
    </w:p>
    <w:p w14:paraId="5587DAB3" w14:textId="0BA6CA9A" w:rsidR="000203ED" w:rsidRPr="00B81B99" w:rsidRDefault="00D877E0" w:rsidP="000203ED">
      <w:pPr>
        <w:pStyle w:val="SingleTxtG"/>
        <w:ind w:left="2835" w:hanging="567"/>
        <w:rPr>
          <w:bCs/>
          <w:color w:val="000000"/>
          <w:lang w:val="fr-FR"/>
        </w:rPr>
      </w:pPr>
      <w:r>
        <w:rPr>
          <w:bCs/>
          <w:color w:val="000000"/>
          <w:lang w:val="fr-FR"/>
        </w:rPr>
        <w:lastRenderedPageBreak/>
        <w:t>(</w:t>
      </w:r>
      <w:r w:rsidR="000203ED">
        <w:rPr>
          <w:bCs/>
          <w:color w:val="000000"/>
          <w:lang w:val="fr-FR"/>
        </w:rPr>
        <w:t>a)</w:t>
      </w:r>
      <w:r w:rsidR="000203ED">
        <w:rPr>
          <w:bCs/>
          <w:color w:val="000000"/>
          <w:lang w:val="fr-FR"/>
        </w:rPr>
        <w:tab/>
      </w:r>
      <w:r w:rsidR="000203ED" w:rsidRPr="007E2847">
        <w:rPr>
          <w:bCs/>
          <w:color w:val="000000"/>
          <w:lang w:val="fr-FR"/>
        </w:rPr>
        <w:t xml:space="preserve">Les déchets transportés dans chaque emballage intérieur ne </w:t>
      </w:r>
      <w:r w:rsidR="000203ED">
        <w:rPr>
          <w:bCs/>
          <w:color w:val="000000"/>
          <w:lang w:val="fr-FR"/>
        </w:rPr>
        <w:t>sont</w:t>
      </w:r>
      <w:r w:rsidR="000203ED" w:rsidRPr="007E2847">
        <w:rPr>
          <w:bCs/>
          <w:color w:val="000000"/>
          <w:lang w:val="fr-FR"/>
        </w:rPr>
        <w:t xml:space="preserve"> pas classés dans les classes 1, 2, 6.2 ou 7</w:t>
      </w:r>
      <w:r w:rsidR="000203ED">
        <w:rPr>
          <w:bCs/>
          <w:color w:val="000000"/>
          <w:lang w:val="fr-FR"/>
        </w:rPr>
        <w:t> </w:t>
      </w:r>
      <w:r w:rsidR="000203ED" w:rsidRPr="00B81B99">
        <w:rPr>
          <w:bCs/>
          <w:color w:val="000000"/>
          <w:lang w:val="fr-FR"/>
        </w:rPr>
        <w:t xml:space="preserve">; </w:t>
      </w:r>
    </w:p>
    <w:p w14:paraId="57DDF352" w14:textId="18B73DE1" w:rsidR="000203ED" w:rsidRPr="00B81B99" w:rsidRDefault="00D877E0" w:rsidP="000203ED">
      <w:pPr>
        <w:pStyle w:val="SingleTxtG"/>
        <w:ind w:left="2835" w:hanging="567"/>
        <w:rPr>
          <w:bCs/>
          <w:color w:val="000000"/>
          <w:lang w:val="fr-FR"/>
        </w:rPr>
      </w:pPr>
      <w:r>
        <w:rPr>
          <w:bCs/>
          <w:color w:val="000000"/>
          <w:lang w:val="fr-FR"/>
        </w:rPr>
        <w:t>(</w:t>
      </w:r>
      <w:r w:rsidR="000203ED">
        <w:rPr>
          <w:bCs/>
          <w:color w:val="000000"/>
          <w:lang w:val="fr-FR"/>
        </w:rPr>
        <w:t>b)</w:t>
      </w:r>
      <w:r w:rsidR="000203ED">
        <w:rPr>
          <w:bCs/>
          <w:color w:val="000000"/>
          <w:lang w:val="fr-FR"/>
        </w:rPr>
        <w:tab/>
        <w:t>En dérogation des</w:t>
      </w:r>
      <w:r w:rsidR="000203ED" w:rsidRPr="00B81B99">
        <w:rPr>
          <w:bCs/>
          <w:color w:val="000000"/>
          <w:lang w:val="fr-FR"/>
        </w:rPr>
        <w:t xml:space="preserve"> </w:t>
      </w:r>
      <w:r w:rsidR="000203ED" w:rsidRPr="00461705">
        <w:rPr>
          <w:b/>
          <w:color w:val="000000"/>
          <w:u w:val="single"/>
        </w:rPr>
        <w:t xml:space="preserve">4.1.1.5, 4.1.1.5.1, 4.1.1.5.2, 4.1.1.21, 4.1.3.1 </w:t>
      </w:r>
      <w:r w:rsidR="000203ED" w:rsidRPr="00115F1C">
        <w:rPr>
          <w:b/>
          <w:color w:val="000000"/>
          <w:u w:val="single"/>
        </w:rPr>
        <w:t>à</w:t>
      </w:r>
      <w:r w:rsidR="000203ED" w:rsidRPr="00461705">
        <w:rPr>
          <w:b/>
          <w:color w:val="000000"/>
          <w:u w:val="single"/>
        </w:rPr>
        <w:t xml:space="preserve"> 4.1.3.5, 4.1.3.7, 4.1.4, 6.1.5.2.1, 6.5.6.1.2 and 6.6.5.2.1</w:t>
      </w:r>
      <w:r w:rsidR="000203ED" w:rsidRPr="00B81B99">
        <w:rPr>
          <w:bCs/>
          <w:color w:val="000000"/>
          <w:lang w:val="fr-FR"/>
        </w:rPr>
        <w:t>,</w:t>
      </w:r>
    </w:p>
    <w:p w14:paraId="78CC7903" w14:textId="48CDA29A" w:rsidR="000203ED" w:rsidRPr="00B81B99" w:rsidRDefault="00D877E0" w:rsidP="000203ED">
      <w:pPr>
        <w:pStyle w:val="SingleTxtG"/>
        <w:ind w:left="3261" w:hanging="426"/>
        <w:rPr>
          <w:bCs/>
          <w:color w:val="000000"/>
          <w:lang w:val="fr-FR"/>
        </w:rPr>
      </w:pPr>
      <w:r>
        <w:rPr>
          <w:bCs/>
          <w:color w:val="000000"/>
          <w:lang w:val="fr-FR"/>
        </w:rPr>
        <w:t>(</w:t>
      </w:r>
      <w:r w:rsidR="000203ED">
        <w:rPr>
          <w:bCs/>
          <w:color w:val="000000"/>
          <w:lang w:val="fr-FR"/>
        </w:rPr>
        <w:t>i)</w:t>
      </w:r>
      <w:r w:rsidR="000203ED">
        <w:rPr>
          <w:bCs/>
          <w:color w:val="000000"/>
          <w:lang w:val="fr-FR"/>
        </w:rPr>
        <w:tab/>
        <w:t xml:space="preserve">L’emballage extérieur est d’un des types suivants : </w:t>
      </w:r>
    </w:p>
    <w:p w14:paraId="574B5B54" w14:textId="77777777" w:rsidR="000203ED" w:rsidRPr="002E22DF" w:rsidRDefault="000203ED" w:rsidP="000203ED">
      <w:pPr>
        <w:pStyle w:val="SingleTxtG"/>
        <w:ind w:left="3686" w:hanging="425"/>
        <w:rPr>
          <w:bCs/>
          <w:color w:val="000000"/>
          <w:lang w:val="en-US"/>
        </w:rPr>
      </w:pPr>
      <w:r w:rsidRPr="002E22DF">
        <w:rPr>
          <w:bCs/>
          <w:color w:val="000000"/>
          <w:lang w:val="en-US"/>
        </w:rPr>
        <w:t>-</w:t>
      </w:r>
      <w:r w:rsidRPr="002E22DF">
        <w:rPr>
          <w:bCs/>
          <w:color w:val="000000"/>
          <w:lang w:val="en-US"/>
        </w:rPr>
        <w:tab/>
        <w:t>1H2, 1A2, 3A2, 3H1, 3H2, 4A ou 4H2 ;</w:t>
      </w:r>
    </w:p>
    <w:p w14:paraId="00FB8D72" w14:textId="6628D836" w:rsidR="000203ED" w:rsidRPr="002E22DF" w:rsidRDefault="000203ED" w:rsidP="000203ED">
      <w:pPr>
        <w:pStyle w:val="SingleTxtG"/>
        <w:ind w:left="3686" w:hanging="425"/>
        <w:rPr>
          <w:bCs/>
          <w:color w:val="000000"/>
          <w:lang w:val="en-US"/>
        </w:rPr>
      </w:pPr>
      <w:r w:rsidRPr="002E22DF">
        <w:rPr>
          <w:bCs/>
          <w:color w:val="000000"/>
          <w:lang w:val="en-US"/>
        </w:rPr>
        <w:t>-</w:t>
      </w:r>
      <w:r w:rsidRPr="002E22DF">
        <w:rPr>
          <w:bCs/>
          <w:color w:val="000000"/>
          <w:lang w:val="en-US"/>
        </w:rPr>
        <w:tab/>
        <w:t>11A, 11H1 ou 11H2 ;</w:t>
      </w:r>
    </w:p>
    <w:p w14:paraId="4D6DFF6B" w14:textId="47FB8448" w:rsidR="000203ED" w:rsidRPr="00B81B99" w:rsidRDefault="000203ED" w:rsidP="000203ED">
      <w:pPr>
        <w:pStyle w:val="SingleTxtG"/>
        <w:ind w:left="3686" w:hanging="425"/>
        <w:rPr>
          <w:bCs/>
          <w:color w:val="000000"/>
          <w:lang w:val="fr-FR"/>
        </w:rPr>
      </w:pPr>
      <w:r>
        <w:rPr>
          <w:bCs/>
          <w:color w:val="000000"/>
          <w:lang w:val="fr-FR"/>
        </w:rPr>
        <w:t>-</w:t>
      </w:r>
      <w:r>
        <w:rPr>
          <w:bCs/>
          <w:color w:val="000000"/>
          <w:lang w:val="fr-FR"/>
        </w:rPr>
        <w:tab/>
      </w:r>
      <w:r w:rsidRPr="00B81B99">
        <w:rPr>
          <w:bCs/>
          <w:color w:val="000000"/>
          <w:lang w:val="fr-FR"/>
        </w:rPr>
        <w:t xml:space="preserve">50A </w:t>
      </w:r>
      <w:r>
        <w:rPr>
          <w:bCs/>
          <w:color w:val="000000"/>
          <w:lang w:val="fr-FR"/>
        </w:rPr>
        <w:t>ou</w:t>
      </w:r>
      <w:r w:rsidRPr="00B81B99">
        <w:rPr>
          <w:bCs/>
          <w:color w:val="000000"/>
          <w:lang w:val="fr-FR"/>
        </w:rPr>
        <w:t xml:space="preserve"> 50H</w:t>
      </w:r>
      <w:r>
        <w:rPr>
          <w:bCs/>
          <w:color w:val="000000"/>
          <w:lang w:val="fr-FR"/>
        </w:rPr>
        <w:t> </w:t>
      </w:r>
      <w:r w:rsidRPr="00B81B99">
        <w:rPr>
          <w:bCs/>
          <w:color w:val="000000"/>
          <w:lang w:val="fr-FR"/>
        </w:rPr>
        <w:t>;</w:t>
      </w:r>
      <w:r>
        <w:rPr>
          <w:bCs/>
          <w:color w:val="000000"/>
          <w:lang w:val="fr-FR"/>
        </w:rPr>
        <w:t xml:space="preserve"> </w:t>
      </w:r>
    </w:p>
    <w:p w14:paraId="0FEC7DC6" w14:textId="13E3BAD3" w:rsidR="000203ED" w:rsidRPr="00B81B99" w:rsidRDefault="00D877E0" w:rsidP="000203ED">
      <w:pPr>
        <w:pStyle w:val="SingleTxtG"/>
        <w:ind w:left="3261" w:hanging="426"/>
        <w:rPr>
          <w:bCs/>
          <w:color w:val="000000"/>
          <w:lang w:val="fr-FR"/>
        </w:rPr>
      </w:pPr>
      <w:r>
        <w:rPr>
          <w:bCs/>
          <w:color w:val="000000"/>
          <w:lang w:val="fr-FR"/>
        </w:rPr>
        <w:t>(</w:t>
      </w:r>
      <w:r w:rsidR="000203ED">
        <w:rPr>
          <w:bCs/>
          <w:color w:val="000000"/>
          <w:lang w:val="fr-FR"/>
        </w:rPr>
        <w:t>ii)</w:t>
      </w:r>
      <w:r w:rsidR="000203ED">
        <w:rPr>
          <w:bCs/>
          <w:color w:val="000000"/>
          <w:lang w:val="fr-FR"/>
        </w:rPr>
        <w:tab/>
        <w:t>L’emballage extérieur a subi les épreuves du groupe d’emballage </w:t>
      </w:r>
      <w:r w:rsidR="000203ED" w:rsidRPr="00B81B99">
        <w:rPr>
          <w:bCs/>
          <w:color w:val="000000"/>
          <w:lang w:val="fr-FR"/>
        </w:rPr>
        <w:t>I</w:t>
      </w:r>
      <w:r w:rsidR="000203ED">
        <w:rPr>
          <w:bCs/>
          <w:color w:val="000000"/>
          <w:lang w:val="fr-FR"/>
        </w:rPr>
        <w:t> </w:t>
      </w:r>
      <w:r w:rsidR="000203ED" w:rsidRPr="00B81B99">
        <w:rPr>
          <w:bCs/>
          <w:color w:val="000000"/>
          <w:lang w:val="fr-FR"/>
        </w:rPr>
        <w:t xml:space="preserve">; </w:t>
      </w:r>
    </w:p>
    <w:p w14:paraId="7EA1C1F5" w14:textId="2282F211" w:rsidR="000203ED" w:rsidRPr="00B81B99" w:rsidRDefault="00D877E0" w:rsidP="000203ED">
      <w:pPr>
        <w:pStyle w:val="SingleTxtG"/>
        <w:ind w:left="3261" w:hanging="426"/>
        <w:rPr>
          <w:bCs/>
          <w:color w:val="000000"/>
          <w:lang w:val="fr-FR"/>
        </w:rPr>
      </w:pPr>
      <w:r>
        <w:rPr>
          <w:bCs/>
          <w:color w:val="000000"/>
          <w:lang w:val="fr-FR"/>
        </w:rPr>
        <w:t>(</w:t>
      </w:r>
      <w:r w:rsidR="000203ED" w:rsidRPr="00590E14">
        <w:rPr>
          <w:bCs/>
          <w:color w:val="000000"/>
          <w:lang w:val="fr-FR"/>
        </w:rPr>
        <w:t>iii)</w:t>
      </w:r>
      <w:r w:rsidR="000203ED" w:rsidRPr="00590E14">
        <w:rPr>
          <w:bCs/>
          <w:color w:val="000000"/>
          <w:lang w:val="fr-FR"/>
        </w:rPr>
        <w:tab/>
        <w:t xml:space="preserve">Il n’est pas nécessaire que l’emballage extérieur subisse les épreuves prévues pour les emballages destinés à contenir des matières liquides mais il doit être </w:t>
      </w:r>
      <w:r w:rsidR="000203ED" w:rsidRPr="00590E14">
        <w:rPr>
          <w:lang w:val="fr-FR"/>
        </w:rPr>
        <w:t>capable</w:t>
      </w:r>
      <w:r w:rsidR="000203ED" w:rsidRPr="00590E14">
        <w:rPr>
          <w:bCs/>
          <w:color w:val="000000"/>
          <w:lang w:val="fr-FR"/>
        </w:rPr>
        <w:t xml:space="preserve"> de retenir les matières liquides dans les conditions normales de transport ;</w:t>
      </w:r>
      <w:r w:rsidR="000203ED" w:rsidRPr="00B81B99">
        <w:rPr>
          <w:bCs/>
          <w:color w:val="000000"/>
          <w:lang w:val="fr-FR"/>
        </w:rPr>
        <w:t xml:space="preserve"> </w:t>
      </w:r>
    </w:p>
    <w:p w14:paraId="1E9ADA94" w14:textId="148D3F9C" w:rsidR="000203ED" w:rsidRPr="00B81B99" w:rsidRDefault="00D877E0" w:rsidP="000203ED">
      <w:pPr>
        <w:pStyle w:val="SingleTxtG"/>
        <w:ind w:left="3261" w:hanging="426"/>
        <w:rPr>
          <w:bCs/>
          <w:color w:val="000000"/>
          <w:lang w:val="fr-FR"/>
        </w:rPr>
      </w:pPr>
      <w:r>
        <w:rPr>
          <w:bCs/>
          <w:color w:val="000000"/>
          <w:lang w:val="fr-FR"/>
        </w:rPr>
        <w:t>(</w:t>
      </w:r>
      <w:r w:rsidR="000203ED">
        <w:rPr>
          <w:bCs/>
          <w:color w:val="000000"/>
          <w:lang w:val="fr-FR"/>
        </w:rPr>
        <w:t>iv)</w:t>
      </w:r>
      <w:r w:rsidR="000203ED">
        <w:rPr>
          <w:bCs/>
          <w:color w:val="000000"/>
          <w:lang w:val="fr-FR"/>
        </w:rPr>
        <w:tab/>
      </w:r>
      <w:r w:rsidR="000203ED" w:rsidRPr="005773DA">
        <w:rPr>
          <w:bCs/>
          <w:color w:val="000000"/>
          <w:lang w:val="fr-FR"/>
        </w:rPr>
        <w:t xml:space="preserve">Un matériau de rembourrage suffisant </w:t>
      </w:r>
      <w:r w:rsidR="000203ED">
        <w:rPr>
          <w:bCs/>
          <w:color w:val="000000"/>
          <w:lang w:val="fr-FR"/>
        </w:rPr>
        <w:t>est</w:t>
      </w:r>
      <w:r w:rsidR="000203ED" w:rsidRPr="005773DA">
        <w:rPr>
          <w:bCs/>
          <w:color w:val="000000"/>
          <w:lang w:val="fr-FR"/>
        </w:rPr>
        <w:t xml:space="preserve"> utilisé pour empêcher tout mouvement </w:t>
      </w:r>
      <w:r w:rsidR="000203ED">
        <w:rPr>
          <w:bCs/>
          <w:color w:val="000000"/>
          <w:lang w:val="fr-FR"/>
        </w:rPr>
        <w:t>significatif</w:t>
      </w:r>
      <w:r w:rsidR="000203ED" w:rsidRPr="005773DA">
        <w:rPr>
          <w:bCs/>
          <w:color w:val="000000"/>
          <w:lang w:val="fr-FR"/>
        </w:rPr>
        <w:t xml:space="preserve"> des emballages intérieurs dans des conditions normales de transport</w:t>
      </w:r>
      <w:r w:rsidR="000203ED">
        <w:rPr>
          <w:bCs/>
          <w:color w:val="000000"/>
          <w:lang w:val="fr-FR"/>
        </w:rPr>
        <w:t> ;</w:t>
      </w:r>
    </w:p>
    <w:p w14:paraId="35C01BEF" w14:textId="09CDF773" w:rsidR="000203ED" w:rsidRPr="00B70A0D" w:rsidRDefault="00D877E0" w:rsidP="000203ED">
      <w:pPr>
        <w:pStyle w:val="SingleTxtG"/>
        <w:ind w:left="3261" w:hanging="426"/>
        <w:rPr>
          <w:rFonts w:ascii="TimesNewRomanPSMT" w:hAnsi="TimesNewRomanPSMT" w:cs="TimesNewRomanPSMT"/>
        </w:rPr>
      </w:pPr>
      <w:r>
        <w:rPr>
          <w:bCs/>
          <w:color w:val="000000"/>
          <w:lang w:val="fr-FR"/>
        </w:rPr>
        <w:t>(</w:t>
      </w:r>
      <w:r w:rsidR="000203ED">
        <w:rPr>
          <w:bCs/>
          <w:color w:val="000000"/>
          <w:lang w:val="fr-FR"/>
        </w:rPr>
        <w:t>v)</w:t>
      </w:r>
      <w:r w:rsidR="000203ED">
        <w:rPr>
          <w:bCs/>
          <w:color w:val="000000"/>
          <w:lang w:val="fr-FR"/>
        </w:rPr>
        <w:tab/>
      </w:r>
      <w:r w:rsidR="000203ED" w:rsidRPr="004D6C9E">
        <w:rPr>
          <w:bCs/>
          <w:color w:val="000000"/>
          <w:lang w:val="fr-FR"/>
        </w:rPr>
        <w:t xml:space="preserve">Si l’emballage extérieur contient des emballages intérieurs susceptibles de se briser facilement, tels que ceux en verre, en porcelaine ou en grès, ou </w:t>
      </w:r>
      <w:r w:rsidR="000203ED">
        <w:rPr>
          <w:bCs/>
          <w:color w:val="000000"/>
          <w:lang w:val="fr-FR"/>
        </w:rPr>
        <w:t xml:space="preserve">des </w:t>
      </w:r>
      <w:r w:rsidR="000203ED" w:rsidRPr="004D6C9E">
        <w:rPr>
          <w:bCs/>
          <w:color w:val="000000"/>
          <w:lang w:val="fr-FR"/>
        </w:rPr>
        <w:t xml:space="preserve">emballages intérieurs non étanches, l’emballage extérieur </w:t>
      </w:r>
      <w:r w:rsidR="000203ED">
        <w:rPr>
          <w:bCs/>
          <w:color w:val="000000"/>
          <w:lang w:val="fr-FR"/>
        </w:rPr>
        <w:t>a</w:t>
      </w:r>
      <w:r w:rsidR="000203ED" w:rsidRPr="004D6C9E">
        <w:rPr>
          <w:bCs/>
          <w:color w:val="000000"/>
          <w:lang w:val="fr-FR"/>
        </w:rPr>
        <w:t xml:space="preserve"> un moyen de retenir tout liquide libre qui pourrait s’échapper des emballages intérieurs pendant le transport, par exemple un matériau absorbant ou </w:t>
      </w:r>
      <w:r w:rsidR="000203ED">
        <w:rPr>
          <w:bCs/>
          <w:color w:val="000000"/>
          <w:lang w:val="fr-FR"/>
        </w:rPr>
        <w:t xml:space="preserve">tout </w:t>
      </w:r>
      <w:r w:rsidR="000203ED" w:rsidRPr="004D6C9E">
        <w:rPr>
          <w:bCs/>
          <w:color w:val="000000"/>
          <w:lang w:val="fr-FR"/>
        </w:rPr>
        <w:t>autre moyen de rétention aussi efficace;</w:t>
      </w:r>
      <w:r w:rsidR="000203ED" w:rsidRPr="004D6C9E">
        <w:t xml:space="preserve"> </w:t>
      </w:r>
    </w:p>
    <w:p w14:paraId="25FC7432" w14:textId="3D9ABDF6" w:rsidR="000203ED" w:rsidRPr="00B81B99" w:rsidRDefault="00D877E0" w:rsidP="000203ED">
      <w:pPr>
        <w:pStyle w:val="SingleTxtG"/>
        <w:ind w:left="3261" w:hanging="426"/>
        <w:rPr>
          <w:bCs/>
          <w:color w:val="000000"/>
          <w:lang w:val="fr-FR"/>
        </w:rPr>
      </w:pPr>
      <w:r>
        <w:rPr>
          <w:bCs/>
          <w:color w:val="000000"/>
          <w:lang w:val="fr-FR"/>
        </w:rPr>
        <w:t>(</w:t>
      </w:r>
      <w:r w:rsidR="000203ED">
        <w:rPr>
          <w:bCs/>
          <w:color w:val="000000"/>
          <w:lang w:val="fr-FR"/>
        </w:rPr>
        <w:t>vi)</w:t>
      </w:r>
      <w:r w:rsidR="000203ED">
        <w:rPr>
          <w:bCs/>
          <w:color w:val="000000"/>
          <w:lang w:val="fr-FR"/>
        </w:rPr>
        <w:tab/>
        <w:t xml:space="preserve">Dans le cas d’un </w:t>
      </w:r>
      <w:r w:rsidR="000203ED" w:rsidRPr="00EA33EF">
        <w:rPr>
          <w:bCs/>
          <w:color w:val="000000"/>
          <w:lang w:val="fr-FR"/>
        </w:rPr>
        <w:t>emballage extérieur en polyéthylène, la preuve d’une compatibilité chimique suffisante est réputée avoir été fournie si la compatibilité chimique du matériau de l’emballage extérieur avec tous les liquides de référence décrits au 6.1.6.1 a été vérifiée dans le cadre d’une épreuve du modèle type et de l’agrément pour l’emballage du même matériau avec le code 1H1 ou 3H1;</w:t>
      </w:r>
    </w:p>
    <w:p w14:paraId="610269DE" w14:textId="74764F45" w:rsidR="000203ED" w:rsidRPr="00B81B99" w:rsidRDefault="00D877E0" w:rsidP="000203ED">
      <w:pPr>
        <w:pStyle w:val="SingleTxtG"/>
        <w:ind w:left="2835" w:hanging="567"/>
        <w:rPr>
          <w:bCs/>
          <w:color w:val="000000"/>
          <w:lang w:val="fr-FR"/>
        </w:rPr>
      </w:pPr>
      <w:r>
        <w:rPr>
          <w:bCs/>
          <w:color w:val="000000"/>
          <w:lang w:val="fr-FR"/>
        </w:rPr>
        <w:t>(</w:t>
      </w:r>
      <w:r w:rsidR="000203ED">
        <w:rPr>
          <w:bCs/>
          <w:color w:val="000000"/>
          <w:lang w:val="fr-FR"/>
        </w:rPr>
        <w:t>c)</w:t>
      </w:r>
      <w:r w:rsidR="000203ED">
        <w:rPr>
          <w:bCs/>
          <w:color w:val="000000"/>
          <w:lang w:val="fr-FR"/>
        </w:rPr>
        <w:tab/>
        <w:t>Selon les</w:t>
      </w:r>
      <w:r w:rsidR="000203ED" w:rsidRPr="0019178A">
        <w:rPr>
          <w:bCs/>
          <w:color w:val="000000"/>
          <w:lang w:val="fr-FR"/>
        </w:rPr>
        <w:t xml:space="preserve"> déchets identifiés dans chaque emballage intérieur, les emballages intérieurs ne sont emballés ensemble dans un emballage extérieur approprié que par du personnel formé et compétent conformément au 1.3.2.2, en utilisant des instructions ou des procédures assurant la conformité avec le 4.1.1.6 et les dispositions relatives à l’emballage en commun du 4.1.10.4</w:t>
      </w:r>
      <w:r w:rsidR="000203ED" w:rsidRPr="00B81B99">
        <w:rPr>
          <w:bCs/>
          <w:color w:val="000000"/>
          <w:lang w:val="fr-FR"/>
        </w:rPr>
        <w:t>;</w:t>
      </w:r>
    </w:p>
    <w:p w14:paraId="21838D1F" w14:textId="0C84B4CB" w:rsidR="000203ED" w:rsidRPr="00B81B99" w:rsidRDefault="00D877E0" w:rsidP="00D877E0">
      <w:pPr>
        <w:pStyle w:val="SingleTxtG"/>
        <w:ind w:left="2835" w:hanging="567"/>
        <w:rPr>
          <w:bCs/>
          <w:color w:val="000000"/>
          <w:lang w:val="fr-FR"/>
        </w:rPr>
      </w:pPr>
      <w:r>
        <w:rPr>
          <w:bCs/>
          <w:color w:val="000000"/>
          <w:lang w:val="fr-FR"/>
        </w:rPr>
        <w:t>(</w:t>
      </w:r>
      <w:r w:rsidR="000203ED">
        <w:rPr>
          <w:bCs/>
          <w:color w:val="000000"/>
          <w:lang w:val="fr-FR"/>
        </w:rPr>
        <w:t>d)</w:t>
      </w:r>
      <w:r w:rsidR="000203ED">
        <w:rPr>
          <w:bCs/>
          <w:color w:val="000000"/>
          <w:lang w:val="fr-FR"/>
        </w:rPr>
        <w:tab/>
      </w:r>
      <w:r w:rsidR="000203ED" w:rsidRPr="0001740B">
        <w:rPr>
          <w:bCs/>
          <w:color w:val="000000"/>
          <w:lang w:val="fr-FR"/>
        </w:rPr>
        <w:t xml:space="preserve">Les déchets contenus dans un </w:t>
      </w:r>
      <w:r w:rsidR="000203ED">
        <w:rPr>
          <w:bCs/>
          <w:color w:val="000000"/>
          <w:lang w:val="fr-FR"/>
        </w:rPr>
        <w:t xml:space="preserve">même </w:t>
      </w:r>
      <w:r w:rsidR="000203ED" w:rsidRPr="0001740B">
        <w:rPr>
          <w:bCs/>
          <w:color w:val="000000"/>
          <w:lang w:val="fr-FR"/>
        </w:rPr>
        <w:t xml:space="preserve">emballage extérieur sont affectés à la rubrique la plus appropriée. Plus d’une </w:t>
      </w:r>
      <w:r w:rsidR="000203ED">
        <w:rPr>
          <w:bCs/>
          <w:color w:val="000000"/>
          <w:lang w:val="fr-FR"/>
        </w:rPr>
        <w:t>rubrique</w:t>
      </w:r>
      <w:r w:rsidR="000203ED" w:rsidRPr="0001740B">
        <w:rPr>
          <w:bCs/>
          <w:color w:val="000000"/>
          <w:lang w:val="fr-FR"/>
        </w:rPr>
        <w:t xml:space="preserve"> peut être utilisée, si nécessaire. </w:t>
      </w:r>
      <w:r w:rsidR="000203ED" w:rsidRPr="00310F8E">
        <w:rPr>
          <w:bCs/>
          <w:color w:val="000000"/>
          <w:lang w:val="fr-FR"/>
        </w:rPr>
        <w:t>Par dérogation au 5.1.4, le seul marquage et étiquetage sur l’emballage extérieur correspond à la ou aux rubriques affectées à l’emballage extérieur.</w:t>
      </w:r>
      <w:r w:rsidR="000203ED">
        <w:rPr>
          <w:bCs/>
          <w:color w:val="000000"/>
          <w:lang w:val="fr-FR"/>
        </w:rPr>
        <w:t> »</w:t>
      </w:r>
      <w:r w:rsidR="00B9498C">
        <w:rPr>
          <w:bCs/>
          <w:color w:val="000000"/>
          <w:lang w:val="fr-FR"/>
        </w:rPr>
        <w:t>.</w:t>
      </w:r>
    </w:p>
    <w:p w14:paraId="4EC99E8D" w14:textId="77777777" w:rsidR="000203ED" w:rsidRPr="00AD5BA1" w:rsidRDefault="000203ED" w:rsidP="000203ED">
      <w:pPr>
        <w:pStyle w:val="SingleTxtG"/>
        <w:spacing w:before="120"/>
        <w:rPr>
          <w:lang w:val="fr-FR"/>
        </w:rPr>
      </w:pPr>
      <w:r w:rsidRPr="00B243A3">
        <w:rPr>
          <w:b/>
          <w:bCs/>
          <w:lang w:val="fr-FR"/>
        </w:rPr>
        <w:tab/>
      </w:r>
      <w:r w:rsidRPr="00AD5BA1">
        <w:rPr>
          <w:lang w:val="fr-FR"/>
        </w:rPr>
        <w:t>Ajouter le nouveau 5.4.1.1.3.3 suivant :</w:t>
      </w:r>
    </w:p>
    <w:p w14:paraId="27D45B38" w14:textId="77777777" w:rsidR="000203ED" w:rsidRPr="00B81B99" w:rsidRDefault="000203ED" w:rsidP="000203ED">
      <w:pPr>
        <w:pStyle w:val="SingleTxtG"/>
        <w:ind w:left="2268" w:hanging="1134"/>
        <w:rPr>
          <w:lang w:val="fr-FR"/>
        </w:rPr>
      </w:pPr>
      <w:r>
        <w:rPr>
          <w:lang w:val="fr-FR"/>
        </w:rPr>
        <w:t>« </w:t>
      </w:r>
      <w:r w:rsidRPr="00B81B99">
        <w:rPr>
          <w:lang w:val="fr-FR"/>
        </w:rPr>
        <w:t>5.4.1.1.3.</w:t>
      </w:r>
      <w:r>
        <w:rPr>
          <w:lang w:val="fr-FR"/>
        </w:rPr>
        <w:t>3</w:t>
      </w:r>
      <w:r>
        <w:rPr>
          <w:lang w:val="fr-FR"/>
        </w:rPr>
        <w:tab/>
        <w:t xml:space="preserve">Dispositions particulières pour le transport de déchets dans des emballages intérieurs emballés ensemble dans un emballage extérieur </w:t>
      </w:r>
    </w:p>
    <w:p w14:paraId="18BC3E93" w14:textId="77777777" w:rsidR="000203ED" w:rsidRPr="00B81B99" w:rsidRDefault="000203ED" w:rsidP="000203ED">
      <w:pPr>
        <w:pStyle w:val="SingleTxtG"/>
        <w:ind w:left="2268"/>
        <w:rPr>
          <w:lang w:val="fr-FR"/>
        </w:rPr>
      </w:pPr>
      <w:r w:rsidRPr="00794C36">
        <w:rPr>
          <w:lang w:val="fr-FR"/>
        </w:rPr>
        <w:t xml:space="preserve">Pour le transport conformément au 4.1.1.5.3, </w:t>
      </w:r>
      <w:r>
        <w:rPr>
          <w:lang w:val="fr-FR"/>
        </w:rPr>
        <w:t>la</w:t>
      </w:r>
      <w:r w:rsidRPr="00794C36">
        <w:rPr>
          <w:lang w:val="fr-FR"/>
        </w:rPr>
        <w:t xml:space="preserve"> mention </w:t>
      </w:r>
      <w:r>
        <w:rPr>
          <w:lang w:val="fr-FR"/>
        </w:rPr>
        <w:t xml:space="preserve">suivante </w:t>
      </w:r>
      <w:r w:rsidRPr="00794C36">
        <w:rPr>
          <w:lang w:val="fr-FR"/>
        </w:rPr>
        <w:t>doit figurer dans le document de transport</w:t>
      </w:r>
      <w:r>
        <w:rPr>
          <w:lang w:val="fr-FR"/>
        </w:rPr>
        <w:t> </w:t>
      </w:r>
      <w:r w:rsidRPr="00794C36">
        <w:rPr>
          <w:lang w:val="fr-FR"/>
        </w:rPr>
        <w:t xml:space="preserve">: « Transport conformément au 4.1.1.5.3 ». </w:t>
      </w:r>
      <w:r>
        <w:rPr>
          <w:lang w:val="fr-FR"/>
        </w:rPr>
        <w:t>La</w:t>
      </w:r>
      <w:r w:rsidRPr="00794C36">
        <w:rPr>
          <w:lang w:val="fr-FR"/>
        </w:rPr>
        <w:t xml:space="preserve"> mention supplémentaire prescrite au 5.4.1.1.3.2 </w:t>
      </w:r>
      <w:r>
        <w:rPr>
          <w:lang w:val="fr-FR"/>
        </w:rPr>
        <w:t>n’est</w:t>
      </w:r>
      <w:r w:rsidRPr="00794C36">
        <w:rPr>
          <w:lang w:val="fr-FR"/>
        </w:rPr>
        <w:t xml:space="preserve"> pas nécessaire.</w:t>
      </w:r>
      <w:r>
        <w:rPr>
          <w:lang w:val="fr-FR"/>
        </w:rPr>
        <w:t xml:space="preserve"> Par exemple </w:t>
      </w:r>
      <w:r w:rsidRPr="00B81B99">
        <w:rPr>
          <w:lang w:val="fr-FR"/>
        </w:rPr>
        <w:t>:</w:t>
      </w:r>
    </w:p>
    <w:p w14:paraId="08B94EF8" w14:textId="77777777" w:rsidR="000203ED" w:rsidRPr="00B81B99" w:rsidRDefault="000203ED" w:rsidP="000203ED">
      <w:pPr>
        <w:pStyle w:val="SingleTxtG"/>
        <w:ind w:left="2268"/>
        <w:rPr>
          <w:lang w:val="fr-FR"/>
        </w:rPr>
      </w:pPr>
      <w:r>
        <w:rPr>
          <w:lang w:val="fr-FR"/>
        </w:rPr>
        <w:t>« </w:t>
      </w:r>
      <w:r w:rsidRPr="00B81B99">
        <w:rPr>
          <w:lang w:val="fr-FR"/>
        </w:rPr>
        <w:t xml:space="preserve">UN 1993, </w:t>
      </w:r>
      <w:r>
        <w:rPr>
          <w:lang w:val="fr-FR"/>
        </w:rPr>
        <w:t>DÉCHET</w:t>
      </w:r>
      <w:r w:rsidRPr="00B81B99">
        <w:rPr>
          <w:lang w:val="fr-FR"/>
        </w:rPr>
        <w:t xml:space="preserve"> </w:t>
      </w:r>
      <w:r>
        <w:rPr>
          <w:lang w:val="fr-FR"/>
        </w:rPr>
        <w:t>LIQUIDE INFLAMMABLE</w:t>
      </w:r>
      <w:r w:rsidRPr="00B81B99">
        <w:rPr>
          <w:lang w:val="fr-FR"/>
        </w:rPr>
        <w:t>, N.</w:t>
      </w:r>
      <w:r>
        <w:rPr>
          <w:lang w:val="fr-FR"/>
        </w:rPr>
        <w:t>S</w:t>
      </w:r>
      <w:r w:rsidRPr="00B81B99">
        <w:rPr>
          <w:lang w:val="fr-FR"/>
        </w:rPr>
        <w:t>.</w:t>
      </w:r>
      <w:r>
        <w:rPr>
          <w:lang w:val="fr-FR"/>
        </w:rPr>
        <w:t>A</w:t>
      </w:r>
      <w:r w:rsidRPr="00B81B99">
        <w:rPr>
          <w:lang w:val="fr-FR"/>
        </w:rPr>
        <w:t xml:space="preserve">., 3, III, </w:t>
      </w:r>
      <w:r>
        <w:rPr>
          <w:lang w:val="fr-FR"/>
        </w:rPr>
        <w:t xml:space="preserve">(ADR :) </w:t>
      </w:r>
      <w:r w:rsidRPr="00B81B99">
        <w:rPr>
          <w:lang w:val="fr-FR"/>
        </w:rPr>
        <w:t xml:space="preserve">(E); </w:t>
      </w:r>
      <w:r>
        <w:rPr>
          <w:lang w:val="fr-FR"/>
        </w:rPr>
        <w:t>TRANSPORT CONFORMÉMENT AU</w:t>
      </w:r>
      <w:r w:rsidRPr="00B81B99">
        <w:rPr>
          <w:lang w:val="fr-FR"/>
        </w:rPr>
        <w:t xml:space="preserve"> 4.1.1.5.3</w:t>
      </w:r>
      <w:r>
        <w:rPr>
          <w:lang w:val="fr-FR"/>
        </w:rPr>
        <w:t> »</w:t>
      </w:r>
    </w:p>
    <w:p w14:paraId="48173119" w14:textId="77777777" w:rsidR="000203ED" w:rsidRDefault="000203ED" w:rsidP="000203ED">
      <w:pPr>
        <w:pStyle w:val="SingleTxtG"/>
        <w:ind w:left="2268"/>
        <w:rPr>
          <w:lang w:val="fr-FR"/>
        </w:rPr>
      </w:pPr>
      <w:r w:rsidRPr="00836529">
        <w:rPr>
          <w:lang w:val="fr-FR"/>
        </w:rPr>
        <w:lastRenderedPageBreak/>
        <w:t>Les informations contenues dans le document de transport conformément au 5.4.1.1 doivent être fondées sur la ou les rubriques attribuées à l’emballage extérieur conformément au 4.1.1.5.3 d). Il n’est pas nécessaire d’ajouter le nom technique, tel qu’il est prescrit au chapitre 3.3, disposition spéciale 274.</w:t>
      </w:r>
      <w:r>
        <w:rPr>
          <w:lang w:val="fr-FR"/>
        </w:rPr>
        <w:t> »</w:t>
      </w:r>
    </w:p>
    <w:p w14:paraId="44FA5FCE" w14:textId="0199F026" w:rsidR="000203ED" w:rsidRPr="00D877E0" w:rsidRDefault="000203ED" w:rsidP="00D877E0">
      <w:pPr>
        <w:spacing w:before="240"/>
        <w:jc w:val="center"/>
        <w:rPr>
          <w:u w:val="single"/>
          <w:lang w:val="fr-FR"/>
        </w:rPr>
      </w:pPr>
      <w:r>
        <w:rPr>
          <w:u w:val="single"/>
          <w:lang w:val="fr-FR"/>
        </w:rPr>
        <w:tab/>
      </w:r>
      <w:r>
        <w:rPr>
          <w:u w:val="single"/>
          <w:lang w:val="fr-FR"/>
        </w:rPr>
        <w:tab/>
      </w:r>
      <w:r>
        <w:rPr>
          <w:u w:val="single"/>
          <w:lang w:val="fr-FR"/>
        </w:rPr>
        <w:tab/>
      </w:r>
    </w:p>
    <w:sectPr w:rsidR="000203ED" w:rsidRPr="00D877E0"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3A17" w14:textId="77777777" w:rsidR="00A76938" w:rsidRDefault="00A76938"/>
  </w:endnote>
  <w:endnote w:type="continuationSeparator" w:id="0">
    <w:p w14:paraId="728A0C14" w14:textId="77777777" w:rsidR="00A76938" w:rsidRDefault="00A76938"/>
  </w:endnote>
  <w:endnote w:type="continuationNotice" w:id="1">
    <w:p w14:paraId="19F43FC7" w14:textId="77777777" w:rsidR="00A76938" w:rsidRDefault="00A76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Raleway">
    <w:altName w:val="Raleway"/>
    <w:charset w:val="00"/>
    <w:family w:val="auto"/>
    <w:pitch w:val="variable"/>
    <w:sig w:usb0="A00002FF" w:usb1="5000205B"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AB05" w14:textId="77777777" w:rsidR="00A76938" w:rsidRPr="000B175B" w:rsidRDefault="00A76938" w:rsidP="000B175B">
      <w:pPr>
        <w:tabs>
          <w:tab w:val="right" w:pos="2155"/>
        </w:tabs>
        <w:spacing w:after="80"/>
        <w:ind w:left="680"/>
        <w:rPr>
          <w:u w:val="single"/>
        </w:rPr>
      </w:pPr>
      <w:r>
        <w:rPr>
          <w:u w:val="single"/>
        </w:rPr>
        <w:tab/>
      </w:r>
    </w:p>
  </w:footnote>
  <w:footnote w:type="continuationSeparator" w:id="0">
    <w:p w14:paraId="19EE47B4" w14:textId="77777777" w:rsidR="00A76938" w:rsidRPr="00FC68B7" w:rsidRDefault="00A76938" w:rsidP="00FC68B7">
      <w:pPr>
        <w:tabs>
          <w:tab w:val="left" w:pos="2155"/>
        </w:tabs>
        <w:spacing w:after="80"/>
        <w:ind w:left="680"/>
        <w:rPr>
          <w:u w:val="single"/>
        </w:rPr>
      </w:pPr>
      <w:r>
        <w:rPr>
          <w:u w:val="single"/>
        </w:rPr>
        <w:tab/>
      </w:r>
    </w:p>
  </w:footnote>
  <w:footnote w:type="continuationNotice" w:id="1">
    <w:p w14:paraId="1EAE2E25" w14:textId="77777777" w:rsidR="00A76938" w:rsidRDefault="00A76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2AEDB1E6" w:rsidR="0092434D" w:rsidRPr="00617E96" w:rsidRDefault="0092434D">
    <w:pPr>
      <w:pStyle w:val="Header"/>
      <w:rPr>
        <w:lang w:val="fr-CH"/>
      </w:rPr>
    </w:pPr>
    <w:r>
      <w:rPr>
        <w:lang w:val="fr-CH"/>
      </w:rPr>
      <w:t>INF.</w:t>
    </w:r>
    <w:r w:rsidR="00E51875">
      <w:rPr>
        <w:lang w:val="fr-CH"/>
      </w:rPr>
      <w:t>1</w:t>
    </w:r>
    <w:r w:rsidR="000203ED">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600494E" w:rsidR="0092434D" w:rsidRPr="00F71BEF" w:rsidRDefault="0092434D" w:rsidP="00982036">
    <w:pPr>
      <w:pStyle w:val="Header"/>
      <w:jc w:val="right"/>
      <w:rPr>
        <w:lang w:val="fr-CH"/>
      </w:rPr>
    </w:pPr>
    <w:r w:rsidRPr="00F71BEF">
      <w:rPr>
        <w:lang w:val="fr-CH"/>
      </w:rPr>
      <w:t>INF.</w:t>
    </w:r>
    <w:r w:rsidR="000203ED">
      <w:rPr>
        <w:lang w:val="fr-CH"/>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0382AAC" w:rsidR="0092434D" w:rsidRPr="00617E96" w:rsidRDefault="00B170C8" w:rsidP="00617E96">
    <w:pPr>
      <w:pStyle w:val="Header"/>
      <w:jc w:val="right"/>
      <w:rPr>
        <w:sz w:val="28"/>
        <w:szCs w:val="28"/>
        <w:lang w:val="fr-CH"/>
      </w:rPr>
    </w:pPr>
    <w:r>
      <w:rPr>
        <w:sz w:val="28"/>
        <w:szCs w:val="28"/>
        <w:lang w:val="fr-CH"/>
      </w:rPr>
      <w:t>INF.</w:t>
    </w:r>
    <w:r w:rsidR="00E51875">
      <w:rPr>
        <w:sz w:val="28"/>
        <w:szCs w:val="28"/>
        <w:lang w:val="fr-CH"/>
      </w:rPr>
      <w:t>1</w:t>
    </w:r>
    <w:r w:rsidR="009D3DF1">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19"/>
  </w:num>
  <w:num w:numId="12" w16cid:durableId="2139956552">
    <w:abstractNumId w:val="12"/>
  </w:num>
  <w:num w:numId="13" w16cid:durableId="1790860202">
    <w:abstractNumId w:val="10"/>
  </w:num>
  <w:num w:numId="14" w16cid:durableId="1580358812">
    <w:abstractNumId w:val="20"/>
  </w:num>
  <w:num w:numId="15" w16cid:durableId="1100680768">
    <w:abstractNumId w:val="22"/>
  </w:num>
  <w:num w:numId="16" w16cid:durableId="691539058">
    <w:abstractNumId w:val="18"/>
  </w:num>
  <w:num w:numId="17" w16cid:durableId="2117359175">
    <w:abstractNumId w:val="17"/>
  </w:num>
  <w:num w:numId="18" w16cid:durableId="824972892">
    <w:abstractNumId w:val="23"/>
  </w:num>
  <w:num w:numId="19" w16cid:durableId="2142529226">
    <w:abstractNumId w:val="21"/>
  </w:num>
  <w:num w:numId="20" w16cid:durableId="2106609244">
    <w:abstractNumId w:val="24"/>
  </w:num>
  <w:num w:numId="21" w16cid:durableId="112790321">
    <w:abstractNumId w:val="16"/>
  </w:num>
  <w:num w:numId="22" w16cid:durableId="480079528">
    <w:abstractNumId w:val="14"/>
  </w:num>
  <w:num w:numId="23" w16cid:durableId="174199902">
    <w:abstractNumId w:val="11"/>
  </w:num>
  <w:num w:numId="24" w16cid:durableId="1016080866">
    <w:abstractNumId w:val="13"/>
  </w:num>
  <w:num w:numId="25" w16cid:durableId="829905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73C7F"/>
    <w:rsid w:val="00081815"/>
    <w:rsid w:val="00084795"/>
    <w:rsid w:val="00085285"/>
    <w:rsid w:val="00091CFC"/>
    <w:rsid w:val="000931C0"/>
    <w:rsid w:val="00095D38"/>
    <w:rsid w:val="00096C84"/>
    <w:rsid w:val="000A17BA"/>
    <w:rsid w:val="000A1A88"/>
    <w:rsid w:val="000A309E"/>
    <w:rsid w:val="000A7999"/>
    <w:rsid w:val="000B0595"/>
    <w:rsid w:val="000B0EB8"/>
    <w:rsid w:val="000B175B"/>
    <w:rsid w:val="000B2C58"/>
    <w:rsid w:val="000B3A0F"/>
    <w:rsid w:val="000B491C"/>
    <w:rsid w:val="000B4EF7"/>
    <w:rsid w:val="000C2C03"/>
    <w:rsid w:val="000C2D2E"/>
    <w:rsid w:val="000D08B9"/>
    <w:rsid w:val="000D3E3E"/>
    <w:rsid w:val="000E0415"/>
    <w:rsid w:val="000E0637"/>
    <w:rsid w:val="000E7A6F"/>
    <w:rsid w:val="000F2981"/>
    <w:rsid w:val="00110035"/>
    <w:rsid w:val="001103AA"/>
    <w:rsid w:val="00110611"/>
    <w:rsid w:val="00111A5C"/>
    <w:rsid w:val="001132DF"/>
    <w:rsid w:val="0011666B"/>
    <w:rsid w:val="0011707A"/>
    <w:rsid w:val="00121D95"/>
    <w:rsid w:val="00123BF9"/>
    <w:rsid w:val="00123E78"/>
    <w:rsid w:val="00130E08"/>
    <w:rsid w:val="0013299E"/>
    <w:rsid w:val="00144750"/>
    <w:rsid w:val="00145971"/>
    <w:rsid w:val="001467F8"/>
    <w:rsid w:val="00153C2C"/>
    <w:rsid w:val="0015659F"/>
    <w:rsid w:val="00164FF7"/>
    <w:rsid w:val="00165F3A"/>
    <w:rsid w:val="0016663C"/>
    <w:rsid w:val="0017318C"/>
    <w:rsid w:val="00173696"/>
    <w:rsid w:val="00175E6F"/>
    <w:rsid w:val="00177C0F"/>
    <w:rsid w:val="001817D6"/>
    <w:rsid w:val="001A1D4B"/>
    <w:rsid w:val="001A2105"/>
    <w:rsid w:val="001A2F15"/>
    <w:rsid w:val="001A3035"/>
    <w:rsid w:val="001A411A"/>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713"/>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2E0A"/>
    <w:rsid w:val="0029372B"/>
    <w:rsid w:val="00297AB0"/>
    <w:rsid w:val="002A4C9A"/>
    <w:rsid w:val="002B5655"/>
    <w:rsid w:val="002C03AE"/>
    <w:rsid w:val="002C1C5D"/>
    <w:rsid w:val="002C5E81"/>
    <w:rsid w:val="002C6AC2"/>
    <w:rsid w:val="002D0CA9"/>
    <w:rsid w:val="002D0CAD"/>
    <w:rsid w:val="002D4643"/>
    <w:rsid w:val="002D54BC"/>
    <w:rsid w:val="002D69D8"/>
    <w:rsid w:val="002E03A0"/>
    <w:rsid w:val="002E1E9B"/>
    <w:rsid w:val="002E2802"/>
    <w:rsid w:val="002E4DE5"/>
    <w:rsid w:val="002F175C"/>
    <w:rsid w:val="002F5852"/>
    <w:rsid w:val="002F5EA4"/>
    <w:rsid w:val="00302E18"/>
    <w:rsid w:val="003229D8"/>
    <w:rsid w:val="0032493B"/>
    <w:rsid w:val="003336F3"/>
    <w:rsid w:val="00350C7B"/>
    <w:rsid w:val="00352709"/>
    <w:rsid w:val="00353B6A"/>
    <w:rsid w:val="003619B5"/>
    <w:rsid w:val="00362309"/>
    <w:rsid w:val="00365763"/>
    <w:rsid w:val="00367D25"/>
    <w:rsid w:val="00371178"/>
    <w:rsid w:val="003711BC"/>
    <w:rsid w:val="00371590"/>
    <w:rsid w:val="00372DB1"/>
    <w:rsid w:val="00377020"/>
    <w:rsid w:val="003776D0"/>
    <w:rsid w:val="0039050A"/>
    <w:rsid w:val="00392E47"/>
    <w:rsid w:val="00394CC5"/>
    <w:rsid w:val="003A6810"/>
    <w:rsid w:val="003B173B"/>
    <w:rsid w:val="003B1FA8"/>
    <w:rsid w:val="003B2A95"/>
    <w:rsid w:val="003B4873"/>
    <w:rsid w:val="003C0075"/>
    <w:rsid w:val="003C2127"/>
    <w:rsid w:val="003C2CC4"/>
    <w:rsid w:val="003C3C4D"/>
    <w:rsid w:val="003C7018"/>
    <w:rsid w:val="003D0503"/>
    <w:rsid w:val="003D1847"/>
    <w:rsid w:val="003D4B23"/>
    <w:rsid w:val="003D5C99"/>
    <w:rsid w:val="003D6CB1"/>
    <w:rsid w:val="003D7C13"/>
    <w:rsid w:val="003E130E"/>
    <w:rsid w:val="003E7397"/>
    <w:rsid w:val="004021CB"/>
    <w:rsid w:val="004066A5"/>
    <w:rsid w:val="00410C89"/>
    <w:rsid w:val="004114BC"/>
    <w:rsid w:val="00421FE8"/>
    <w:rsid w:val="004225D2"/>
    <w:rsid w:val="00422E03"/>
    <w:rsid w:val="0042319F"/>
    <w:rsid w:val="004240EB"/>
    <w:rsid w:val="0042588A"/>
    <w:rsid w:val="00426B9B"/>
    <w:rsid w:val="004325CB"/>
    <w:rsid w:val="00433E2A"/>
    <w:rsid w:val="00442A83"/>
    <w:rsid w:val="0044660C"/>
    <w:rsid w:val="00450839"/>
    <w:rsid w:val="0045495B"/>
    <w:rsid w:val="004561E5"/>
    <w:rsid w:val="004570B1"/>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33EE"/>
    <w:rsid w:val="004D6927"/>
    <w:rsid w:val="004E06DC"/>
    <w:rsid w:val="004E6FFC"/>
    <w:rsid w:val="004E77B2"/>
    <w:rsid w:val="004F768F"/>
    <w:rsid w:val="00500E3C"/>
    <w:rsid w:val="0050113C"/>
    <w:rsid w:val="00504603"/>
    <w:rsid w:val="00504B2D"/>
    <w:rsid w:val="00513E3A"/>
    <w:rsid w:val="0052136D"/>
    <w:rsid w:val="00522680"/>
    <w:rsid w:val="0052775E"/>
    <w:rsid w:val="0053784E"/>
    <w:rsid w:val="0054034C"/>
    <w:rsid w:val="005420F2"/>
    <w:rsid w:val="00544504"/>
    <w:rsid w:val="00547B54"/>
    <w:rsid w:val="00552CEB"/>
    <w:rsid w:val="0056099E"/>
    <w:rsid w:val="00561B06"/>
    <w:rsid w:val="005628B6"/>
    <w:rsid w:val="0056374F"/>
    <w:rsid w:val="00564B71"/>
    <w:rsid w:val="00575310"/>
    <w:rsid w:val="00575B3B"/>
    <w:rsid w:val="00575C6F"/>
    <w:rsid w:val="0057735C"/>
    <w:rsid w:val="005778AE"/>
    <w:rsid w:val="005857EE"/>
    <w:rsid w:val="00591D4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6B88"/>
    <w:rsid w:val="00636F0C"/>
    <w:rsid w:val="006404E9"/>
    <w:rsid w:val="00640B26"/>
    <w:rsid w:val="00646D0F"/>
    <w:rsid w:val="0065121A"/>
    <w:rsid w:val="0065178B"/>
    <w:rsid w:val="00652D0A"/>
    <w:rsid w:val="00662BB6"/>
    <w:rsid w:val="00662CFB"/>
    <w:rsid w:val="006642B6"/>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931F7"/>
    <w:rsid w:val="00794709"/>
    <w:rsid w:val="007A0D0E"/>
    <w:rsid w:val="007A1699"/>
    <w:rsid w:val="007B2176"/>
    <w:rsid w:val="007B249A"/>
    <w:rsid w:val="007B5332"/>
    <w:rsid w:val="007B6BA5"/>
    <w:rsid w:val="007C3390"/>
    <w:rsid w:val="007C38EF"/>
    <w:rsid w:val="007C4F4B"/>
    <w:rsid w:val="007C554F"/>
    <w:rsid w:val="007D3162"/>
    <w:rsid w:val="007D784A"/>
    <w:rsid w:val="007E01E9"/>
    <w:rsid w:val="007E4066"/>
    <w:rsid w:val="007E63F3"/>
    <w:rsid w:val="007F1052"/>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6553"/>
    <w:rsid w:val="0090465E"/>
    <w:rsid w:val="009064B3"/>
    <w:rsid w:val="00913E4C"/>
    <w:rsid w:val="00914B7C"/>
    <w:rsid w:val="009166EB"/>
    <w:rsid w:val="00917FDE"/>
    <w:rsid w:val="00920CA3"/>
    <w:rsid w:val="009215C9"/>
    <w:rsid w:val="009223CA"/>
    <w:rsid w:val="00922C88"/>
    <w:rsid w:val="00922F9C"/>
    <w:rsid w:val="0092434D"/>
    <w:rsid w:val="00931EB3"/>
    <w:rsid w:val="00933D40"/>
    <w:rsid w:val="00934DFA"/>
    <w:rsid w:val="00936E4A"/>
    <w:rsid w:val="00940F93"/>
    <w:rsid w:val="0094125F"/>
    <w:rsid w:val="00943DE2"/>
    <w:rsid w:val="00945A10"/>
    <w:rsid w:val="009460CD"/>
    <w:rsid w:val="00957EB6"/>
    <w:rsid w:val="0096751C"/>
    <w:rsid w:val="00973BBC"/>
    <w:rsid w:val="00973C44"/>
    <w:rsid w:val="009760F3"/>
    <w:rsid w:val="0097696C"/>
    <w:rsid w:val="00976BF8"/>
    <w:rsid w:val="00976CFB"/>
    <w:rsid w:val="00977458"/>
    <w:rsid w:val="009812D6"/>
    <w:rsid w:val="00982036"/>
    <w:rsid w:val="009920E9"/>
    <w:rsid w:val="009941AF"/>
    <w:rsid w:val="009954B3"/>
    <w:rsid w:val="0099747B"/>
    <w:rsid w:val="009A0830"/>
    <w:rsid w:val="009A0E8D"/>
    <w:rsid w:val="009A208A"/>
    <w:rsid w:val="009A43DD"/>
    <w:rsid w:val="009A5C6E"/>
    <w:rsid w:val="009A6244"/>
    <w:rsid w:val="009A776B"/>
    <w:rsid w:val="009A7D9E"/>
    <w:rsid w:val="009B26E7"/>
    <w:rsid w:val="009B4305"/>
    <w:rsid w:val="009B7A75"/>
    <w:rsid w:val="009D12A5"/>
    <w:rsid w:val="009D3DF1"/>
    <w:rsid w:val="009D5D5F"/>
    <w:rsid w:val="009D6B04"/>
    <w:rsid w:val="009D77BD"/>
    <w:rsid w:val="009E076B"/>
    <w:rsid w:val="009E5596"/>
    <w:rsid w:val="009E5870"/>
    <w:rsid w:val="009E7286"/>
    <w:rsid w:val="00A00697"/>
    <w:rsid w:val="00A00A3F"/>
    <w:rsid w:val="00A01489"/>
    <w:rsid w:val="00A046A3"/>
    <w:rsid w:val="00A072AF"/>
    <w:rsid w:val="00A144E6"/>
    <w:rsid w:val="00A25F95"/>
    <w:rsid w:val="00A26316"/>
    <w:rsid w:val="00A3026E"/>
    <w:rsid w:val="00A327A3"/>
    <w:rsid w:val="00A32DEF"/>
    <w:rsid w:val="00A32E4E"/>
    <w:rsid w:val="00A338F1"/>
    <w:rsid w:val="00A35BE0"/>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38"/>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2978"/>
    <w:rsid w:val="00AC3F1A"/>
    <w:rsid w:val="00AC4D43"/>
    <w:rsid w:val="00AD321C"/>
    <w:rsid w:val="00AD5A51"/>
    <w:rsid w:val="00AD5BA1"/>
    <w:rsid w:val="00AE08F1"/>
    <w:rsid w:val="00AE2E12"/>
    <w:rsid w:val="00AE4E51"/>
    <w:rsid w:val="00AF0EA9"/>
    <w:rsid w:val="00AF21F6"/>
    <w:rsid w:val="00AF7D59"/>
    <w:rsid w:val="00B0107C"/>
    <w:rsid w:val="00B15F1E"/>
    <w:rsid w:val="00B170C8"/>
    <w:rsid w:val="00B24879"/>
    <w:rsid w:val="00B3017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22B8"/>
    <w:rsid w:val="00C91922"/>
    <w:rsid w:val="00C933EF"/>
    <w:rsid w:val="00C95303"/>
    <w:rsid w:val="00C96DF2"/>
    <w:rsid w:val="00C97150"/>
    <w:rsid w:val="00CA31C6"/>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7E0"/>
    <w:rsid w:val="00D87BCE"/>
    <w:rsid w:val="00D95303"/>
    <w:rsid w:val="00D978C6"/>
    <w:rsid w:val="00DA12A5"/>
    <w:rsid w:val="00DA1781"/>
    <w:rsid w:val="00DA3C1C"/>
    <w:rsid w:val="00DA5035"/>
    <w:rsid w:val="00DB12D7"/>
    <w:rsid w:val="00DB5C6F"/>
    <w:rsid w:val="00DB6987"/>
    <w:rsid w:val="00DC1C1D"/>
    <w:rsid w:val="00DC393A"/>
    <w:rsid w:val="00DC7544"/>
    <w:rsid w:val="00DD1088"/>
    <w:rsid w:val="00DE6B06"/>
    <w:rsid w:val="00DF33EE"/>
    <w:rsid w:val="00DF3C28"/>
    <w:rsid w:val="00DF4D79"/>
    <w:rsid w:val="00DF5FF4"/>
    <w:rsid w:val="00DF6C26"/>
    <w:rsid w:val="00E046DF"/>
    <w:rsid w:val="00E12B02"/>
    <w:rsid w:val="00E2083E"/>
    <w:rsid w:val="00E20B22"/>
    <w:rsid w:val="00E214F0"/>
    <w:rsid w:val="00E22415"/>
    <w:rsid w:val="00E27346"/>
    <w:rsid w:val="00E27888"/>
    <w:rsid w:val="00E27B0C"/>
    <w:rsid w:val="00E27B98"/>
    <w:rsid w:val="00E37533"/>
    <w:rsid w:val="00E43BF2"/>
    <w:rsid w:val="00E4453E"/>
    <w:rsid w:val="00E51875"/>
    <w:rsid w:val="00E5372B"/>
    <w:rsid w:val="00E64229"/>
    <w:rsid w:val="00E64CFF"/>
    <w:rsid w:val="00E70BBC"/>
    <w:rsid w:val="00E71BC8"/>
    <w:rsid w:val="00E7260F"/>
    <w:rsid w:val="00E73F5D"/>
    <w:rsid w:val="00E77E4E"/>
    <w:rsid w:val="00E92145"/>
    <w:rsid w:val="00E94ED4"/>
    <w:rsid w:val="00E96630"/>
    <w:rsid w:val="00E97BAF"/>
    <w:rsid w:val="00EA3EFB"/>
    <w:rsid w:val="00EA3FC3"/>
    <w:rsid w:val="00EA6EDC"/>
    <w:rsid w:val="00EB0855"/>
    <w:rsid w:val="00EB09F5"/>
    <w:rsid w:val="00EB3B4B"/>
    <w:rsid w:val="00EC291F"/>
    <w:rsid w:val="00EC520E"/>
    <w:rsid w:val="00EC60D8"/>
    <w:rsid w:val="00ED2821"/>
    <w:rsid w:val="00ED2918"/>
    <w:rsid w:val="00ED7297"/>
    <w:rsid w:val="00ED7A2A"/>
    <w:rsid w:val="00EE105C"/>
    <w:rsid w:val="00EE5A98"/>
    <w:rsid w:val="00EE5EA4"/>
    <w:rsid w:val="00EF147E"/>
    <w:rsid w:val="00EF1D7F"/>
    <w:rsid w:val="00EF4C20"/>
    <w:rsid w:val="00F015F8"/>
    <w:rsid w:val="00F05A9E"/>
    <w:rsid w:val="00F12D83"/>
    <w:rsid w:val="00F13886"/>
    <w:rsid w:val="00F15436"/>
    <w:rsid w:val="00F23D5B"/>
    <w:rsid w:val="00F259E5"/>
    <w:rsid w:val="00F31E5F"/>
    <w:rsid w:val="00F333A2"/>
    <w:rsid w:val="00F36F52"/>
    <w:rsid w:val="00F42032"/>
    <w:rsid w:val="00F5116B"/>
    <w:rsid w:val="00F5186B"/>
    <w:rsid w:val="00F52C77"/>
    <w:rsid w:val="00F55403"/>
    <w:rsid w:val="00F6087B"/>
    <w:rsid w:val="00F6100A"/>
    <w:rsid w:val="00F62D92"/>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7D6D"/>
    <w:rsid w:val="00FB014F"/>
    <w:rsid w:val="00FB30BE"/>
    <w:rsid w:val="00FB4929"/>
    <w:rsid w:val="00FB5590"/>
    <w:rsid w:val="00FB613B"/>
    <w:rsid w:val="00FC42E5"/>
    <w:rsid w:val="00FC67FE"/>
    <w:rsid w:val="00FC68B7"/>
    <w:rsid w:val="00FD3054"/>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1575</Words>
  <Characters>8664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INF.13</vt:lpstr>
      <vt:lpstr>United Nations</vt:lpstr>
    </vt:vector>
  </TitlesOfParts>
  <Company>CSD</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INF.14</dc:title>
  <dc:subject/>
  <dc:creator>Mansion</dc:creator>
  <cp:keywords/>
  <cp:lastModifiedBy>Alicia Dorca Garcia</cp:lastModifiedBy>
  <cp:revision>36</cp:revision>
  <cp:lastPrinted>2018-05-09T18:23:00Z</cp:lastPrinted>
  <dcterms:created xsi:type="dcterms:W3CDTF">2023-10-23T08:27:00Z</dcterms:created>
  <dcterms:modified xsi:type="dcterms:W3CDTF">2023-10-23T13:16:00Z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