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F6309" w14:paraId="2458F281" w14:textId="77777777" w:rsidTr="00C97039">
        <w:trPr>
          <w:trHeight w:hRule="exact" w:val="851"/>
        </w:trPr>
        <w:tc>
          <w:tcPr>
            <w:tcW w:w="1276" w:type="dxa"/>
            <w:tcBorders>
              <w:bottom w:val="single" w:sz="4" w:space="0" w:color="auto"/>
            </w:tcBorders>
          </w:tcPr>
          <w:p w14:paraId="5B36210E" w14:textId="77777777" w:rsidR="00F35BAF" w:rsidRPr="00DB58B5" w:rsidRDefault="00F35BAF" w:rsidP="003F6309"/>
        </w:tc>
        <w:tc>
          <w:tcPr>
            <w:tcW w:w="2268" w:type="dxa"/>
            <w:tcBorders>
              <w:bottom w:val="single" w:sz="4" w:space="0" w:color="auto"/>
            </w:tcBorders>
            <w:vAlign w:val="bottom"/>
          </w:tcPr>
          <w:p w14:paraId="469F0BA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8EB8EB" w14:textId="27D02DC4" w:rsidR="00F35BAF" w:rsidRPr="003F6309" w:rsidRDefault="003F6309" w:rsidP="003F6309">
            <w:pPr>
              <w:jc w:val="right"/>
              <w:rPr>
                <w:lang w:val="en-US"/>
              </w:rPr>
            </w:pPr>
            <w:r w:rsidRPr="003F6309">
              <w:rPr>
                <w:sz w:val="40"/>
                <w:lang w:val="en-US"/>
              </w:rPr>
              <w:t>ECE</w:t>
            </w:r>
            <w:r w:rsidRPr="003F6309">
              <w:rPr>
                <w:lang w:val="en-US"/>
              </w:rPr>
              <w:t>/TRANS/WP.15/AC.1/168/Add.1</w:t>
            </w:r>
          </w:p>
        </w:tc>
      </w:tr>
      <w:tr w:rsidR="00F35BAF" w:rsidRPr="00DB58B5" w14:paraId="1A67BF8B" w14:textId="77777777" w:rsidTr="00C97039">
        <w:trPr>
          <w:trHeight w:hRule="exact" w:val="2835"/>
        </w:trPr>
        <w:tc>
          <w:tcPr>
            <w:tcW w:w="1276" w:type="dxa"/>
            <w:tcBorders>
              <w:top w:val="single" w:sz="4" w:space="0" w:color="auto"/>
              <w:bottom w:val="single" w:sz="12" w:space="0" w:color="auto"/>
            </w:tcBorders>
          </w:tcPr>
          <w:p w14:paraId="035BFE42" w14:textId="77777777" w:rsidR="00F35BAF" w:rsidRPr="00DB58B5" w:rsidRDefault="00F35BAF" w:rsidP="00C97039">
            <w:pPr>
              <w:spacing w:before="120"/>
              <w:jc w:val="center"/>
            </w:pPr>
            <w:r>
              <w:rPr>
                <w:noProof/>
                <w:lang w:eastAsia="fr-CH"/>
              </w:rPr>
              <w:drawing>
                <wp:inline distT="0" distB="0" distL="0" distR="0" wp14:anchorId="39804E51" wp14:editId="0A494EF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35D0B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E23AB20" w14:textId="77777777" w:rsidR="00F35BAF" w:rsidRDefault="003F6309" w:rsidP="00C97039">
            <w:pPr>
              <w:spacing w:before="240"/>
            </w:pPr>
            <w:r>
              <w:t>Distr. générale</w:t>
            </w:r>
          </w:p>
          <w:p w14:paraId="2ECEBBFD" w14:textId="77777777" w:rsidR="003F6309" w:rsidRDefault="003F6309" w:rsidP="003F6309">
            <w:pPr>
              <w:spacing w:line="240" w:lineRule="exact"/>
            </w:pPr>
            <w:r>
              <w:t>12 avril 2023</w:t>
            </w:r>
          </w:p>
          <w:p w14:paraId="520B7600" w14:textId="77777777" w:rsidR="003F6309" w:rsidRDefault="003F6309" w:rsidP="003F6309">
            <w:pPr>
              <w:spacing w:line="240" w:lineRule="exact"/>
            </w:pPr>
            <w:r>
              <w:t>Français</w:t>
            </w:r>
          </w:p>
          <w:p w14:paraId="5A94D2CC" w14:textId="43B832EE" w:rsidR="003F6309" w:rsidRPr="00DB58B5" w:rsidRDefault="003F6309" w:rsidP="003F6309">
            <w:pPr>
              <w:spacing w:line="240" w:lineRule="exact"/>
            </w:pPr>
            <w:r>
              <w:t>Original : anglais</w:t>
            </w:r>
          </w:p>
        </w:tc>
      </w:tr>
    </w:tbl>
    <w:p w14:paraId="192BEC66" w14:textId="77777777" w:rsidR="007F20FA" w:rsidRPr="000312C0" w:rsidRDefault="007F20FA" w:rsidP="007F20FA">
      <w:pPr>
        <w:spacing w:before="120"/>
        <w:rPr>
          <w:b/>
          <w:sz w:val="28"/>
          <w:szCs w:val="28"/>
        </w:rPr>
      </w:pPr>
      <w:r w:rsidRPr="000312C0">
        <w:rPr>
          <w:b/>
          <w:sz w:val="28"/>
          <w:szCs w:val="28"/>
        </w:rPr>
        <w:t>Commission économique pour l’Europe</w:t>
      </w:r>
    </w:p>
    <w:p w14:paraId="4518C1AC" w14:textId="77777777" w:rsidR="007F20FA" w:rsidRDefault="007F20FA" w:rsidP="007F20FA">
      <w:pPr>
        <w:spacing w:before="120"/>
        <w:rPr>
          <w:sz w:val="28"/>
          <w:szCs w:val="28"/>
        </w:rPr>
      </w:pPr>
      <w:r w:rsidRPr="00685843">
        <w:rPr>
          <w:sz w:val="28"/>
          <w:szCs w:val="28"/>
        </w:rPr>
        <w:t>Comité des transports intérieurs</w:t>
      </w:r>
    </w:p>
    <w:p w14:paraId="69B98C34" w14:textId="77777777" w:rsidR="003F6309" w:rsidRPr="009E01B8" w:rsidRDefault="003F6309" w:rsidP="00E85C74">
      <w:pPr>
        <w:spacing w:before="120"/>
        <w:rPr>
          <w:b/>
          <w:sz w:val="24"/>
          <w:szCs w:val="24"/>
        </w:rPr>
      </w:pPr>
      <w:r w:rsidRPr="009E01B8">
        <w:rPr>
          <w:b/>
          <w:sz w:val="24"/>
          <w:szCs w:val="24"/>
        </w:rPr>
        <w:t>Groupe de travail des transports de marchandises dangereuses</w:t>
      </w:r>
    </w:p>
    <w:p w14:paraId="3A8F71F6" w14:textId="64987863" w:rsidR="003F6309" w:rsidRPr="00424F11" w:rsidRDefault="003F6309" w:rsidP="003F6309">
      <w:pPr>
        <w:spacing w:before="120" w:line="240" w:lineRule="auto"/>
        <w:rPr>
          <w:b/>
        </w:rPr>
      </w:pPr>
      <w:r w:rsidRPr="00424F11">
        <w:rPr>
          <w:b/>
          <w:bCs/>
        </w:rPr>
        <w:t xml:space="preserve">Réunion commune de la Commission d’experts du RID </w:t>
      </w:r>
      <w:r w:rsidR="00424F11">
        <w:rPr>
          <w:b/>
          <w:bCs/>
        </w:rPr>
        <w:br/>
      </w:r>
      <w:r w:rsidRPr="00424F11">
        <w:rPr>
          <w:b/>
          <w:bCs/>
        </w:rPr>
        <w:t xml:space="preserve">et du Groupe de travail des transports </w:t>
      </w:r>
      <w:r w:rsidRPr="00424F11">
        <w:rPr>
          <w:b/>
          <w:bCs/>
        </w:rPr>
        <w:br/>
      </w:r>
      <w:r w:rsidRPr="00424F11">
        <w:rPr>
          <w:b/>
          <w:bCs/>
        </w:rPr>
        <w:t>de marchandises dangereuses</w:t>
      </w:r>
    </w:p>
    <w:p w14:paraId="2C13BBD1" w14:textId="472C0957" w:rsidR="003F6309" w:rsidRPr="00D12D05" w:rsidRDefault="003F6309" w:rsidP="003F6309">
      <w:pPr>
        <w:pStyle w:val="HChG"/>
      </w:pPr>
      <w:r w:rsidRPr="00D12D05">
        <w:tab/>
      </w:r>
      <w:r w:rsidRPr="00D12D05">
        <w:tab/>
        <w:t>Rapport de la Réunion commune de la Commission d</w:t>
      </w:r>
      <w:r>
        <w:t>’</w:t>
      </w:r>
      <w:r w:rsidRPr="00D12D05">
        <w:t xml:space="preserve">experts du RID et du Groupe de travail des transports </w:t>
      </w:r>
      <w:r>
        <w:br/>
      </w:r>
      <w:r w:rsidRPr="00D12D05">
        <w:t xml:space="preserve">de marchandises dangereuses sur sa session </w:t>
      </w:r>
      <w:r>
        <w:br/>
      </w:r>
      <w:r w:rsidRPr="00D12D05">
        <w:t>de printemps 2023</w:t>
      </w:r>
      <w:r w:rsidRPr="003F6309">
        <w:rPr>
          <w:rStyle w:val="Appelnotedebasdep"/>
          <w:b w:val="0"/>
          <w:bCs/>
          <w:sz w:val="20"/>
          <w:vertAlign w:val="baseline"/>
        </w:rPr>
        <w:footnoteReference w:customMarkFollows="1" w:id="2"/>
        <w:t>*</w:t>
      </w:r>
    </w:p>
    <w:p w14:paraId="0C19056A" w14:textId="5AC8F6BD" w:rsidR="003F6309" w:rsidRPr="00D12D05" w:rsidRDefault="003F6309" w:rsidP="003F6309">
      <w:pPr>
        <w:pStyle w:val="H56G"/>
      </w:pPr>
      <w:r w:rsidRPr="00D12D05">
        <w:tab/>
      </w:r>
      <w:r w:rsidRPr="00D12D05">
        <w:tab/>
      </w:r>
      <w:r w:rsidRPr="00D12D05">
        <w:t>T</w:t>
      </w:r>
      <w:r w:rsidRPr="00D12D05">
        <w:t>enue à Berne, du 20 au 24 mars 2023</w:t>
      </w:r>
    </w:p>
    <w:p w14:paraId="36F167BC" w14:textId="77777777" w:rsidR="003F6309" w:rsidRPr="00D12D05" w:rsidRDefault="003F6309" w:rsidP="003F6309">
      <w:pPr>
        <w:pStyle w:val="H23G"/>
      </w:pPr>
      <w:r w:rsidRPr="00D12D05">
        <w:tab/>
      </w:r>
      <w:r w:rsidRPr="00D12D05">
        <w:tab/>
        <w:t>Additif</w:t>
      </w:r>
      <w:r w:rsidRPr="003F6309">
        <w:rPr>
          <w:rStyle w:val="Appelnotedebasdep"/>
          <w:b w:val="0"/>
          <w:bCs/>
          <w:sz w:val="20"/>
          <w:vertAlign w:val="baseline"/>
        </w:rPr>
        <w:footnoteReference w:customMarkFollows="1" w:id="3"/>
        <w:t>**</w:t>
      </w:r>
    </w:p>
    <w:p w14:paraId="662561EC" w14:textId="77777777" w:rsidR="003F6309" w:rsidRPr="00D12D05" w:rsidRDefault="003F6309" w:rsidP="003F6309">
      <w:pPr>
        <w:pStyle w:val="HChG"/>
      </w:pPr>
      <w:r w:rsidRPr="00D12D05">
        <w:tab/>
      </w:r>
      <w:r w:rsidRPr="00D12D05">
        <w:tab/>
        <w:t>Annexe I</w:t>
      </w:r>
    </w:p>
    <w:p w14:paraId="432A97A4" w14:textId="77777777" w:rsidR="003F6309" w:rsidRPr="00D12D05" w:rsidRDefault="003F6309" w:rsidP="003F6309">
      <w:pPr>
        <w:pStyle w:val="H1G"/>
      </w:pPr>
      <w:r w:rsidRPr="00D12D05">
        <w:tab/>
      </w:r>
      <w:r w:rsidRPr="00D12D05">
        <w:tab/>
        <w:t>Rapport du Groupe de travail des citernes</w:t>
      </w:r>
    </w:p>
    <w:p w14:paraId="5408408C" w14:textId="77777777" w:rsidR="003F6309" w:rsidRPr="00D12D05" w:rsidRDefault="003F6309" w:rsidP="003F6309">
      <w:pPr>
        <w:pStyle w:val="SingleTxtG"/>
      </w:pPr>
      <w:r w:rsidRPr="00D12D05">
        <w:t>1.</w:t>
      </w:r>
      <w:r w:rsidRPr="00D12D05">
        <w:tab/>
        <w:t>Le Groupe de travail des citernes s</w:t>
      </w:r>
      <w:r>
        <w:t>’</w:t>
      </w:r>
      <w:r w:rsidRPr="00D12D05">
        <w:t>est réuni du 20 au 22 mars 2023 selon des modalités hybrides, dans le cadre du mandat que lui a confié la Réunion commune RID/ADR/ADN, sous la présidence d</w:t>
      </w:r>
      <w:r>
        <w:t>’</w:t>
      </w:r>
      <w:r w:rsidRPr="00D12D05">
        <w:t xml:space="preserve">Arne Bale (Royaume-Uni), </w:t>
      </w:r>
      <w:proofErr w:type="spellStart"/>
      <w:r w:rsidRPr="00D12D05">
        <w:t>Kees</w:t>
      </w:r>
      <w:proofErr w:type="spellEnd"/>
      <w:r w:rsidRPr="00D12D05">
        <w:t xml:space="preserve"> de Putter (Pays-Bas) remplissant les fonctions de secrétaire. Les documents pertinents ont été soumis au Groupe de travail pour examen.</w:t>
      </w:r>
    </w:p>
    <w:p w14:paraId="5BA1301F" w14:textId="6A69BFAC" w:rsidR="003F6309" w:rsidRPr="00D12D05" w:rsidRDefault="003F6309" w:rsidP="003F6309">
      <w:pPr>
        <w:pStyle w:val="SingleTxtG"/>
      </w:pPr>
      <w:r w:rsidRPr="00D12D05">
        <w:t>2.</w:t>
      </w:r>
      <w:r w:rsidRPr="00D12D05">
        <w:tab/>
        <w:t xml:space="preserve">Vingt-six experts </w:t>
      </w:r>
      <w:r w:rsidR="00590EBD" w:rsidRPr="00590EBD">
        <w:t>représentant</w:t>
      </w:r>
      <w:r w:rsidR="00590EBD" w:rsidRPr="00590EBD">
        <w:t xml:space="preserve"> </w:t>
      </w:r>
      <w:r w:rsidR="00424F11" w:rsidRPr="00590EBD">
        <w:t xml:space="preserve">11 pays </w:t>
      </w:r>
      <w:r w:rsidRPr="00590EBD">
        <w:t>et</w:t>
      </w:r>
      <w:r w:rsidRPr="00D12D05">
        <w:t xml:space="preserve"> cinq organisations non gouvernementales ont participé </w:t>
      </w:r>
      <w:r>
        <w:t xml:space="preserve">à la session du </w:t>
      </w:r>
      <w:r w:rsidRPr="00D12D05">
        <w:t>Groupe de travail des citernes. Ils ont traité les documents officiels et informels suivants</w:t>
      </w:r>
      <w:r w:rsidR="00424F11">
        <w:t> </w:t>
      </w:r>
      <w:r w:rsidRPr="00D12D05">
        <w:t>:</w:t>
      </w:r>
    </w:p>
    <w:p w14:paraId="4CCE5866" w14:textId="0533FDDF" w:rsidR="003F6309" w:rsidRPr="00D12D05" w:rsidRDefault="003F6309" w:rsidP="003F6309">
      <w:pPr>
        <w:pStyle w:val="SingleTxtG"/>
        <w:ind w:left="3119" w:hanging="1985"/>
        <w:jc w:val="left"/>
      </w:pPr>
      <w:r w:rsidRPr="00D12D05">
        <w:rPr>
          <w:i/>
          <w:iCs/>
        </w:rPr>
        <w:t>Documents</w:t>
      </w:r>
      <w:r>
        <w:rPr>
          <w:i/>
          <w:iCs/>
        </w:rPr>
        <w:t> </w:t>
      </w:r>
      <w:r w:rsidRPr="00D12D05">
        <w:rPr>
          <w:i/>
          <w:iCs/>
        </w:rPr>
        <w:t>:</w:t>
      </w:r>
      <w:r w:rsidRPr="00D12D05">
        <w:tab/>
        <w:t>ECE/TRANS/WP.15/AC.1/2023/3 (</w:t>
      </w:r>
      <w:r>
        <w:t>s</w:t>
      </w:r>
      <w:r w:rsidRPr="00D12D05">
        <w:t>ecrétariat de l</w:t>
      </w:r>
      <w:r>
        <w:t>’</w:t>
      </w:r>
      <w:r w:rsidRPr="00D12D05">
        <w:t>OTIF)</w:t>
      </w:r>
      <w:r>
        <w:br/>
      </w:r>
      <w:r w:rsidRPr="00D12D05">
        <w:t>ECE/TRANS/WP.15/AC.1/2023/16 (Pologne)</w:t>
      </w:r>
    </w:p>
    <w:p w14:paraId="193F0E15" w14:textId="728F9F2E" w:rsidR="003F6309" w:rsidRPr="003F6309" w:rsidRDefault="003F6309" w:rsidP="003F6309">
      <w:pPr>
        <w:pStyle w:val="SingleTxtG"/>
        <w:ind w:left="3119" w:hanging="1985"/>
        <w:jc w:val="left"/>
      </w:pPr>
      <w:r w:rsidRPr="003F6309">
        <w:rPr>
          <w:i/>
          <w:iCs/>
        </w:rPr>
        <w:t>Documents informels</w:t>
      </w:r>
      <w:r w:rsidRPr="003F6309">
        <w:rPr>
          <w:i/>
          <w:iCs/>
        </w:rPr>
        <w:t> </w:t>
      </w:r>
      <w:r w:rsidRPr="003F6309">
        <w:rPr>
          <w:i/>
          <w:iCs/>
        </w:rPr>
        <w:t>:</w:t>
      </w:r>
      <w:r w:rsidRPr="003F6309">
        <w:tab/>
        <w:t>INF.5 (secrétariat de l’OTIF)</w:t>
      </w:r>
      <w:r w:rsidRPr="003F6309">
        <w:br/>
      </w:r>
      <w:r w:rsidRPr="003F6309">
        <w:t>INF.7 (secrétariat de l’OTIF)</w:t>
      </w:r>
      <w:r w:rsidRPr="003F6309">
        <w:br/>
      </w:r>
      <w:r w:rsidRPr="003F6309">
        <w:t>INF.12 (Président du Groupe de travail des normes)</w:t>
      </w:r>
      <w:r w:rsidRPr="003F6309">
        <w:br/>
      </w:r>
      <w:r w:rsidRPr="003F6309">
        <w:lastRenderedPageBreak/>
        <w:t>INF.21 (Pays-Bas)</w:t>
      </w:r>
      <w:r w:rsidRPr="003F6309">
        <w:br/>
      </w:r>
      <w:r w:rsidRPr="003F6309">
        <w:t>INF.26 (France)</w:t>
      </w:r>
      <w:r w:rsidRPr="003F6309">
        <w:br/>
      </w:r>
      <w:r w:rsidRPr="003F6309">
        <w:t>INF.33 (France)</w:t>
      </w:r>
      <w:r w:rsidRPr="003F6309">
        <w:br/>
      </w:r>
      <w:r w:rsidRPr="003F6309">
        <w:t>INF.38 (Royaume-Uni)</w:t>
      </w:r>
    </w:p>
    <w:p w14:paraId="230BF181" w14:textId="1071CDF0" w:rsidR="003F6309" w:rsidRPr="00D12D05" w:rsidRDefault="003F6309" w:rsidP="003F6309">
      <w:pPr>
        <w:pStyle w:val="HChG"/>
      </w:pPr>
      <w:r>
        <w:tab/>
      </w:r>
      <w:r w:rsidRPr="00D12D05">
        <w:t>I.</w:t>
      </w:r>
      <w:r w:rsidRPr="00D12D05">
        <w:tab/>
        <w:t>Section 1</w:t>
      </w:r>
      <w:r w:rsidR="00424F11">
        <w:t> </w:t>
      </w:r>
      <w:r w:rsidRPr="00D12D05">
        <w:t xml:space="preserve">: Amendements à approuver qui seront intégrés </w:t>
      </w:r>
      <w:r w:rsidR="00424F11">
        <w:br/>
      </w:r>
      <w:r w:rsidRPr="00D12D05">
        <w:t>à l</w:t>
      </w:r>
      <w:r>
        <w:t>’</w:t>
      </w:r>
      <w:r w:rsidRPr="00D12D05">
        <w:t>édition 2025 du RID et de l</w:t>
      </w:r>
      <w:r>
        <w:t>’</w:t>
      </w:r>
      <w:r w:rsidRPr="00D12D05">
        <w:t>ADR</w:t>
      </w:r>
    </w:p>
    <w:p w14:paraId="1C3CAC58" w14:textId="01EB5091" w:rsidR="003F6309" w:rsidRPr="00D12D05" w:rsidRDefault="003F6309" w:rsidP="003F6309">
      <w:pPr>
        <w:pStyle w:val="H1G"/>
      </w:pPr>
      <w:r>
        <w:tab/>
      </w:r>
      <w:r>
        <w:tab/>
      </w:r>
      <w:r w:rsidRPr="00D12D05">
        <w:t>Point 1</w:t>
      </w:r>
      <w:r>
        <w:br/>
      </w:r>
      <w:r w:rsidRPr="00D12D05">
        <w:tab/>
        <w:t xml:space="preserve">Approche rationalisée pour affecter les codes-citerne à des groupes </w:t>
      </w:r>
      <w:r>
        <w:br/>
      </w:r>
      <w:r w:rsidRPr="00D12D05">
        <w:t>de matières au 4.3.4.1.2</w:t>
      </w:r>
    </w:p>
    <w:p w14:paraId="5EAC7493" w14:textId="32479C39" w:rsidR="003F6309" w:rsidRPr="00D12D05" w:rsidRDefault="003F6309" w:rsidP="003F6309">
      <w:pPr>
        <w:pStyle w:val="SingleTxtG"/>
        <w:spacing w:after="100"/>
        <w:ind w:left="3119" w:hanging="1985"/>
        <w:jc w:val="left"/>
      </w:pPr>
      <w:r w:rsidRPr="00D12D05">
        <w:rPr>
          <w:i/>
          <w:iCs/>
        </w:rPr>
        <w:t>Document</w:t>
      </w:r>
      <w:r>
        <w:rPr>
          <w:i/>
          <w:iCs/>
        </w:rPr>
        <w:t> </w:t>
      </w:r>
      <w:r w:rsidRPr="00D12D05">
        <w:rPr>
          <w:i/>
          <w:iCs/>
        </w:rPr>
        <w:t>:</w:t>
      </w:r>
      <w:r w:rsidRPr="00D12D05">
        <w:tab/>
        <w:t>ECE/TRANS/WP.15/AC.1/2023/3 (</w:t>
      </w:r>
      <w:r>
        <w:t>s</w:t>
      </w:r>
      <w:r w:rsidRPr="00D12D05">
        <w:t>ecrétariat de l</w:t>
      </w:r>
      <w:r>
        <w:t>’</w:t>
      </w:r>
      <w:r w:rsidRPr="00D12D05">
        <w:t>OTIF)</w:t>
      </w:r>
    </w:p>
    <w:p w14:paraId="1901059E" w14:textId="0BE00D03" w:rsidR="003F6309" w:rsidRPr="00D12D05" w:rsidRDefault="003F6309" w:rsidP="003F6309">
      <w:pPr>
        <w:pStyle w:val="SingleTxtG"/>
        <w:spacing w:after="100"/>
        <w:ind w:left="3119" w:hanging="1985"/>
        <w:jc w:val="left"/>
      </w:pPr>
      <w:r w:rsidRPr="00D12D05">
        <w:rPr>
          <w:i/>
          <w:iCs/>
        </w:rPr>
        <w:t>Document informel</w:t>
      </w:r>
      <w:r>
        <w:rPr>
          <w:i/>
          <w:iCs/>
        </w:rPr>
        <w:t> </w:t>
      </w:r>
      <w:r w:rsidRPr="00D12D05">
        <w:rPr>
          <w:i/>
          <w:iCs/>
        </w:rPr>
        <w:t>:</w:t>
      </w:r>
      <w:r w:rsidRPr="00D12D05">
        <w:tab/>
        <w:t>INF.7 (secrétariat de l</w:t>
      </w:r>
      <w:r>
        <w:t>’</w:t>
      </w:r>
      <w:r w:rsidRPr="00D12D05">
        <w:t>OTIF)</w:t>
      </w:r>
    </w:p>
    <w:p w14:paraId="57414C8C" w14:textId="5B107D6F" w:rsidR="003F6309" w:rsidRPr="00D12D05" w:rsidRDefault="003F6309" w:rsidP="003F6309">
      <w:pPr>
        <w:pStyle w:val="SingleTxtG"/>
        <w:spacing w:after="100"/>
      </w:pPr>
      <w:r w:rsidRPr="00D12D05">
        <w:t>3.</w:t>
      </w:r>
      <w:r w:rsidRPr="00D12D05">
        <w:tab/>
        <w:t>Les amendements à l</w:t>
      </w:r>
      <w:r>
        <w:t>’</w:t>
      </w:r>
      <w:r w:rsidRPr="00D12D05">
        <w:t xml:space="preserve">approche rationalisée du 4.3.4.1.2 proposés dans le document ECE/TRANS/WP.15/AC.1/2023/3 ont été approuvés par consensus. En ce qui concerne les amendements proposés dans le document informel INF.7, trois numéros ONU supplémentaires ont été </w:t>
      </w:r>
      <w:r>
        <w:t>recensés</w:t>
      </w:r>
      <w:r w:rsidRPr="00D12D05">
        <w:t xml:space="preserve"> (3405, 3406 et 3408)</w:t>
      </w:r>
      <w:r>
        <w:t>,</w:t>
      </w:r>
      <w:r w:rsidRPr="00D12D05">
        <w:t xml:space="preserve"> portant le code de classification OT1 et relevant des groupes d</w:t>
      </w:r>
      <w:r>
        <w:t>’</w:t>
      </w:r>
      <w:r w:rsidRPr="00D12D05">
        <w:t>emballage II et III, auxquels il conviendrait d</w:t>
      </w:r>
      <w:r>
        <w:t>’</w:t>
      </w:r>
      <w:r w:rsidRPr="00D12D05">
        <w:t>affecter les codes</w:t>
      </w:r>
      <w:r w:rsidR="00424F11">
        <w:noBreakHyphen/>
      </w:r>
      <w:r w:rsidRPr="00D12D05">
        <w:t>citerne L4BN et LGBV respectivement.</w:t>
      </w:r>
    </w:p>
    <w:p w14:paraId="7F228201" w14:textId="2E2C3527" w:rsidR="003F6309" w:rsidRPr="00D12D05" w:rsidRDefault="003F6309" w:rsidP="003F6309">
      <w:pPr>
        <w:pStyle w:val="H23G"/>
      </w:pPr>
      <w:r w:rsidRPr="00D12D05">
        <w:tab/>
      </w:r>
      <w:r>
        <w:tab/>
      </w:r>
      <w:r w:rsidRPr="00D12D05">
        <w:t xml:space="preserve">Proposition 1 </w:t>
      </w:r>
      <w:r>
        <w:t>−</w:t>
      </w:r>
      <w:r w:rsidRPr="00D12D05">
        <w:t xml:space="preserve"> Modifier le tableau du 4.3.4.1.2 comme suit (le texte supprimé est biffé, le nouveau texte figure en italique souligné) :</w:t>
      </w:r>
      <w:bookmarkStart w:id="0" w:name="_Hlk130921216"/>
      <w:bookmarkEnd w:id="0"/>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2798"/>
        <w:gridCol w:w="1590"/>
        <w:gridCol w:w="2881"/>
      </w:tblGrid>
      <w:tr w:rsidR="003F6309" w:rsidRPr="00D12D05" w14:paraId="3F3E6E63" w14:textId="77777777" w:rsidTr="003F6309">
        <w:trPr>
          <w:cantSplit/>
          <w:trHeight w:val="40"/>
        </w:trPr>
        <w:tc>
          <w:tcPr>
            <w:tcW w:w="726" w:type="pct"/>
            <w:vMerge w:val="restart"/>
            <w:tcBorders>
              <w:top w:val="single" w:sz="4" w:space="0" w:color="auto"/>
              <w:left w:val="single" w:sz="4" w:space="0" w:color="auto"/>
              <w:right w:val="single" w:sz="4" w:space="0" w:color="auto"/>
            </w:tcBorders>
            <w:hideMark/>
          </w:tcPr>
          <w:p w14:paraId="69E256D3" w14:textId="77777777" w:rsidR="003F6309" w:rsidRPr="003F6309" w:rsidRDefault="003F6309" w:rsidP="003F6309">
            <w:pPr>
              <w:spacing w:before="30" w:after="30" w:line="220" w:lineRule="exact"/>
              <w:ind w:left="142"/>
              <w:rPr>
                <w:sz w:val="18"/>
                <w:szCs w:val="18"/>
              </w:rPr>
            </w:pPr>
            <w:r w:rsidRPr="003F6309">
              <w:rPr>
                <w:sz w:val="18"/>
                <w:szCs w:val="18"/>
              </w:rPr>
              <w:t>LGBV</w:t>
            </w:r>
          </w:p>
        </w:tc>
        <w:tc>
          <w:tcPr>
            <w:tcW w:w="1645" w:type="pct"/>
            <w:tcBorders>
              <w:top w:val="single" w:sz="4" w:space="0" w:color="auto"/>
              <w:left w:val="nil"/>
              <w:bottom w:val="single" w:sz="4" w:space="0" w:color="auto"/>
              <w:right w:val="nil"/>
            </w:tcBorders>
            <w:hideMark/>
          </w:tcPr>
          <w:p w14:paraId="2B29BD3D" w14:textId="77777777" w:rsidR="003F6309" w:rsidRPr="003F6309" w:rsidRDefault="003F6309" w:rsidP="003F6309">
            <w:pPr>
              <w:spacing w:before="30" w:after="30" w:line="220" w:lineRule="exact"/>
              <w:ind w:left="142"/>
              <w:jc w:val="center"/>
              <w:rPr>
                <w:sz w:val="18"/>
                <w:szCs w:val="18"/>
              </w:rPr>
            </w:pPr>
            <w:r w:rsidRPr="003F6309">
              <w:rPr>
                <w:sz w:val="18"/>
                <w:szCs w:val="18"/>
              </w:rPr>
              <w:t>4.1</w:t>
            </w:r>
          </w:p>
        </w:tc>
        <w:tc>
          <w:tcPr>
            <w:tcW w:w="935" w:type="pct"/>
            <w:tcBorders>
              <w:top w:val="single" w:sz="4" w:space="0" w:color="auto"/>
              <w:left w:val="single" w:sz="4" w:space="0" w:color="auto"/>
              <w:bottom w:val="single" w:sz="4" w:space="0" w:color="auto"/>
              <w:right w:val="single" w:sz="4" w:space="0" w:color="auto"/>
            </w:tcBorders>
            <w:hideMark/>
          </w:tcPr>
          <w:p w14:paraId="7B4D85CD" w14:textId="77777777" w:rsidR="003F6309" w:rsidRPr="003F6309" w:rsidRDefault="003F6309" w:rsidP="003F6309">
            <w:pPr>
              <w:spacing w:before="30" w:after="30" w:line="220" w:lineRule="exact"/>
              <w:ind w:left="142"/>
              <w:rPr>
                <w:sz w:val="18"/>
                <w:szCs w:val="18"/>
              </w:rPr>
            </w:pPr>
            <w:r w:rsidRPr="003F6309">
              <w:rPr>
                <w:sz w:val="18"/>
                <w:szCs w:val="18"/>
              </w:rPr>
              <w:t>F2</w:t>
            </w:r>
          </w:p>
        </w:tc>
        <w:tc>
          <w:tcPr>
            <w:tcW w:w="1694" w:type="pct"/>
            <w:tcBorders>
              <w:top w:val="single" w:sz="4" w:space="0" w:color="auto"/>
              <w:left w:val="nil"/>
              <w:bottom w:val="single" w:sz="4" w:space="0" w:color="auto"/>
              <w:right w:val="single" w:sz="4" w:space="0" w:color="auto"/>
            </w:tcBorders>
            <w:hideMark/>
          </w:tcPr>
          <w:p w14:paraId="681315F6" w14:textId="77777777" w:rsidR="003F6309" w:rsidRPr="003F6309" w:rsidRDefault="003F6309" w:rsidP="003F6309">
            <w:pPr>
              <w:spacing w:before="30" w:after="30" w:line="220" w:lineRule="exact"/>
              <w:ind w:left="142"/>
              <w:rPr>
                <w:sz w:val="18"/>
                <w:szCs w:val="18"/>
              </w:rPr>
            </w:pPr>
            <w:r w:rsidRPr="003F6309">
              <w:rPr>
                <w:sz w:val="18"/>
                <w:szCs w:val="18"/>
              </w:rPr>
              <w:t>II,III</w:t>
            </w:r>
          </w:p>
        </w:tc>
      </w:tr>
      <w:tr w:rsidR="003F6309" w:rsidRPr="00D12D05" w14:paraId="521DE660" w14:textId="77777777" w:rsidTr="003F6309">
        <w:trPr>
          <w:cantSplit/>
          <w:trHeight w:val="40"/>
        </w:trPr>
        <w:tc>
          <w:tcPr>
            <w:tcW w:w="726" w:type="pct"/>
            <w:vMerge/>
            <w:tcBorders>
              <w:left w:val="single" w:sz="4" w:space="0" w:color="auto"/>
              <w:right w:val="single" w:sz="4" w:space="0" w:color="auto"/>
            </w:tcBorders>
          </w:tcPr>
          <w:p w14:paraId="591D94A5" w14:textId="77777777" w:rsidR="003F6309" w:rsidRPr="003F6309" w:rsidRDefault="003F6309" w:rsidP="003F6309">
            <w:pPr>
              <w:spacing w:before="30" w:after="30" w:line="220" w:lineRule="exact"/>
              <w:ind w:left="142"/>
              <w:rPr>
                <w:sz w:val="18"/>
                <w:szCs w:val="18"/>
                <w:lang w:val="en-GB"/>
              </w:rPr>
            </w:pPr>
          </w:p>
        </w:tc>
        <w:tc>
          <w:tcPr>
            <w:tcW w:w="1645" w:type="pct"/>
            <w:vMerge w:val="restart"/>
            <w:tcBorders>
              <w:top w:val="single" w:sz="4" w:space="0" w:color="auto"/>
              <w:left w:val="nil"/>
              <w:bottom w:val="single" w:sz="4" w:space="0" w:color="auto"/>
              <w:right w:val="nil"/>
            </w:tcBorders>
          </w:tcPr>
          <w:p w14:paraId="5EDC5F1F" w14:textId="77777777" w:rsidR="003F6309" w:rsidRPr="003F6309" w:rsidRDefault="003F6309" w:rsidP="003F6309">
            <w:pPr>
              <w:spacing w:before="30" w:after="30" w:line="220" w:lineRule="exact"/>
              <w:ind w:left="142"/>
              <w:jc w:val="center"/>
              <w:rPr>
                <w:sz w:val="18"/>
                <w:szCs w:val="18"/>
              </w:rPr>
            </w:pPr>
            <w:r w:rsidRPr="003F6309">
              <w:rPr>
                <w:sz w:val="18"/>
                <w:szCs w:val="18"/>
              </w:rPr>
              <w:t>5.1</w:t>
            </w:r>
          </w:p>
        </w:tc>
        <w:tc>
          <w:tcPr>
            <w:tcW w:w="935" w:type="pct"/>
            <w:tcBorders>
              <w:top w:val="single" w:sz="4" w:space="0" w:color="auto"/>
              <w:left w:val="single" w:sz="4" w:space="0" w:color="auto"/>
              <w:bottom w:val="single" w:sz="4" w:space="0" w:color="auto"/>
              <w:right w:val="single" w:sz="4" w:space="0" w:color="auto"/>
            </w:tcBorders>
            <w:hideMark/>
          </w:tcPr>
          <w:p w14:paraId="473A18A7" w14:textId="77777777" w:rsidR="003F6309" w:rsidRPr="003F6309" w:rsidRDefault="003F6309" w:rsidP="003F6309">
            <w:pPr>
              <w:spacing w:before="30" w:after="30" w:line="220" w:lineRule="exact"/>
              <w:ind w:left="142"/>
              <w:rPr>
                <w:sz w:val="18"/>
                <w:szCs w:val="18"/>
              </w:rPr>
            </w:pPr>
            <w:r w:rsidRPr="003F6309">
              <w:rPr>
                <w:sz w:val="18"/>
                <w:szCs w:val="18"/>
              </w:rPr>
              <w:t>O1</w:t>
            </w:r>
          </w:p>
        </w:tc>
        <w:tc>
          <w:tcPr>
            <w:tcW w:w="1694" w:type="pct"/>
            <w:tcBorders>
              <w:top w:val="single" w:sz="4" w:space="0" w:color="auto"/>
              <w:left w:val="nil"/>
              <w:bottom w:val="single" w:sz="4" w:space="0" w:color="auto"/>
              <w:right w:val="single" w:sz="4" w:space="0" w:color="auto"/>
            </w:tcBorders>
            <w:hideMark/>
          </w:tcPr>
          <w:p w14:paraId="1AD0AA31" w14:textId="77777777" w:rsidR="003F6309" w:rsidRPr="003F6309" w:rsidRDefault="003F6309" w:rsidP="003F6309">
            <w:pPr>
              <w:spacing w:before="30" w:after="30" w:line="220" w:lineRule="exact"/>
              <w:ind w:left="142"/>
              <w:rPr>
                <w:sz w:val="18"/>
                <w:szCs w:val="18"/>
              </w:rPr>
            </w:pPr>
            <w:r w:rsidRPr="003F6309">
              <w:rPr>
                <w:sz w:val="18"/>
                <w:szCs w:val="18"/>
              </w:rPr>
              <w:t>III</w:t>
            </w:r>
          </w:p>
        </w:tc>
      </w:tr>
      <w:tr w:rsidR="003F6309" w:rsidRPr="00D12D05" w14:paraId="10C6B165" w14:textId="77777777" w:rsidTr="003F6309">
        <w:trPr>
          <w:cantSplit/>
          <w:trHeight w:val="40"/>
        </w:trPr>
        <w:tc>
          <w:tcPr>
            <w:tcW w:w="726" w:type="pct"/>
            <w:vMerge/>
            <w:tcBorders>
              <w:left w:val="single" w:sz="4" w:space="0" w:color="auto"/>
              <w:right w:val="single" w:sz="4" w:space="0" w:color="auto"/>
            </w:tcBorders>
          </w:tcPr>
          <w:p w14:paraId="601BE324" w14:textId="77777777" w:rsidR="003F6309" w:rsidRPr="003F6309" w:rsidRDefault="003F6309" w:rsidP="003F6309">
            <w:pPr>
              <w:spacing w:before="30" w:after="30" w:line="220" w:lineRule="exact"/>
              <w:ind w:left="142"/>
              <w:rPr>
                <w:sz w:val="18"/>
                <w:szCs w:val="18"/>
                <w:lang w:val="en-GB"/>
              </w:rPr>
            </w:pPr>
          </w:p>
        </w:tc>
        <w:tc>
          <w:tcPr>
            <w:tcW w:w="2752" w:type="dxa"/>
            <w:vMerge/>
            <w:tcBorders>
              <w:top w:val="single" w:sz="4" w:space="0" w:color="auto"/>
              <w:left w:val="nil"/>
              <w:bottom w:val="single" w:sz="4" w:space="0" w:color="auto"/>
              <w:right w:val="nil"/>
            </w:tcBorders>
            <w:vAlign w:val="center"/>
            <w:hideMark/>
          </w:tcPr>
          <w:p w14:paraId="28E5B5FE" w14:textId="77777777" w:rsidR="003F6309" w:rsidRPr="003F6309" w:rsidRDefault="003F6309" w:rsidP="003F6309">
            <w:pPr>
              <w:spacing w:before="30" w:after="30" w:line="220" w:lineRule="exact"/>
              <w:rPr>
                <w:sz w:val="18"/>
                <w:szCs w:val="18"/>
                <w:lang w:val="en-GB"/>
              </w:rPr>
            </w:pPr>
          </w:p>
        </w:tc>
        <w:tc>
          <w:tcPr>
            <w:tcW w:w="935" w:type="pct"/>
            <w:tcBorders>
              <w:top w:val="single" w:sz="4" w:space="0" w:color="auto"/>
              <w:left w:val="single" w:sz="4" w:space="0" w:color="auto"/>
              <w:bottom w:val="single" w:sz="4" w:space="0" w:color="auto"/>
              <w:right w:val="single" w:sz="4" w:space="0" w:color="auto"/>
            </w:tcBorders>
            <w:shd w:val="clear" w:color="auto" w:fill="auto"/>
            <w:hideMark/>
          </w:tcPr>
          <w:p w14:paraId="0F83A9EB" w14:textId="77777777" w:rsidR="003F6309" w:rsidRPr="003F6309" w:rsidRDefault="003F6309" w:rsidP="003F6309">
            <w:pPr>
              <w:spacing w:before="30" w:after="30" w:line="220" w:lineRule="exact"/>
              <w:ind w:left="142"/>
              <w:rPr>
                <w:b/>
                <w:bCs/>
                <w:i/>
                <w:iCs/>
                <w:sz w:val="18"/>
                <w:szCs w:val="18"/>
                <w:u w:val="single"/>
              </w:rPr>
            </w:pPr>
            <w:r w:rsidRPr="003F6309">
              <w:rPr>
                <w:b/>
                <w:bCs/>
                <w:i/>
                <w:iCs/>
                <w:sz w:val="18"/>
                <w:szCs w:val="18"/>
                <w:u w:val="single"/>
              </w:rPr>
              <w:t>OT1</w:t>
            </w:r>
          </w:p>
        </w:tc>
        <w:tc>
          <w:tcPr>
            <w:tcW w:w="1694" w:type="pct"/>
            <w:tcBorders>
              <w:top w:val="single" w:sz="4" w:space="0" w:color="auto"/>
              <w:left w:val="nil"/>
              <w:bottom w:val="single" w:sz="4" w:space="0" w:color="auto"/>
              <w:right w:val="single" w:sz="4" w:space="0" w:color="auto"/>
            </w:tcBorders>
            <w:shd w:val="clear" w:color="auto" w:fill="auto"/>
            <w:hideMark/>
          </w:tcPr>
          <w:p w14:paraId="491A4B47" w14:textId="77777777" w:rsidR="003F6309" w:rsidRPr="003F6309" w:rsidRDefault="003F6309" w:rsidP="003F6309">
            <w:pPr>
              <w:spacing w:before="30" w:after="30" w:line="220" w:lineRule="exact"/>
              <w:ind w:left="142"/>
              <w:rPr>
                <w:b/>
                <w:bCs/>
                <w:i/>
                <w:iCs/>
                <w:sz w:val="18"/>
                <w:szCs w:val="18"/>
                <w:u w:val="single"/>
              </w:rPr>
            </w:pPr>
            <w:r w:rsidRPr="003F6309">
              <w:rPr>
                <w:b/>
                <w:bCs/>
                <w:i/>
                <w:iCs/>
                <w:sz w:val="18"/>
                <w:szCs w:val="18"/>
                <w:u w:val="single"/>
              </w:rPr>
              <w:t>III</w:t>
            </w:r>
          </w:p>
        </w:tc>
      </w:tr>
      <w:tr w:rsidR="003F6309" w:rsidRPr="00D12D05" w14:paraId="44105B04" w14:textId="77777777" w:rsidTr="003F6309">
        <w:trPr>
          <w:cantSplit/>
          <w:trHeight w:val="40"/>
        </w:trPr>
        <w:tc>
          <w:tcPr>
            <w:tcW w:w="726" w:type="pct"/>
            <w:vMerge/>
            <w:tcBorders>
              <w:left w:val="single" w:sz="4" w:space="0" w:color="auto"/>
              <w:right w:val="single" w:sz="4" w:space="0" w:color="auto"/>
            </w:tcBorders>
          </w:tcPr>
          <w:p w14:paraId="319037EC" w14:textId="77777777" w:rsidR="003F6309" w:rsidRPr="003F6309" w:rsidRDefault="003F6309" w:rsidP="003F6309">
            <w:pPr>
              <w:spacing w:before="30" w:after="30" w:line="220" w:lineRule="exact"/>
              <w:ind w:left="142"/>
              <w:rPr>
                <w:sz w:val="18"/>
                <w:szCs w:val="18"/>
                <w:lang w:val="en-GB"/>
              </w:rPr>
            </w:pPr>
          </w:p>
        </w:tc>
        <w:tc>
          <w:tcPr>
            <w:tcW w:w="1645" w:type="pct"/>
            <w:vMerge w:val="restart"/>
            <w:tcBorders>
              <w:top w:val="single" w:sz="4" w:space="0" w:color="auto"/>
              <w:left w:val="nil"/>
              <w:right w:val="nil"/>
            </w:tcBorders>
            <w:hideMark/>
          </w:tcPr>
          <w:p w14:paraId="04BE3679" w14:textId="77777777" w:rsidR="003F6309" w:rsidRPr="003F6309" w:rsidRDefault="003F6309" w:rsidP="003F6309">
            <w:pPr>
              <w:spacing w:before="30" w:after="30" w:line="220" w:lineRule="exact"/>
              <w:ind w:left="142"/>
              <w:jc w:val="center"/>
              <w:rPr>
                <w:sz w:val="18"/>
                <w:szCs w:val="18"/>
              </w:rPr>
            </w:pPr>
            <w:r w:rsidRPr="003F6309">
              <w:rPr>
                <w:sz w:val="18"/>
                <w:szCs w:val="18"/>
              </w:rPr>
              <w:t>9</w:t>
            </w:r>
          </w:p>
        </w:tc>
        <w:tc>
          <w:tcPr>
            <w:tcW w:w="935" w:type="pct"/>
            <w:tcBorders>
              <w:top w:val="single" w:sz="4" w:space="0" w:color="auto"/>
              <w:left w:val="single" w:sz="4" w:space="0" w:color="auto"/>
              <w:bottom w:val="single" w:sz="4" w:space="0" w:color="auto"/>
              <w:right w:val="single" w:sz="4" w:space="0" w:color="auto"/>
            </w:tcBorders>
            <w:hideMark/>
          </w:tcPr>
          <w:p w14:paraId="103C7C5A" w14:textId="77777777" w:rsidR="003F6309" w:rsidRPr="003F6309" w:rsidRDefault="003F6309" w:rsidP="003F6309">
            <w:pPr>
              <w:spacing w:before="30" w:after="30" w:line="220" w:lineRule="exact"/>
              <w:ind w:left="142"/>
              <w:rPr>
                <w:sz w:val="18"/>
                <w:szCs w:val="18"/>
              </w:rPr>
            </w:pPr>
            <w:r w:rsidRPr="003F6309">
              <w:rPr>
                <w:sz w:val="18"/>
                <w:szCs w:val="18"/>
              </w:rPr>
              <w:t>M6</w:t>
            </w:r>
          </w:p>
        </w:tc>
        <w:tc>
          <w:tcPr>
            <w:tcW w:w="1694" w:type="pct"/>
            <w:tcBorders>
              <w:top w:val="single" w:sz="4" w:space="0" w:color="auto"/>
              <w:left w:val="nil"/>
              <w:bottom w:val="single" w:sz="4" w:space="0" w:color="auto"/>
              <w:right w:val="single" w:sz="4" w:space="0" w:color="auto"/>
            </w:tcBorders>
            <w:hideMark/>
          </w:tcPr>
          <w:p w14:paraId="7B7B4B9A" w14:textId="77777777" w:rsidR="003F6309" w:rsidRPr="003F6309" w:rsidRDefault="003F6309" w:rsidP="003F6309">
            <w:pPr>
              <w:spacing w:before="30" w:after="30" w:line="220" w:lineRule="exact"/>
              <w:ind w:left="142"/>
              <w:rPr>
                <w:sz w:val="18"/>
                <w:szCs w:val="18"/>
              </w:rPr>
            </w:pPr>
            <w:r w:rsidRPr="003F6309">
              <w:rPr>
                <w:sz w:val="18"/>
                <w:szCs w:val="18"/>
              </w:rPr>
              <w:t>III</w:t>
            </w:r>
          </w:p>
        </w:tc>
      </w:tr>
      <w:tr w:rsidR="003F6309" w:rsidRPr="00D12D05" w14:paraId="394E485D" w14:textId="77777777" w:rsidTr="003F6309">
        <w:trPr>
          <w:cantSplit/>
          <w:trHeight w:val="40"/>
        </w:trPr>
        <w:tc>
          <w:tcPr>
            <w:tcW w:w="726" w:type="pct"/>
            <w:vMerge/>
            <w:tcBorders>
              <w:left w:val="single" w:sz="4" w:space="0" w:color="auto"/>
              <w:right w:val="single" w:sz="4" w:space="0" w:color="auto"/>
            </w:tcBorders>
          </w:tcPr>
          <w:p w14:paraId="42807CE6" w14:textId="77777777" w:rsidR="003F6309" w:rsidRPr="003F6309" w:rsidRDefault="003F6309" w:rsidP="003F6309">
            <w:pPr>
              <w:spacing w:before="30" w:after="30" w:line="220" w:lineRule="exact"/>
              <w:ind w:left="142"/>
              <w:rPr>
                <w:sz w:val="18"/>
                <w:szCs w:val="18"/>
                <w:lang w:val="en-GB"/>
              </w:rPr>
            </w:pPr>
          </w:p>
        </w:tc>
        <w:tc>
          <w:tcPr>
            <w:tcW w:w="1645" w:type="pct"/>
            <w:vMerge/>
            <w:tcBorders>
              <w:left w:val="nil"/>
              <w:bottom w:val="dotted" w:sz="4" w:space="0" w:color="auto"/>
              <w:right w:val="nil"/>
            </w:tcBorders>
          </w:tcPr>
          <w:p w14:paraId="5644523A" w14:textId="77777777" w:rsidR="003F6309" w:rsidRPr="003F6309" w:rsidRDefault="003F6309" w:rsidP="003F6309">
            <w:pPr>
              <w:spacing w:before="30" w:after="30" w:line="220" w:lineRule="exact"/>
              <w:ind w:left="142"/>
              <w:jc w:val="center"/>
              <w:rPr>
                <w:sz w:val="18"/>
                <w:szCs w:val="18"/>
                <w:lang w:val="en-GB"/>
              </w:rPr>
            </w:pPr>
          </w:p>
        </w:tc>
        <w:tc>
          <w:tcPr>
            <w:tcW w:w="935" w:type="pct"/>
            <w:tcBorders>
              <w:top w:val="single" w:sz="4" w:space="0" w:color="auto"/>
              <w:left w:val="single" w:sz="4" w:space="0" w:color="auto"/>
              <w:bottom w:val="single" w:sz="4" w:space="0" w:color="auto"/>
              <w:right w:val="single" w:sz="4" w:space="0" w:color="auto"/>
            </w:tcBorders>
            <w:hideMark/>
          </w:tcPr>
          <w:p w14:paraId="161370A3" w14:textId="77777777" w:rsidR="003F6309" w:rsidRPr="003F6309" w:rsidRDefault="003F6309" w:rsidP="003F6309">
            <w:pPr>
              <w:spacing w:before="30" w:after="30" w:line="220" w:lineRule="exact"/>
              <w:ind w:left="142"/>
              <w:rPr>
                <w:sz w:val="18"/>
                <w:szCs w:val="18"/>
              </w:rPr>
            </w:pPr>
            <w:r w:rsidRPr="003F6309">
              <w:rPr>
                <w:sz w:val="18"/>
                <w:szCs w:val="18"/>
              </w:rPr>
              <w:t>M11</w:t>
            </w:r>
          </w:p>
        </w:tc>
        <w:tc>
          <w:tcPr>
            <w:tcW w:w="1694" w:type="pct"/>
            <w:tcBorders>
              <w:top w:val="single" w:sz="4" w:space="0" w:color="auto"/>
              <w:left w:val="nil"/>
              <w:bottom w:val="single" w:sz="4" w:space="0" w:color="auto"/>
              <w:right w:val="single" w:sz="4" w:space="0" w:color="auto"/>
            </w:tcBorders>
            <w:hideMark/>
          </w:tcPr>
          <w:p w14:paraId="02D4D078" w14:textId="77777777" w:rsidR="003F6309" w:rsidRPr="003F6309" w:rsidRDefault="003F6309" w:rsidP="003F6309">
            <w:pPr>
              <w:spacing w:before="30" w:after="30" w:line="220" w:lineRule="exact"/>
              <w:ind w:left="142"/>
              <w:rPr>
                <w:sz w:val="18"/>
                <w:szCs w:val="18"/>
              </w:rPr>
            </w:pPr>
            <w:r w:rsidRPr="003F6309">
              <w:rPr>
                <w:sz w:val="18"/>
                <w:szCs w:val="18"/>
              </w:rPr>
              <w:t>III</w:t>
            </w:r>
          </w:p>
        </w:tc>
      </w:tr>
      <w:tr w:rsidR="003F6309" w:rsidRPr="00D12D05" w14:paraId="0639D865" w14:textId="77777777" w:rsidTr="003F6309">
        <w:trPr>
          <w:cantSplit/>
          <w:trHeight w:val="40"/>
        </w:trPr>
        <w:tc>
          <w:tcPr>
            <w:tcW w:w="726" w:type="pct"/>
            <w:vMerge/>
            <w:tcBorders>
              <w:left w:val="single" w:sz="4" w:space="0" w:color="auto"/>
              <w:bottom w:val="single" w:sz="4" w:space="0" w:color="auto"/>
              <w:right w:val="single" w:sz="4" w:space="0" w:color="auto"/>
            </w:tcBorders>
          </w:tcPr>
          <w:p w14:paraId="0B3AD72E" w14:textId="77777777" w:rsidR="003F6309" w:rsidRPr="003F6309" w:rsidRDefault="003F6309" w:rsidP="003F6309">
            <w:pPr>
              <w:spacing w:before="30" w:after="30" w:line="220" w:lineRule="exact"/>
              <w:ind w:left="142"/>
              <w:rPr>
                <w:sz w:val="18"/>
                <w:szCs w:val="18"/>
                <w:lang w:val="en-GB"/>
              </w:rPr>
            </w:pPr>
          </w:p>
        </w:tc>
        <w:tc>
          <w:tcPr>
            <w:tcW w:w="4274" w:type="pct"/>
            <w:gridSpan w:val="3"/>
            <w:tcBorders>
              <w:top w:val="single" w:sz="4" w:space="0" w:color="auto"/>
              <w:left w:val="nil"/>
              <w:bottom w:val="single" w:sz="4" w:space="0" w:color="auto"/>
              <w:right w:val="single" w:sz="4" w:space="0" w:color="auto"/>
            </w:tcBorders>
            <w:hideMark/>
          </w:tcPr>
          <w:p w14:paraId="6B5DBD73" w14:textId="77777777" w:rsidR="003F6309" w:rsidRPr="003F6309" w:rsidRDefault="003F6309" w:rsidP="003F6309">
            <w:pPr>
              <w:spacing w:before="30" w:after="30" w:line="220" w:lineRule="exact"/>
              <w:ind w:left="142"/>
              <w:rPr>
                <w:sz w:val="18"/>
                <w:szCs w:val="18"/>
              </w:rPr>
            </w:pPr>
            <w:r w:rsidRPr="003F6309">
              <w:rPr>
                <w:sz w:val="18"/>
                <w:szCs w:val="18"/>
              </w:rPr>
              <w:t>ainsi que les groupes de matières autorisées pour le code-citerne LGAV</w:t>
            </w:r>
          </w:p>
        </w:tc>
      </w:tr>
    </w:tbl>
    <w:p w14:paraId="742F58A7" w14:textId="77777777" w:rsidR="003F6309" w:rsidRPr="00D12D05" w:rsidRDefault="003F6309" w:rsidP="003F6309">
      <w:pPr>
        <w:pStyle w:val="SingleTxtG"/>
        <w:spacing w:after="80"/>
      </w:pP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631"/>
        <w:gridCol w:w="1264"/>
        <w:gridCol w:w="3543"/>
      </w:tblGrid>
      <w:tr w:rsidR="003F6309" w:rsidRPr="003F6309" w14:paraId="0D733297" w14:textId="77777777" w:rsidTr="003F6309">
        <w:trPr>
          <w:cantSplit/>
          <w:trHeight w:val="202"/>
        </w:trPr>
        <w:tc>
          <w:tcPr>
            <w:tcW w:w="627" w:type="pct"/>
            <w:vMerge w:val="restart"/>
            <w:tcBorders>
              <w:top w:val="single" w:sz="4" w:space="0" w:color="auto"/>
              <w:left w:val="single" w:sz="4" w:space="0" w:color="auto"/>
              <w:right w:val="single" w:sz="4" w:space="0" w:color="auto"/>
            </w:tcBorders>
            <w:hideMark/>
          </w:tcPr>
          <w:p w14:paraId="57690730" w14:textId="77777777" w:rsidR="003F6309" w:rsidRPr="003F6309" w:rsidRDefault="003F6309" w:rsidP="003F6309">
            <w:pPr>
              <w:spacing w:before="30" w:after="30" w:line="220" w:lineRule="exact"/>
              <w:ind w:left="142"/>
              <w:rPr>
                <w:sz w:val="18"/>
                <w:szCs w:val="18"/>
              </w:rPr>
            </w:pPr>
            <w:r w:rsidRPr="003F6309">
              <w:rPr>
                <w:sz w:val="18"/>
                <w:szCs w:val="18"/>
              </w:rPr>
              <w:t>L1.5BN</w:t>
            </w:r>
          </w:p>
        </w:tc>
        <w:tc>
          <w:tcPr>
            <w:tcW w:w="1547" w:type="pct"/>
            <w:tcBorders>
              <w:top w:val="single" w:sz="4" w:space="0" w:color="auto"/>
              <w:left w:val="nil"/>
              <w:bottom w:val="nil"/>
              <w:right w:val="nil"/>
            </w:tcBorders>
            <w:hideMark/>
          </w:tcPr>
          <w:p w14:paraId="7345947A" w14:textId="77777777" w:rsidR="003F6309" w:rsidRPr="003F6309" w:rsidRDefault="003F6309" w:rsidP="003F6309">
            <w:pPr>
              <w:spacing w:before="30" w:after="30" w:line="220" w:lineRule="exact"/>
              <w:ind w:left="142"/>
              <w:jc w:val="center"/>
              <w:rPr>
                <w:sz w:val="18"/>
                <w:szCs w:val="18"/>
              </w:rPr>
            </w:pPr>
            <w:r w:rsidRPr="003F6309">
              <w:rPr>
                <w:sz w:val="18"/>
                <w:szCs w:val="18"/>
              </w:rPr>
              <w:t>3</w:t>
            </w:r>
          </w:p>
        </w:tc>
        <w:tc>
          <w:tcPr>
            <w:tcW w:w="743" w:type="pct"/>
            <w:tcBorders>
              <w:top w:val="single" w:sz="4" w:space="0" w:color="auto"/>
              <w:left w:val="single" w:sz="4" w:space="0" w:color="auto"/>
              <w:bottom w:val="single" w:sz="4" w:space="0" w:color="auto"/>
              <w:right w:val="single" w:sz="4" w:space="0" w:color="auto"/>
            </w:tcBorders>
            <w:hideMark/>
          </w:tcPr>
          <w:p w14:paraId="4F5DF691" w14:textId="77777777" w:rsidR="003F6309" w:rsidRPr="003F6309" w:rsidRDefault="003F6309" w:rsidP="003F6309">
            <w:pPr>
              <w:spacing w:before="30" w:after="30" w:line="220" w:lineRule="exact"/>
              <w:ind w:left="142"/>
              <w:rPr>
                <w:sz w:val="18"/>
                <w:szCs w:val="18"/>
              </w:rPr>
            </w:pPr>
            <w:r w:rsidRPr="003F6309">
              <w:rPr>
                <w:sz w:val="18"/>
                <w:szCs w:val="18"/>
              </w:rPr>
              <w:t>F1</w:t>
            </w:r>
          </w:p>
        </w:tc>
        <w:tc>
          <w:tcPr>
            <w:tcW w:w="2083" w:type="pct"/>
            <w:tcBorders>
              <w:top w:val="single" w:sz="4" w:space="0" w:color="auto"/>
              <w:left w:val="nil"/>
              <w:bottom w:val="single" w:sz="4" w:space="0" w:color="auto"/>
              <w:right w:val="single" w:sz="4" w:space="0" w:color="auto"/>
            </w:tcBorders>
            <w:hideMark/>
          </w:tcPr>
          <w:p w14:paraId="62C90864" w14:textId="77777777" w:rsidR="003F6309" w:rsidRPr="003F6309" w:rsidRDefault="003F6309" w:rsidP="003F6309">
            <w:pPr>
              <w:pBdr>
                <w:right w:val="single" w:sz="4" w:space="4" w:color="auto"/>
              </w:pBdr>
              <w:spacing w:before="30" w:after="30" w:line="220" w:lineRule="exact"/>
              <w:ind w:left="142"/>
              <w:rPr>
                <w:sz w:val="18"/>
                <w:szCs w:val="18"/>
              </w:rPr>
            </w:pPr>
            <w:r w:rsidRPr="003F6309">
              <w:rPr>
                <w:sz w:val="18"/>
                <w:szCs w:val="18"/>
              </w:rPr>
              <w:t>II</w:t>
            </w:r>
          </w:p>
          <w:p w14:paraId="5553DDDC" w14:textId="77777777" w:rsidR="003F6309" w:rsidRPr="003F6309" w:rsidRDefault="003F6309" w:rsidP="003F6309">
            <w:pPr>
              <w:pStyle w:val="Notedebasdepage"/>
              <w:pBdr>
                <w:right w:val="single" w:sz="4" w:space="4" w:color="auto"/>
              </w:pBdr>
              <w:spacing w:before="30" w:after="30"/>
              <w:rPr>
                <w:szCs w:val="18"/>
              </w:rPr>
            </w:pPr>
            <w:r w:rsidRPr="003F6309">
              <w:rPr>
                <w:szCs w:val="18"/>
              </w:rPr>
              <w:t>pression de vapeur à 50 °C &gt; 1,1 bar</w:t>
            </w:r>
          </w:p>
        </w:tc>
      </w:tr>
      <w:tr w:rsidR="003F6309" w:rsidRPr="003F6309" w14:paraId="303674A4" w14:textId="77777777" w:rsidTr="003F6309">
        <w:trPr>
          <w:cantSplit/>
          <w:trHeight w:val="70"/>
        </w:trPr>
        <w:tc>
          <w:tcPr>
            <w:tcW w:w="627" w:type="pct"/>
            <w:vMerge/>
            <w:tcBorders>
              <w:left w:val="single" w:sz="4" w:space="0" w:color="auto"/>
              <w:right w:val="single" w:sz="4" w:space="0" w:color="auto"/>
            </w:tcBorders>
          </w:tcPr>
          <w:p w14:paraId="17689364" w14:textId="77777777" w:rsidR="003F6309" w:rsidRPr="003F6309" w:rsidRDefault="003F6309" w:rsidP="003F6309">
            <w:pPr>
              <w:spacing w:before="30" w:after="30" w:line="220" w:lineRule="exact"/>
              <w:ind w:left="142"/>
              <w:rPr>
                <w:sz w:val="18"/>
                <w:szCs w:val="18"/>
              </w:rPr>
            </w:pPr>
          </w:p>
        </w:tc>
        <w:tc>
          <w:tcPr>
            <w:tcW w:w="1547" w:type="pct"/>
            <w:tcBorders>
              <w:top w:val="nil"/>
              <w:left w:val="nil"/>
              <w:bottom w:val="nil"/>
              <w:right w:val="nil"/>
            </w:tcBorders>
          </w:tcPr>
          <w:p w14:paraId="21EB1036" w14:textId="77777777" w:rsidR="003F6309" w:rsidRPr="003F6309" w:rsidRDefault="003F6309" w:rsidP="003F6309">
            <w:pPr>
              <w:spacing w:before="30" w:after="30" w:line="220" w:lineRule="exact"/>
              <w:ind w:left="142"/>
              <w:jc w:val="center"/>
              <w:rPr>
                <w:sz w:val="18"/>
                <w:szCs w:val="18"/>
              </w:rPr>
            </w:pPr>
          </w:p>
        </w:tc>
        <w:tc>
          <w:tcPr>
            <w:tcW w:w="743" w:type="pct"/>
            <w:tcBorders>
              <w:top w:val="single" w:sz="4" w:space="0" w:color="auto"/>
              <w:left w:val="single" w:sz="4" w:space="0" w:color="auto"/>
              <w:bottom w:val="single" w:sz="4" w:space="0" w:color="auto"/>
              <w:right w:val="single" w:sz="4" w:space="0" w:color="auto"/>
            </w:tcBorders>
            <w:hideMark/>
          </w:tcPr>
          <w:p w14:paraId="51D9B9E3" w14:textId="77777777" w:rsidR="003F6309" w:rsidRPr="003F6309" w:rsidRDefault="003F6309" w:rsidP="003F6309">
            <w:pPr>
              <w:spacing w:before="30" w:after="30" w:line="220" w:lineRule="exact"/>
              <w:ind w:left="142"/>
              <w:rPr>
                <w:b/>
                <w:bCs/>
                <w:strike/>
                <w:sz w:val="18"/>
                <w:szCs w:val="18"/>
              </w:rPr>
            </w:pPr>
            <w:r w:rsidRPr="003F6309">
              <w:rPr>
                <w:b/>
                <w:bCs/>
                <w:strike/>
                <w:sz w:val="18"/>
                <w:szCs w:val="18"/>
              </w:rPr>
              <w:t>F1</w:t>
            </w:r>
          </w:p>
        </w:tc>
        <w:tc>
          <w:tcPr>
            <w:tcW w:w="2083" w:type="pct"/>
            <w:tcBorders>
              <w:top w:val="single" w:sz="4" w:space="0" w:color="auto"/>
              <w:left w:val="nil"/>
              <w:bottom w:val="single" w:sz="4" w:space="0" w:color="auto"/>
              <w:right w:val="single" w:sz="4" w:space="0" w:color="auto"/>
            </w:tcBorders>
            <w:hideMark/>
          </w:tcPr>
          <w:p w14:paraId="28BD243D" w14:textId="77777777" w:rsidR="003F6309" w:rsidRPr="003F6309" w:rsidRDefault="003F6309" w:rsidP="003F6309">
            <w:pPr>
              <w:pBdr>
                <w:right w:val="single" w:sz="4" w:space="4" w:color="auto"/>
              </w:pBdr>
              <w:spacing w:before="30" w:after="30" w:line="220" w:lineRule="exact"/>
              <w:ind w:left="142"/>
              <w:rPr>
                <w:b/>
                <w:bCs/>
                <w:strike/>
                <w:sz w:val="18"/>
                <w:szCs w:val="18"/>
              </w:rPr>
            </w:pPr>
            <w:r w:rsidRPr="003F6309">
              <w:rPr>
                <w:b/>
                <w:bCs/>
                <w:strike/>
                <w:sz w:val="18"/>
                <w:szCs w:val="18"/>
              </w:rPr>
              <w:t>III</w:t>
            </w:r>
          </w:p>
          <w:p w14:paraId="7B240BC7" w14:textId="77777777" w:rsidR="003F6309" w:rsidRPr="003F6309" w:rsidRDefault="003F6309" w:rsidP="003F6309">
            <w:pPr>
              <w:pStyle w:val="Notedebasdepage"/>
              <w:pBdr>
                <w:right w:val="single" w:sz="4" w:space="4" w:color="auto"/>
              </w:pBdr>
              <w:spacing w:before="30" w:after="30"/>
              <w:rPr>
                <w:b/>
                <w:bCs/>
                <w:strike/>
                <w:szCs w:val="18"/>
              </w:rPr>
            </w:pPr>
            <w:r w:rsidRPr="003F6309">
              <w:rPr>
                <w:b/>
                <w:bCs/>
                <w:strike/>
                <w:szCs w:val="18"/>
              </w:rPr>
              <w:t>point d’éclair &lt; 23 °C, visqueux,</w:t>
            </w:r>
            <w:r w:rsidRPr="003F6309">
              <w:rPr>
                <w:szCs w:val="18"/>
              </w:rPr>
              <w:t xml:space="preserve"> </w:t>
            </w:r>
          </w:p>
          <w:p w14:paraId="30E4C668" w14:textId="77777777" w:rsidR="003F6309" w:rsidRPr="003F6309" w:rsidRDefault="003F6309" w:rsidP="003F6309">
            <w:pPr>
              <w:pStyle w:val="Notedebasdepage"/>
              <w:pBdr>
                <w:right w:val="single" w:sz="4" w:space="4" w:color="auto"/>
              </w:pBdr>
              <w:spacing w:before="30" w:after="30"/>
              <w:rPr>
                <w:b/>
                <w:bCs/>
                <w:strike/>
                <w:szCs w:val="18"/>
              </w:rPr>
            </w:pPr>
            <w:r w:rsidRPr="003F6309">
              <w:rPr>
                <w:b/>
                <w:bCs/>
                <w:strike/>
                <w:szCs w:val="18"/>
              </w:rPr>
              <w:t>pression de vapeur à 50 °C &gt; 1,1 bar</w:t>
            </w:r>
          </w:p>
          <w:p w14:paraId="539C5A06" w14:textId="77777777" w:rsidR="003F6309" w:rsidRPr="003F6309" w:rsidRDefault="003F6309" w:rsidP="003F6309">
            <w:pPr>
              <w:pStyle w:val="Notedebasdepage"/>
              <w:pBdr>
                <w:right w:val="single" w:sz="4" w:space="4" w:color="auto"/>
              </w:pBdr>
              <w:spacing w:before="30" w:after="30"/>
              <w:rPr>
                <w:b/>
                <w:bCs/>
                <w:strike/>
                <w:szCs w:val="18"/>
              </w:rPr>
            </w:pPr>
            <w:r w:rsidRPr="003F6309">
              <w:rPr>
                <w:b/>
                <w:bCs/>
                <w:strike/>
                <w:szCs w:val="18"/>
              </w:rPr>
              <w:t>point d’ébullition &gt; 35 °C</w:t>
            </w:r>
          </w:p>
        </w:tc>
      </w:tr>
      <w:tr w:rsidR="003F6309" w:rsidRPr="003F6309" w14:paraId="2A3D3FE2" w14:textId="77777777" w:rsidTr="003F6309">
        <w:trPr>
          <w:cantSplit/>
          <w:trHeight w:val="70"/>
        </w:trPr>
        <w:tc>
          <w:tcPr>
            <w:tcW w:w="627" w:type="pct"/>
            <w:vMerge/>
            <w:tcBorders>
              <w:left w:val="single" w:sz="4" w:space="0" w:color="auto"/>
              <w:right w:val="single" w:sz="4" w:space="0" w:color="auto"/>
            </w:tcBorders>
          </w:tcPr>
          <w:p w14:paraId="342596F6" w14:textId="77777777" w:rsidR="003F6309" w:rsidRPr="003F6309" w:rsidRDefault="003F6309" w:rsidP="003F6309">
            <w:pPr>
              <w:spacing w:before="30" w:after="30" w:line="220" w:lineRule="exact"/>
              <w:ind w:left="142"/>
              <w:rPr>
                <w:sz w:val="18"/>
                <w:szCs w:val="18"/>
              </w:rPr>
            </w:pPr>
          </w:p>
        </w:tc>
        <w:tc>
          <w:tcPr>
            <w:tcW w:w="1547" w:type="pct"/>
            <w:tcBorders>
              <w:top w:val="nil"/>
              <w:left w:val="nil"/>
              <w:bottom w:val="single" w:sz="4" w:space="0" w:color="auto"/>
              <w:right w:val="nil"/>
            </w:tcBorders>
          </w:tcPr>
          <w:p w14:paraId="211D3DFA" w14:textId="77777777" w:rsidR="003F6309" w:rsidRPr="003F6309" w:rsidRDefault="003F6309" w:rsidP="003F6309">
            <w:pPr>
              <w:spacing w:before="30" w:after="30" w:line="220" w:lineRule="exact"/>
              <w:ind w:left="142"/>
              <w:jc w:val="center"/>
              <w:rPr>
                <w:sz w:val="18"/>
                <w:szCs w:val="18"/>
              </w:rPr>
            </w:pPr>
          </w:p>
        </w:tc>
        <w:tc>
          <w:tcPr>
            <w:tcW w:w="743" w:type="pct"/>
            <w:tcBorders>
              <w:top w:val="single" w:sz="4" w:space="0" w:color="auto"/>
              <w:left w:val="single" w:sz="4" w:space="0" w:color="auto"/>
              <w:bottom w:val="single" w:sz="4" w:space="0" w:color="auto"/>
              <w:right w:val="single" w:sz="4" w:space="0" w:color="auto"/>
            </w:tcBorders>
            <w:hideMark/>
          </w:tcPr>
          <w:p w14:paraId="79DF54CB" w14:textId="77777777" w:rsidR="003F6309" w:rsidRPr="003F6309" w:rsidRDefault="003F6309" w:rsidP="003F6309">
            <w:pPr>
              <w:spacing w:before="30" w:after="30" w:line="220" w:lineRule="exact"/>
              <w:ind w:left="142"/>
              <w:rPr>
                <w:sz w:val="18"/>
                <w:szCs w:val="18"/>
              </w:rPr>
            </w:pPr>
            <w:r w:rsidRPr="003F6309">
              <w:rPr>
                <w:sz w:val="18"/>
                <w:szCs w:val="18"/>
              </w:rPr>
              <w:t>D</w:t>
            </w:r>
          </w:p>
        </w:tc>
        <w:tc>
          <w:tcPr>
            <w:tcW w:w="2083" w:type="pct"/>
            <w:tcBorders>
              <w:top w:val="single" w:sz="4" w:space="0" w:color="auto"/>
              <w:left w:val="nil"/>
              <w:bottom w:val="single" w:sz="4" w:space="0" w:color="auto"/>
              <w:right w:val="single" w:sz="4" w:space="0" w:color="auto"/>
            </w:tcBorders>
            <w:hideMark/>
          </w:tcPr>
          <w:p w14:paraId="07C4D9B3" w14:textId="77777777" w:rsidR="003F6309" w:rsidRPr="003F6309" w:rsidRDefault="003F6309" w:rsidP="003F6309">
            <w:pPr>
              <w:pBdr>
                <w:right w:val="single" w:sz="4" w:space="4" w:color="auto"/>
              </w:pBdr>
              <w:spacing w:before="30" w:after="30" w:line="220" w:lineRule="exact"/>
              <w:ind w:left="142"/>
              <w:rPr>
                <w:sz w:val="18"/>
                <w:szCs w:val="18"/>
              </w:rPr>
            </w:pPr>
            <w:r w:rsidRPr="003F6309">
              <w:rPr>
                <w:sz w:val="18"/>
                <w:szCs w:val="18"/>
              </w:rPr>
              <w:t>II</w:t>
            </w:r>
          </w:p>
          <w:p w14:paraId="25E05583" w14:textId="77777777" w:rsidR="003F6309" w:rsidRPr="003F6309" w:rsidRDefault="003F6309" w:rsidP="003F6309">
            <w:pPr>
              <w:pStyle w:val="Notedebasdepage"/>
              <w:pBdr>
                <w:right w:val="single" w:sz="4" w:space="4" w:color="auto"/>
              </w:pBdr>
              <w:spacing w:before="30" w:after="30"/>
              <w:rPr>
                <w:szCs w:val="18"/>
              </w:rPr>
            </w:pPr>
            <w:r w:rsidRPr="003F6309">
              <w:rPr>
                <w:szCs w:val="18"/>
              </w:rPr>
              <w:t>pression de vapeur à 50 °C &gt; 1,1 bar</w:t>
            </w:r>
          </w:p>
        </w:tc>
      </w:tr>
      <w:tr w:rsidR="003F6309" w:rsidRPr="003F6309" w14:paraId="07AC9C80" w14:textId="77777777" w:rsidTr="003F6309">
        <w:trPr>
          <w:cantSplit/>
          <w:trHeight w:val="40"/>
        </w:trPr>
        <w:tc>
          <w:tcPr>
            <w:tcW w:w="627" w:type="pct"/>
            <w:vMerge/>
            <w:tcBorders>
              <w:left w:val="single" w:sz="4" w:space="0" w:color="auto"/>
              <w:bottom w:val="single" w:sz="4" w:space="0" w:color="auto"/>
              <w:right w:val="single" w:sz="4" w:space="0" w:color="auto"/>
            </w:tcBorders>
          </w:tcPr>
          <w:p w14:paraId="0AC88AE9" w14:textId="77777777" w:rsidR="003F6309" w:rsidRPr="003F6309" w:rsidRDefault="003F6309" w:rsidP="003F6309">
            <w:pPr>
              <w:spacing w:before="30" w:after="30" w:line="220" w:lineRule="exact"/>
              <w:ind w:left="142"/>
              <w:rPr>
                <w:sz w:val="18"/>
                <w:szCs w:val="18"/>
              </w:rPr>
            </w:pPr>
          </w:p>
        </w:tc>
        <w:tc>
          <w:tcPr>
            <w:tcW w:w="4373" w:type="pct"/>
            <w:gridSpan w:val="3"/>
            <w:tcBorders>
              <w:top w:val="single" w:sz="4" w:space="0" w:color="auto"/>
              <w:left w:val="nil"/>
              <w:bottom w:val="single" w:sz="4" w:space="0" w:color="auto"/>
              <w:right w:val="single" w:sz="4" w:space="0" w:color="auto"/>
            </w:tcBorders>
            <w:hideMark/>
          </w:tcPr>
          <w:p w14:paraId="4A85BCE6" w14:textId="77777777" w:rsidR="003F6309" w:rsidRPr="003F6309" w:rsidRDefault="003F6309" w:rsidP="003F6309">
            <w:pPr>
              <w:spacing w:before="30" w:after="30" w:line="220" w:lineRule="exact"/>
              <w:ind w:left="142"/>
              <w:rPr>
                <w:sz w:val="18"/>
                <w:szCs w:val="18"/>
              </w:rPr>
            </w:pPr>
            <w:r w:rsidRPr="003F6309">
              <w:rPr>
                <w:sz w:val="18"/>
                <w:szCs w:val="18"/>
              </w:rPr>
              <w:t>ainsi que les groupes de matières autorisées pour les codes-citerne LGAV, LGBV et LGBF</w:t>
            </w:r>
          </w:p>
        </w:tc>
      </w:tr>
    </w:tbl>
    <w:p w14:paraId="03FC7EEB" w14:textId="77777777" w:rsidR="003F6309" w:rsidRPr="00D12D05" w:rsidRDefault="003F6309" w:rsidP="003F6309">
      <w:pPr>
        <w:pStyle w:val="SingleTxtG"/>
        <w:spacing w:after="80"/>
      </w:pP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2798"/>
        <w:gridCol w:w="1594"/>
        <w:gridCol w:w="2881"/>
      </w:tblGrid>
      <w:tr w:rsidR="003F6309" w:rsidRPr="003F6309" w14:paraId="1A6F26B1" w14:textId="77777777" w:rsidTr="003F6309">
        <w:trPr>
          <w:cantSplit/>
          <w:trHeight w:val="40"/>
        </w:trPr>
        <w:tc>
          <w:tcPr>
            <w:tcW w:w="724" w:type="pct"/>
            <w:vMerge w:val="restart"/>
            <w:tcBorders>
              <w:top w:val="single" w:sz="4" w:space="0" w:color="auto"/>
              <w:left w:val="single" w:sz="4" w:space="0" w:color="auto"/>
              <w:right w:val="single" w:sz="4" w:space="0" w:color="auto"/>
            </w:tcBorders>
            <w:hideMark/>
          </w:tcPr>
          <w:p w14:paraId="089DBB7E" w14:textId="77777777" w:rsidR="003F6309" w:rsidRPr="003F6309" w:rsidRDefault="003F6309" w:rsidP="003F6309">
            <w:pPr>
              <w:spacing w:before="30" w:after="30" w:line="220" w:lineRule="exact"/>
              <w:ind w:left="142"/>
              <w:rPr>
                <w:sz w:val="18"/>
                <w:szCs w:val="18"/>
              </w:rPr>
            </w:pPr>
            <w:r w:rsidRPr="003F6309">
              <w:rPr>
                <w:sz w:val="18"/>
                <w:szCs w:val="18"/>
              </w:rPr>
              <w:t>L4BN</w:t>
            </w:r>
          </w:p>
        </w:tc>
        <w:tc>
          <w:tcPr>
            <w:tcW w:w="1645" w:type="pct"/>
            <w:vMerge w:val="restart"/>
            <w:tcBorders>
              <w:top w:val="single" w:sz="4" w:space="0" w:color="auto"/>
              <w:left w:val="nil"/>
              <w:bottom w:val="single" w:sz="4" w:space="0" w:color="auto"/>
              <w:right w:val="nil"/>
            </w:tcBorders>
          </w:tcPr>
          <w:p w14:paraId="262E7424" w14:textId="77777777" w:rsidR="003F6309" w:rsidRPr="003F6309" w:rsidRDefault="003F6309" w:rsidP="003F6309">
            <w:pPr>
              <w:spacing w:before="30" w:after="30" w:line="220" w:lineRule="exact"/>
              <w:ind w:left="142"/>
              <w:jc w:val="center"/>
              <w:rPr>
                <w:sz w:val="18"/>
                <w:szCs w:val="18"/>
              </w:rPr>
            </w:pPr>
            <w:r w:rsidRPr="003F6309">
              <w:rPr>
                <w:sz w:val="18"/>
                <w:szCs w:val="18"/>
              </w:rPr>
              <w:t>3</w:t>
            </w:r>
          </w:p>
        </w:tc>
        <w:tc>
          <w:tcPr>
            <w:tcW w:w="937" w:type="pct"/>
            <w:tcBorders>
              <w:top w:val="single" w:sz="4" w:space="0" w:color="auto"/>
              <w:left w:val="single" w:sz="4" w:space="0" w:color="auto"/>
              <w:bottom w:val="single" w:sz="4" w:space="0" w:color="auto"/>
              <w:right w:val="single" w:sz="4" w:space="0" w:color="auto"/>
            </w:tcBorders>
            <w:hideMark/>
          </w:tcPr>
          <w:p w14:paraId="5F2A58BA" w14:textId="77777777" w:rsidR="003F6309" w:rsidRPr="003F6309" w:rsidRDefault="003F6309" w:rsidP="003F6309">
            <w:pPr>
              <w:spacing w:before="30" w:after="30" w:line="220" w:lineRule="exact"/>
              <w:ind w:left="142"/>
              <w:rPr>
                <w:sz w:val="18"/>
                <w:szCs w:val="18"/>
              </w:rPr>
            </w:pPr>
            <w:r w:rsidRPr="003F6309">
              <w:rPr>
                <w:sz w:val="18"/>
                <w:szCs w:val="18"/>
              </w:rPr>
              <w:t>F1</w:t>
            </w:r>
          </w:p>
        </w:tc>
        <w:tc>
          <w:tcPr>
            <w:tcW w:w="1694" w:type="pct"/>
            <w:tcBorders>
              <w:top w:val="single" w:sz="4" w:space="0" w:color="auto"/>
              <w:left w:val="nil"/>
              <w:bottom w:val="single" w:sz="4" w:space="0" w:color="auto"/>
              <w:right w:val="single" w:sz="4" w:space="0" w:color="auto"/>
            </w:tcBorders>
            <w:hideMark/>
          </w:tcPr>
          <w:p w14:paraId="769AB4A1" w14:textId="77777777" w:rsidR="003F6309" w:rsidRPr="003F6309" w:rsidRDefault="003F6309" w:rsidP="003F6309">
            <w:pPr>
              <w:spacing w:before="30" w:after="30" w:line="220" w:lineRule="exact"/>
              <w:ind w:left="142"/>
              <w:rPr>
                <w:sz w:val="18"/>
                <w:szCs w:val="18"/>
              </w:rPr>
            </w:pPr>
            <w:r w:rsidRPr="003F6309">
              <w:rPr>
                <w:sz w:val="18"/>
                <w:szCs w:val="18"/>
              </w:rPr>
              <w:t>I,</w:t>
            </w:r>
          </w:p>
          <w:p w14:paraId="28107542" w14:textId="77777777" w:rsidR="003F6309" w:rsidRPr="003F6309" w:rsidRDefault="003F6309" w:rsidP="003F6309">
            <w:pPr>
              <w:spacing w:before="30" w:after="30" w:line="220" w:lineRule="exact"/>
              <w:ind w:left="142"/>
              <w:rPr>
                <w:b/>
                <w:bCs/>
                <w:strike/>
                <w:sz w:val="18"/>
                <w:szCs w:val="18"/>
              </w:rPr>
            </w:pPr>
            <w:r w:rsidRPr="003F6309">
              <w:rPr>
                <w:b/>
                <w:bCs/>
                <w:strike/>
                <w:sz w:val="18"/>
                <w:szCs w:val="18"/>
              </w:rPr>
              <w:t>III point d’ébullition ≤ 35 °C</w:t>
            </w:r>
          </w:p>
        </w:tc>
      </w:tr>
      <w:tr w:rsidR="003F6309" w:rsidRPr="003F6309" w14:paraId="3AEE305C" w14:textId="77777777" w:rsidTr="003F6309">
        <w:trPr>
          <w:cantSplit/>
          <w:trHeight w:val="40"/>
        </w:trPr>
        <w:tc>
          <w:tcPr>
            <w:tcW w:w="1211" w:type="dxa"/>
            <w:vMerge/>
            <w:tcBorders>
              <w:left w:val="single" w:sz="4" w:space="0" w:color="auto"/>
              <w:right w:val="single" w:sz="4" w:space="0" w:color="auto"/>
            </w:tcBorders>
            <w:vAlign w:val="center"/>
            <w:hideMark/>
          </w:tcPr>
          <w:p w14:paraId="352C133E" w14:textId="77777777" w:rsidR="003F6309" w:rsidRPr="003F6309" w:rsidRDefault="003F6309" w:rsidP="003F6309">
            <w:pPr>
              <w:spacing w:before="30" w:after="30" w:line="220" w:lineRule="exact"/>
              <w:rPr>
                <w:sz w:val="18"/>
                <w:szCs w:val="18"/>
                <w:lang w:val="en-GB"/>
              </w:rPr>
            </w:pPr>
          </w:p>
        </w:tc>
        <w:tc>
          <w:tcPr>
            <w:tcW w:w="2752" w:type="dxa"/>
            <w:vMerge/>
            <w:tcBorders>
              <w:top w:val="single" w:sz="4" w:space="0" w:color="auto"/>
              <w:left w:val="nil"/>
              <w:bottom w:val="single" w:sz="4" w:space="0" w:color="auto"/>
              <w:right w:val="nil"/>
            </w:tcBorders>
            <w:vAlign w:val="center"/>
            <w:hideMark/>
          </w:tcPr>
          <w:p w14:paraId="76EAFB2D" w14:textId="77777777" w:rsidR="003F6309" w:rsidRPr="003F6309" w:rsidRDefault="003F6309" w:rsidP="003F6309">
            <w:pPr>
              <w:spacing w:before="30" w:after="30" w:line="220" w:lineRule="exact"/>
              <w:rPr>
                <w:sz w:val="18"/>
                <w:szCs w:val="18"/>
                <w:lang w:val="en-GB"/>
              </w:rPr>
            </w:pPr>
          </w:p>
        </w:tc>
        <w:tc>
          <w:tcPr>
            <w:tcW w:w="937" w:type="pct"/>
            <w:tcBorders>
              <w:top w:val="single" w:sz="4" w:space="0" w:color="auto"/>
              <w:left w:val="single" w:sz="4" w:space="0" w:color="auto"/>
              <w:bottom w:val="single" w:sz="4" w:space="0" w:color="auto"/>
              <w:right w:val="single" w:sz="4" w:space="0" w:color="auto"/>
            </w:tcBorders>
            <w:hideMark/>
          </w:tcPr>
          <w:p w14:paraId="2FB2DC65" w14:textId="77777777" w:rsidR="003F6309" w:rsidRPr="003F6309" w:rsidRDefault="003F6309" w:rsidP="003F6309">
            <w:pPr>
              <w:spacing w:before="30" w:after="30" w:line="220" w:lineRule="exact"/>
              <w:ind w:left="142"/>
              <w:rPr>
                <w:sz w:val="18"/>
                <w:szCs w:val="18"/>
              </w:rPr>
            </w:pPr>
            <w:r w:rsidRPr="003F6309">
              <w:rPr>
                <w:sz w:val="18"/>
                <w:szCs w:val="18"/>
              </w:rPr>
              <w:t>FC</w:t>
            </w:r>
          </w:p>
        </w:tc>
        <w:tc>
          <w:tcPr>
            <w:tcW w:w="1694" w:type="pct"/>
            <w:tcBorders>
              <w:top w:val="single" w:sz="4" w:space="0" w:color="auto"/>
              <w:left w:val="nil"/>
              <w:bottom w:val="single" w:sz="4" w:space="0" w:color="auto"/>
              <w:right w:val="single" w:sz="4" w:space="0" w:color="auto"/>
            </w:tcBorders>
            <w:hideMark/>
          </w:tcPr>
          <w:p w14:paraId="7BBDC9A8" w14:textId="77777777" w:rsidR="003F6309" w:rsidRPr="003F6309" w:rsidRDefault="003F6309" w:rsidP="003F6309">
            <w:pPr>
              <w:spacing w:before="30" w:after="30" w:line="220" w:lineRule="exact"/>
              <w:ind w:left="142"/>
              <w:rPr>
                <w:sz w:val="18"/>
                <w:szCs w:val="18"/>
              </w:rPr>
            </w:pPr>
            <w:r w:rsidRPr="003F6309">
              <w:rPr>
                <w:sz w:val="18"/>
                <w:szCs w:val="18"/>
              </w:rPr>
              <w:t>III</w:t>
            </w:r>
          </w:p>
        </w:tc>
      </w:tr>
      <w:tr w:rsidR="003F6309" w:rsidRPr="003F6309" w14:paraId="34D1ACA1" w14:textId="77777777" w:rsidTr="003F6309">
        <w:trPr>
          <w:cantSplit/>
          <w:trHeight w:val="40"/>
        </w:trPr>
        <w:tc>
          <w:tcPr>
            <w:tcW w:w="1211" w:type="dxa"/>
            <w:vMerge/>
            <w:tcBorders>
              <w:left w:val="single" w:sz="4" w:space="0" w:color="auto"/>
              <w:right w:val="single" w:sz="4" w:space="0" w:color="auto"/>
            </w:tcBorders>
            <w:vAlign w:val="center"/>
            <w:hideMark/>
          </w:tcPr>
          <w:p w14:paraId="5EC21CDA" w14:textId="77777777" w:rsidR="003F6309" w:rsidRPr="003F6309" w:rsidRDefault="003F6309" w:rsidP="003F6309">
            <w:pPr>
              <w:spacing w:before="30" w:after="30" w:line="220" w:lineRule="exact"/>
              <w:rPr>
                <w:sz w:val="18"/>
                <w:szCs w:val="18"/>
                <w:lang w:val="en-GB"/>
              </w:rPr>
            </w:pPr>
          </w:p>
        </w:tc>
        <w:tc>
          <w:tcPr>
            <w:tcW w:w="2752" w:type="dxa"/>
            <w:vMerge/>
            <w:tcBorders>
              <w:top w:val="single" w:sz="4" w:space="0" w:color="auto"/>
              <w:left w:val="nil"/>
              <w:bottom w:val="single" w:sz="4" w:space="0" w:color="auto"/>
              <w:right w:val="nil"/>
            </w:tcBorders>
            <w:vAlign w:val="center"/>
            <w:hideMark/>
          </w:tcPr>
          <w:p w14:paraId="57D9B275" w14:textId="77777777" w:rsidR="003F6309" w:rsidRPr="003F6309" w:rsidRDefault="003F6309" w:rsidP="003F6309">
            <w:pPr>
              <w:spacing w:before="30" w:after="30" w:line="220" w:lineRule="exact"/>
              <w:rPr>
                <w:sz w:val="18"/>
                <w:szCs w:val="18"/>
                <w:lang w:val="en-GB"/>
              </w:rPr>
            </w:pPr>
          </w:p>
        </w:tc>
        <w:tc>
          <w:tcPr>
            <w:tcW w:w="937" w:type="pct"/>
            <w:tcBorders>
              <w:top w:val="single" w:sz="4" w:space="0" w:color="auto"/>
              <w:left w:val="single" w:sz="4" w:space="0" w:color="auto"/>
              <w:bottom w:val="single" w:sz="4" w:space="0" w:color="auto"/>
              <w:right w:val="single" w:sz="4" w:space="0" w:color="auto"/>
            </w:tcBorders>
            <w:hideMark/>
          </w:tcPr>
          <w:p w14:paraId="55A0157C" w14:textId="77777777" w:rsidR="003F6309" w:rsidRPr="003F6309" w:rsidRDefault="003F6309" w:rsidP="003F6309">
            <w:pPr>
              <w:spacing w:before="30" w:after="30" w:line="220" w:lineRule="exact"/>
              <w:ind w:left="142"/>
              <w:rPr>
                <w:sz w:val="18"/>
                <w:szCs w:val="18"/>
              </w:rPr>
            </w:pPr>
            <w:r w:rsidRPr="003F6309">
              <w:rPr>
                <w:sz w:val="18"/>
                <w:szCs w:val="18"/>
              </w:rPr>
              <w:t>D</w:t>
            </w:r>
          </w:p>
        </w:tc>
        <w:tc>
          <w:tcPr>
            <w:tcW w:w="1694" w:type="pct"/>
            <w:tcBorders>
              <w:top w:val="single" w:sz="4" w:space="0" w:color="auto"/>
              <w:left w:val="nil"/>
              <w:bottom w:val="single" w:sz="4" w:space="0" w:color="auto"/>
              <w:right w:val="single" w:sz="4" w:space="0" w:color="auto"/>
            </w:tcBorders>
            <w:hideMark/>
          </w:tcPr>
          <w:p w14:paraId="79650DDC" w14:textId="77777777" w:rsidR="003F6309" w:rsidRPr="003F6309" w:rsidRDefault="003F6309" w:rsidP="003F6309">
            <w:pPr>
              <w:spacing w:before="30" w:after="30" w:line="220" w:lineRule="exact"/>
              <w:ind w:left="142"/>
              <w:rPr>
                <w:sz w:val="18"/>
                <w:szCs w:val="18"/>
              </w:rPr>
            </w:pPr>
            <w:r w:rsidRPr="003F6309">
              <w:rPr>
                <w:sz w:val="18"/>
                <w:szCs w:val="18"/>
              </w:rPr>
              <w:t>I</w:t>
            </w:r>
          </w:p>
        </w:tc>
      </w:tr>
      <w:tr w:rsidR="003F6309" w:rsidRPr="003F6309" w14:paraId="30866C65" w14:textId="77777777" w:rsidTr="003F6309">
        <w:trPr>
          <w:cantSplit/>
          <w:trHeight w:val="40"/>
        </w:trPr>
        <w:tc>
          <w:tcPr>
            <w:tcW w:w="1211" w:type="dxa"/>
            <w:vMerge/>
            <w:tcBorders>
              <w:left w:val="single" w:sz="4" w:space="0" w:color="auto"/>
              <w:right w:val="single" w:sz="4" w:space="0" w:color="auto"/>
            </w:tcBorders>
            <w:vAlign w:val="center"/>
            <w:hideMark/>
          </w:tcPr>
          <w:p w14:paraId="6AD87221" w14:textId="77777777" w:rsidR="003F6309" w:rsidRPr="003F6309" w:rsidRDefault="003F6309" w:rsidP="003F6309">
            <w:pPr>
              <w:spacing w:before="30" w:after="30" w:line="220" w:lineRule="exact"/>
              <w:rPr>
                <w:sz w:val="18"/>
                <w:szCs w:val="18"/>
                <w:lang w:val="en-GB"/>
              </w:rPr>
            </w:pPr>
          </w:p>
        </w:tc>
        <w:tc>
          <w:tcPr>
            <w:tcW w:w="1645" w:type="pct"/>
            <w:vMerge w:val="restart"/>
            <w:tcBorders>
              <w:top w:val="single" w:sz="4" w:space="0" w:color="auto"/>
              <w:left w:val="nil"/>
              <w:bottom w:val="single" w:sz="4" w:space="0" w:color="auto"/>
              <w:right w:val="nil"/>
            </w:tcBorders>
          </w:tcPr>
          <w:p w14:paraId="0C9F4D6F" w14:textId="77777777" w:rsidR="003F6309" w:rsidRPr="003F6309" w:rsidRDefault="003F6309" w:rsidP="003F6309">
            <w:pPr>
              <w:spacing w:before="30" w:after="30" w:line="220" w:lineRule="exact"/>
              <w:ind w:left="142"/>
              <w:jc w:val="center"/>
              <w:rPr>
                <w:sz w:val="18"/>
                <w:szCs w:val="18"/>
              </w:rPr>
            </w:pPr>
            <w:r w:rsidRPr="003F6309">
              <w:rPr>
                <w:sz w:val="18"/>
                <w:szCs w:val="18"/>
              </w:rPr>
              <w:t>5.1</w:t>
            </w:r>
          </w:p>
        </w:tc>
        <w:tc>
          <w:tcPr>
            <w:tcW w:w="937" w:type="pct"/>
            <w:tcBorders>
              <w:top w:val="single" w:sz="4" w:space="0" w:color="auto"/>
              <w:left w:val="single" w:sz="4" w:space="0" w:color="auto"/>
              <w:bottom w:val="single" w:sz="4" w:space="0" w:color="auto"/>
              <w:right w:val="single" w:sz="4" w:space="0" w:color="auto"/>
            </w:tcBorders>
            <w:hideMark/>
          </w:tcPr>
          <w:p w14:paraId="566A4F19" w14:textId="77777777" w:rsidR="003F6309" w:rsidRPr="003F6309" w:rsidRDefault="003F6309" w:rsidP="003F6309">
            <w:pPr>
              <w:spacing w:before="30" w:after="30" w:line="220" w:lineRule="exact"/>
              <w:ind w:left="142"/>
              <w:rPr>
                <w:sz w:val="18"/>
                <w:szCs w:val="18"/>
              </w:rPr>
            </w:pPr>
            <w:r w:rsidRPr="003F6309">
              <w:rPr>
                <w:sz w:val="18"/>
                <w:szCs w:val="18"/>
              </w:rPr>
              <w:t>O1</w:t>
            </w:r>
          </w:p>
        </w:tc>
        <w:tc>
          <w:tcPr>
            <w:tcW w:w="1694" w:type="pct"/>
            <w:tcBorders>
              <w:top w:val="single" w:sz="4" w:space="0" w:color="auto"/>
              <w:left w:val="nil"/>
              <w:bottom w:val="single" w:sz="4" w:space="0" w:color="auto"/>
              <w:right w:val="single" w:sz="4" w:space="0" w:color="auto"/>
            </w:tcBorders>
            <w:hideMark/>
          </w:tcPr>
          <w:p w14:paraId="47695FA1" w14:textId="77777777" w:rsidR="003F6309" w:rsidRPr="003F6309" w:rsidRDefault="003F6309" w:rsidP="003F6309">
            <w:pPr>
              <w:spacing w:before="30" w:after="30" w:line="220" w:lineRule="exact"/>
              <w:ind w:left="142"/>
              <w:rPr>
                <w:sz w:val="18"/>
                <w:szCs w:val="18"/>
              </w:rPr>
            </w:pPr>
            <w:r w:rsidRPr="003F6309">
              <w:rPr>
                <w:b/>
                <w:bCs/>
                <w:strike/>
                <w:sz w:val="18"/>
                <w:szCs w:val="18"/>
              </w:rPr>
              <w:t>I,</w:t>
            </w:r>
            <w:r w:rsidRPr="003F6309">
              <w:rPr>
                <w:sz w:val="18"/>
                <w:szCs w:val="18"/>
              </w:rPr>
              <w:t>II</w:t>
            </w:r>
          </w:p>
        </w:tc>
      </w:tr>
      <w:tr w:rsidR="003F6309" w:rsidRPr="003F6309" w14:paraId="26B89AEB" w14:textId="77777777" w:rsidTr="003F6309">
        <w:trPr>
          <w:cantSplit/>
          <w:trHeight w:val="40"/>
        </w:trPr>
        <w:tc>
          <w:tcPr>
            <w:tcW w:w="724" w:type="pct"/>
            <w:vMerge/>
            <w:tcBorders>
              <w:left w:val="single" w:sz="4" w:space="0" w:color="auto"/>
              <w:right w:val="single" w:sz="4" w:space="0" w:color="auto"/>
            </w:tcBorders>
          </w:tcPr>
          <w:p w14:paraId="2FF92E6B" w14:textId="77777777" w:rsidR="003F6309" w:rsidRPr="003F6309" w:rsidRDefault="003F6309" w:rsidP="003F6309">
            <w:pPr>
              <w:spacing w:before="30" w:after="30" w:line="220" w:lineRule="exact"/>
              <w:ind w:left="142"/>
              <w:rPr>
                <w:sz w:val="18"/>
                <w:szCs w:val="18"/>
                <w:lang w:val="en-GB"/>
              </w:rPr>
            </w:pPr>
          </w:p>
        </w:tc>
        <w:tc>
          <w:tcPr>
            <w:tcW w:w="2752" w:type="dxa"/>
            <w:vMerge/>
            <w:tcBorders>
              <w:top w:val="single" w:sz="4" w:space="0" w:color="auto"/>
              <w:left w:val="nil"/>
              <w:bottom w:val="single" w:sz="4" w:space="0" w:color="auto"/>
              <w:right w:val="nil"/>
            </w:tcBorders>
            <w:vAlign w:val="center"/>
            <w:hideMark/>
          </w:tcPr>
          <w:p w14:paraId="05767C8A" w14:textId="77777777" w:rsidR="003F6309" w:rsidRPr="003F6309" w:rsidRDefault="003F6309" w:rsidP="003F6309">
            <w:pPr>
              <w:spacing w:before="30" w:after="30" w:line="220" w:lineRule="exact"/>
              <w:rPr>
                <w:sz w:val="18"/>
                <w:szCs w:val="18"/>
                <w:lang w:val="en-GB"/>
              </w:rPr>
            </w:pPr>
          </w:p>
        </w:tc>
        <w:tc>
          <w:tcPr>
            <w:tcW w:w="937" w:type="pct"/>
            <w:tcBorders>
              <w:top w:val="single" w:sz="4" w:space="0" w:color="auto"/>
              <w:left w:val="single" w:sz="4" w:space="0" w:color="auto"/>
              <w:bottom w:val="single" w:sz="4" w:space="0" w:color="auto"/>
              <w:right w:val="single" w:sz="4" w:space="0" w:color="auto"/>
            </w:tcBorders>
            <w:hideMark/>
          </w:tcPr>
          <w:p w14:paraId="2D94806B" w14:textId="77777777" w:rsidR="003F6309" w:rsidRPr="003F6309" w:rsidRDefault="003F6309" w:rsidP="003F6309">
            <w:pPr>
              <w:spacing w:before="30" w:after="30" w:line="220" w:lineRule="exact"/>
              <w:ind w:left="142"/>
              <w:rPr>
                <w:b/>
                <w:bCs/>
                <w:strike/>
                <w:sz w:val="18"/>
                <w:szCs w:val="18"/>
                <w:u w:val="single"/>
              </w:rPr>
            </w:pPr>
            <w:r w:rsidRPr="003F6309">
              <w:rPr>
                <w:b/>
                <w:bCs/>
                <w:strike/>
                <w:sz w:val="18"/>
                <w:szCs w:val="18"/>
              </w:rPr>
              <w:t>OT1</w:t>
            </w:r>
          </w:p>
        </w:tc>
        <w:tc>
          <w:tcPr>
            <w:tcW w:w="1694" w:type="pct"/>
            <w:tcBorders>
              <w:top w:val="single" w:sz="4" w:space="0" w:color="auto"/>
              <w:left w:val="nil"/>
              <w:bottom w:val="single" w:sz="4" w:space="0" w:color="auto"/>
              <w:right w:val="single" w:sz="4" w:space="0" w:color="auto"/>
            </w:tcBorders>
            <w:hideMark/>
          </w:tcPr>
          <w:p w14:paraId="350F4AE2" w14:textId="77777777" w:rsidR="003F6309" w:rsidRPr="003F6309" w:rsidRDefault="003F6309" w:rsidP="003F6309">
            <w:pPr>
              <w:spacing w:before="30" w:after="30" w:line="220" w:lineRule="exact"/>
              <w:ind w:left="142"/>
              <w:rPr>
                <w:b/>
                <w:bCs/>
                <w:strike/>
                <w:sz w:val="18"/>
                <w:szCs w:val="18"/>
              </w:rPr>
            </w:pPr>
            <w:r w:rsidRPr="003F6309">
              <w:rPr>
                <w:b/>
                <w:bCs/>
                <w:strike/>
                <w:sz w:val="18"/>
                <w:szCs w:val="18"/>
              </w:rPr>
              <w:t>I</w:t>
            </w:r>
          </w:p>
        </w:tc>
      </w:tr>
      <w:tr w:rsidR="003F6309" w:rsidRPr="003F6309" w14:paraId="474EDAE7" w14:textId="77777777" w:rsidTr="003F6309">
        <w:trPr>
          <w:cantSplit/>
          <w:trHeight w:val="40"/>
        </w:trPr>
        <w:tc>
          <w:tcPr>
            <w:tcW w:w="724" w:type="pct"/>
            <w:vMerge/>
            <w:tcBorders>
              <w:left w:val="single" w:sz="4" w:space="0" w:color="auto"/>
              <w:right w:val="single" w:sz="4" w:space="0" w:color="auto"/>
            </w:tcBorders>
          </w:tcPr>
          <w:p w14:paraId="131BE28B" w14:textId="77777777" w:rsidR="003F6309" w:rsidRPr="003F6309" w:rsidRDefault="003F6309" w:rsidP="003F6309">
            <w:pPr>
              <w:spacing w:before="30" w:after="30" w:line="220" w:lineRule="exact"/>
              <w:ind w:left="142"/>
              <w:rPr>
                <w:sz w:val="18"/>
                <w:szCs w:val="18"/>
                <w:lang w:val="en-GB"/>
              </w:rPr>
            </w:pPr>
          </w:p>
        </w:tc>
        <w:tc>
          <w:tcPr>
            <w:tcW w:w="2752" w:type="dxa"/>
            <w:vMerge/>
            <w:tcBorders>
              <w:top w:val="single" w:sz="4" w:space="0" w:color="auto"/>
              <w:left w:val="nil"/>
              <w:bottom w:val="single" w:sz="4" w:space="0" w:color="auto"/>
              <w:right w:val="nil"/>
            </w:tcBorders>
            <w:vAlign w:val="center"/>
            <w:hideMark/>
          </w:tcPr>
          <w:p w14:paraId="2FCEB8AD" w14:textId="77777777" w:rsidR="003F6309" w:rsidRPr="003F6309" w:rsidRDefault="003F6309" w:rsidP="003F6309">
            <w:pPr>
              <w:spacing w:before="30" w:after="30" w:line="220" w:lineRule="exact"/>
              <w:rPr>
                <w:sz w:val="18"/>
                <w:szCs w:val="18"/>
                <w:lang w:val="en-GB"/>
              </w:rPr>
            </w:pPr>
          </w:p>
        </w:tc>
        <w:tc>
          <w:tcPr>
            <w:tcW w:w="937" w:type="pct"/>
            <w:tcBorders>
              <w:top w:val="single" w:sz="4" w:space="0" w:color="auto"/>
              <w:left w:val="single" w:sz="4" w:space="0" w:color="auto"/>
              <w:bottom w:val="single" w:sz="4" w:space="0" w:color="auto"/>
              <w:right w:val="single" w:sz="4" w:space="0" w:color="auto"/>
            </w:tcBorders>
            <w:hideMark/>
          </w:tcPr>
          <w:p w14:paraId="288F97F2" w14:textId="77777777" w:rsidR="003F6309" w:rsidRPr="003F6309" w:rsidRDefault="003F6309" w:rsidP="003F6309">
            <w:pPr>
              <w:spacing w:before="30" w:after="30" w:line="220" w:lineRule="exact"/>
              <w:ind w:left="142"/>
              <w:rPr>
                <w:b/>
                <w:bCs/>
                <w:i/>
                <w:iCs/>
                <w:sz w:val="18"/>
                <w:szCs w:val="18"/>
                <w:u w:val="single"/>
              </w:rPr>
            </w:pPr>
            <w:r w:rsidRPr="003F6309">
              <w:rPr>
                <w:b/>
                <w:bCs/>
                <w:i/>
                <w:iCs/>
                <w:sz w:val="18"/>
                <w:szCs w:val="18"/>
                <w:u w:val="single"/>
              </w:rPr>
              <w:t>OT1</w:t>
            </w:r>
          </w:p>
        </w:tc>
        <w:tc>
          <w:tcPr>
            <w:tcW w:w="1694" w:type="pct"/>
            <w:tcBorders>
              <w:top w:val="single" w:sz="4" w:space="0" w:color="auto"/>
              <w:left w:val="nil"/>
              <w:bottom w:val="single" w:sz="4" w:space="0" w:color="auto"/>
              <w:right w:val="single" w:sz="4" w:space="0" w:color="auto"/>
            </w:tcBorders>
            <w:shd w:val="clear" w:color="auto" w:fill="auto"/>
            <w:hideMark/>
          </w:tcPr>
          <w:p w14:paraId="27C4E340" w14:textId="77777777" w:rsidR="003F6309" w:rsidRPr="003F6309" w:rsidRDefault="003F6309" w:rsidP="003F6309">
            <w:pPr>
              <w:spacing w:before="30" w:after="30" w:line="220" w:lineRule="exact"/>
              <w:ind w:left="142"/>
              <w:rPr>
                <w:b/>
                <w:bCs/>
                <w:i/>
                <w:iCs/>
                <w:sz w:val="18"/>
                <w:szCs w:val="18"/>
                <w:u w:val="single"/>
              </w:rPr>
            </w:pPr>
            <w:r w:rsidRPr="003F6309">
              <w:rPr>
                <w:b/>
                <w:bCs/>
                <w:i/>
                <w:iCs/>
                <w:sz w:val="18"/>
                <w:szCs w:val="18"/>
                <w:u w:val="single"/>
              </w:rPr>
              <w:t>II</w:t>
            </w:r>
          </w:p>
        </w:tc>
      </w:tr>
      <w:tr w:rsidR="003F6309" w:rsidRPr="003F6309" w14:paraId="7A87985C" w14:textId="77777777" w:rsidTr="003F6309">
        <w:trPr>
          <w:cantSplit/>
          <w:trHeight w:val="40"/>
        </w:trPr>
        <w:tc>
          <w:tcPr>
            <w:tcW w:w="724" w:type="pct"/>
            <w:vMerge/>
            <w:tcBorders>
              <w:left w:val="single" w:sz="4" w:space="0" w:color="auto"/>
              <w:bottom w:val="single" w:sz="4" w:space="0" w:color="auto"/>
              <w:right w:val="single" w:sz="4" w:space="0" w:color="auto"/>
            </w:tcBorders>
          </w:tcPr>
          <w:p w14:paraId="3730A2CA" w14:textId="77777777" w:rsidR="003F6309" w:rsidRPr="003F6309" w:rsidRDefault="003F6309" w:rsidP="003F6309">
            <w:pPr>
              <w:spacing w:before="30" w:after="30" w:line="220" w:lineRule="exact"/>
              <w:ind w:left="142"/>
              <w:rPr>
                <w:sz w:val="18"/>
                <w:szCs w:val="18"/>
                <w:lang w:val="en-GB"/>
              </w:rPr>
            </w:pPr>
          </w:p>
        </w:tc>
        <w:tc>
          <w:tcPr>
            <w:tcW w:w="4276" w:type="pct"/>
            <w:gridSpan w:val="3"/>
            <w:tcBorders>
              <w:top w:val="single" w:sz="4" w:space="0" w:color="auto"/>
              <w:left w:val="nil"/>
              <w:bottom w:val="single" w:sz="4" w:space="0" w:color="auto"/>
              <w:right w:val="single" w:sz="4" w:space="0" w:color="auto"/>
            </w:tcBorders>
            <w:hideMark/>
          </w:tcPr>
          <w:p w14:paraId="5FE1F52D" w14:textId="77777777" w:rsidR="003F6309" w:rsidRPr="003F6309" w:rsidRDefault="003F6309" w:rsidP="003F6309">
            <w:pPr>
              <w:spacing w:before="30" w:after="30" w:line="220" w:lineRule="exact"/>
              <w:ind w:left="142"/>
              <w:rPr>
                <w:i/>
                <w:iCs/>
                <w:sz w:val="18"/>
                <w:szCs w:val="18"/>
              </w:rPr>
            </w:pPr>
            <w:r w:rsidRPr="003F6309">
              <w:rPr>
                <w:i/>
                <w:iCs/>
                <w:sz w:val="18"/>
                <w:szCs w:val="18"/>
              </w:rPr>
              <w:t>(le reste est inchangé)</w:t>
            </w:r>
          </w:p>
        </w:tc>
      </w:tr>
    </w:tbl>
    <w:p w14:paraId="3EECF988" w14:textId="275EC347" w:rsidR="003F6309" w:rsidRPr="00D12D05" w:rsidRDefault="003F6309" w:rsidP="003F6309">
      <w:pPr>
        <w:pStyle w:val="H1G"/>
      </w:pPr>
      <w:r>
        <w:lastRenderedPageBreak/>
        <w:tab/>
      </w:r>
      <w:r>
        <w:tab/>
      </w:r>
      <w:r w:rsidRPr="00D12D05">
        <w:t xml:space="preserve">Point 2 </w:t>
      </w:r>
      <w:r>
        <w:br/>
      </w:r>
      <w:r w:rsidRPr="00D12D05">
        <w:t>Disposition spéciale TE 16 pour l</w:t>
      </w:r>
      <w:r>
        <w:t>es éléments d’</w:t>
      </w:r>
      <w:r w:rsidRPr="00D12D05">
        <w:t>équipement des citernes</w:t>
      </w:r>
    </w:p>
    <w:p w14:paraId="242DB6D7" w14:textId="517789A0" w:rsidR="003F6309" w:rsidRPr="00D12D05" w:rsidRDefault="003F6309" w:rsidP="003F6309">
      <w:pPr>
        <w:pStyle w:val="SingleTxtG"/>
        <w:ind w:left="3119" w:hanging="1985"/>
        <w:jc w:val="left"/>
      </w:pPr>
      <w:r w:rsidRPr="00D12D05">
        <w:rPr>
          <w:i/>
          <w:iCs/>
        </w:rPr>
        <w:t>Document informel</w:t>
      </w:r>
      <w:r>
        <w:rPr>
          <w:i/>
          <w:iCs/>
        </w:rPr>
        <w:t> </w:t>
      </w:r>
      <w:r w:rsidRPr="00D12D05">
        <w:rPr>
          <w:i/>
          <w:iCs/>
        </w:rPr>
        <w:t>:</w:t>
      </w:r>
      <w:r w:rsidRPr="00D12D05">
        <w:tab/>
        <w:t>INF.5 (secrétariat de l</w:t>
      </w:r>
      <w:r>
        <w:t>’</w:t>
      </w:r>
      <w:r w:rsidRPr="00D12D05">
        <w:t>OTIF)</w:t>
      </w:r>
    </w:p>
    <w:p w14:paraId="08CC272E" w14:textId="77777777" w:rsidR="003F6309" w:rsidRPr="00D12D05" w:rsidRDefault="003F6309" w:rsidP="003F6309">
      <w:pPr>
        <w:pStyle w:val="SingleTxtG"/>
      </w:pPr>
      <w:r w:rsidRPr="00D12D05">
        <w:t>4.</w:t>
      </w:r>
      <w:r w:rsidRPr="00D12D05">
        <w:tab/>
        <w:t>On a estimé que l</w:t>
      </w:r>
      <w:r>
        <w:t>’</w:t>
      </w:r>
      <w:r w:rsidRPr="00D12D05">
        <w:t>utilisation du bois dans la construction des wagons-citernes était très peu probable. Par ailleurs, il n</w:t>
      </w:r>
      <w:r>
        <w:t>’</w:t>
      </w:r>
      <w:r w:rsidRPr="00D12D05">
        <w:t>existe pas de disposition équivalente dans l</w:t>
      </w:r>
      <w:r>
        <w:t>’</w:t>
      </w:r>
      <w:r w:rsidRPr="00D12D05">
        <w:t xml:space="preserve">ADR pour les véhicules-citernes. Le </w:t>
      </w:r>
      <w:r>
        <w:t>G</w:t>
      </w:r>
      <w:r w:rsidRPr="00D12D05">
        <w:t>roupe de travail s</w:t>
      </w:r>
      <w:r>
        <w:t>’</w:t>
      </w:r>
      <w:r w:rsidRPr="00D12D05">
        <w:t>est accordé sur le fait que cette disposition spéciale pouvait être supprimée. Le secrétariat de l</w:t>
      </w:r>
      <w:r>
        <w:t>’</w:t>
      </w:r>
      <w:r w:rsidRPr="00D12D05">
        <w:t>OTIF est prié d</w:t>
      </w:r>
      <w:r>
        <w:t>’</w:t>
      </w:r>
      <w:r w:rsidRPr="00D12D05">
        <w:t>attirer l</w:t>
      </w:r>
      <w:r>
        <w:t>’</w:t>
      </w:r>
      <w:r w:rsidRPr="00D12D05">
        <w:t>attention du groupe de travail permanent du RID sur ce point.</w:t>
      </w:r>
    </w:p>
    <w:p w14:paraId="1B07D7B8" w14:textId="6A537105" w:rsidR="003F6309" w:rsidRPr="00D12D05" w:rsidRDefault="003F6309" w:rsidP="003F6309">
      <w:pPr>
        <w:pStyle w:val="H23G"/>
      </w:pPr>
      <w:r w:rsidRPr="00D12D05">
        <w:tab/>
      </w:r>
      <w:r w:rsidRPr="00D12D05">
        <w:tab/>
        <w:t xml:space="preserve">Proposition 2 </w:t>
      </w:r>
      <w:r w:rsidR="00C30254">
        <w:t>−</w:t>
      </w:r>
      <w:r w:rsidRPr="00D12D05">
        <w:t xml:space="preserve"> Supprimer l</w:t>
      </w:r>
      <w:r>
        <w:t>a disposition spéciale</w:t>
      </w:r>
      <w:r w:rsidRPr="00D12D05">
        <w:t xml:space="preserve"> TE 16 </w:t>
      </w:r>
      <w:r>
        <w:t>dans le</w:t>
      </w:r>
      <w:r w:rsidRPr="00D12D05">
        <w:t xml:space="preserve"> 6.8.4 b) du RID et supprimer la référence </w:t>
      </w:r>
      <w:r>
        <w:t xml:space="preserve">à cette disposition </w:t>
      </w:r>
      <w:r w:rsidRPr="00D12D05">
        <w:t xml:space="preserve">dans la colonne (13) du tableau A du chapitre 3.2 pour les </w:t>
      </w:r>
      <w:r>
        <w:t>Nos</w:t>
      </w:r>
      <w:r w:rsidRPr="00D12D05">
        <w:t xml:space="preserve"> ONU 1745, 1746, 1873, 2015 (les deux rubriques) et 2495 :</w:t>
      </w:r>
    </w:p>
    <w:p w14:paraId="16EB76AD" w14:textId="77777777" w:rsidR="003F6309" w:rsidRPr="003F6309" w:rsidRDefault="003F6309" w:rsidP="003F6309">
      <w:pPr>
        <w:pStyle w:val="SingleTxtG"/>
      </w:pPr>
      <w:r w:rsidRPr="003F6309">
        <w:t>« </w:t>
      </w:r>
      <w:r w:rsidRPr="003F6309">
        <w:rPr>
          <w:b/>
          <w:bCs/>
        </w:rPr>
        <w:t>TE 16</w:t>
      </w:r>
      <w:r w:rsidRPr="003F6309">
        <w:t xml:space="preserve"> </w:t>
      </w:r>
      <w:r w:rsidRPr="003F6309">
        <w:rPr>
          <w:strike/>
        </w:rPr>
        <w:t>Aucune partie du wagon-citerne ne doit être en bois, à moins que celui-ci ne soit protégé par un enduit approprié</w:t>
      </w:r>
      <w:r w:rsidRPr="003F6309">
        <w:t xml:space="preserve">. </w:t>
      </w:r>
      <w:r w:rsidRPr="003F6309">
        <w:rPr>
          <w:u w:val="single"/>
        </w:rPr>
        <w:t>(supprimé)</w:t>
      </w:r>
      <w:r w:rsidRPr="003F6309">
        <w:t>. »</w:t>
      </w:r>
    </w:p>
    <w:p w14:paraId="6234939A" w14:textId="1EAC4F74" w:rsidR="003F6309" w:rsidRPr="00D12D05" w:rsidRDefault="003F6309" w:rsidP="003F6309">
      <w:pPr>
        <w:pStyle w:val="H1G"/>
      </w:pPr>
      <w:r w:rsidRPr="00D12D05">
        <w:tab/>
      </w:r>
      <w:r>
        <w:tab/>
      </w:r>
      <w:r w:rsidRPr="00D12D05">
        <w:t>Point 3</w:t>
      </w:r>
      <w:r>
        <w:br/>
      </w:r>
      <w:r w:rsidRPr="00D12D05">
        <w:tab/>
        <w:t>Rapport du Groupe de travail des normes</w:t>
      </w:r>
    </w:p>
    <w:p w14:paraId="160F6319" w14:textId="5CCDDDE3" w:rsidR="003F6309" w:rsidRPr="00D12D05" w:rsidRDefault="003F6309" w:rsidP="003F6309">
      <w:pPr>
        <w:pStyle w:val="SingleTxtG"/>
        <w:ind w:left="3119" w:hanging="1985"/>
        <w:jc w:val="left"/>
      </w:pPr>
      <w:r w:rsidRPr="00D12D05">
        <w:rPr>
          <w:i/>
          <w:iCs/>
        </w:rPr>
        <w:t>Document informel</w:t>
      </w:r>
      <w:r w:rsidR="00C30254">
        <w:rPr>
          <w:i/>
          <w:iCs/>
        </w:rPr>
        <w:t> </w:t>
      </w:r>
      <w:r w:rsidRPr="00D12D05">
        <w:rPr>
          <w:i/>
          <w:iCs/>
        </w:rPr>
        <w:t>:</w:t>
      </w:r>
      <w:r w:rsidRPr="00D12D05">
        <w:tab/>
        <w:t>INF.12 (Président du Groupe de travail des normes)</w:t>
      </w:r>
    </w:p>
    <w:p w14:paraId="67597BFD" w14:textId="77777777" w:rsidR="003F6309" w:rsidRPr="00D12D05" w:rsidRDefault="003F6309" w:rsidP="003F6309">
      <w:pPr>
        <w:pStyle w:val="SingleTxtG"/>
      </w:pPr>
      <w:r w:rsidRPr="00D12D05">
        <w:t>5.</w:t>
      </w:r>
      <w:r w:rsidRPr="00D12D05">
        <w:tab/>
        <w:t xml:space="preserve">En ce qui concerne la nouvelle rubrique EN 14129:[2023], il a été décidé que la référence au 6.8.2.2.1 dans la colonne 3 du tableau du 6.8.2.6.1 pouvait être supprimée, ce qui maintiendrait la cohérence avec la rubrique </w:t>
      </w:r>
      <w:r>
        <w:t xml:space="preserve">consacrée à </w:t>
      </w:r>
      <w:r w:rsidRPr="00D12D05">
        <w:t>la norme de 2014.</w:t>
      </w:r>
    </w:p>
    <w:p w14:paraId="6EF684CE" w14:textId="5BED816E" w:rsidR="003F6309" w:rsidRPr="00D12D05" w:rsidRDefault="003F6309" w:rsidP="003F6309">
      <w:pPr>
        <w:pStyle w:val="H23G"/>
      </w:pPr>
      <w:r w:rsidRPr="00D12D05">
        <w:tab/>
      </w:r>
      <w:r w:rsidRPr="00D12D05">
        <w:tab/>
        <w:t xml:space="preserve">Proposition 3 </w:t>
      </w:r>
      <w:r w:rsidR="00C30254">
        <w:t>−</w:t>
      </w:r>
      <w:r w:rsidRPr="00D12D05">
        <w:t xml:space="preserve"> Dans le tableau du 6.8.2.6.1, modifier la nouvelle rubrique </w:t>
      </w:r>
      <w:r w:rsidR="00C30254">
        <w:br/>
      </w:r>
      <w:r w:rsidRPr="00D12D05">
        <w:t>pour la norme EN 14129:[2023] comme suit :</w:t>
      </w:r>
    </w:p>
    <w:tbl>
      <w:tblPr>
        <w:tblStyle w:val="Grilledutableau"/>
        <w:tblW w:w="8520" w:type="dxa"/>
        <w:tblInd w:w="1134" w:type="dxa"/>
        <w:tblLayout w:type="fixed"/>
        <w:tblLook w:val="04A0" w:firstRow="1" w:lastRow="0" w:firstColumn="1" w:lastColumn="0" w:noHBand="0" w:noVBand="1"/>
      </w:tblPr>
      <w:tblGrid>
        <w:gridCol w:w="1697"/>
        <w:gridCol w:w="3543"/>
        <w:gridCol w:w="1418"/>
        <w:gridCol w:w="1832"/>
        <w:gridCol w:w="30"/>
      </w:tblGrid>
      <w:tr w:rsidR="003F6309" w:rsidRPr="003F6309" w14:paraId="083D12C9" w14:textId="77777777" w:rsidTr="00C30254">
        <w:tc>
          <w:tcPr>
            <w:tcW w:w="1697" w:type="dxa"/>
            <w:tcBorders>
              <w:top w:val="single" w:sz="4" w:space="0" w:color="auto"/>
              <w:left w:val="single" w:sz="4" w:space="0" w:color="auto"/>
              <w:bottom w:val="single" w:sz="4" w:space="0" w:color="auto"/>
              <w:right w:val="single" w:sz="4" w:space="0" w:color="auto"/>
            </w:tcBorders>
            <w:hideMark/>
          </w:tcPr>
          <w:p w14:paraId="0251C242" w14:textId="3375375A" w:rsidR="003F6309" w:rsidRPr="003F6309" w:rsidRDefault="003F6309" w:rsidP="003F6309">
            <w:pPr>
              <w:spacing w:before="40" w:after="40" w:line="220" w:lineRule="exact"/>
              <w:ind w:left="278"/>
              <w:jc w:val="center"/>
              <w:rPr>
                <w:sz w:val="18"/>
                <w:szCs w:val="18"/>
              </w:rPr>
            </w:pPr>
            <w:r w:rsidRPr="003F6309">
              <w:rPr>
                <w:sz w:val="18"/>
                <w:szCs w:val="18"/>
              </w:rPr>
              <w:t>EN 14129:</w:t>
            </w:r>
            <w:r w:rsidR="00C30254">
              <w:rPr>
                <w:sz w:val="18"/>
                <w:szCs w:val="18"/>
              </w:rPr>
              <w:br/>
            </w:r>
            <w:r w:rsidRPr="003F6309">
              <w:rPr>
                <w:sz w:val="18"/>
                <w:szCs w:val="18"/>
              </w:rPr>
              <w:t>[2023]</w:t>
            </w:r>
          </w:p>
        </w:tc>
        <w:tc>
          <w:tcPr>
            <w:tcW w:w="3543" w:type="dxa"/>
            <w:tcBorders>
              <w:top w:val="single" w:sz="4" w:space="0" w:color="auto"/>
              <w:left w:val="single" w:sz="4" w:space="0" w:color="auto"/>
              <w:bottom w:val="single" w:sz="4" w:space="0" w:color="auto"/>
              <w:right w:val="single" w:sz="4" w:space="0" w:color="auto"/>
            </w:tcBorders>
          </w:tcPr>
          <w:p w14:paraId="39BDDA17" w14:textId="548198CE" w:rsidR="003F6309" w:rsidRPr="003F6309" w:rsidRDefault="003F6309" w:rsidP="003F6309">
            <w:pPr>
              <w:spacing w:before="40" w:after="40" w:line="220" w:lineRule="exact"/>
              <w:ind w:left="287"/>
              <w:rPr>
                <w:bCs/>
                <w:sz w:val="18"/>
                <w:szCs w:val="18"/>
              </w:rPr>
            </w:pPr>
            <w:r w:rsidRPr="003F6309">
              <w:rPr>
                <w:sz w:val="18"/>
                <w:szCs w:val="18"/>
              </w:rPr>
              <w:t xml:space="preserve">Équipements pour GPL et leurs accessoires </w:t>
            </w:r>
            <w:r w:rsidR="00C30254">
              <w:rPr>
                <w:sz w:val="18"/>
                <w:szCs w:val="18"/>
              </w:rPr>
              <w:t>−</w:t>
            </w:r>
            <w:r w:rsidRPr="003F6309">
              <w:rPr>
                <w:sz w:val="18"/>
                <w:szCs w:val="18"/>
              </w:rPr>
              <w:t xml:space="preserve"> Soupapes de sécurité pour réservoirs de GPL</w:t>
            </w:r>
          </w:p>
        </w:tc>
        <w:tc>
          <w:tcPr>
            <w:tcW w:w="1418" w:type="dxa"/>
            <w:tcBorders>
              <w:top w:val="single" w:sz="4" w:space="0" w:color="auto"/>
              <w:left w:val="single" w:sz="4" w:space="0" w:color="auto"/>
              <w:bottom w:val="single" w:sz="4" w:space="0" w:color="auto"/>
              <w:right w:val="single" w:sz="4" w:space="0" w:color="auto"/>
            </w:tcBorders>
            <w:hideMark/>
          </w:tcPr>
          <w:p w14:paraId="43647E45" w14:textId="77777777" w:rsidR="003F6309" w:rsidRPr="003F6309" w:rsidRDefault="003F6309" w:rsidP="003F6309">
            <w:pPr>
              <w:spacing w:before="40" w:after="40" w:line="220" w:lineRule="exact"/>
              <w:ind w:left="281"/>
              <w:rPr>
                <w:sz w:val="18"/>
                <w:szCs w:val="18"/>
              </w:rPr>
            </w:pPr>
            <w:r w:rsidRPr="003F6309">
              <w:rPr>
                <w:sz w:val="18"/>
                <w:szCs w:val="18"/>
              </w:rPr>
              <w:t xml:space="preserve">6.8.2.1.1 </w:t>
            </w:r>
            <w:r w:rsidRPr="003F6309">
              <w:rPr>
                <w:strike/>
                <w:sz w:val="18"/>
                <w:szCs w:val="18"/>
              </w:rPr>
              <w:t>6.8.2.2.1</w:t>
            </w:r>
            <w:r w:rsidRPr="003F6309">
              <w:rPr>
                <w:sz w:val="18"/>
                <w:szCs w:val="18"/>
              </w:rPr>
              <w:t xml:space="preserve"> et 6.8.3.2.9</w:t>
            </w:r>
          </w:p>
        </w:tc>
        <w:tc>
          <w:tcPr>
            <w:tcW w:w="1832" w:type="dxa"/>
            <w:tcBorders>
              <w:top w:val="single" w:sz="4" w:space="0" w:color="auto"/>
              <w:left w:val="single" w:sz="4" w:space="0" w:color="auto"/>
              <w:bottom w:val="single" w:sz="4" w:space="0" w:color="auto"/>
              <w:right w:val="single" w:sz="4" w:space="0" w:color="auto"/>
            </w:tcBorders>
            <w:hideMark/>
          </w:tcPr>
          <w:p w14:paraId="014CF5B6" w14:textId="2812D799" w:rsidR="003F6309" w:rsidRPr="003F6309" w:rsidRDefault="003F6309" w:rsidP="003F6309">
            <w:pPr>
              <w:spacing w:before="40" w:after="40" w:line="220" w:lineRule="exact"/>
              <w:ind w:left="138"/>
              <w:jc w:val="center"/>
              <w:rPr>
                <w:sz w:val="18"/>
                <w:szCs w:val="18"/>
              </w:rPr>
            </w:pPr>
            <w:r w:rsidRPr="003F6309">
              <w:rPr>
                <w:sz w:val="18"/>
                <w:szCs w:val="18"/>
              </w:rPr>
              <w:t xml:space="preserve">Jusqu’à nouvel </w:t>
            </w:r>
            <w:r w:rsidR="00C30254">
              <w:rPr>
                <w:sz w:val="18"/>
                <w:szCs w:val="18"/>
              </w:rPr>
              <w:br/>
            </w:r>
            <w:r w:rsidRPr="003F6309">
              <w:rPr>
                <w:sz w:val="18"/>
                <w:szCs w:val="18"/>
              </w:rPr>
              <w:t>ordre</w:t>
            </w:r>
          </w:p>
        </w:tc>
        <w:tc>
          <w:tcPr>
            <w:tcW w:w="30" w:type="dxa"/>
            <w:tcBorders>
              <w:top w:val="single" w:sz="4" w:space="0" w:color="auto"/>
              <w:left w:val="single" w:sz="4" w:space="0" w:color="auto"/>
              <w:bottom w:val="single" w:sz="4" w:space="0" w:color="auto"/>
              <w:right w:val="single" w:sz="4" w:space="0" w:color="auto"/>
            </w:tcBorders>
          </w:tcPr>
          <w:p w14:paraId="007AF607" w14:textId="77777777" w:rsidR="003F6309" w:rsidRPr="003F6309" w:rsidRDefault="003F6309" w:rsidP="003F6309">
            <w:pPr>
              <w:spacing w:before="40" w:after="40" w:line="220" w:lineRule="exact"/>
              <w:ind w:left="1134"/>
              <w:rPr>
                <w:sz w:val="18"/>
                <w:szCs w:val="18"/>
                <w:lang w:val="en-GB"/>
              </w:rPr>
            </w:pPr>
          </w:p>
        </w:tc>
      </w:tr>
    </w:tbl>
    <w:p w14:paraId="2A065663" w14:textId="74FA0171" w:rsidR="003F6309" w:rsidRPr="00D12D05" w:rsidRDefault="003F6309" w:rsidP="003F6309">
      <w:pPr>
        <w:pStyle w:val="H1G"/>
      </w:pPr>
      <w:r w:rsidRPr="00D12D05">
        <w:tab/>
      </w:r>
      <w:r>
        <w:tab/>
      </w:r>
      <w:r w:rsidRPr="00D12D05">
        <w:t>Point 4</w:t>
      </w:r>
      <w:r>
        <w:br/>
      </w:r>
      <w:r w:rsidRPr="00D12D05">
        <w:t>Amendement au 6.8.2.1.23 sur le soudage</w:t>
      </w:r>
    </w:p>
    <w:p w14:paraId="502CE95B" w14:textId="3D8065C8" w:rsidR="003F6309" w:rsidRPr="00D12D05" w:rsidRDefault="003F6309" w:rsidP="003F6309">
      <w:pPr>
        <w:pStyle w:val="SingleTxtG"/>
        <w:ind w:left="3119" w:hanging="1985"/>
        <w:jc w:val="left"/>
      </w:pPr>
      <w:r w:rsidRPr="003F6309">
        <w:rPr>
          <w:i/>
          <w:iCs/>
        </w:rPr>
        <w:t>Document informel</w:t>
      </w:r>
      <w:r>
        <w:t> </w:t>
      </w:r>
      <w:r w:rsidRPr="00C30254">
        <w:rPr>
          <w:i/>
          <w:iCs/>
        </w:rPr>
        <w:t>:</w:t>
      </w:r>
      <w:r w:rsidRPr="00D12D05">
        <w:tab/>
        <w:t>INF.26 (France)</w:t>
      </w:r>
    </w:p>
    <w:p w14:paraId="66011D2D" w14:textId="77777777" w:rsidR="003F6309" w:rsidRPr="00D12D05" w:rsidRDefault="003F6309" w:rsidP="003F6309">
      <w:pPr>
        <w:pStyle w:val="SingleTxtG"/>
      </w:pPr>
      <w:r w:rsidRPr="00D12D05">
        <w:t>6.</w:t>
      </w:r>
      <w:r w:rsidRPr="00D12D05">
        <w:tab/>
        <w:t>À la suite de l</w:t>
      </w:r>
      <w:r>
        <w:t>’</w:t>
      </w:r>
      <w:r w:rsidRPr="00D12D05">
        <w:t>examen, par le groupe de travail 3 du CEN/TC 296, de la modification de la norme EN 14025, il a été jugé nécessaire d</w:t>
      </w:r>
      <w:r>
        <w:t>’</w:t>
      </w:r>
      <w:r w:rsidRPr="00D12D05">
        <w:t xml:space="preserve">ajouter un nota au 6.8.2.1.23. </w:t>
      </w:r>
      <w:r>
        <w:t>Les</w:t>
      </w:r>
      <w:r w:rsidRPr="00D12D05">
        <w:t xml:space="preserve"> modes opératoires</w:t>
      </w:r>
      <w:r>
        <w:t xml:space="preserve"> de soudage prévoient l’utilisation de deux systèmes distincts</w:t>
      </w:r>
      <w:r w:rsidRPr="00D12D05">
        <w:t>, dont les résultats peuvent être légèrement différents. L</w:t>
      </w:r>
      <w:r>
        <w:t>’</w:t>
      </w:r>
      <w:r w:rsidRPr="00D12D05">
        <w:t xml:space="preserve">ajout du nota permettra de veiller à </w:t>
      </w:r>
      <w:r>
        <w:t xml:space="preserve">la bonne application </w:t>
      </w:r>
      <w:r w:rsidRPr="00D12D05">
        <w:t>des épreuves de résilience. Le libellé proposé a été accepté avec une légère modification.</w:t>
      </w:r>
    </w:p>
    <w:p w14:paraId="53C92E60" w14:textId="0EF35B53" w:rsidR="003F6309" w:rsidRPr="00D12D05" w:rsidRDefault="003F6309" w:rsidP="003F6309">
      <w:pPr>
        <w:pStyle w:val="H23G"/>
      </w:pPr>
      <w:r w:rsidRPr="00D12D05">
        <w:tab/>
      </w:r>
      <w:r w:rsidRPr="00D12D05">
        <w:tab/>
        <w:t xml:space="preserve">Proposition 4 </w:t>
      </w:r>
      <w:r w:rsidR="00C30254">
        <w:t>−</w:t>
      </w:r>
      <w:r w:rsidRPr="00D12D05">
        <w:t xml:space="preserve"> Ajouter un nota après le premier paragraphe du 6.8.2.1.23, libellé comme suit</w:t>
      </w:r>
      <w:r w:rsidR="00C30254">
        <w:t> </w:t>
      </w:r>
      <w:r w:rsidRPr="00D12D05">
        <w:t>:</w:t>
      </w:r>
    </w:p>
    <w:p w14:paraId="6804E959" w14:textId="5834FF3C" w:rsidR="003F6309" w:rsidRPr="003F6309" w:rsidRDefault="003F6309" w:rsidP="003F6309">
      <w:pPr>
        <w:pStyle w:val="SingleTxtG"/>
        <w:rPr>
          <w:i/>
          <w:iCs/>
        </w:rPr>
      </w:pPr>
      <w:r w:rsidRPr="003F6309">
        <w:rPr>
          <w:i/>
          <w:iCs/>
        </w:rPr>
        <w:t>«</w:t>
      </w:r>
      <w:r w:rsidR="00C30254">
        <w:rPr>
          <w:i/>
          <w:iCs/>
        </w:rPr>
        <w:t> </w:t>
      </w:r>
      <w:r w:rsidRPr="003F6309">
        <w:rPr>
          <w:i/>
          <w:iCs/>
        </w:rPr>
        <w:t>NOTA</w:t>
      </w:r>
      <w:r w:rsidR="00C30254">
        <w:rPr>
          <w:i/>
          <w:iCs/>
        </w:rPr>
        <w:t> </w:t>
      </w:r>
      <w:r w:rsidRPr="003F6309">
        <w:rPr>
          <w:i/>
          <w:iCs/>
        </w:rPr>
        <w:t>: Lorsque le 6.8.5 est applicable, les épreuves de résilience effectuées pour les qualifications des modes opératoires de soudage doivent respecter les prescriptions du 6.8.5.3. »</w:t>
      </w:r>
    </w:p>
    <w:p w14:paraId="1F78D852" w14:textId="04307C70" w:rsidR="003F6309" w:rsidRPr="00D12D05" w:rsidRDefault="003F6309" w:rsidP="003F6309">
      <w:pPr>
        <w:pStyle w:val="H1G"/>
      </w:pPr>
      <w:r w:rsidRPr="00D12D05">
        <w:tab/>
      </w:r>
      <w:r>
        <w:tab/>
      </w:r>
      <w:r w:rsidRPr="00D12D05">
        <w:t>Point 5</w:t>
      </w:r>
      <w:r>
        <w:br/>
      </w:r>
      <w:r w:rsidRPr="00D12D05">
        <w:t>Prescriptions du 6.8.2.2.11 du RID et de l</w:t>
      </w:r>
      <w:r>
        <w:t>’</w:t>
      </w:r>
      <w:r w:rsidRPr="00D12D05">
        <w:t xml:space="preserve">ADR relatives aux jauges </w:t>
      </w:r>
      <w:r w:rsidR="00C30254">
        <w:br/>
      </w:r>
      <w:r w:rsidRPr="00D12D05">
        <w:t>de niveau</w:t>
      </w:r>
    </w:p>
    <w:p w14:paraId="7A0F8539" w14:textId="6439A1B3" w:rsidR="003F6309" w:rsidRPr="00D12D05" w:rsidRDefault="003F6309" w:rsidP="003F6309">
      <w:pPr>
        <w:pStyle w:val="SingleTxtG"/>
        <w:ind w:left="3119" w:hanging="1985"/>
        <w:jc w:val="left"/>
      </w:pPr>
      <w:r w:rsidRPr="00D12D05">
        <w:rPr>
          <w:i/>
          <w:iCs/>
        </w:rPr>
        <w:t>Document informel</w:t>
      </w:r>
      <w:r>
        <w:rPr>
          <w:i/>
          <w:iCs/>
        </w:rPr>
        <w:t> </w:t>
      </w:r>
      <w:r w:rsidRPr="00D12D05">
        <w:rPr>
          <w:i/>
          <w:iCs/>
        </w:rPr>
        <w:t>:</w:t>
      </w:r>
      <w:r w:rsidRPr="00D12D05">
        <w:tab/>
        <w:t>INF.38 (Royaume-Uni)</w:t>
      </w:r>
    </w:p>
    <w:p w14:paraId="4076C7D4" w14:textId="77777777" w:rsidR="003F6309" w:rsidRPr="00D12D05" w:rsidRDefault="003F6309" w:rsidP="003F6309">
      <w:pPr>
        <w:pStyle w:val="SingleTxtG"/>
      </w:pPr>
      <w:r w:rsidRPr="00D12D05">
        <w:t>7.</w:t>
      </w:r>
      <w:r w:rsidRPr="00D12D05">
        <w:tab/>
        <w:t xml:space="preserve">La proposition relative au 6.8.2.2.11, qui se fonde sur les débats des sessions précédentes du Groupe de travail des citernes, a été présentée dans un document informel </w:t>
      </w:r>
      <w:r w:rsidRPr="00D12D05">
        <w:lastRenderedPageBreak/>
        <w:t xml:space="preserve">remis tardivement. Malgré </w:t>
      </w:r>
      <w:r>
        <w:t>le consensus</w:t>
      </w:r>
      <w:r w:rsidRPr="00D12D05">
        <w:t xml:space="preserve"> existant sur le fait que les parties transparentes à travers lesquelles on peut voir la matière transportée dans le réservoir ne d</w:t>
      </w:r>
      <w:r>
        <w:t>oiven</w:t>
      </w:r>
      <w:r w:rsidRPr="00D12D05">
        <w:t>t pas être autorisées au titre du chapitre 6.8, un long débat a eu lieu dans le souci d</w:t>
      </w:r>
      <w:r>
        <w:t>’</w:t>
      </w:r>
      <w:r w:rsidRPr="00D12D05">
        <w:t xml:space="preserve">éviter toute interprétation erronée. Il a été décidé de ne pas préciser </w:t>
      </w:r>
      <w:r>
        <w:t>dans quels cas les</w:t>
      </w:r>
      <w:r w:rsidRPr="00D12D05">
        <w:t xml:space="preserve"> parties transparentes étaient autorisées (comme les </w:t>
      </w:r>
      <w:r>
        <w:t>éléments</w:t>
      </w:r>
      <w:r w:rsidRPr="00D12D05">
        <w:t xml:space="preserve"> transparents de protection des cadrans des jauges, les parties transparentes des couvercles de trou d</w:t>
      </w:r>
      <w:r>
        <w:t>’</w:t>
      </w:r>
      <w:r w:rsidRPr="00D12D05">
        <w:t>homme des réservoirs pour les produits pétroliers liquides ou de l</w:t>
      </w:r>
      <w:r>
        <w:t>’</w:t>
      </w:r>
      <w:r w:rsidRPr="00D12D05">
        <w:t>équipement de service en aval de la première fermeture).</w:t>
      </w:r>
    </w:p>
    <w:p w14:paraId="27DCEE0D" w14:textId="77777777" w:rsidR="003F6309" w:rsidRPr="00D12D05" w:rsidRDefault="003F6309" w:rsidP="003F6309">
      <w:pPr>
        <w:pStyle w:val="SingleTxtG"/>
      </w:pPr>
      <w:r w:rsidRPr="00D12D05">
        <w:t>8.</w:t>
      </w:r>
      <w:r w:rsidRPr="00D12D05">
        <w:tab/>
      </w:r>
      <w:r>
        <w:t>Il a été décidé de soutenir</w:t>
      </w:r>
      <w:r w:rsidRPr="00D12D05">
        <w:t xml:space="preserve"> l</w:t>
      </w:r>
      <w:r>
        <w:t>’</w:t>
      </w:r>
      <w:r w:rsidRPr="00D12D05">
        <w:t>approbation de l</w:t>
      </w:r>
      <w:r>
        <w:t>’</w:t>
      </w:r>
      <w:r w:rsidRPr="00D12D05">
        <w:t xml:space="preserve">amendement, mais de le laisser </w:t>
      </w:r>
      <w:proofErr w:type="spellStart"/>
      <w:r w:rsidRPr="00D12D05">
        <w:t>entre</w:t>
      </w:r>
      <w:proofErr w:type="spellEnd"/>
      <w:r w:rsidRPr="00D12D05">
        <w:t xml:space="preserve"> crochets en vue son approbation finale à la prochaine session de la Réunion commune.</w:t>
      </w:r>
    </w:p>
    <w:p w14:paraId="61A540FD" w14:textId="6FA61B3A" w:rsidR="003F6309" w:rsidRPr="00D12D05" w:rsidRDefault="003F6309" w:rsidP="003F6309">
      <w:pPr>
        <w:pStyle w:val="H23G"/>
      </w:pPr>
      <w:r w:rsidRPr="00D12D05">
        <w:tab/>
      </w:r>
      <w:r w:rsidRPr="00D12D05">
        <w:tab/>
        <w:t xml:space="preserve">Proposition 5 </w:t>
      </w:r>
      <w:r w:rsidR="00C30254">
        <w:t>−</w:t>
      </w:r>
      <w:r w:rsidRPr="00D12D05">
        <w:t xml:space="preserve"> Remplacer le 6.8.2.2.11 actuel par le libellé suivant : </w:t>
      </w:r>
    </w:p>
    <w:p w14:paraId="1BBB02B4" w14:textId="06754E01" w:rsidR="003F6309" w:rsidRPr="003F6309" w:rsidRDefault="003F6309" w:rsidP="003F6309">
      <w:pPr>
        <w:pStyle w:val="SingleTxtG"/>
        <w:ind w:left="2268" w:hanging="1134"/>
      </w:pPr>
      <w:r w:rsidRPr="003F6309">
        <w:rPr>
          <w:b/>
          <w:bCs/>
        </w:rPr>
        <w:t>6.8.2.2.11</w:t>
      </w:r>
      <w:r>
        <w:tab/>
      </w:r>
      <w:r w:rsidRPr="003F6309">
        <w:rPr>
          <w:i/>
          <w:iCs/>
        </w:rPr>
        <w:t>[« Les jauges de niveau ne doivent ni faire partie des, ni être montées sur les réservoirs si elles comportent un matériau transparent pouvant, à tout moment, entrer en contact direct avec la matière transportée dans le réservoir. »]</w:t>
      </w:r>
    </w:p>
    <w:p w14:paraId="7063703B" w14:textId="1CD475DF" w:rsidR="003F6309" w:rsidRPr="00D12D05" w:rsidRDefault="003F6309" w:rsidP="003F6309">
      <w:pPr>
        <w:pStyle w:val="H23G"/>
      </w:pPr>
      <w:r w:rsidRPr="00D12D05">
        <w:tab/>
      </w:r>
      <w:r w:rsidRPr="00D12D05">
        <w:tab/>
        <w:t xml:space="preserve">Proposition 6 </w:t>
      </w:r>
      <w:r w:rsidR="00C30254">
        <w:t>−</w:t>
      </w:r>
      <w:r w:rsidRPr="00D12D05">
        <w:t xml:space="preserve"> </w:t>
      </w:r>
      <w:r>
        <w:t>A</w:t>
      </w:r>
      <w:r w:rsidRPr="00D12D05">
        <w:t>jouter les nouvelles mesures transitoires suivantes</w:t>
      </w:r>
      <w:r w:rsidR="00C30254">
        <w:t> </w:t>
      </w:r>
      <w:r w:rsidRPr="00D12D05">
        <w:t>:</w:t>
      </w:r>
    </w:p>
    <w:p w14:paraId="31D57428" w14:textId="1DBABFEF" w:rsidR="003F6309" w:rsidRPr="003F6309" w:rsidRDefault="003F6309" w:rsidP="003F6309">
      <w:pPr>
        <w:pStyle w:val="SingleTxtG"/>
        <w:rPr>
          <w:i/>
          <w:iCs/>
        </w:rPr>
      </w:pPr>
      <w:r w:rsidRPr="003F6309">
        <w:rPr>
          <w:i/>
          <w:iCs/>
        </w:rPr>
        <w:t>(RID</w:t>
      </w:r>
      <w:r w:rsidR="00C30254">
        <w:rPr>
          <w:i/>
          <w:iCs/>
        </w:rPr>
        <w:t> </w:t>
      </w:r>
      <w:r w:rsidRPr="003F6309">
        <w:rPr>
          <w:i/>
          <w:iCs/>
        </w:rPr>
        <w:t>:)</w:t>
      </w:r>
    </w:p>
    <w:p w14:paraId="64D5EB96" w14:textId="697729AC" w:rsidR="003F6309" w:rsidRPr="003F6309" w:rsidRDefault="003F6309" w:rsidP="003F6309">
      <w:pPr>
        <w:pStyle w:val="SingleTxtG"/>
        <w:ind w:left="2268" w:hanging="1134"/>
        <w:rPr>
          <w:i/>
          <w:iCs/>
        </w:rPr>
      </w:pPr>
      <w:r w:rsidRPr="003F6309">
        <w:rPr>
          <w:i/>
          <w:iCs/>
        </w:rPr>
        <w:t>[«</w:t>
      </w:r>
      <w:r w:rsidR="00C30254">
        <w:rPr>
          <w:i/>
          <w:iCs/>
        </w:rPr>
        <w:t> </w:t>
      </w:r>
      <w:r w:rsidRPr="003F6309">
        <w:rPr>
          <w:i/>
          <w:iCs/>
        </w:rPr>
        <w:t>1.6.3.xx</w:t>
      </w:r>
      <w:r w:rsidRPr="003F6309">
        <w:tab/>
      </w:r>
      <w:r w:rsidRPr="003F6309">
        <w:rPr>
          <w:i/>
          <w:iCs/>
        </w:rPr>
        <w:t>Les wagons-citernes construits avant le 1</w:t>
      </w:r>
      <w:r w:rsidRPr="003F6309">
        <w:rPr>
          <w:i/>
          <w:iCs/>
          <w:vertAlign w:val="superscript"/>
        </w:rPr>
        <w:t>er</w:t>
      </w:r>
      <w:r w:rsidRPr="003F6309">
        <w:rPr>
          <w:i/>
          <w:iCs/>
        </w:rPr>
        <w:t xml:space="preserve"> juillet 2025 conformément aux prescriptions applicables jusqu’au 31 décembre 2024, mais qui ne sont pas conformes aux prescriptions du 6.8.2.2.11 applicables à partir du 1</w:t>
      </w:r>
      <w:r w:rsidRPr="003F6309">
        <w:rPr>
          <w:i/>
          <w:iCs/>
          <w:vertAlign w:val="superscript"/>
        </w:rPr>
        <w:t>er</w:t>
      </w:r>
      <w:r w:rsidRPr="003F6309">
        <w:rPr>
          <w:i/>
          <w:iCs/>
        </w:rPr>
        <w:t xml:space="preserve"> janvier 2025, peuvent encore être utilisés. »]</w:t>
      </w:r>
      <w:bookmarkStart w:id="1" w:name="_Hlk129774292"/>
      <w:bookmarkEnd w:id="1"/>
    </w:p>
    <w:p w14:paraId="7DBBB726" w14:textId="1B86A8D8" w:rsidR="003F6309" w:rsidRPr="003F6309" w:rsidRDefault="003F6309" w:rsidP="003F6309">
      <w:pPr>
        <w:pStyle w:val="SingleTxtG"/>
        <w:rPr>
          <w:i/>
          <w:iCs/>
        </w:rPr>
      </w:pPr>
      <w:r w:rsidRPr="003F6309">
        <w:rPr>
          <w:i/>
          <w:iCs/>
        </w:rPr>
        <w:t>(ADR</w:t>
      </w:r>
      <w:r w:rsidR="00C30254">
        <w:rPr>
          <w:i/>
          <w:iCs/>
        </w:rPr>
        <w:t> </w:t>
      </w:r>
      <w:r w:rsidRPr="003F6309">
        <w:rPr>
          <w:i/>
          <w:iCs/>
        </w:rPr>
        <w:t>:)</w:t>
      </w:r>
    </w:p>
    <w:p w14:paraId="256E2EF5" w14:textId="092E9238" w:rsidR="003F6309" w:rsidRPr="003F6309" w:rsidRDefault="003F6309" w:rsidP="003F6309">
      <w:pPr>
        <w:pStyle w:val="SingleTxtG"/>
        <w:ind w:left="2268" w:hanging="1134"/>
        <w:rPr>
          <w:i/>
          <w:iCs/>
        </w:rPr>
      </w:pPr>
      <w:r w:rsidRPr="003F6309">
        <w:rPr>
          <w:i/>
          <w:iCs/>
        </w:rPr>
        <w:t>[«</w:t>
      </w:r>
      <w:r w:rsidR="00C30254">
        <w:rPr>
          <w:i/>
          <w:iCs/>
        </w:rPr>
        <w:t> </w:t>
      </w:r>
      <w:r w:rsidRPr="003F6309">
        <w:rPr>
          <w:i/>
          <w:iCs/>
        </w:rPr>
        <w:t>1.6.3.xx</w:t>
      </w:r>
      <w:r w:rsidRPr="003F6309">
        <w:tab/>
      </w:r>
      <w:r w:rsidRPr="003F6309">
        <w:rPr>
          <w:i/>
          <w:iCs/>
        </w:rPr>
        <w:t>Les citernes fixes (véhicules-citernes) et citernes démontables construites avant le 1</w:t>
      </w:r>
      <w:r w:rsidRPr="003F6309">
        <w:rPr>
          <w:i/>
          <w:iCs/>
          <w:vertAlign w:val="superscript"/>
        </w:rPr>
        <w:t>er</w:t>
      </w:r>
      <w:r w:rsidRPr="003F6309">
        <w:rPr>
          <w:i/>
          <w:iCs/>
        </w:rPr>
        <w:t> juillet 2025 conformément aux prescriptions applicables jusqu’au 31 décembre 2024, mais qui ne sont pas conformes aux prescriptions du 6.8.2.2.11 applicables à partir du 1</w:t>
      </w:r>
      <w:r w:rsidRPr="003F6309">
        <w:rPr>
          <w:i/>
          <w:iCs/>
          <w:vertAlign w:val="superscript"/>
        </w:rPr>
        <w:t>er</w:t>
      </w:r>
      <w:r w:rsidRPr="003F6309">
        <w:rPr>
          <w:i/>
          <w:iCs/>
        </w:rPr>
        <w:t> janvier 2025, peuvent encore être utilisées. »]</w:t>
      </w:r>
    </w:p>
    <w:p w14:paraId="0F0C341D" w14:textId="77777777" w:rsidR="003F6309" w:rsidRPr="003F6309" w:rsidRDefault="003F6309" w:rsidP="003F6309">
      <w:pPr>
        <w:pStyle w:val="SingleTxtG"/>
        <w:rPr>
          <w:i/>
          <w:iCs/>
        </w:rPr>
      </w:pPr>
      <w:r w:rsidRPr="003F6309">
        <w:rPr>
          <w:i/>
          <w:iCs/>
        </w:rPr>
        <w:t>(RID et ADR :)</w:t>
      </w:r>
    </w:p>
    <w:p w14:paraId="6237FE78" w14:textId="1A7A515E" w:rsidR="003F6309" w:rsidRPr="003F6309" w:rsidRDefault="003F6309" w:rsidP="003F6309">
      <w:pPr>
        <w:pStyle w:val="SingleTxtG"/>
        <w:ind w:left="2268" w:hanging="1134"/>
      </w:pPr>
      <w:r w:rsidRPr="003F6309">
        <w:rPr>
          <w:i/>
          <w:iCs/>
        </w:rPr>
        <w:t>«</w:t>
      </w:r>
      <w:r w:rsidR="00C30254">
        <w:rPr>
          <w:i/>
          <w:iCs/>
        </w:rPr>
        <w:t> </w:t>
      </w:r>
      <w:r w:rsidRPr="003F6309">
        <w:rPr>
          <w:i/>
          <w:iCs/>
        </w:rPr>
        <w:t>[1.6.4.xx</w:t>
      </w:r>
      <w:r w:rsidRPr="003F6309">
        <w:tab/>
      </w:r>
      <w:r w:rsidRPr="003F6309">
        <w:rPr>
          <w:i/>
          <w:iCs/>
        </w:rPr>
        <w:t>Les conteneurs-citernes construits avant le 1</w:t>
      </w:r>
      <w:r w:rsidRPr="003F6309">
        <w:rPr>
          <w:i/>
          <w:iCs/>
          <w:vertAlign w:val="superscript"/>
        </w:rPr>
        <w:t>er</w:t>
      </w:r>
      <w:r w:rsidRPr="003F6309">
        <w:rPr>
          <w:i/>
          <w:iCs/>
        </w:rPr>
        <w:t> juillet 2025 conformément aux prescriptions applicables jusqu’au 31 décembre 2024, mais qui ne sont pas conformes aux prescriptions du 6.8.2.2.11 applicables à partir du 1</w:t>
      </w:r>
      <w:r w:rsidRPr="003F6309">
        <w:rPr>
          <w:i/>
          <w:iCs/>
          <w:vertAlign w:val="superscript"/>
        </w:rPr>
        <w:t>er</w:t>
      </w:r>
      <w:r w:rsidRPr="003F6309">
        <w:rPr>
          <w:i/>
          <w:iCs/>
        </w:rPr>
        <w:t> janvier 2025, peuvent encore être utilisés. »]</w:t>
      </w:r>
    </w:p>
    <w:p w14:paraId="192A3BCE" w14:textId="74D44690" w:rsidR="003F6309" w:rsidRPr="00D12D05" w:rsidRDefault="003F6309" w:rsidP="003F6309">
      <w:pPr>
        <w:pStyle w:val="HChG"/>
      </w:pPr>
      <w:r>
        <w:tab/>
      </w:r>
      <w:r w:rsidRPr="00D12D05">
        <w:t>II.</w:t>
      </w:r>
      <w:r w:rsidRPr="00D12D05">
        <w:tab/>
        <w:t>Section 2</w:t>
      </w:r>
      <w:r w:rsidR="00C30254">
        <w:t> </w:t>
      </w:r>
      <w:r w:rsidRPr="00D12D05">
        <w:t>: Résultats des débats sur d</w:t>
      </w:r>
      <w:r>
        <w:t>’</w:t>
      </w:r>
      <w:r w:rsidRPr="00D12D05">
        <w:t>autres documents</w:t>
      </w:r>
    </w:p>
    <w:p w14:paraId="04450B22" w14:textId="2D699A59" w:rsidR="003F6309" w:rsidRPr="00D12D05" w:rsidRDefault="003F6309" w:rsidP="003F6309">
      <w:pPr>
        <w:pStyle w:val="H1G"/>
      </w:pPr>
      <w:r w:rsidRPr="00D12D05">
        <w:tab/>
      </w:r>
      <w:r>
        <w:tab/>
      </w:r>
      <w:r w:rsidRPr="00D12D05">
        <w:t xml:space="preserve">Point 6 </w:t>
      </w:r>
      <w:r>
        <w:br/>
        <w:t>M</w:t>
      </w:r>
      <w:r w:rsidRPr="00D12D05">
        <w:t>odification des définitions des termes «</w:t>
      </w:r>
      <w:r w:rsidR="00C30254">
        <w:t> </w:t>
      </w:r>
      <w:r w:rsidRPr="00D12D05">
        <w:t>citerne en PRF</w:t>
      </w:r>
      <w:r w:rsidR="00C30254">
        <w:t> </w:t>
      </w:r>
      <w:r w:rsidRPr="00D12D05">
        <w:t>» et « réservoir en PRF</w:t>
      </w:r>
      <w:r w:rsidR="00C30254">
        <w:t> </w:t>
      </w:r>
      <w:r w:rsidRPr="00D12D05">
        <w:t>» au chapitre 6.9 du RID et de l</w:t>
      </w:r>
      <w:r>
        <w:t>’</w:t>
      </w:r>
      <w:r w:rsidRPr="00D12D05">
        <w:t>ADR 2023</w:t>
      </w:r>
    </w:p>
    <w:p w14:paraId="67C8BACA" w14:textId="3B9EFF21" w:rsidR="003F6309" w:rsidRPr="003F6309" w:rsidRDefault="003F6309" w:rsidP="003F6309">
      <w:pPr>
        <w:pStyle w:val="SingleTxtG"/>
        <w:ind w:left="3119" w:hanging="1985"/>
        <w:jc w:val="left"/>
      </w:pPr>
      <w:r w:rsidRPr="003F6309">
        <w:rPr>
          <w:i/>
          <w:iCs/>
        </w:rPr>
        <w:t>Document</w:t>
      </w:r>
      <w:r w:rsidR="00C30254">
        <w:rPr>
          <w:i/>
          <w:iCs/>
        </w:rPr>
        <w:t> </w:t>
      </w:r>
      <w:r w:rsidRPr="003F6309">
        <w:rPr>
          <w:i/>
          <w:iCs/>
        </w:rPr>
        <w:t>:</w:t>
      </w:r>
      <w:r w:rsidRPr="003F6309">
        <w:t xml:space="preserve"> </w:t>
      </w:r>
      <w:r w:rsidRPr="003F6309">
        <w:tab/>
        <w:t>ECE/TRANS/WP.15/AC.1/2023/16 (Pologne)</w:t>
      </w:r>
    </w:p>
    <w:p w14:paraId="1AB2D45E" w14:textId="05354B57" w:rsidR="003F6309" w:rsidRPr="003F6309" w:rsidRDefault="003F6309" w:rsidP="003F6309">
      <w:pPr>
        <w:pStyle w:val="SingleTxtG"/>
      </w:pPr>
      <w:r w:rsidRPr="003F6309">
        <w:t>9.</w:t>
      </w:r>
      <w:r w:rsidRPr="003F6309">
        <w:tab/>
        <w:t>Il a été rappelé que cette question pouvait être abordée au sein du Groupe de travail des citernes, mais que les amendements au chapitre 6.9 devaient être approuvés par le Sous</w:t>
      </w:r>
      <w:r w:rsidR="005F4C1B">
        <w:noBreakHyphen/>
      </w:r>
      <w:r w:rsidRPr="003F6309">
        <w:t>Comité d’experts du transport des marchandises dangereuses du Conseil économique et social (ECOSOC). De l’avis général, les définitions du réservoir et de la citerne en plastique renforcé de fibres (PRF) devaient être modifiées afin de les harmoniser avec les définitions existantes et communément admises des termes « citerne » et « réservoir » que l’on trouve dans le 1.2.1 et dans les chapitres 6.7 et 6.8.</w:t>
      </w:r>
    </w:p>
    <w:p w14:paraId="5989CCB9" w14:textId="77777777" w:rsidR="003F6309" w:rsidRPr="003F6309" w:rsidRDefault="003F6309" w:rsidP="003F6309">
      <w:pPr>
        <w:pStyle w:val="SingleTxtG"/>
      </w:pPr>
      <w:r w:rsidRPr="003F6309">
        <w:t>10.</w:t>
      </w:r>
      <w:r w:rsidRPr="003F6309">
        <w:tab/>
        <w:t xml:space="preserve">Un « réservoir » est la partie d’une citerne qui contient la matière transportée. Il est composé d’une partie cylindrique, de fonds (fermant le cylindre), d’ouvertures et de leurs moyens d’obturation (par exemple, des couvercles de trou d’homme). On a toutefois fait remarquer que la définition d’un réservoir en PRF pouvait avoir été élaborée dans l’intention </w:t>
      </w:r>
      <w:r w:rsidRPr="003F6309">
        <w:lastRenderedPageBreak/>
        <w:t>d’autoriser également les cylindres en PRF avec des extrémités métalliques mais qu’elle était formulée de telle manière que seules les ouvertures et les moyens d’obturation en PRF étaient autorisés.</w:t>
      </w:r>
    </w:p>
    <w:p w14:paraId="167FC65A" w14:textId="2C40C5B0" w:rsidR="003F6309" w:rsidRPr="003F6309" w:rsidRDefault="003F6309" w:rsidP="003F6309">
      <w:pPr>
        <w:pStyle w:val="SingleTxtG"/>
      </w:pPr>
      <w:r w:rsidRPr="003F6309">
        <w:t>11.</w:t>
      </w:r>
      <w:r w:rsidRPr="003F6309">
        <w:tab/>
        <w:t>La Pologne a proposé de soumettre les définitions suivantes au Sous-Comité</w:t>
      </w:r>
      <w:r w:rsidR="005F4C1B">
        <w:t> </w:t>
      </w:r>
      <w:r w:rsidRPr="003F6309">
        <w:t>:</w:t>
      </w:r>
    </w:p>
    <w:p w14:paraId="3EE928D0" w14:textId="52A84E71" w:rsidR="003F6309" w:rsidRPr="003F6309" w:rsidRDefault="003F6309" w:rsidP="003F6309">
      <w:pPr>
        <w:pStyle w:val="SingleTxtG"/>
        <w:rPr>
          <w:i/>
          <w:iCs/>
        </w:rPr>
      </w:pPr>
      <w:r w:rsidRPr="003F6309">
        <w:rPr>
          <w:i/>
          <w:iCs/>
        </w:rPr>
        <w:t>« Réservoir en PRF, la partie de la citerne mobile qui contient la matière à transporter, composée d’une partie cylindrique en PRF avec des fonds en métal ou en PRF, y compris les ouvertures et leurs moyens d’obturation, mais à l’exclusion de l’équipement de service et de l’équipement de structure extérieur</w:t>
      </w:r>
      <w:r w:rsidR="005F4C1B">
        <w:rPr>
          <w:i/>
          <w:iCs/>
        </w:rPr>
        <w:t> </w:t>
      </w:r>
      <w:r w:rsidRPr="003F6309">
        <w:rPr>
          <w:i/>
          <w:iCs/>
        </w:rPr>
        <w:t>; »</w:t>
      </w:r>
    </w:p>
    <w:p w14:paraId="11CF7D4C" w14:textId="61B80584" w:rsidR="003F6309" w:rsidRPr="003F6309" w:rsidRDefault="003F6309" w:rsidP="003F6309">
      <w:pPr>
        <w:pStyle w:val="SingleTxtG"/>
        <w:rPr>
          <w:i/>
          <w:iCs/>
        </w:rPr>
      </w:pPr>
      <w:r w:rsidRPr="003F6309">
        <w:rPr>
          <w:i/>
          <w:iCs/>
        </w:rPr>
        <w:t>«</w:t>
      </w:r>
      <w:r w:rsidR="005F4C1B">
        <w:rPr>
          <w:i/>
          <w:iCs/>
        </w:rPr>
        <w:t> </w:t>
      </w:r>
      <w:r w:rsidRPr="003F6309">
        <w:rPr>
          <w:i/>
          <w:iCs/>
        </w:rPr>
        <w:t>Citerne en PRF, une citerne mobile construite avec un réservoir en PRF muni de ses équipements de service et de structure</w:t>
      </w:r>
      <w:r w:rsidR="005F4C1B">
        <w:rPr>
          <w:i/>
          <w:iCs/>
        </w:rPr>
        <w:t> </w:t>
      </w:r>
      <w:r w:rsidRPr="003F6309">
        <w:rPr>
          <w:i/>
          <w:iCs/>
        </w:rPr>
        <w:t>; »</w:t>
      </w:r>
    </w:p>
    <w:p w14:paraId="600675E5" w14:textId="60DC9FC3" w:rsidR="003F6309" w:rsidRPr="00D12D05" w:rsidRDefault="003F6309" w:rsidP="003F6309">
      <w:pPr>
        <w:pStyle w:val="H1G"/>
      </w:pPr>
      <w:r w:rsidRPr="00D12D05">
        <w:tab/>
      </w:r>
      <w:r>
        <w:tab/>
      </w:r>
      <w:r w:rsidRPr="00D12D05">
        <w:t>Point 7</w:t>
      </w:r>
      <w:r>
        <w:br/>
      </w:r>
      <w:r w:rsidRPr="00D12D05">
        <w:t>Temps de retenue réel des citernes pour gaz liquéfiés réfrigérés</w:t>
      </w:r>
    </w:p>
    <w:p w14:paraId="72E5AF40" w14:textId="2345CBCD" w:rsidR="003F6309" w:rsidRPr="003F6309" w:rsidRDefault="003F6309" w:rsidP="003F6309">
      <w:pPr>
        <w:pStyle w:val="SingleTxtG"/>
        <w:ind w:left="3119" w:hanging="1985"/>
        <w:jc w:val="left"/>
      </w:pPr>
      <w:bookmarkStart w:id="2" w:name="_Hlk130337848"/>
      <w:r w:rsidRPr="003F6309">
        <w:rPr>
          <w:i/>
          <w:iCs/>
        </w:rPr>
        <w:t>Document informel</w:t>
      </w:r>
      <w:r w:rsidR="005F4C1B">
        <w:rPr>
          <w:i/>
          <w:iCs/>
        </w:rPr>
        <w:t> </w:t>
      </w:r>
      <w:r w:rsidRPr="003F6309">
        <w:rPr>
          <w:i/>
          <w:iCs/>
        </w:rPr>
        <w:t>:</w:t>
      </w:r>
      <w:r w:rsidRPr="003F6309">
        <w:tab/>
        <w:t>INF.21 (Pays-Bas)</w:t>
      </w:r>
    </w:p>
    <w:bookmarkEnd w:id="2"/>
    <w:p w14:paraId="70811B04" w14:textId="77777777" w:rsidR="003F6309" w:rsidRPr="003F6309" w:rsidRDefault="003F6309" w:rsidP="003F6309">
      <w:pPr>
        <w:pStyle w:val="SingleTxtG"/>
      </w:pPr>
      <w:r w:rsidRPr="003F6309">
        <w:t>12.</w:t>
      </w:r>
      <w:r w:rsidRPr="003F6309">
        <w:tab/>
        <w:t>Dans le document informel INF.21, les Pays-Bas posaient des questions concernant les temps de retenue réels et de référence, sur la base des constatations faites à la suite d’incidents causés par l’activation prématurée de soupapes de sécurité et des conclusions d’une enquête menée par l’Inspection néerlandaise des transports et de l’environnement humain sur certains aspects du temps de retenue des citernes pour gaz liquéfiés réfrigérés.</w:t>
      </w:r>
    </w:p>
    <w:p w14:paraId="23F65088" w14:textId="77777777" w:rsidR="003F6309" w:rsidRPr="003F6309" w:rsidRDefault="003F6309" w:rsidP="003F6309">
      <w:pPr>
        <w:pStyle w:val="SingleTxtG"/>
      </w:pPr>
      <w:r w:rsidRPr="003F6309">
        <w:t>13.</w:t>
      </w:r>
      <w:r w:rsidRPr="003F6309">
        <w:tab/>
        <w:t>L’Union internationale des chemins de fer (UIC) a indiqué qu’elle communiquerait à la session de septembre 2023 de la Réunion commune un document officiel sur ce sujet, s’agissant des citernes vides non nettoyées, mais qu’il ne répondrait qu’en partie aux questions figurant dans le document informel INF.21.</w:t>
      </w:r>
    </w:p>
    <w:p w14:paraId="3B7C306C" w14:textId="77777777" w:rsidR="003F6309" w:rsidRPr="003F6309" w:rsidRDefault="003F6309" w:rsidP="003F6309">
      <w:pPr>
        <w:pStyle w:val="SingleTxtG"/>
      </w:pPr>
      <w:r w:rsidRPr="003F6309">
        <w:t>14.</w:t>
      </w:r>
      <w:r w:rsidRPr="003F6309">
        <w:tab/>
        <w:t xml:space="preserve">Certains experts ont souligné la pertinence des questions soulevées par les Pays-Bas et ont estimé qu’elles devaient être examinées plus avant. Les intervenants ont également estimé qu’il s’agissait d’un sujet complexe dans la pratique, dans la mesure où la pression relative et la température du produit pouvaient être très variables. Il faudrait également déterminer qui serait en mesure de calculer le temps de retenue réel et à qui incomberait cette responsabilité. </w:t>
      </w:r>
    </w:p>
    <w:p w14:paraId="265A6FDC" w14:textId="77777777" w:rsidR="003F6309" w:rsidRPr="003F6309" w:rsidRDefault="003F6309" w:rsidP="003F6309">
      <w:pPr>
        <w:pStyle w:val="SingleTxtG"/>
      </w:pPr>
      <w:r w:rsidRPr="003F6309">
        <w:t>15.</w:t>
      </w:r>
      <w:r w:rsidRPr="003F6309">
        <w:tab/>
        <w:t>En réponse aux questions posées, il a été dit que d’autres États ou Parties contractantes avaient rencontré les mêmes problèmes, mais que les cas avaient été rares ; qu’il n’existait pas de procédure harmonisée au niveau mondial ; que le vide n’était pas toujours mesuré pendant les essais ; et que les niveaux de vide acceptables étaient fixés selon les informations fournies par le fabricant d’origine.</w:t>
      </w:r>
    </w:p>
    <w:p w14:paraId="76820F7A" w14:textId="77777777" w:rsidR="003F6309" w:rsidRPr="003F6309" w:rsidRDefault="003F6309" w:rsidP="003F6309">
      <w:pPr>
        <w:pStyle w:val="SingleTxtG"/>
      </w:pPr>
      <w:r w:rsidRPr="003F6309">
        <w:t>16.</w:t>
      </w:r>
      <w:r w:rsidRPr="003F6309">
        <w:tab/>
        <w:t>Il a été proposé que les Pays-Bas continuent de réfléchir avec les professionnels du secteur concernés aux moyens d’améliorer la situation et que l’examen de la question se poursuive à la session d’automne 2023 de la Réunion commune, en s’appuyant sur le document de l’UIC.</w:t>
      </w:r>
    </w:p>
    <w:p w14:paraId="7698C33D" w14:textId="2326C866" w:rsidR="003F6309" w:rsidRPr="00D12D05" w:rsidRDefault="003F6309" w:rsidP="003F6309">
      <w:pPr>
        <w:pStyle w:val="H1G"/>
      </w:pPr>
      <w:r w:rsidRPr="00D12D05">
        <w:tab/>
      </w:r>
      <w:r>
        <w:tab/>
      </w:r>
      <w:r w:rsidRPr="00D12D05">
        <w:t>Point 8</w:t>
      </w:r>
      <w:r>
        <w:br/>
      </w:r>
      <w:r w:rsidRPr="00D12D05">
        <w:t>Double agrément des conteneurs-citernes</w:t>
      </w:r>
    </w:p>
    <w:p w14:paraId="5D86E82E" w14:textId="1C365EEA" w:rsidR="003F6309" w:rsidRPr="003F6309" w:rsidRDefault="003F6309" w:rsidP="003F6309">
      <w:pPr>
        <w:pStyle w:val="SingleTxtG"/>
        <w:ind w:left="3119" w:hanging="1985"/>
        <w:jc w:val="left"/>
      </w:pPr>
      <w:r w:rsidRPr="003F6309">
        <w:rPr>
          <w:i/>
          <w:iCs/>
        </w:rPr>
        <w:t>Document informel</w:t>
      </w:r>
      <w:r w:rsidR="005F4C1B">
        <w:rPr>
          <w:i/>
          <w:iCs/>
        </w:rPr>
        <w:t> </w:t>
      </w:r>
      <w:r w:rsidRPr="003F6309">
        <w:rPr>
          <w:i/>
          <w:iCs/>
        </w:rPr>
        <w:t>:</w:t>
      </w:r>
      <w:r w:rsidRPr="003F6309">
        <w:tab/>
        <w:t>INF.33 (France)</w:t>
      </w:r>
    </w:p>
    <w:p w14:paraId="1B8611A4" w14:textId="7FD81B02" w:rsidR="003F6309" w:rsidRPr="003F6309" w:rsidRDefault="003F6309" w:rsidP="003F6309">
      <w:pPr>
        <w:pStyle w:val="SingleTxtG"/>
      </w:pPr>
      <w:r w:rsidRPr="003F6309">
        <w:t>17.</w:t>
      </w:r>
      <w:r w:rsidRPr="003F6309">
        <w:tab/>
        <w:t>Le Groupe de travail a reconnu que le double agrément prévu au titre des chapitres</w:t>
      </w:r>
      <w:r w:rsidR="005F4C1B">
        <w:t> </w:t>
      </w:r>
      <w:r w:rsidRPr="003F6309">
        <w:t>6.7 et 6.8 posait des problèmes pour ce qui est de l’agrément, des numéros d’agrément, du contrôle, de l’utilisation, du marquage et de l’identification du type de citerne. Dans certains cas, les citernes ayant reçu un agrément au titre du chapitre 6.7 mais pas du chapitre 6.8 ne sont pas autorisées pour les transports intérieurs. Il a été toutefois reconnu que le système de double agrément présentait des avantages pour les utilisateurs dans le cadre du régime existant.</w:t>
      </w:r>
    </w:p>
    <w:p w14:paraId="015F8DC2" w14:textId="77777777" w:rsidR="003F6309" w:rsidRPr="003F6309" w:rsidRDefault="003F6309" w:rsidP="005F4C1B">
      <w:pPr>
        <w:pStyle w:val="SingleTxtG"/>
        <w:keepNext/>
      </w:pPr>
      <w:r w:rsidRPr="003F6309">
        <w:lastRenderedPageBreak/>
        <w:t>18.</w:t>
      </w:r>
      <w:r w:rsidRPr="003F6309">
        <w:tab/>
        <w:t>Trois solutions possibles se sont dégagées de la discussion :</w:t>
      </w:r>
    </w:p>
    <w:p w14:paraId="49CE0266" w14:textId="77777777" w:rsidR="003F6309" w:rsidRPr="003F6309" w:rsidRDefault="003F6309" w:rsidP="003F6309">
      <w:pPr>
        <w:pStyle w:val="Bullet1G"/>
        <w:numPr>
          <w:ilvl w:val="0"/>
          <w:numId w:val="0"/>
        </w:numPr>
        <w:tabs>
          <w:tab w:val="left" w:pos="1701"/>
        </w:tabs>
        <w:spacing w:line="240" w:lineRule="auto"/>
        <w:ind w:left="1701" w:hanging="170"/>
      </w:pPr>
      <w:r w:rsidRPr="003F6309">
        <w:t>•</w:t>
      </w:r>
      <w:r w:rsidRPr="003F6309">
        <w:tab/>
        <w:t>Continuer d’appliquer le système de double agrément sous certaines conditions ;</w:t>
      </w:r>
    </w:p>
    <w:p w14:paraId="7F3EE25C" w14:textId="77777777" w:rsidR="003F6309" w:rsidRPr="003F6309" w:rsidRDefault="003F6309" w:rsidP="003F6309">
      <w:pPr>
        <w:pStyle w:val="Bullet1G"/>
        <w:numPr>
          <w:ilvl w:val="0"/>
          <w:numId w:val="0"/>
        </w:numPr>
        <w:tabs>
          <w:tab w:val="left" w:pos="1701"/>
        </w:tabs>
        <w:spacing w:line="240" w:lineRule="auto"/>
        <w:ind w:left="1701" w:hanging="170"/>
      </w:pPr>
      <w:r w:rsidRPr="003F6309">
        <w:t>•</w:t>
      </w:r>
      <w:r w:rsidRPr="003F6309">
        <w:tab/>
        <w:t>Interdire le double agrément ;</w:t>
      </w:r>
    </w:p>
    <w:p w14:paraId="2A7EF0E3" w14:textId="77777777" w:rsidR="003F6309" w:rsidRPr="003F6309" w:rsidRDefault="003F6309" w:rsidP="003F6309">
      <w:pPr>
        <w:pStyle w:val="Bullet1G"/>
        <w:numPr>
          <w:ilvl w:val="0"/>
          <w:numId w:val="0"/>
        </w:numPr>
        <w:tabs>
          <w:tab w:val="left" w:pos="1701"/>
        </w:tabs>
        <w:spacing w:line="240" w:lineRule="auto"/>
        <w:ind w:left="1701" w:hanging="170"/>
      </w:pPr>
      <w:r w:rsidRPr="003F6309">
        <w:t>•</w:t>
      </w:r>
      <w:r w:rsidRPr="003F6309">
        <w:tab/>
        <w:t>Supprimer les conteneurs-citernes du chapitre 6.8.</w:t>
      </w:r>
    </w:p>
    <w:p w14:paraId="62EC0BE8" w14:textId="77777777" w:rsidR="003F6309" w:rsidRPr="003F6309" w:rsidRDefault="003F6309" w:rsidP="003F6309">
      <w:pPr>
        <w:pStyle w:val="SingleTxtG"/>
      </w:pPr>
      <w:r w:rsidRPr="003F6309">
        <w:t>19.</w:t>
      </w:r>
      <w:r w:rsidRPr="003F6309">
        <w:tab/>
        <w:t>Le choix de l’une ou l’autre des deux premières options nécessiterait l’adoption de mesures afin de résoudre certains problèmes. La troisième option n’était pas acceptable dans la mesure où de nombreux conteneurs-citernes de taille réduite et de nombreuses caisses mobiles citernes en service entrent également dans le champ d’application du chapitre 6.8. En définitive, la plupart des experts qui ont pris la parole ont exprimé leur préférence pour l’interdiction du double agrément au titre des chapitres 6.7 et 6.8.</w:t>
      </w:r>
    </w:p>
    <w:p w14:paraId="14919C26" w14:textId="77777777" w:rsidR="003F6309" w:rsidRPr="003F6309" w:rsidRDefault="003F6309" w:rsidP="003F6309">
      <w:pPr>
        <w:pStyle w:val="SingleTxtG"/>
      </w:pPr>
      <w:r w:rsidRPr="003F6309">
        <w:t>20.</w:t>
      </w:r>
      <w:r w:rsidRPr="003F6309">
        <w:tab/>
        <w:t>La France a pris note des commentaires formulés au cours de la discussion, en vue de l’élaboration d’un futur document.</w:t>
      </w:r>
    </w:p>
    <w:p w14:paraId="3120219E" w14:textId="4F97FFB7" w:rsidR="003F6309" w:rsidRPr="00D12D05" w:rsidRDefault="003F6309" w:rsidP="003F6309">
      <w:pPr>
        <w:pStyle w:val="H1G"/>
      </w:pPr>
      <w:r>
        <w:tab/>
      </w:r>
      <w:r w:rsidRPr="00D12D05">
        <w:tab/>
        <w:t xml:space="preserve">Point 9 </w:t>
      </w:r>
      <w:r>
        <w:br/>
      </w:r>
      <w:r w:rsidRPr="00D12D05">
        <w:t>Questions diverses</w:t>
      </w:r>
    </w:p>
    <w:p w14:paraId="38B66CA3" w14:textId="77777777" w:rsidR="003F6309" w:rsidRPr="00D12D05" w:rsidRDefault="003F6309" w:rsidP="003F6309">
      <w:pPr>
        <w:pStyle w:val="H23G"/>
      </w:pPr>
      <w:r w:rsidRPr="00D12D05">
        <w:tab/>
        <w:t>a)</w:t>
      </w:r>
      <w:r w:rsidRPr="00D12D05">
        <w:tab/>
        <w:t>Marque « SV » apposée conformément au 6.8.3.2.9.6</w:t>
      </w:r>
    </w:p>
    <w:p w14:paraId="49727292" w14:textId="77777777" w:rsidR="003F6309" w:rsidRPr="003F6309" w:rsidRDefault="003F6309" w:rsidP="003F6309">
      <w:pPr>
        <w:pStyle w:val="SingleTxtG"/>
      </w:pPr>
      <w:r w:rsidRPr="003F6309">
        <w:t>21.</w:t>
      </w:r>
      <w:r w:rsidRPr="003F6309">
        <w:tab/>
        <w:t xml:space="preserve">Il a été signalé que certaines autorités réclamaient l’apposition de la marque « SV » (marque relative aux soupapes de sécurité) prévue au 6.8.3.2.9.6 sur les citernes contenant des gaz liquéfiés réfrigérés. </w:t>
      </w:r>
    </w:p>
    <w:p w14:paraId="46A21E36" w14:textId="779EE596" w:rsidR="003F6309" w:rsidRPr="003F6309" w:rsidRDefault="003F6309" w:rsidP="003F6309">
      <w:pPr>
        <w:pStyle w:val="SingleTxtG"/>
      </w:pPr>
      <w:r w:rsidRPr="003F6309">
        <w:t>22.</w:t>
      </w:r>
      <w:r w:rsidRPr="003F6309">
        <w:tab/>
        <w:t>L’utilisation de soupapes de sécurité pour le transport de gaz liquéfiés réfrigérés, y</w:t>
      </w:r>
      <w:r w:rsidR="005F4C1B">
        <w:t> </w:t>
      </w:r>
      <w:r w:rsidRPr="003F6309">
        <w:t>compris de gaz inflammables, n’est pas régie par le 6.8.3.2.9 mais par les 6.8.3.2.11 et 6.8.3.2.12, qui ne font pas référence au marquage du 6.8.3.2.9. Par conséquent, la marque « SV » ne doit pas être apposée sur ces citernes.</w:t>
      </w:r>
    </w:p>
    <w:p w14:paraId="546DC8EB" w14:textId="77777777" w:rsidR="003F6309" w:rsidRPr="003F6309" w:rsidRDefault="003F6309" w:rsidP="003F6309">
      <w:pPr>
        <w:pStyle w:val="SingleTxtG"/>
      </w:pPr>
      <w:r w:rsidRPr="003F6309">
        <w:t>23.</w:t>
      </w:r>
      <w:r w:rsidRPr="003F6309">
        <w:tab/>
        <w:t>En outre, les termes « gaz liquéfié » et « gaz liquéfié réfrigéré » sont définis très clairement au 2.2.2.1.2 (subdivisions de la classe 2), de sorte qu’il n’existe aucune confusion quant au champ d’application du 6.8.3.2.9 ou du 6.8.3.2.11.</w:t>
      </w:r>
    </w:p>
    <w:p w14:paraId="12C1CE45" w14:textId="77777777" w:rsidR="003F6309" w:rsidRPr="00D12D05" w:rsidRDefault="003F6309" w:rsidP="003F6309">
      <w:pPr>
        <w:pStyle w:val="H23G"/>
      </w:pPr>
      <w:r w:rsidRPr="00D12D05">
        <w:tab/>
        <w:t>b)</w:t>
      </w:r>
      <w:r w:rsidRPr="00D12D05">
        <w:tab/>
        <w:t xml:space="preserve">Accident impliquant un véhicule-citerne </w:t>
      </w:r>
      <w:r>
        <w:t xml:space="preserve">fonctionnant </w:t>
      </w:r>
      <w:r w:rsidRPr="00D12D05">
        <w:t xml:space="preserve">au GPL </w:t>
      </w:r>
    </w:p>
    <w:p w14:paraId="3012D9F3" w14:textId="77777777" w:rsidR="003F6309" w:rsidRPr="003F6309" w:rsidRDefault="003F6309" w:rsidP="003F6309">
      <w:pPr>
        <w:pStyle w:val="SingleTxtG"/>
      </w:pPr>
      <w:r w:rsidRPr="003F6309">
        <w:t>24.</w:t>
      </w:r>
      <w:r w:rsidRPr="003F6309">
        <w:tab/>
        <w:t>Les participants ont été informés d’un accident impliquant un véhicule-citerne fonctionnant au GPL survenu à Johannesburg (Afrique du Sud), le 24 décembre 2022. Une explosion s’est produite après que le véhicule-citerne s’est coincé sous un pont ferroviaire. Il est rappelé aux professionnels du secteur et aux organismes de contrôle que l’équipement de service des véhicules-citernes régis par l’ADR doivent obligatoirement bénéficier d’une protection maximale.</w:t>
      </w:r>
    </w:p>
    <w:p w14:paraId="4CF1FBAA" w14:textId="25DAAEEB" w:rsidR="00F9573C" w:rsidRPr="005F4C1B" w:rsidRDefault="003F6309" w:rsidP="005F4C1B">
      <w:pPr>
        <w:spacing w:before="240" w:line="240" w:lineRule="auto"/>
        <w:jc w:val="center"/>
        <w:rPr>
          <w:sz w:val="24"/>
          <w:szCs w:val="24"/>
          <w:u w:val="single"/>
        </w:rPr>
      </w:pPr>
      <w:r w:rsidRPr="00D12D05">
        <w:rPr>
          <w:sz w:val="24"/>
          <w:szCs w:val="24"/>
          <w:u w:val="single"/>
        </w:rPr>
        <w:tab/>
      </w:r>
      <w:r w:rsidRPr="00D12D05">
        <w:rPr>
          <w:sz w:val="24"/>
          <w:szCs w:val="24"/>
          <w:u w:val="single"/>
        </w:rPr>
        <w:tab/>
      </w:r>
      <w:r w:rsidRPr="00D12D05">
        <w:rPr>
          <w:sz w:val="24"/>
          <w:szCs w:val="24"/>
          <w:u w:val="single"/>
        </w:rPr>
        <w:tab/>
      </w:r>
    </w:p>
    <w:sectPr w:rsidR="00F9573C" w:rsidRPr="005F4C1B" w:rsidSect="003F630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8D63" w14:textId="77777777" w:rsidR="008D41CB" w:rsidRDefault="008D41CB" w:rsidP="00F95C08">
      <w:pPr>
        <w:spacing w:line="240" w:lineRule="auto"/>
      </w:pPr>
    </w:p>
  </w:endnote>
  <w:endnote w:type="continuationSeparator" w:id="0">
    <w:p w14:paraId="299D22FC" w14:textId="77777777" w:rsidR="008D41CB" w:rsidRPr="00AC3823" w:rsidRDefault="008D41CB" w:rsidP="00AC3823">
      <w:pPr>
        <w:pStyle w:val="Pieddepage"/>
      </w:pPr>
    </w:p>
  </w:endnote>
  <w:endnote w:type="continuationNotice" w:id="1">
    <w:p w14:paraId="0A7D5734" w14:textId="77777777" w:rsidR="008D41CB" w:rsidRDefault="008D41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5E18" w14:textId="662C15B3" w:rsidR="003F6309" w:rsidRPr="003F6309" w:rsidRDefault="003F6309" w:rsidP="003F6309">
    <w:pPr>
      <w:pStyle w:val="Pieddepage"/>
      <w:tabs>
        <w:tab w:val="right" w:pos="9638"/>
      </w:tabs>
    </w:pPr>
    <w:r w:rsidRPr="003F6309">
      <w:rPr>
        <w:b/>
        <w:sz w:val="18"/>
      </w:rPr>
      <w:fldChar w:fldCharType="begin"/>
    </w:r>
    <w:r w:rsidRPr="003F6309">
      <w:rPr>
        <w:b/>
        <w:sz w:val="18"/>
      </w:rPr>
      <w:instrText xml:space="preserve"> PAGE  \* MERGEFORMAT </w:instrText>
    </w:r>
    <w:r w:rsidRPr="003F6309">
      <w:rPr>
        <w:b/>
        <w:sz w:val="18"/>
      </w:rPr>
      <w:fldChar w:fldCharType="separate"/>
    </w:r>
    <w:r w:rsidRPr="003F6309">
      <w:rPr>
        <w:b/>
        <w:noProof/>
        <w:sz w:val="18"/>
      </w:rPr>
      <w:t>2</w:t>
    </w:r>
    <w:r w:rsidRPr="003F6309">
      <w:rPr>
        <w:b/>
        <w:sz w:val="18"/>
      </w:rPr>
      <w:fldChar w:fldCharType="end"/>
    </w:r>
    <w:r>
      <w:rPr>
        <w:b/>
        <w:sz w:val="18"/>
      </w:rPr>
      <w:tab/>
    </w:r>
    <w:r>
      <w:t>GE.23-06784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D02A" w14:textId="5702C41B" w:rsidR="003F6309" w:rsidRPr="003F6309" w:rsidRDefault="003F6309" w:rsidP="003F6309">
    <w:pPr>
      <w:pStyle w:val="Pieddepage"/>
      <w:tabs>
        <w:tab w:val="right" w:pos="9638"/>
      </w:tabs>
      <w:rPr>
        <w:b/>
        <w:sz w:val="18"/>
      </w:rPr>
    </w:pPr>
    <w:r>
      <w:t>GE.23-06784</w:t>
    </w:r>
    <w:r>
      <w:tab/>
    </w:r>
    <w:r w:rsidRPr="003F6309">
      <w:rPr>
        <w:b/>
        <w:sz w:val="18"/>
      </w:rPr>
      <w:fldChar w:fldCharType="begin"/>
    </w:r>
    <w:r w:rsidRPr="003F6309">
      <w:rPr>
        <w:b/>
        <w:sz w:val="18"/>
      </w:rPr>
      <w:instrText xml:space="preserve"> PAGE  \* MERGEFORMAT </w:instrText>
    </w:r>
    <w:r w:rsidRPr="003F6309">
      <w:rPr>
        <w:b/>
        <w:sz w:val="18"/>
      </w:rPr>
      <w:fldChar w:fldCharType="separate"/>
    </w:r>
    <w:r w:rsidRPr="003F6309">
      <w:rPr>
        <w:b/>
        <w:noProof/>
        <w:sz w:val="18"/>
      </w:rPr>
      <w:t>3</w:t>
    </w:r>
    <w:r w:rsidRPr="003F63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984C" w14:textId="3F03807D" w:rsidR="007F20FA" w:rsidRPr="003F6309" w:rsidRDefault="003F6309" w:rsidP="003F630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192485C" wp14:editId="0710DD1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23-06784  (F)</w:t>
    </w:r>
    <w:r>
      <w:rPr>
        <w:noProof/>
        <w:sz w:val="20"/>
      </w:rPr>
      <w:drawing>
        <wp:anchor distT="0" distB="0" distL="114300" distR="114300" simplePos="0" relativeHeight="251660288" behindDoc="0" locked="0" layoutInCell="1" allowOverlap="1" wp14:anchorId="37707D72" wp14:editId="4539A5B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190523    190523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50BF" w14:textId="77777777" w:rsidR="008D41CB" w:rsidRPr="00AC3823" w:rsidRDefault="008D41CB" w:rsidP="00AC3823">
      <w:pPr>
        <w:pStyle w:val="Pieddepage"/>
        <w:tabs>
          <w:tab w:val="right" w:pos="2155"/>
        </w:tabs>
        <w:spacing w:after="80" w:line="240" w:lineRule="atLeast"/>
        <w:ind w:left="680"/>
        <w:rPr>
          <w:u w:val="single"/>
        </w:rPr>
      </w:pPr>
      <w:r>
        <w:rPr>
          <w:u w:val="single"/>
        </w:rPr>
        <w:tab/>
      </w:r>
    </w:p>
  </w:footnote>
  <w:footnote w:type="continuationSeparator" w:id="0">
    <w:p w14:paraId="67B7205E" w14:textId="77777777" w:rsidR="008D41CB" w:rsidRPr="00AC3823" w:rsidRDefault="008D41CB" w:rsidP="00AC3823">
      <w:pPr>
        <w:pStyle w:val="Pieddepage"/>
        <w:tabs>
          <w:tab w:val="right" w:pos="2155"/>
        </w:tabs>
        <w:spacing w:after="80" w:line="240" w:lineRule="atLeast"/>
        <w:ind w:left="680"/>
        <w:rPr>
          <w:u w:val="single"/>
        </w:rPr>
      </w:pPr>
      <w:r>
        <w:rPr>
          <w:u w:val="single"/>
        </w:rPr>
        <w:tab/>
      </w:r>
    </w:p>
  </w:footnote>
  <w:footnote w:type="continuationNotice" w:id="1">
    <w:p w14:paraId="79D9F528" w14:textId="77777777" w:rsidR="008D41CB" w:rsidRPr="00AC3823" w:rsidRDefault="008D41CB">
      <w:pPr>
        <w:spacing w:line="240" w:lineRule="auto"/>
        <w:rPr>
          <w:sz w:val="2"/>
          <w:szCs w:val="2"/>
        </w:rPr>
      </w:pPr>
    </w:p>
  </w:footnote>
  <w:footnote w:id="2">
    <w:p w14:paraId="5AEE12A2" w14:textId="77777777" w:rsidR="003F6309" w:rsidRPr="003C746B" w:rsidRDefault="003F6309" w:rsidP="003F6309">
      <w:pPr>
        <w:pStyle w:val="Notedebasdepage"/>
      </w:pPr>
      <w:r>
        <w:tab/>
      </w:r>
      <w:r w:rsidRPr="003F6309">
        <w:rPr>
          <w:sz w:val="20"/>
        </w:rPr>
        <w:t>*</w:t>
      </w:r>
      <w:r>
        <w:tab/>
        <w:t>Diffusé par l’Organisation intergouvernementale pour les transports internationaux ferroviaires (OTIF) sous la cote OTIF/RID/RC/2023-A. Sauf indication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p>
  </w:footnote>
  <w:footnote w:id="3">
    <w:p w14:paraId="7A4DA478" w14:textId="77777777" w:rsidR="003F6309" w:rsidRPr="003C746B" w:rsidRDefault="003F6309" w:rsidP="003F6309">
      <w:pPr>
        <w:pStyle w:val="Notedebasdepage"/>
      </w:pPr>
      <w:r w:rsidRPr="003F6309">
        <w:rPr>
          <w:sz w:val="20"/>
        </w:rPr>
        <w:tab/>
        <w:t>**</w:t>
      </w:r>
      <w:r>
        <w:tab/>
        <w:t>Diffusé par l’Organisation intergouvernementale pour les transports internationaux ferroviaires (OTIF) sous la cote OTIF/RID/RC/2023-A/Add.1.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62A1" w14:textId="733A97FE" w:rsidR="003F6309" w:rsidRPr="003F6309" w:rsidRDefault="003F6309">
    <w:pPr>
      <w:pStyle w:val="En-tte"/>
    </w:pPr>
    <w:fldSimple w:instr=" TITLE  \* MERGEFORMAT ">
      <w:r>
        <w:t>ECE/TRANS/WP.15/AC.1/168/Add.1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CFC1" w14:textId="78EB1749" w:rsidR="003F6309" w:rsidRPr="003F6309" w:rsidRDefault="003F6309" w:rsidP="003F6309">
    <w:pPr>
      <w:pStyle w:val="En-tte"/>
      <w:jc w:val="right"/>
    </w:pPr>
    <w:fldSimple w:instr=" TITLE  \* MERGEFORMAT ">
      <w:r>
        <w:t>ECE/TRANS/WP.15/AC.1/168/Add.1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67105302">
    <w:abstractNumId w:val="15"/>
  </w:num>
  <w:num w:numId="2" w16cid:durableId="1019502595">
    <w:abstractNumId w:val="13"/>
  </w:num>
  <w:num w:numId="3" w16cid:durableId="1133408616">
    <w:abstractNumId w:val="10"/>
  </w:num>
  <w:num w:numId="4" w16cid:durableId="1931158316">
    <w:abstractNumId w:val="8"/>
  </w:num>
  <w:num w:numId="5" w16cid:durableId="33503007">
    <w:abstractNumId w:val="3"/>
  </w:num>
  <w:num w:numId="6" w16cid:durableId="1274481210">
    <w:abstractNumId w:val="2"/>
  </w:num>
  <w:num w:numId="7" w16cid:durableId="1994485440">
    <w:abstractNumId w:val="1"/>
  </w:num>
  <w:num w:numId="8" w16cid:durableId="1942566219">
    <w:abstractNumId w:val="0"/>
  </w:num>
  <w:num w:numId="9" w16cid:durableId="167719607">
    <w:abstractNumId w:val="9"/>
  </w:num>
  <w:num w:numId="10" w16cid:durableId="197738771">
    <w:abstractNumId w:val="7"/>
  </w:num>
  <w:num w:numId="11" w16cid:durableId="915630232">
    <w:abstractNumId w:val="6"/>
  </w:num>
  <w:num w:numId="12" w16cid:durableId="242882078">
    <w:abstractNumId w:val="5"/>
  </w:num>
  <w:num w:numId="13" w16cid:durableId="1769041218">
    <w:abstractNumId w:val="4"/>
  </w:num>
  <w:num w:numId="14" w16cid:durableId="277104651">
    <w:abstractNumId w:val="15"/>
  </w:num>
  <w:num w:numId="15" w16cid:durableId="155345075">
    <w:abstractNumId w:val="13"/>
  </w:num>
  <w:num w:numId="16" w16cid:durableId="1005091497">
    <w:abstractNumId w:val="10"/>
  </w:num>
  <w:num w:numId="17" w16cid:durableId="767121296">
    <w:abstractNumId w:val="11"/>
  </w:num>
  <w:num w:numId="18" w16cid:durableId="1817182571">
    <w:abstractNumId w:val="12"/>
  </w:num>
  <w:num w:numId="19" w16cid:durableId="4654687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CB"/>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F6309"/>
    <w:rsid w:val="00421996"/>
    <w:rsid w:val="00424F11"/>
    <w:rsid w:val="00441C3B"/>
    <w:rsid w:val="00446FE5"/>
    <w:rsid w:val="00452396"/>
    <w:rsid w:val="00477EB2"/>
    <w:rsid w:val="004837D8"/>
    <w:rsid w:val="004E2EED"/>
    <w:rsid w:val="004E468C"/>
    <w:rsid w:val="004E5270"/>
    <w:rsid w:val="005505B7"/>
    <w:rsid w:val="00573BE5"/>
    <w:rsid w:val="00586ED3"/>
    <w:rsid w:val="00590EBD"/>
    <w:rsid w:val="00596AA9"/>
    <w:rsid w:val="005F4C1B"/>
    <w:rsid w:val="0071601D"/>
    <w:rsid w:val="007A62E6"/>
    <w:rsid w:val="007F20FA"/>
    <w:rsid w:val="0080684C"/>
    <w:rsid w:val="00871C75"/>
    <w:rsid w:val="008776DC"/>
    <w:rsid w:val="008D41CB"/>
    <w:rsid w:val="008D5EF9"/>
    <w:rsid w:val="009446C0"/>
    <w:rsid w:val="009705C8"/>
    <w:rsid w:val="009C1CF4"/>
    <w:rsid w:val="009F6B74"/>
    <w:rsid w:val="00A3029F"/>
    <w:rsid w:val="00A30353"/>
    <w:rsid w:val="00A925CB"/>
    <w:rsid w:val="00AC3823"/>
    <w:rsid w:val="00AE323C"/>
    <w:rsid w:val="00AF0CB5"/>
    <w:rsid w:val="00B00181"/>
    <w:rsid w:val="00B00B0D"/>
    <w:rsid w:val="00B45F2E"/>
    <w:rsid w:val="00B765F7"/>
    <w:rsid w:val="00B77993"/>
    <w:rsid w:val="00BA0CA9"/>
    <w:rsid w:val="00C02897"/>
    <w:rsid w:val="00C30254"/>
    <w:rsid w:val="00C62760"/>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E86C"/>
  <w15:docId w15:val="{BF2B8F79-517D-4172-8C52-C6D4CD0A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5_GR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3F6309"/>
    <w:rPr>
      <w:rFonts w:ascii="Times New Roman" w:eastAsiaTheme="minorHAnsi" w:hAnsi="Times New Roman" w:cs="Times New Roman"/>
      <w:sz w:val="20"/>
      <w:szCs w:val="20"/>
      <w:lang w:eastAsia="en-US"/>
    </w:rPr>
  </w:style>
  <w:style w:type="character" w:customStyle="1" w:styleId="HChGChar">
    <w:name w:val="_ H _Ch_G Char"/>
    <w:link w:val="HChG"/>
    <w:qFormat/>
    <w:rsid w:val="003F6309"/>
    <w:rPr>
      <w:rFonts w:ascii="Times New Roman" w:eastAsiaTheme="minorHAnsi" w:hAnsi="Times New Roman" w:cs="Times New Roman"/>
      <w:b/>
      <w:sz w:val="28"/>
      <w:szCs w:val="20"/>
      <w:lang w:eastAsia="en-US"/>
    </w:rPr>
  </w:style>
  <w:style w:type="character" w:customStyle="1" w:styleId="H1GChar">
    <w:name w:val="_ H_1_G Char"/>
    <w:link w:val="H1G"/>
    <w:uiPriority w:val="99"/>
    <w:qFormat/>
    <w:rsid w:val="003F6309"/>
    <w:rPr>
      <w:rFonts w:ascii="Times New Roman" w:eastAsiaTheme="minorHAnsi" w:hAnsi="Times New Roman" w:cs="Times New Roman"/>
      <w:b/>
      <w:sz w:val="24"/>
      <w:szCs w:val="20"/>
      <w:lang w:eastAsia="en-US"/>
    </w:rPr>
  </w:style>
  <w:style w:type="character" w:customStyle="1" w:styleId="H23GChar">
    <w:name w:val="_ H_2/3_G Char"/>
    <w:link w:val="H23G"/>
    <w:locked/>
    <w:rsid w:val="003F6309"/>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96E3D-BCAB-4A0F-B537-D0D896CB2AE0}"/>
</file>

<file path=customXml/itemProps2.xml><?xml version="1.0" encoding="utf-8"?>
<ds:datastoreItem xmlns:ds="http://schemas.openxmlformats.org/officeDocument/2006/customXml" ds:itemID="{BCEF39D9-7C88-40C4-BF88-7FAE6CC24AA2}"/>
</file>

<file path=docProps/app.xml><?xml version="1.0" encoding="utf-8"?>
<Properties xmlns="http://schemas.openxmlformats.org/officeDocument/2006/extended-properties" xmlns:vt="http://schemas.openxmlformats.org/officeDocument/2006/docPropsVTypes">
  <Template>ECE_TRANS.dotm</Template>
  <TotalTime>0</TotalTime>
  <Pages>6</Pages>
  <Words>1929</Words>
  <Characters>12810</Characters>
  <Application>Microsoft Office Word</Application>
  <DocSecurity>0</DocSecurity>
  <Lines>1164</Lines>
  <Paragraphs>614</Paragraphs>
  <ScaleCrop>false</ScaleCrop>
  <HeadingPairs>
    <vt:vector size="2" baseType="variant">
      <vt:variant>
        <vt:lpstr>Titre</vt:lpstr>
      </vt:variant>
      <vt:variant>
        <vt:i4>1</vt:i4>
      </vt:variant>
    </vt:vector>
  </HeadingPairs>
  <TitlesOfParts>
    <vt:vector size="1" baseType="lpstr">
      <vt:lpstr>ECE/TRANS/WP.15/AC.1/168/Add.1</vt:lpstr>
    </vt:vector>
  </TitlesOfParts>
  <Company>DCM</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ECE/TRANS/WP.15/AC.1/168/Add.1</dc:title>
  <dc:subject/>
  <dc:creator>Sandrine CLERE</dc:creator>
  <cp:keywords/>
  <cp:lastModifiedBy>Sandrine Clere</cp:lastModifiedBy>
  <cp:revision>2</cp:revision>
  <cp:lastPrinted>2014-05-14T10:59:00Z</cp:lastPrinted>
  <dcterms:created xsi:type="dcterms:W3CDTF">2023-05-19T12:23:00Z</dcterms:created>
  <dcterms:modified xsi:type="dcterms:W3CDTF">2023-05-19T12:23:00Z</dcterms:modified>
</cp:coreProperties>
</file>