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83AEF9D" w14:textId="77777777" w:rsidTr="006476E1">
        <w:trPr>
          <w:trHeight w:val="851"/>
        </w:trPr>
        <w:tc>
          <w:tcPr>
            <w:tcW w:w="1259" w:type="dxa"/>
            <w:tcBorders>
              <w:top w:val="nil"/>
              <w:left w:val="nil"/>
              <w:bottom w:val="single" w:sz="4" w:space="0" w:color="auto"/>
              <w:right w:val="nil"/>
            </w:tcBorders>
          </w:tcPr>
          <w:p w14:paraId="0A0C1AE8" w14:textId="77777777" w:rsidR="00E52109" w:rsidRPr="002A32CB" w:rsidRDefault="00E52109" w:rsidP="004858F5"/>
        </w:tc>
        <w:tc>
          <w:tcPr>
            <w:tcW w:w="2236" w:type="dxa"/>
            <w:tcBorders>
              <w:top w:val="nil"/>
              <w:left w:val="nil"/>
              <w:bottom w:val="single" w:sz="4" w:space="0" w:color="auto"/>
              <w:right w:val="nil"/>
            </w:tcBorders>
            <w:vAlign w:val="bottom"/>
          </w:tcPr>
          <w:p w14:paraId="0D70E8C9"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F9F2AD4" w14:textId="2F47850D" w:rsidR="00E52109" w:rsidRDefault="00174A86" w:rsidP="00174A86">
            <w:pPr>
              <w:suppressAutoHyphens w:val="0"/>
              <w:jc w:val="right"/>
            </w:pPr>
            <w:r w:rsidRPr="00174A86">
              <w:rPr>
                <w:sz w:val="40"/>
              </w:rPr>
              <w:t>ST</w:t>
            </w:r>
            <w:r>
              <w:t>/SG/AC.10/C.3/2023/23</w:t>
            </w:r>
          </w:p>
        </w:tc>
      </w:tr>
      <w:tr w:rsidR="00E52109" w14:paraId="0383BA43" w14:textId="77777777" w:rsidTr="006476E1">
        <w:trPr>
          <w:trHeight w:val="2835"/>
        </w:trPr>
        <w:tc>
          <w:tcPr>
            <w:tcW w:w="1259" w:type="dxa"/>
            <w:tcBorders>
              <w:top w:val="single" w:sz="4" w:space="0" w:color="auto"/>
              <w:left w:val="nil"/>
              <w:bottom w:val="single" w:sz="12" w:space="0" w:color="auto"/>
              <w:right w:val="nil"/>
            </w:tcBorders>
          </w:tcPr>
          <w:p w14:paraId="680749C0" w14:textId="77777777" w:rsidR="00E52109" w:rsidRDefault="00E52109" w:rsidP="006476E1">
            <w:pPr>
              <w:spacing w:before="120"/>
              <w:jc w:val="center"/>
            </w:pPr>
            <w:r>
              <w:rPr>
                <w:noProof/>
                <w:lang w:val="fr-CH" w:eastAsia="fr-CH"/>
              </w:rPr>
              <w:drawing>
                <wp:inline distT="0" distB="0" distL="0" distR="0" wp14:anchorId="1B4A35F4" wp14:editId="0904968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AA5444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EF0080A" w14:textId="77777777" w:rsidR="00D94B05" w:rsidRDefault="00174A86" w:rsidP="00174A86">
            <w:pPr>
              <w:suppressAutoHyphens w:val="0"/>
              <w:spacing w:before="240" w:line="240" w:lineRule="exact"/>
            </w:pPr>
            <w:r>
              <w:t>Distr.: General</w:t>
            </w:r>
          </w:p>
          <w:p w14:paraId="13AAB4F1" w14:textId="2345759B" w:rsidR="00174A86" w:rsidRDefault="00E93968" w:rsidP="00174A86">
            <w:pPr>
              <w:suppressAutoHyphens w:val="0"/>
              <w:spacing w:line="240" w:lineRule="exact"/>
            </w:pPr>
            <w:r>
              <w:t>20</w:t>
            </w:r>
            <w:r w:rsidR="00174A86">
              <w:t xml:space="preserve"> April 2023</w:t>
            </w:r>
          </w:p>
          <w:p w14:paraId="012AE328" w14:textId="77777777" w:rsidR="00174A86" w:rsidRDefault="00174A86" w:rsidP="00174A86">
            <w:pPr>
              <w:suppressAutoHyphens w:val="0"/>
              <w:spacing w:line="240" w:lineRule="exact"/>
            </w:pPr>
          </w:p>
          <w:p w14:paraId="31396FD3" w14:textId="65591CA4" w:rsidR="00174A86" w:rsidRDefault="00174A86" w:rsidP="00174A86">
            <w:pPr>
              <w:suppressAutoHyphens w:val="0"/>
              <w:spacing w:line="240" w:lineRule="exact"/>
            </w:pPr>
            <w:r>
              <w:t>Original: English</w:t>
            </w:r>
          </w:p>
        </w:tc>
      </w:tr>
    </w:tbl>
    <w:p w14:paraId="4E5EB669" w14:textId="77777777" w:rsidR="00174A86" w:rsidRPr="006500BA" w:rsidRDefault="00174A86" w:rsidP="00174A8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288AFF1" w14:textId="77777777" w:rsidR="00174A86" w:rsidRPr="006500BA" w:rsidRDefault="00174A86" w:rsidP="00174A86">
      <w:pPr>
        <w:spacing w:before="120"/>
        <w:rPr>
          <w:rFonts w:ascii="Helv" w:hAnsi="Helv" w:cs="Helv"/>
          <w:b/>
          <w:color w:val="000000"/>
        </w:rPr>
      </w:pPr>
      <w:r w:rsidRPr="006500BA">
        <w:rPr>
          <w:b/>
        </w:rPr>
        <w:t xml:space="preserve">Sub-Committee of Experts on the </w:t>
      </w:r>
      <w:r>
        <w:rPr>
          <w:b/>
        </w:rPr>
        <w:t>Transport of Dangerous Goods</w:t>
      </w:r>
    </w:p>
    <w:p w14:paraId="70D26333" w14:textId="77777777" w:rsidR="00174A86" w:rsidRPr="006500BA" w:rsidRDefault="00174A86" w:rsidP="00174A86">
      <w:pPr>
        <w:spacing w:before="120"/>
        <w:rPr>
          <w:b/>
        </w:rPr>
      </w:pPr>
      <w:r w:rsidRPr="00480C6A">
        <w:rPr>
          <w:b/>
        </w:rPr>
        <w:t>Sixty-second</w:t>
      </w:r>
      <w:r>
        <w:rPr>
          <w:b/>
        </w:rPr>
        <w:t xml:space="preserve"> </w:t>
      </w:r>
      <w:r w:rsidRPr="006500BA">
        <w:rPr>
          <w:b/>
        </w:rPr>
        <w:t>session</w:t>
      </w:r>
    </w:p>
    <w:p w14:paraId="523493A3" w14:textId="77777777" w:rsidR="00174A86" w:rsidRPr="006500BA" w:rsidRDefault="00174A86" w:rsidP="00174A86">
      <w:r w:rsidRPr="006500BA">
        <w:t xml:space="preserve">Geneva, </w:t>
      </w:r>
      <w:r>
        <w:t>3-7 July</w:t>
      </w:r>
    </w:p>
    <w:p w14:paraId="4610B4A6" w14:textId="77777777" w:rsidR="00174A86" w:rsidRDefault="00174A86" w:rsidP="00174A86">
      <w:r w:rsidRPr="006500BA">
        <w:t xml:space="preserve">Item </w:t>
      </w:r>
      <w:r>
        <w:t>4 (f)</w:t>
      </w:r>
      <w:r w:rsidRPr="006500BA">
        <w:t xml:space="preserve"> of the provisional agenda</w:t>
      </w:r>
    </w:p>
    <w:p w14:paraId="09EF1561" w14:textId="77777777" w:rsidR="00174A86" w:rsidRPr="003E2B5F" w:rsidRDefault="00174A86" w:rsidP="00174A86">
      <w:pPr>
        <w:rPr>
          <w:b/>
          <w:bCs/>
        </w:rPr>
      </w:pPr>
      <w:r w:rsidRPr="0096344F">
        <w:rPr>
          <w:b/>
          <w:bCs/>
        </w:rPr>
        <w:t>Electric storage systems</w:t>
      </w:r>
      <w:r w:rsidRPr="003E2B5F">
        <w:rPr>
          <w:b/>
          <w:bCs/>
        </w:rPr>
        <w:t>: miscellaneous</w:t>
      </w:r>
    </w:p>
    <w:p w14:paraId="3413F23F" w14:textId="1F7042FB" w:rsidR="00174A86" w:rsidRPr="00F5561C" w:rsidRDefault="00174A86" w:rsidP="00174A86">
      <w:pPr>
        <w:pStyle w:val="HChG"/>
        <w:rPr>
          <w:color w:val="000000" w:themeColor="text1"/>
        </w:rPr>
      </w:pPr>
      <w:r>
        <w:tab/>
      </w:r>
      <w:r>
        <w:tab/>
      </w:r>
      <w:r w:rsidR="00F45139" w:rsidRPr="00F45139">
        <w:t>Classification provisions for lithium batteries and sodium ion batteries</w:t>
      </w:r>
    </w:p>
    <w:p w14:paraId="7C4123B7" w14:textId="77777777" w:rsidR="00174A86" w:rsidRDefault="00174A86" w:rsidP="00174A86">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the </w:t>
      </w:r>
      <w:r w:rsidRPr="0096344F">
        <w:rPr>
          <w:rFonts w:eastAsia="Arial Unicode MS"/>
          <w:lang w:val="en-US"/>
        </w:rPr>
        <w:t>International Air Transport Association (IATA)</w:t>
      </w:r>
      <w:r w:rsidRPr="00AA28E9">
        <w:rPr>
          <w:rStyle w:val="FootnoteReference"/>
          <w:rFonts w:eastAsia="Arial Unicode MS"/>
          <w:sz w:val="20"/>
          <w:vertAlign w:val="baseline"/>
          <w:lang w:val="en-US"/>
        </w:rPr>
        <w:footnoteReference w:customMarkFollows="1" w:id="2"/>
        <w:t>*</w:t>
      </w:r>
    </w:p>
    <w:p w14:paraId="6A041299" w14:textId="77777777" w:rsidR="00174A86" w:rsidRDefault="00174A86" w:rsidP="00174A86">
      <w:pPr>
        <w:pStyle w:val="HChG"/>
      </w:pPr>
      <w:r>
        <w:tab/>
        <w:t>I.</w:t>
      </w:r>
      <w:r>
        <w:tab/>
        <w:t>Introduction</w:t>
      </w:r>
    </w:p>
    <w:p w14:paraId="5DB8E903" w14:textId="401FFB6E" w:rsidR="00174A86" w:rsidRDefault="00174A86" w:rsidP="00174A86">
      <w:pPr>
        <w:pStyle w:val="SingleTxtG"/>
      </w:pPr>
      <w:r>
        <w:t>1.</w:t>
      </w:r>
      <w:r>
        <w:tab/>
        <w:t xml:space="preserve">Paragraphs 2.9.4 and 2.9.5 in the </w:t>
      </w:r>
      <w:r w:rsidRPr="00174A86">
        <w:rPr>
          <w:i/>
          <w:iCs/>
        </w:rPr>
        <w:t>Model Regulations</w:t>
      </w:r>
      <w:r>
        <w:t xml:space="preserve"> describe the requirements that apply to the classification of lithium cells and batteries and sodium ion cells and batteries, respectively, for the cells or batteries to be transported.</w:t>
      </w:r>
    </w:p>
    <w:p w14:paraId="19D00018" w14:textId="4AA9AC3B" w:rsidR="00174A86" w:rsidRDefault="00174A86" w:rsidP="00174A86">
      <w:pPr>
        <w:pStyle w:val="SingleTxtG"/>
      </w:pPr>
      <w:r>
        <w:t>2.</w:t>
      </w:r>
      <w:r>
        <w:tab/>
        <w:t>Included in the wording of paragraphs 2.9.4 and 2.9.5 is a statement o</w:t>
      </w:r>
      <w:r w:rsidR="00213698">
        <w:t>n</w:t>
      </w:r>
      <w:r>
        <w:t xml:space="preserve"> the UN numbers to which the cells or batteries shall be assigned. For paragraph 2.9.4 this is “UN Nos. 3090, 3091, 3480 or 3481 as appropriate”. For paragraph 2.9.5, it is “UN Nos. 3551 or 3552 as appropriate”.</w:t>
      </w:r>
    </w:p>
    <w:p w14:paraId="5BA050B0" w14:textId="77777777" w:rsidR="00174A86" w:rsidRDefault="00174A86" w:rsidP="00174A86">
      <w:pPr>
        <w:pStyle w:val="SingleTxtG"/>
      </w:pPr>
      <w:r>
        <w:t>3.</w:t>
      </w:r>
      <w:r>
        <w:tab/>
        <w:t xml:space="preserve">However, there are references in special provisions 310, 363, 388 and 389 that lithium cells or batteries or sodium ion cells or batteries shall meet the provisions of 2.9.4 or 2.9.5, as applicable, where the cells or batteries are in articles, engines, </w:t>
      </w:r>
      <w:proofErr w:type="gramStart"/>
      <w:r>
        <w:t>machines</w:t>
      </w:r>
      <w:proofErr w:type="gramEnd"/>
      <w:r>
        <w:t xml:space="preserve"> or vehicles that are not assigned to one of the UN numbers stated in the opening paragraph of 2.9.4 or 2.9.5.</w:t>
      </w:r>
    </w:p>
    <w:p w14:paraId="30446414" w14:textId="1F7F59E1" w:rsidR="00174A86" w:rsidRDefault="00174A86" w:rsidP="00174A86">
      <w:pPr>
        <w:pStyle w:val="SingleTxtG"/>
      </w:pPr>
      <w:r>
        <w:t>4.</w:t>
      </w:r>
      <w:r>
        <w:tab/>
        <w:t>The reference in these special provisions to paragraph</w:t>
      </w:r>
      <w:r w:rsidR="008A5278">
        <w:t>(s)</w:t>
      </w:r>
      <w:r>
        <w:t xml:space="preserve"> 2.9.4 and/or 2.9.5, which are assigned to UN numbers other than UN Nos. 3090, 3091, 3480 or 3481 creates a conflict with some consignors challenging the requirements set out in subparagraphs 2.9.4 </w:t>
      </w:r>
      <w:r w:rsidR="000254A4">
        <w:t>(</w:t>
      </w:r>
      <w:r>
        <w:t xml:space="preserve">a) to </w:t>
      </w:r>
      <w:r w:rsidR="000254A4">
        <w:t>(</w:t>
      </w:r>
      <w:r>
        <w:t>g) as not applying to articles, engines or vehicles as the applicable UN numbers are not referenced in paragraph 2.9.4 or 2.9.5.</w:t>
      </w:r>
    </w:p>
    <w:p w14:paraId="4AC01B92" w14:textId="526A7176" w:rsidR="00174A86" w:rsidRDefault="00174A86" w:rsidP="00174A86">
      <w:pPr>
        <w:pStyle w:val="HChG"/>
      </w:pPr>
      <w:r>
        <w:tab/>
        <w:t>II.</w:t>
      </w:r>
      <w:r>
        <w:tab/>
        <w:t>Proposal</w:t>
      </w:r>
    </w:p>
    <w:p w14:paraId="46EE94BE" w14:textId="08D2D0B0" w:rsidR="00174A86" w:rsidRDefault="00174A86" w:rsidP="00174A86">
      <w:pPr>
        <w:pStyle w:val="SingleTxtG"/>
      </w:pPr>
      <w:r>
        <w:t>5.</w:t>
      </w:r>
      <w:r>
        <w:tab/>
        <w:t>The Sub-Committee is invited to amend the wording of paragraphs 2.9.4 and 2.9.5 to remove the reference to specific UN numbers.</w:t>
      </w:r>
    </w:p>
    <w:p w14:paraId="49CD1BA8" w14:textId="77777777" w:rsidR="00174A86" w:rsidRDefault="00174A86" w:rsidP="00174A86">
      <w:pPr>
        <w:pStyle w:val="SingleTxtG"/>
      </w:pPr>
      <w:r>
        <w:lastRenderedPageBreak/>
        <w:t>6.</w:t>
      </w:r>
      <w:r>
        <w:tab/>
        <w:t xml:space="preserve">Amend the wording of 2.9.4 as follows (new text is </w:t>
      </w:r>
      <w:r w:rsidRPr="00174A86">
        <w:rPr>
          <w:u w:val="single"/>
        </w:rPr>
        <w:t>underlined</w:t>
      </w:r>
      <w:r>
        <w:t xml:space="preserve">, deleted text in </w:t>
      </w:r>
      <w:r w:rsidRPr="00174A86">
        <w:rPr>
          <w:strike/>
        </w:rPr>
        <w:t>strikethrough</w:t>
      </w:r>
      <w:r>
        <w:t>):</w:t>
      </w:r>
    </w:p>
    <w:p w14:paraId="5CAAE5AE" w14:textId="28020374" w:rsidR="00174A86" w:rsidRPr="00174A86" w:rsidRDefault="00174A86" w:rsidP="00174A86">
      <w:pPr>
        <w:pStyle w:val="SingleTxtG"/>
        <w:ind w:left="1701"/>
        <w:rPr>
          <w:b/>
          <w:bCs/>
        </w:rPr>
      </w:pPr>
      <w:r>
        <w:t>“</w:t>
      </w:r>
      <w:r w:rsidRPr="00174A86">
        <w:rPr>
          <w:b/>
          <w:bCs/>
        </w:rPr>
        <w:t>2.9.4</w:t>
      </w:r>
      <w:r w:rsidR="00987886">
        <w:rPr>
          <w:b/>
          <w:bCs/>
        </w:rPr>
        <w:tab/>
      </w:r>
      <w:r w:rsidRPr="00174A86">
        <w:rPr>
          <w:b/>
          <w:bCs/>
        </w:rPr>
        <w:t>Lithium batteries</w:t>
      </w:r>
    </w:p>
    <w:p w14:paraId="233A2266" w14:textId="77777777" w:rsidR="00174A86" w:rsidRDefault="00174A86" w:rsidP="00987886">
      <w:pPr>
        <w:pStyle w:val="SingleTxtG"/>
        <w:ind w:left="1701" w:firstLine="567"/>
      </w:pPr>
      <w:r>
        <w:t xml:space="preserve">Cells and batteries, cells and batteries contained in </w:t>
      </w:r>
      <w:r w:rsidRPr="00174A86">
        <w:rPr>
          <w:u w:val="single"/>
        </w:rPr>
        <w:t>articles, engines,</w:t>
      </w:r>
      <w:r>
        <w:t xml:space="preserve"> equipment </w:t>
      </w:r>
      <w:r w:rsidRPr="00174A86">
        <w:rPr>
          <w:u w:val="single"/>
        </w:rPr>
        <w:t>or vehicles</w:t>
      </w:r>
      <w:r>
        <w:t xml:space="preserve">, or cells and batteries packed with equipment, containing lithium in any form </w:t>
      </w:r>
      <w:r w:rsidRPr="00174A86">
        <w:rPr>
          <w:strike/>
        </w:rPr>
        <w:t>shall be assigned to UN Nos. 3090, 3091, 3480 or 3481 as appropriate. They</w:t>
      </w:r>
      <w:r>
        <w:t xml:space="preserve"> may be transported </w:t>
      </w:r>
      <w:r w:rsidRPr="00174A86">
        <w:rPr>
          <w:strike/>
        </w:rPr>
        <w:t>under these entries</w:t>
      </w:r>
      <w:r>
        <w:t xml:space="preserve"> if they meet the following provisions:</w:t>
      </w:r>
    </w:p>
    <w:p w14:paraId="084662E6" w14:textId="51F27CC5" w:rsidR="00174A86" w:rsidRDefault="00174A86" w:rsidP="00174A86">
      <w:pPr>
        <w:pStyle w:val="SingleTxtG"/>
        <w:ind w:left="1701"/>
      </w:pPr>
      <w:r>
        <w:t>…”</w:t>
      </w:r>
    </w:p>
    <w:p w14:paraId="0F4CBBBE" w14:textId="2150FDB9" w:rsidR="00174A86" w:rsidRDefault="00174A86" w:rsidP="00174A86">
      <w:pPr>
        <w:pStyle w:val="SingleTxtG"/>
      </w:pPr>
      <w:r>
        <w:t>7.</w:t>
      </w:r>
      <w:r>
        <w:tab/>
        <w:t xml:space="preserve">Amend the wording of 2.9.5 as follows (new text is </w:t>
      </w:r>
      <w:r w:rsidRPr="00174A86">
        <w:rPr>
          <w:u w:val="single"/>
        </w:rPr>
        <w:t>underlined</w:t>
      </w:r>
      <w:r>
        <w:t xml:space="preserve">, deleted text in </w:t>
      </w:r>
      <w:r w:rsidRPr="00174A86">
        <w:rPr>
          <w:strike/>
        </w:rPr>
        <w:t>strikethrough</w:t>
      </w:r>
      <w:r>
        <w:t>):</w:t>
      </w:r>
    </w:p>
    <w:p w14:paraId="0DCB259E" w14:textId="1861F517" w:rsidR="00174A86" w:rsidRPr="00174A86" w:rsidRDefault="00174A86" w:rsidP="00174A86">
      <w:pPr>
        <w:pStyle w:val="SingleTxtG"/>
        <w:ind w:left="1701"/>
        <w:rPr>
          <w:b/>
          <w:bCs/>
        </w:rPr>
      </w:pPr>
      <w:r>
        <w:t>“</w:t>
      </w:r>
      <w:r w:rsidRPr="00174A86">
        <w:rPr>
          <w:b/>
          <w:bCs/>
        </w:rPr>
        <w:t>2.9.5</w:t>
      </w:r>
      <w:r w:rsidRPr="00174A86">
        <w:rPr>
          <w:b/>
          <w:bCs/>
        </w:rPr>
        <w:tab/>
        <w:t>Sodium ion batteries</w:t>
      </w:r>
    </w:p>
    <w:p w14:paraId="456EDDB6" w14:textId="3B225EAD" w:rsidR="00174A86" w:rsidRDefault="00F17C20" w:rsidP="00174A86">
      <w:pPr>
        <w:pStyle w:val="SingleTxtG"/>
        <w:ind w:left="1701"/>
      </w:pPr>
      <w:r>
        <w:tab/>
      </w:r>
      <w:r w:rsidR="00174A86">
        <w:tab/>
        <w:t xml:space="preserve">Cells and batteries, cells and batteries contained in </w:t>
      </w:r>
      <w:r w:rsidR="00174A86" w:rsidRPr="00174A86">
        <w:rPr>
          <w:u w:val="single"/>
        </w:rPr>
        <w:t>articles, engines,</w:t>
      </w:r>
      <w:r w:rsidR="00174A86">
        <w:t xml:space="preserve"> equipment </w:t>
      </w:r>
      <w:r w:rsidR="00174A86" w:rsidRPr="00174A86">
        <w:rPr>
          <w:u w:val="single"/>
        </w:rPr>
        <w:t>or vehicles</w:t>
      </w:r>
      <w:r w:rsidR="00174A86">
        <w: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w:t>
      </w:r>
      <w:r w:rsidR="00174A86" w:rsidRPr="00174A86">
        <w:rPr>
          <w:strike/>
        </w:rPr>
        <w:t>, shall be assigned to UN Nos. 3551 or 3552 as appropriate.</w:t>
      </w:r>
      <w:r w:rsidR="00174A86">
        <w:t xml:space="preserve"> </w:t>
      </w:r>
      <w:r w:rsidR="00174A86" w:rsidRPr="00174A86">
        <w:rPr>
          <w:u w:val="single"/>
        </w:rPr>
        <w:t>may be transported if they meet the following provisions:</w:t>
      </w:r>
    </w:p>
    <w:p w14:paraId="493C7B9D" w14:textId="77777777" w:rsidR="00174A86" w:rsidRPr="00174A86" w:rsidRDefault="00174A86" w:rsidP="00174A86">
      <w:pPr>
        <w:pStyle w:val="SingleTxtG"/>
        <w:ind w:left="1701"/>
        <w:rPr>
          <w:i/>
          <w:iCs/>
        </w:rPr>
      </w:pPr>
      <w:r w:rsidRPr="00174A86">
        <w:rPr>
          <w:b/>
          <w:bCs/>
          <w:i/>
          <w:iCs/>
        </w:rPr>
        <w:t>NOTE:</w:t>
      </w:r>
      <w:r w:rsidRPr="00174A86">
        <w:rPr>
          <w:i/>
          <w:iCs/>
        </w:rPr>
        <w:tab/>
        <w:t>Intercalated sodium exists in an ionic or quasi-atomic form in the lattice of the electrode material.</w:t>
      </w:r>
    </w:p>
    <w:p w14:paraId="305F107A" w14:textId="77777777" w:rsidR="00174A86" w:rsidRPr="00174A86" w:rsidRDefault="00174A86" w:rsidP="00174A86">
      <w:pPr>
        <w:pStyle w:val="SingleTxtG"/>
        <w:ind w:left="1701"/>
        <w:rPr>
          <w:strike/>
        </w:rPr>
      </w:pPr>
      <w:r w:rsidRPr="00174A86">
        <w:rPr>
          <w:strike/>
        </w:rPr>
        <w:tab/>
        <w:t>They may be transported under these entries if they meet the following provisions:</w:t>
      </w:r>
    </w:p>
    <w:p w14:paraId="0CDDCC98" w14:textId="3133818F" w:rsidR="00AF5DE1" w:rsidRDefault="00174A86" w:rsidP="00174A86">
      <w:pPr>
        <w:pStyle w:val="SingleTxtG"/>
        <w:ind w:left="1701"/>
      </w:pPr>
      <w:r>
        <w:t>…”</w:t>
      </w:r>
    </w:p>
    <w:p w14:paraId="1FFE17D4" w14:textId="32311F54" w:rsidR="00174A86" w:rsidRPr="00174A86" w:rsidRDefault="00174A86" w:rsidP="00174A86">
      <w:pPr>
        <w:spacing w:before="240"/>
        <w:jc w:val="center"/>
        <w:rPr>
          <w:u w:val="single"/>
        </w:rPr>
      </w:pPr>
      <w:r>
        <w:rPr>
          <w:u w:val="single"/>
        </w:rPr>
        <w:tab/>
      </w:r>
      <w:r>
        <w:rPr>
          <w:u w:val="single"/>
        </w:rPr>
        <w:tab/>
      </w:r>
      <w:r>
        <w:rPr>
          <w:u w:val="single"/>
        </w:rPr>
        <w:tab/>
      </w:r>
    </w:p>
    <w:sectPr w:rsidR="00174A86" w:rsidRPr="00174A86" w:rsidSect="00174A8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5FB0" w14:textId="77777777" w:rsidR="00BD1700" w:rsidRPr="00C47B2E" w:rsidRDefault="00BD1700" w:rsidP="00C47B2E">
      <w:pPr>
        <w:pStyle w:val="Footer"/>
      </w:pPr>
    </w:p>
  </w:endnote>
  <w:endnote w:type="continuationSeparator" w:id="0">
    <w:p w14:paraId="20351350" w14:textId="77777777" w:rsidR="00BD1700" w:rsidRPr="00C47B2E" w:rsidRDefault="00BD1700" w:rsidP="00C47B2E">
      <w:pPr>
        <w:pStyle w:val="Footer"/>
      </w:pPr>
    </w:p>
  </w:endnote>
  <w:endnote w:type="continuationNotice" w:id="1">
    <w:p w14:paraId="466A5296" w14:textId="77777777" w:rsidR="00BD1700" w:rsidRPr="00C47B2E" w:rsidRDefault="00BD170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F88" w14:textId="1F072FF5" w:rsidR="00D94B05" w:rsidRPr="00174A86" w:rsidRDefault="00174A86" w:rsidP="00174A86">
    <w:pPr>
      <w:pStyle w:val="Footer"/>
      <w:tabs>
        <w:tab w:val="right" w:pos="9598"/>
        <w:tab w:val="right" w:pos="9638"/>
      </w:tabs>
      <w:rPr>
        <w:sz w:val="18"/>
      </w:rPr>
    </w:pPr>
    <w:r w:rsidRPr="00174A86">
      <w:rPr>
        <w:b/>
        <w:sz w:val="18"/>
      </w:rPr>
      <w:fldChar w:fldCharType="begin"/>
    </w:r>
    <w:r w:rsidRPr="00174A86">
      <w:rPr>
        <w:b/>
        <w:sz w:val="18"/>
      </w:rPr>
      <w:instrText xml:space="preserve"> PAGE  \* MERGEFORMAT </w:instrText>
    </w:r>
    <w:r w:rsidRPr="00174A86">
      <w:rPr>
        <w:b/>
        <w:sz w:val="18"/>
      </w:rPr>
      <w:fldChar w:fldCharType="separate"/>
    </w:r>
    <w:r w:rsidRPr="00174A86">
      <w:rPr>
        <w:b/>
        <w:noProof/>
        <w:sz w:val="18"/>
      </w:rPr>
      <w:t>2</w:t>
    </w:r>
    <w:r w:rsidRPr="00174A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4388" w14:textId="1D965D1E" w:rsidR="00D94B05" w:rsidRPr="00174A86" w:rsidRDefault="00174A86" w:rsidP="00174A86">
    <w:pPr>
      <w:pStyle w:val="Footer"/>
      <w:tabs>
        <w:tab w:val="left" w:pos="5775"/>
        <w:tab w:val="right" w:pos="9598"/>
        <w:tab w:val="right" w:pos="9638"/>
      </w:tabs>
      <w:rPr>
        <w:sz w:val="18"/>
      </w:rPr>
    </w:pPr>
    <w:r>
      <w:rPr>
        <w:b/>
        <w:sz w:val="18"/>
      </w:rPr>
      <w:tab/>
    </w:r>
    <w:r w:rsidRPr="00174A86">
      <w:rPr>
        <w:sz w:val="18"/>
      </w:rPr>
      <w:fldChar w:fldCharType="begin"/>
    </w:r>
    <w:r w:rsidRPr="00174A86">
      <w:rPr>
        <w:sz w:val="18"/>
      </w:rPr>
      <w:instrText xml:space="preserve"> PAGE  \* MERGEFORMAT </w:instrText>
    </w:r>
    <w:r w:rsidRPr="00174A86">
      <w:rPr>
        <w:sz w:val="18"/>
      </w:rPr>
      <w:fldChar w:fldCharType="separate"/>
    </w:r>
    <w:r w:rsidRPr="00174A86">
      <w:rPr>
        <w:noProof/>
        <w:sz w:val="18"/>
      </w:rPr>
      <w:t>3</w:t>
    </w:r>
    <w:r w:rsidRPr="00174A8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4BB0" w14:textId="3C16489D" w:rsidR="007149A5" w:rsidRDefault="007149A5" w:rsidP="007149A5">
    <w:pPr>
      <w:pStyle w:val="Footer"/>
    </w:pPr>
    <w:r w:rsidRPr="0027112F">
      <w:rPr>
        <w:noProof/>
        <w:lang w:val="en-US"/>
      </w:rPr>
      <w:drawing>
        <wp:anchor distT="0" distB="0" distL="114300" distR="114300" simplePos="0" relativeHeight="251659264" behindDoc="0" locked="1" layoutInCell="1" allowOverlap="1" wp14:anchorId="3EF2AF4D" wp14:editId="7F3C01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EC7698" w14:textId="7378F696" w:rsidR="007149A5" w:rsidRPr="007149A5" w:rsidRDefault="007149A5" w:rsidP="007149A5">
    <w:pPr>
      <w:pStyle w:val="Footer"/>
      <w:kinsoku/>
      <w:overflowPunct/>
      <w:autoSpaceDE/>
      <w:autoSpaceDN/>
      <w:adjustRightInd/>
      <w:ind w:right="1134"/>
      <w:rPr>
        <w:sz w:val="20"/>
      </w:rPr>
    </w:pPr>
    <w:r>
      <w:rPr>
        <w:sz w:val="20"/>
      </w:rPr>
      <w:t>GE.23-07505(E)</w:t>
    </w:r>
    <w:r>
      <w:rPr>
        <w:noProof/>
        <w:sz w:val="20"/>
      </w:rPr>
      <w:drawing>
        <wp:anchor distT="0" distB="0" distL="114300" distR="114300" simplePos="0" relativeHeight="251660288" behindDoc="0" locked="0" layoutInCell="1" allowOverlap="1" wp14:anchorId="33BB5770" wp14:editId="074D58B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D8ED" w14:textId="77777777" w:rsidR="00BD1700" w:rsidRPr="00C47B2E" w:rsidRDefault="00BD1700" w:rsidP="00C47B2E">
      <w:pPr>
        <w:tabs>
          <w:tab w:val="right" w:pos="2155"/>
        </w:tabs>
        <w:spacing w:after="80" w:line="240" w:lineRule="auto"/>
        <w:ind w:left="680"/>
      </w:pPr>
      <w:r>
        <w:rPr>
          <w:u w:val="single"/>
        </w:rPr>
        <w:tab/>
      </w:r>
    </w:p>
  </w:footnote>
  <w:footnote w:type="continuationSeparator" w:id="0">
    <w:p w14:paraId="47AC8A22" w14:textId="77777777" w:rsidR="00BD1700" w:rsidRPr="00C47B2E" w:rsidRDefault="00BD1700" w:rsidP="005E716E">
      <w:pPr>
        <w:tabs>
          <w:tab w:val="right" w:pos="2155"/>
        </w:tabs>
        <w:spacing w:after="80" w:line="240" w:lineRule="auto"/>
        <w:ind w:left="680"/>
      </w:pPr>
      <w:r>
        <w:rPr>
          <w:u w:val="single"/>
        </w:rPr>
        <w:tab/>
      </w:r>
    </w:p>
  </w:footnote>
  <w:footnote w:type="continuationNotice" w:id="1">
    <w:p w14:paraId="3B0A3483" w14:textId="77777777" w:rsidR="00BD1700" w:rsidRPr="00C47B2E" w:rsidRDefault="00BD1700" w:rsidP="00C47B2E">
      <w:pPr>
        <w:pStyle w:val="Footer"/>
      </w:pPr>
    </w:p>
  </w:footnote>
  <w:footnote w:id="2">
    <w:p w14:paraId="394A5FCF" w14:textId="5172918A" w:rsidR="00174A86" w:rsidRPr="00AA28E9" w:rsidRDefault="00174A86" w:rsidP="00174A86">
      <w:pPr>
        <w:pStyle w:val="FootnoteText"/>
        <w:rPr>
          <w:lang w:val="en-US"/>
        </w:rPr>
      </w:pPr>
      <w:r>
        <w:rPr>
          <w:rStyle w:val="FootnoteReference"/>
        </w:rPr>
        <w:tab/>
      </w:r>
      <w:r w:rsidRPr="00AA28E9">
        <w:rPr>
          <w:rStyle w:val="FootnoteReference"/>
          <w:sz w:val="20"/>
          <w:vertAlign w:val="baseline"/>
        </w:rPr>
        <w:t>*</w:t>
      </w:r>
      <w:r>
        <w:rPr>
          <w:rStyle w:val="FootnoteReference"/>
          <w:sz w:val="20"/>
          <w:vertAlign w:val="baseline"/>
        </w:rPr>
        <w:tab/>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06DA" w14:textId="6E583790" w:rsidR="00174A86" w:rsidRPr="00174A86" w:rsidRDefault="00174A86">
    <w:pPr>
      <w:pStyle w:val="Header"/>
    </w:pPr>
    <w:r>
      <w:t>ST/SG/AC.10/C.3/2023/23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DD63" w14:textId="15F2B815" w:rsidR="00D94B05" w:rsidRPr="00174A86" w:rsidRDefault="007149A5" w:rsidP="00174A86">
    <w:pPr>
      <w:pStyle w:val="Header"/>
      <w:jc w:val="right"/>
    </w:pPr>
    <w:r>
      <w:fldChar w:fldCharType="begin"/>
    </w:r>
    <w:r>
      <w:instrText xml:space="preserve"> TITLE  \* MERGEFORMAT</w:instrText>
    </w:r>
    <w:r>
      <w:instrText xml:space="preserve"> </w:instrText>
    </w:r>
    <w:r>
      <w:fldChar w:fldCharType="separate"/>
    </w:r>
    <w:r w:rsidR="00174A86">
      <w:t>ST/SG/AC.10/C.3/2023/23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329053">
    <w:abstractNumId w:val="5"/>
  </w:num>
  <w:num w:numId="2" w16cid:durableId="577248324">
    <w:abstractNumId w:val="4"/>
  </w:num>
  <w:num w:numId="3" w16cid:durableId="1767647507">
    <w:abstractNumId w:val="0"/>
  </w:num>
  <w:num w:numId="4" w16cid:durableId="707026212">
    <w:abstractNumId w:val="6"/>
  </w:num>
  <w:num w:numId="5" w16cid:durableId="105077679">
    <w:abstractNumId w:val="7"/>
  </w:num>
  <w:num w:numId="6" w16cid:durableId="2006468818">
    <w:abstractNumId w:val="9"/>
  </w:num>
  <w:num w:numId="7" w16cid:durableId="819881123">
    <w:abstractNumId w:val="3"/>
  </w:num>
  <w:num w:numId="8" w16cid:durableId="1618371192">
    <w:abstractNumId w:val="1"/>
  </w:num>
  <w:num w:numId="9" w16cid:durableId="1610502579">
    <w:abstractNumId w:val="8"/>
  </w:num>
  <w:num w:numId="10" w16cid:durableId="216207476">
    <w:abstractNumId w:val="1"/>
  </w:num>
  <w:num w:numId="11" w16cid:durableId="2049914682">
    <w:abstractNumId w:val="8"/>
  </w:num>
  <w:num w:numId="12" w16cid:durableId="1636712431">
    <w:abstractNumId w:val="2"/>
  </w:num>
  <w:num w:numId="13" w16cid:durableId="422386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86"/>
    <w:rsid w:val="000254A4"/>
    <w:rsid w:val="00046E92"/>
    <w:rsid w:val="00063C90"/>
    <w:rsid w:val="00101B98"/>
    <w:rsid w:val="001514D1"/>
    <w:rsid w:val="00174A86"/>
    <w:rsid w:val="00213698"/>
    <w:rsid w:val="00247E2C"/>
    <w:rsid w:val="002A32CB"/>
    <w:rsid w:val="002D5B2C"/>
    <w:rsid w:val="002D6C53"/>
    <w:rsid w:val="002F5595"/>
    <w:rsid w:val="00334F6A"/>
    <w:rsid w:val="00342AC8"/>
    <w:rsid w:val="00343302"/>
    <w:rsid w:val="003979DE"/>
    <w:rsid w:val="003B4550"/>
    <w:rsid w:val="003D2A18"/>
    <w:rsid w:val="00413386"/>
    <w:rsid w:val="00440A59"/>
    <w:rsid w:val="00461253"/>
    <w:rsid w:val="004858F5"/>
    <w:rsid w:val="004A2814"/>
    <w:rsid w:val="004C0622"/>
    <w:rsid w:val="005042C2"/>
    <w:rsid w:val="005E716E"/>
    <w:rsid w:val="006476E1"/>
    <w:rsid w:val="006604DF"/>
    <w:rsid w:val="00671529"/>
    <w:rsid w:val="006E5A7E"/>
    <w:rsid w:val="0070489D"/>
    <w:rsid w:val="007149A5"/>
    <w:rsid w:val="007268F9"/>
    <w:rsid w:val="00750282"/>
    <w:rsid w:val="00764440"/>
    <w:rsid w:val="0077101B"/>
    <w:rsid w:val="007C52B0"/>
    <w:rsid w:val="007C6033"/>
    <w:rsid w:val="008147C8"/>
    <w:rsid w:val="0081753A"/>
    <w:rsid w:val="00857D23"/>
    <w:rsid w:val="008A5278"/>
    <w:rsid w:val="009411B4"/>
    <w:rsid w:val="009435A8"/>
    <w:rsid w:val="00946F1D"/>
    <w:rsid w:val="00987886"/>
    <w:rsid w:val="009D0139"/>
    <w:rsid w:val="009D717D"/>
    <w:rsid w:val="009F41C6"/>
    <w:rsid w:val="009F5CDC"/>
    <w:rsid w:val="00A072D7"/>
    <w:rsid w:val="00A775CF"/>
    <w:rsid w:val="00AD1A9C"/>
    <w:rsid w:val="00AF5DE1"/>
    <w:rsid w:val="00B06045"/>
    <w:rsid w:val="00B206DD"/>
    <w:rsid w:val="00B2173C"/>
    <w:rsid w:val="00B52EF4"/>
    <w:rsid w:val="00B777AD"/>
    <w:rsid w:val="00BD1700"/>
    <w:rsid w:val="00C03015"/>
    <w:rsid w:val="00C0358D"/>
    <w:rsid w:val="00C35A27"/>
    <w:rsid w:val="00C47B2E"/>
    <w:rsid w:val="00D63CD2"/>
    <w:rsid w:val="00D87DC2"/>
    <w:rsid w:val="00D94B05"/>
    <w:rsid w:val="00DC033B"/>
    <w:rsid w:val="00E02C2B"/>
    <w:rsid w:val="00E21C27"/>
    <w:rsid w:val="00E26BCF"/>
    <w:rsid w:val="00E52109"/>
    <w:rsid w:val="00E75317"/>
    <w:rsid w:val="00E93968"/>
    <w:rsid w:val="00EC0CE6"/>
    <w:rsid w:val="00EC7C1D"/>
    <w:rsid w:val="00ED6C48"/>
    <w:rsid w:val="00EE3045"/>
    <w:rsid w:val="00F17C20"/>
    <w:rsid w:val="00F45139"/>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7234"/>
  <w15:docId w15:val="{99AD673C-40EC-473B-936D-870F2D6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174A86"/>
    <w:rPr>
      <w:b/>
      <w:sz w:val="24"/>
    </w:rPr>
  </w:style>
  <w:style w:type="character" w:customStyle="1" w:styleId="HChGChar">
    <w:name w:val="_ H _Ch_G Char"/>
    <w:link w:val="HChG"/>
    <w:qFormat/>
    <w:rsid w:val="00174A8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4C94-8D53-4F51-B88A-2E46F992D55D}"/>
</file>

<file path=customXml/itemProps2.xml><?xml version="1.0" encoding="utf-8"?>
<ds:datastoreItem xmlns:ds="http://schemas.openxmlformats.org/officeDocument/2006/customXml" ds:itemID="{73D6E8E8-95F0-4004-AA1C-888C000213A2}">
  <ds:schemaRefs>
    <ds:schemaRef ds:uri="http://schemas.microsoft.com/sharepoint/v3/contenttype/forms"/>
  </ds:schemaRefs>
</ds:datastoreItem>
</file>

<file path=customXml/itemProps3.xml><?xml version="1.0" encoding="utf-8"?>
<ds:datastoreItem xmlns:ds="http://schemas.openxmlformats.org/officeDocument/2006/customXml" ds:itemID="{18F26538-1539-4FFD-9325-0557DE2097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2811</Characters>
  <Application>Microsoft Office Word</Application>
  <DocSecurity>0</DocSecurity>
  <Lines>63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ST/SG/AC.10/C.3/2023/23</dc:title>
  <dc:subject>2307505</dc:subject>
  <dc:creator>Editorial</dc:creator>
  <cp:keywords/>
  <dc:description/>
  <cp:lastModifiedBy>Don Canete Martin</cp:lastModifiedBy>
  <cp:revision>2</cp:revision>
  <dcterms:created xsi:type="dcterms:W3CDTF">2023-04-21T06:43:00Z</dcterms:created>
  <dcterms:modified xsi:type="dcterms:W3CDTF">2023-04-21T06:43:00Z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