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395E76A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06411EB" w14:textId="77777777" w:rsidR="00F35BAF" w:rsidRPr="00DB58B5" w:rsidRDefault="00F35BAF" w:rsidP="002B0197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A10100D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544BEF5" w14:textId="652EDF17" w:rsidR="00F35BAF" w:rsidRPr="00DB58B5" w:rsidRDefault="002B0197" w:rsidP="002B0197">
            <w:pPr>
              <w:jc w:val="right"/>
            </w:pPr>
            <w:r w:rsidRPr="002B0197">
              <w:rPr>
                <w:sz w:val="40"/>
              </w:rPr>
              <w:t>ECE</w:t>
            </w:r>
            <w:r>
              <w:t>/TRANS/WP.29/2023/123</w:t>
            </w:r>
          </w:p>
        </w:tc>
      </w:tr>
      <w:tr w:rsidR="00F35BAF" w:rsidRPr="00DB58B5" w14:paraId="6A177C3E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7F9A5BF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742281C" wp14:editId="500987DF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F58977C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8374839" w14:textId="77777777" w:rsidR="00F35BAF" w:rsidRDefault="002B0197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28033D13" w14:textId="77777777" w:rsidR="002B0197" w:rsidRDefault="002B0197" w:rsidP="002B0197">
            <w:pPr>
              <w:spacing w:line="240" w:lineRule="exact"/>
            </w:pPr>
            <w:r>
              <w:t>31 août 2023</w:t>
            </w:r>
          </w:p>
          <w:p w14:paraId="166598D6" w14:textId="77777777" w:rsidR="002B0197" w:rsidRDefault="002B0197" w:rsidP="002B0197">
            <w:pPr>
              <w:spacing w:line="240" w:lineRule="exact"/>
            </w:pPr>
            <w:r>
              <w:t>Français</w:t>
            </w:r>
          </w:p>
          <w:p w14:paraId="44B836B4" w14:textId="210B8291" w:rsidR="002B0197" w:rsidRPr="00DB58B5" w:rsidRDefault="002B0197" w:rsidP="002B0197">
            <w:pPr>
              <w:spacing w:line="240" w:lineRule="exact"/>
            </w:pPr>
            <w:r>
              <w:t>Original : anglais</w:t>
            </w:r>
          </w:p>
        </w:tc>
      </w:tr>
    </w:tbl>
    <w:p w14:paraId="22064319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548D120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71A93BB" w14:textId="17DD3E6A" w:rsidR="00B97377" w:rsidRPr="003529EC" w:rsidRDefault="00B97377" w:rsidP="00B97377">
      <w:pPr>
        <w:kinsoku/>
        <w:overflowPunct/>
        <w:autoSpaceDE/>
        <w:autoSpaceDN/>
        <w:adjustRightInd/>
        <w:snapToGrid/>
        <w:spacing w:before="120" w:after="120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529EC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Forum mondial de l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’</w:t>
      </w:r>
      <w:r w:rsidRPr="003529EC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harmonisation des Règlements 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</w:r>
      <w:r w:rsidRPr="003529EC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concernant les véhicules</w:t>
      </w:r>
    </w:p>
    <w:p w14:paraId="08375A7A" w14:textId="5EDCE995" w:rsidR="00B97377" w:rsidRPr="003F1C56" w:rsidRDefault="00B97377" w:rsidP="00B97377">
      <w:pPr>
        <w:rPr>
          <w:rFonts w:asciiTheme="majorBidi" w:hAnsiTheme="majorBidi" w:cstheme="majorBidi"/>
          <w:b/>
          <w:lang w:val="fr-FR"/>
        </w:rPr>
      </w:pPr>
      <w:r>
        <w:rPr>
          <w:b/>
          <w:bCs/>
          <w:lang w:val="fr-FR"/>
        </w:rPr>
        <w:t>191</w:t>
      </w:r>
      <w:r w:rsidRPr="00B97377">
        <w:rPr>
          <w:b/>
          <w:bCs/>
          <w:vertAlign w:val="superscript"/>
          <w:lang w:val="fr-FR"/>
        </w:rPr>
        <w:t>e</w:t>
      </w:r>
      <w:r w:rsidRPr="003F1C56">
        <w:rPr>
          <w:b/>
          <w:bCs/>
          <w:lang w:val="fr-FR"/>
        </w:rPr>
        <w:t xml:space="preserve"> session</w:t>
      </w:r>
    </w:p>
    <w:p w14:paraId="4E96BAE8" w14:textId="77777777" w:rsidR="00B97377" w:rsidRPr="003F1C56" w:rsidRDefault="00B97377" w:rsidP="00B97377">
      <w:pPr>
        <w:rPr>
          <w:rFonts w:asciiTheme="majorBidi" w:hAnsiTheme="majorBidi" w:cstheme="majorBidi"/>
          <w:lang w:val="fr-FR"/>
        </w:rPr>
      </w:pPr>
      <w:r w:rsidRPr="003F1C56">
        <w:rPr>
          <w:lang w:val="fr-FR"/>
        </w:rPr>
        <w:t xml:space="preserve">Genève, </w:t>
      </w:r>
      <w:r>
        <w:rPr>
          <w:lang w:val="fr-FR"/>
        </w:rPr>
        <w:t>14-16 novembre</w:t>
      </w:r>
      <w:r w:rsidRPr="003F1C56">
        <w:rPr>
          <w:lang w:val="fr-FR"/>
        </w:rPr>
        <w:t xml:space="preserve"> 2023</w:t>
      </w:r>
    </w:p>
    <w:p w14:paraId="078D4627" w14:textId="77777777" w:rsidR="00B97377" w:rsidRPr="003F1C56" w:rsidRDefault="00B97377" w:rsidP="00B97377">
      <w:pPr>
        <w:rPr>
          <w:rFonts w:asciiTheme="majorBidi" w:hAnsiTheme="majorBidi" w:cstheme="majorBidi"/>
          <w:lang w:val="fr-FR"/>
        </w:rPr>
      </w:pPr>
      <w:r w:rsidRPr="003F1C56">
        <w:rPr>
          <w:lang w:val="fr-FR"/>
        </w:rPr>
        <w:t xml:space="preserve">Point </w:t>
      </w:r>
      <w:r>
        <w:rPr>
          <w:lang w:val="fr-FR"/>
        </w:rPr>
        <w:t>4.8.19</w:t>
      </w:r>
      <w:r w:rsidRPr="003F1C56">
        <w:rPr>
          <w:lang w:val="fr-FR"/>
        </w:rPr>
        <w:t xml:space="preserve"> de l</w:t>
      </w:r>
      <w:r>
        <w:rPr>
          <w:lang w:val="fr-FR"/>
        </w:rPr>
        <w:t>’</w:t>
      </w:r>
      <w:r w:rsidRPr="003F1C56">
        <w:rPr>
          <w:lang w:val="fr-FR"/>
        </w:rPr>
        <w:t>ordre du jour provisoire</w:t>
      </w:r>
    </w:p>
    <w:p w14:paraId="310C677E" w14:textId="70B37F4C" w:rsidR="00B97377" w:rsidRPr="00DF727F" w:rsidRDefault="00B97377" w:rsidP="00B97377">
      <w:pPr>
        <w:rPr>
          <w:b/>
          <w:bCs/>
          <w:lang w:val="fr-FR"/>
        </w:rPr>
      </w:pPr>
      <w:r>
        <w:rPr>
          <w:b/>
          <w:bCs/>
          <w:lang w:val="fr-FR"/>
        </w:rPr>
        <w:t>Accord de 1958 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Examen de projets d’amendements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à des Règlements ONU existants,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soumis par le GRSP</w:t>
      </w:r>
    </w:p>
    <w:p w14:paraId="43EB1C33" w14:textId="31277BB9" w:rsidR="00B97377" w:rsidRDefault="00B97377" w:rsidP="00B97377">
      <w:pPr>
        <w:pStyle w:val="HChG"/>
        <w:rPr>
          <w:b w:val="0"/>
          <w:bCs/>
          <w:spacing w:val="-4"/>
          <w:sz w:val="20"/>
        </w:rPr>
      </w:pPr>
      <w:r w:rsidRPr="003F1C56">
        <w:rPr>
          <w:lang w:val="fr-FR"/>
        </w:rPr>
        <w:tab/>
      </w:r>
      <w:r w:rsidRPr="003F1C56">
        <w:rPr>
          <w:lang w:val="fr-FR"/>
        </w:rPr>
        <w:tab/>
      </w:r>
      <w:r w:rsidRPr="00CE62D9">
        <w:rPr>
          <w:lang w:val="fr-FR"/>
        </w:rPr>
        <w:t>Proposition de complément 2 à la série 02 d</w:t>
      </w:r>
      <w:r>
        <w:rPr>
          <w:lang w:val="fr-FR"/>
        </w:rPr>
        <w:t>’</w:t>
      </w:r>
      <w:r w:rsidRPr="00CE62D9">
        <w:rPr>
          <w:lang w:val="fr-FR"/>
        </w:rPr>
        <w:t xml:space="preserve">amendements </w:t>
      </w:r>
      <w:r>
        <w:rPr>
          <w:lang w:val="fr-FR"/>
        </w:rPr>
        <w:br/>
      </w:r>
      <w:r w:rsidRPr="00CE62D9">
        <w:rPr>
          <w:lang w:val="fr-FR"/>
        </w:rPr>
        <w:t>au Règlement ONU n</w:t>
      </w:r>
      <w:r w:rsidRPr="007E0378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CE62D9">
        <w:rPr>
          <w:lang w:val="fr-FR"/>
        </w:rPr>
        <w:t>135 (Choc latéral contre un poteau)</w:t>
      </w:r>
    </w:p>
    <w:p w14:paraId="44DF4857" w14:textId="5B93CDEE" w:rsidR="00B97377" w:rsidRPr="003F1C56" w:rsidRDefault="002E6F1E" w:rsidP="002E6F1E">
      <w:pPr>
        <w:pStyle w:val="HChG"/>
        <w:rPr>
          <w:lang w:val="fr-FR"/>
        </w:rPr>
      </w:pPr>
      <w:r>
        <w:rPr>
          <w:lang w:val="fr-FR"/>
        </w:rPr>
        <w:tab/>
      </w:r>
      <w:r w:rsidR="00B97377" w:rsidRPr="003F1C56">
        <w:rPr>
          <w:lang w:val="fr-FR"/>
        </w:rPr>
        <w:tab/>
        <w:t xml:space="preserve">Communication </w:t>
      </w:r>
      <w:r w:rsidR="00B97377">
        <w:rPr>
          <w:lang w:val="fr-FR"/>
        </w:rPr>
        <w:t xml:space="preserve">du </w:t>
      </w:r>
      <w:r w:rsidR="00B97377" w:rsidRPr="00D224FA">
        <w:rPr>
          <w:lang w:val="fr-FR"/>
        </w:rPr>
        <w:t>Groupe de travail de la sécurité passive</w:t>
      </w:r>
      <w:r w:rsidR="00B97377" w:rsidRPr="002E6F1E">
        <w:rPr>
          <w:rStyle w:val="Appelnotedebasdep"/>
          <w:b w:val="0"/>
          <w:sz w:val="20"/>
          <w:vertAlign w:val="baseline"/>
        </w:rPr>
        <w:footnoteReference w:customMarkFollows="1" w:id="2"/>
        <w:sym w:font="Symbol" w:char="F02A"/>
      </w:r>
    </w:p>
    <w:p w14:paraId="44E7187B" w14:textId="673A310D" w:rsidR="00B97377" w:rsidRPr="003F1C56" w:rsidRDefault="00B97377" w:rsidP="00B97377">
      <w:pPr>
        <w:pStyle w:val="SingleTxtG"/>
        <w:ind w:firstLine="567"/>
        <w:rPr>
          <w:lang w:val="fr-FR"/>
        </w:rPr>
      </w:pPr>
      <w:r w:rsidRPr="003F1C56">
        <w:rPr>
          <w:lang w:val="fr-FR"/>
        </w:rPr>
        <w:t xml:space="preserve">Le texte ci-après, </w:t>
      </w:r>
      <w:r w:rsidRPr="007E0378">
        <w:rPr>
          <w:lang w:val="fr-FR"/>
        </w:rPr>
        <w:t>adopté par le Groupe de travail de la sécurité passive (GRSP) à sa soixante</w:t>
      </w:r>
      <w:r w:rsidR="00C07168">
        <w:rPr>
          <w:lang w:val="fr-FR"/>
        </w:rPr>
        <w:noBreakHyphen/>
      </w:r>
      <w:r w:rsidRPr="007E0378">
        <w:rPr>
          <w:lang w:val="fr-FR"/>
        </w:rPr>
        <w:t>treizième session (ECE/TRANS/WP.29/GRSP/73, par.</w:t>
      </w:r>
      <w:r w:rsidR="00C07168">
        <w:rPr>
          <w:lang w:val="fr-FR"/>
        </w:rPr>
        <w:t> </w:t>
      </w:r>
      <w:r>
        <w:rPr>
          <w:lang w:val="fr-FR"/>
        </w:rPr>
        <w:t>38</w:t>
      </w:r>
      <w:r w:rsidRPr="007E0378">
        <w:rPr>
          <w:lang w:val="fr-FR"/>
        </w:rPr>
        <w:t>),</w:t>
      </w:r>
      <w:r>
        <w:rPr>
          <w:lang w:val="fr-FR"/>
        </w:rPr>
        <w:t xml:space="preserve"> </w:t>
      </w:r>
      <w:r w:rsidRPr="007E0378">
        <w:rPr>
          <w:lang w:val="fr-FR"/>
        </w:rPr>
        <w:t xml:space="preserve">est fondé sur le document </w:t>
      </w:r>
      <w:r>
        <w:t xml:space="preserve">ECE/TRANS/WP.29/GRSP/2023/19 </w:t>
      </w:r>
      <w:r w:rsidRPr="007E0378">
        <w:rPr>
          <w:lang w:val="fr-FR"/>
        </w:rPr>
        <w:t>tel que modifié par l</w:t>
      </w:r>
      <w:r>
        <w:rPr>
          <w:lang w:val="fr-FR"/>
        </w:rPr>
        <w:t>’</w:t>
      </w:r>
      <w:r w:rsidRPr="007E0378">
        <w:rPr>
          <w:lang w:val="fr-FR"/>
        </w:rPr>
        <w:t xml:space="preserve">annexe </w:t>
      </w:r>
      <w:r>
        <w:rPr>
          <w:lang w:val="fr-FR"/>
        </w:rPr>
        <w:t xml:space="preserve">IX </w:t>
      </w:r>
      <w:r w:rsidRPr="007E0378">
        <w:rPr>
          <w:lang w:val="fr-FR"/>
        </w:rPr>
        <w:t>du rapport.</w:t>
      </w:r>
      <w:r>
        <w:rPr>
          <w:lang w:val="fr-FR"/>
        </w:rPr>
        <w:t xml:space="preserve"> </w:t>
      </w:r>
      <w:r w:rsidRPr="007E0378">
        <w:rPr>
          <w:lang w:val="fr-FR"/>
        </w:rPr>
        <w:t>Il est soumis au Forum mondial de l</w:t>
      </w:r>
      <w:r>
        <w:rPr>
          <w:lang w:val="fr-FR"/>
        </w:rPr>
        <w:t>’</w:t>
      </w:r>
      <w:r w:rsidRPr="007E0378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7E0378">
        <w:rPr>
          <w:lang w:val="fr-FR"/>
        </w:rPr>
        <w:t>administration de l</w:t>
      </w:r>
      <w:r>
        <w:rPr>
          <w:lang w:val="fr-FR"/>
        </w:rPr>
        <w:t>’</w:t>
      </w:r>
      <w:r w:rsidRPr="007E0378">
        <w:rPr>
          <w:lang w:val="fr-FR"/>
        </w:rPr>
        <w:t>Accord de 1958 (AC.1) pour examen à leurs sessions de novembre 2023.</w:t>
      </w:r>
    </w:p>
    <w:p w14:paraId="70A30F95" w14:textId="77777777" w:rsidR="00B97377" w:rsidRPr="003F1C56" w:rsidRDefault="00B97377" w:rsidP="00B97377">
      <w:pPr>
        <w:rPr>
          <w:lang w:val="fr-FR"/>
        </w:rPr>
      </w:pPr>
      <w:r w:rsidRPr="003F1C56">
        <w:rPr>
          <w:sz w:val="24"/>
          <w:szCs w:val="24"/>
          <w:lang w:val="fr-FR" w:eastAsia="zh-CN"/>
        </w:rPr>
        <w:br w:type="page"/>
      </w:r>
    </w:p>
    <w:p w14:paraId="20E3AB7B" w14:textId="77777777" w:rsidR="00E55B37" w:rsidRPr="00D224FA" w:rsidRDefault="00E55B37" w:rsidP="00E55B37">
      <w:pPr>
        <w:pStyle w:val="SingleTxtG"/>
        <w:keepNext/>
      </w:pPr>
      <w:bookmarkStart w:id="0" w:name="_Hlk118289179"/>
      <w:r w:rsidRPr="00DF1875">
        <w:rPr>
          <w:i/>
          <w:iCs/>
          <w:lang w:val="fr-FR"/>
        </w:rPr>
        <w:lastRenderedPageBreak/>
        <w:t>Paragraphes 2.3 et 2.4</w:t>
      </w:r>
      <w:r w:rsidRPr="00D224FA">
        <w:rPr>
          <w:lang w:val="fr-FR"/>
        </w:rPr>
        <w:t>, lire :</w:t>
      </w:r>
    </w:p>
    <w:bookmarkEnd w:id="0"/>
    <w:p w14:paraId="593651CB" w14:textId="77777777" w:rsidR="00E55B37" w:rsidRPr="00D224FA" w:rsidRDefault="00E55B37" w:rsidP="00E55B37">
      <w:pPr>
        <w:pStyle w:val="SingleTxtG"/>
        <w:ind w:left="2268" w:hanging="1134"/>
        <w:rPr>
          <w:b/>
          <w:bCs/>
        </w:rPr>
      </w:pPr>
      <w:r w:rsidRPr="00D224FA">
        <w:rPr>
          <w:lang w:val="fr-FR"/>
        </w:rPr>
        <w:t>« 2.3</w:t>
      </w:r>
      <w:r w:rsidRPr="00D224FA">
        <w:rPr>
          <w:lang w:val="fr-FR"/>
        </w:rPr>
        <w:tab/>
      </w:r>
      <w:r>
        <w:rPr>
          <w:lang w:val="fr-FR"/>
        </w:rPr>
        <w:t>“</w:t>
      </w:r>
      <w:r w:rsidRPr="006C5D3F">
        <w:rPr>
          <w:i/>
          <w:iCs/>
          <w:lang w:val="fr-FR"/>
        </w:rPr>
        <w:t>Système de stockage d</w:t>
      </w:r>
      <w:r>
        <w:rPr>
          <w:i/>
          <w:iCs/>
          <w:lang w:val="fr-FR"/>
        </w:rPr>
        <w:t>’</w:t>
      </w:r>
      <w:r w:rsidRPr="006C5D3F">
        <w:rPr>
          <w:i/>
          <w:iCs/>
          <w:lang w:val="fr-FR"/>
        </w:rPr>
        <w:t xml:space="preserve">hydrogène </w:t>
      </w:r>
      <w:r>
        <w:rPr>
          <w:i/>
          <w:iCs/>
          <w:lang w:val="fr-FR"/>
        </w:rPr>
        <w:t>comprimé</w:t>
      </w:r>
      <w:r>
        <w:rPr>
          <w:lang w:val="fr-FR"/>
        </w:rPr>
        <w:t>”</w:t>
      </w:r>
      <w:r w:rsidRPr="00D224FA">
        <w:rPr>
          <w:lang w:val="fr-FR"/>
        </w:rPr>
        <w:t>, un système conçu pour stocker l</w:t>
      </w:r>
      <w:r>
        <w:rPr>
          <w:lang w:val="fr-FR"/>
        </w:rPr>
        <w:t>’</w:t>
      </w:r>
      <w:r w:rsidRPr="00D224FA">
        <w:rPr>
          <w:lang w:val="fr-FR"/>
        </w:rPr>
        <w:t xml:space="preserve">hydrogène </w:t>
      </w:r>
      <w:r>
        <w:rPr>
          <w:lang w:val="fr-FR"/>
        </w:rPr>
        <w:t xml:space="preserve">comprimé alimentant </w:t>
      </w:r>
      <w:r w:rsidRPr="00D224FA">
        <w:rPr>
          <w:lang w:val="fr-FR"/>
        </w:rPr>
        <w:t xml:space="preserve">un véhicule </w:t>
      </w:r>
      <w:r>
        <w:rPr>
          <w:lang w:val="fr-FR"/>
        </w:rPr>
        <w:t xml:space="preserve">à hydrogène </w:t>
      </w:r>
      <w:r w:rsidRPr="00D224FA">
        <w:rPr>
          <w:lang w:val="fr-FR"/>
        </w:rPr>
        <w:t>et composé d</w:t>
      </w:r>
      <w:r>
        <w:rPr>
          <w:lang w:val="fr-FR"/>
        </w:rPr>
        <w:t>’</w:t>
      </w:r>
      <w:r w:rsidRPr="00D224FA">
        <w:rPr>
          <w:lang w:val="fr-FR"/>
        </w:rPr>
        <w:t>un réservoir</w:t>
      </w:r>
      <w:r w:rsidRPr="00795579">
        <w:rPr>
          <w:lang w:val="fr-FR"/>
        </w:rPr>
        <w:t xml:space="preserve">, </w:t>
      </w:r>
      <w:r w:rsidRPr="00EE03A0">
        <w:rPr>
          <w:lang w:val="fr-FR"/>
        </w:rPr>
        <w:t>éventuellement muni</w:t>
      </w:r>
      <w:r w:rsidRPr="00795579">
        <w:rPr>
          <w:lang w:val="fr-FR"/>
        </w:rPr>
        <w:t xml:space="preserve"> </w:t>
      </w:r>
      <w:r w:rsidRPr="00EE03A0">
        <w:rPr>
          <w:lang w:val="fr-FR"/>
        </w:rPr>
        <w:t>d</w:t>
      </w:r>
      <w:r>
        <w:rPr>
          <w:lang w:val="fr-FR"/>
        </w:rPr>
        <w:t>’</w:t>
      </w:r>
      <w:r w:rsidRPr="00EE03A0">
        <w:rPr>
          <w:lang w:val="fr-FR"/>
        </w:rPr>
        <w:t>accessoires, et de tous les dispositifs de fermeture primaires qui sont nécessaires pour isoler</w:t>
      </w:r>
      <w:r w:rsidRPr="00D224FA">
        <w:rPr>
          <w:lang w:val="fr-FR"/>
        </w:rPr>
        <w:t xml:space="preserve"> l</w:t>
      </w:r>
      <w:r>
        <w:rPr>
          <w:lang w:val="fr-FR"/>
        </w:rPr>
        <w:t>’</w:t>
      </w:r>
      <w:r w:rsidRPr="00D224FA">
        <w:rPr>
          <w:lang w:val="fr-FR"/>
        </w:rPr>
        <w:t>hydrogène stocké du reste du système d</w:t>
      </w:r>
      <w:r>
        <w:rPr>
          <w:lang w:val="fr-FR"/>
        </w:rPr>
        <w:t>’</w:t>
      </w:r>
      <w:r w:rsidRPr="00D224FA">
        <w:rPr>
          <w:lang w:val="fr-FR"/>
        </w:rPr>
        <w:t xml:space="preserve">alimentation en carburant </w:t>
      </w:r>
      <w:r>
        <w:rPr>
          <w:lang w:val="fr-FR"/>
        </w:rPr>
        <w:t>ainsi que</w:t>
      </w:r>
      <w:r w:rsidRPr="00D224FA">
        <w:rPr>
          <w:lang w:val="fr-FR"/>
        </w:rPr>
        <w:t xml:space="preserve"> </w:t>
      </w:r>
      <w:r>
        <w:rPr>
          <w:lang w:val="fr-FR"/>
        </w:rPr>
        <w:t>du milieu ambiant</w:t>
      </w:r>
      <w:r w:rsidRPr="00D224FA">
        <w:rPr>
          <w:lang w:val="fr-FR"/>
        </w:rPr>
        <w:t>.</w:t>
      </w:r>
    </w:p>
    <w:p w14:paraId="13ECB6DC" w14:textId="77777777" w:rsidR="00E55B37" w:rsidRPr="00D224FA" w:rsidRDefault="00E55B37" w:rsidP="00E55B37">
      <w:pPr>
        <w:pStyle w:val="SingleTxtG"/>
        <w:ind w:left="2268" w:hanging="1134"/>
      </w:pPr>
      <w:r w:rsidRPr="00D224FA">
        <w:rPr>
          <w:lang w:val="fr-FR"/>
        </w:rPr>
        <w:t>2.4</w:t>
      </w:r>
      <w:r w:rsidRPr="00D224FA">
        <w:rPr>
          <w:lang w:val="fr-FR"/>
        </w:rPr>
        <w:tab/>
      </w:r>
      <w:r>
        <w:rPr>
          <w:lang w:val="fr-FR"/>
        </w:rPr>
        <w:t>“</w:t>
      </w:r>
      <w:r w:rsidRPr="006C5D3F">
        <w:rPr>
          <w:i/>
          <w:iCs/>
          <w:lang w:val="fr-FR"/>
        </w:rPr>
        <w:t>Réservoir (de stockage d</w:t>
      </w:r>
      <w:r>
        <w:rPr>
          <w:i/>
          <w:iCs/>
          <w:lang w:val="fr-FR"/>
        </w:rPr>
        <w:t>’</w:t>
      </w:r>
      <w:r w:rsidRPr="006C5D3F">
        <w:rPr>
          <w:i/>
          <w:iCs/>
          <w:lang w:val="fr-FR"/>
        </w:rPr>
        <w:t>hydrogène)</w:t>
      </w:r>
      <w:r>
        <w:rPr>
          <w:lang w:val="fr-FR"/>
        </w:rPr>
        <w:t>”</w:t>
      </w:r>
      <w:r w:rsidRPr="00D224FA">
        <w:rPr>
          <w:lang w:val="fr-FR"/>
        </w:rPr>
        <w:t xml:space="preserve">, </w:t>
      </w:r>
      <w:r>
        <w:rPr>
          <w:lang w:val="fr-FR"/>
        </w:rPr>
        <w:t>le composant</w:t>
      </w:r>
      <w:r w:rsidRPr="00D224FA">
        <w:rPr>
          <w:lang w:val="fr-FR"/>
        </w:rPr>
        <w:t xml:space="preserve"> </w:t>
      </w:r>
      <w:r w:rsidRPr="00EE03A0">
        <w:rPr>
          <w:lang w:val="fr-FR"/>
        </w:rPr>
        <w:t>sous pression du véhicule</w:t>
      </w:r>
      <w:r w:rsidRPr="00D224FA">
        <w:rPr>
          <w:lang w:val="fr-FR"/>
        </w:rPr>
        <w:t xml:space="preserve"> </w:t>
      </w:r>
      <w:r>
        <w:rPr>
          <w:lang w:val="fr-FR"/>
        </w:rPr>
        <w:t>qui stocke</w:t>
      </w:r>
      <w:r w:rsidRPr="00D224FA">
        <w:rPr>
          <w:lang w:val="fr-FR"/>
        </w:rPr>
        <w:t xml:space="preserve"> le volume primaire d</w:t>
      </w:r>
      <w:r>
        <w:rPr>
          <w:lang w:val="fr-FR"/>
        </w:rPr>
        <w:t>’</w:t>
      </w:r>
      <w:r w:rsidRPr="00D224FA">
        <w:rPr>
          <w:lang w:val="fr-FR"/>
        </w:rPr>
        <w:t xml:space="preserve">hydrogène </w:t>
      </w:r>
      <w:r w:rsidRPr="00F66F0B">
        <w:rPr>
          <w:lang w:val="fr-FR"/>
        </w:rPr>
        <w:t xml:space="preserve">carburant </w:t>
      </w:r>
      <w:r w:rsidRPr="00EE03A0">
        <w:rPr>
          <w:lang w:val="fr-FR"/>
        </w:rPr>
        <w:t>dans une seule chambre ou dans plusieurs chambres raccordées en permanence.</w:t>
      </w:r>
      <w:r w:rsidRPr="00D224FA">
        <w:rPr>
          <w:b/>
          <w:bCs/>
          <w:lang w:val="fr-FR"/>
        </w:rPr>
        <w:t> </w:t>
      </w:r>
      <w:r w:rsidRPr="00C9345A">
        <w:rPr>
          <w:lang w:val="fr-FR"/>
        </w:rPr>
        <w:t>».</w:t>
      </w:r>
    </w:p>
    <w:p w14:paraId="7B2FCECA" w14:textId="77777777" w:rsidR="00E55B37" w:rsidRPr="00D224FA" w:rsidRDefault="00E55B37" w:rsidP="00E55B37">
      <w:pPr>
        <w:pStyle w:val="SingleTxtG"/>
        <w:keepNext/>
      </w:pPr>
      <w:r w:rsidRPr="00D224FA">
        <w:rPr>
          <w:i/>
          <w:iCs/>
          <w:lang w:val="fr-FR"/>
        </w:rPr>
        <w:t>Ajouter le nouveau paragraphe 2.4.1</w:t>
      </w:r>
      <w:r w:rsidRPr="00D224FA">
        <w:rPr>
          <w:lang w:val="fr-FR"/>
        </w:rPr>
        <w:t>, libellé comme suit :</w:t>
      </w:r>
    </w:p>
    <w:p w14:paraId="741D166A" w14:textId="77777777" w:rsidR="00E55B37" w:rsidRPr="00F66F0B" w:rsidRDefault="00E55B37" w:rsidP="00E55B37">
      <w:pPr>
        <w:pStyle w:val="SingleTxtG"/>
        <w:ind w:left="2268" w:hanging="1134"/>
      </w:pPr>
      <w:r w:rsidRPr="00F66F0B">
        <w:rPr>
          <w:lang w:val="fr-FR"/>
        </w:rPr>
        <w:t>« </w:t>
      </w:r>
      <w:r w:rsidRPr="00EE03A0">
        <w:rPr>
          <w:lang w:val="fr-FR"/>
        </w:rPr>
        <w:t>2.4.1</w:t>
      </w:r>
      <w:r w:rsidRPr="00F66F0B">
        <w:rPr>
          <w:lang w:val="fr-FR"/>
        </w:rPr>
        <w:tab/>
      </w:r>
      <w:r w:rsidRPr="00EE03A0">
        <w:rPr>
          <w:lang w:val="fr-FR"/>
        </w:rPr>
        <w:t>“</w:t>
      </w:r>
      <w:r w:rsidRPr="00EE03A0">
        <w:rPr>
          <w:i/>
          <w:iCs/>
          <w:lang w:val="fr-FR"/>
        </w:rPr>
        <w:t>Accessoires du réservoir”</w:t>
      </w:r>
      <w:r w:rsidRPr="00EE03A0">
        <w:rPr>
          <w:lang w:val="fr-FR"/>
        </w:rPr>
        <w:t xml:space="preserve">, les pièces non soumises à la pression </w:t>
      </w:r>
      <w:r>
        <w:rPr>
          <w:lang w:val="fr-FR"/>
        </w:rPr>
        <w:t xml:space="preserve">qui sont </w:t>
      </w:r>
      <w:r w:rsidRPr="00EE03A0">
        <w:rPr>
          <w:lang w:val="fr-FR"/>
        </w:rPr>
        <w:t>fixées au réservoir, lui fournissent un appui ou une protection supplémentaire et ne peuvent être retirées que temporairement à des fins d</w:t>
      </w:r>
      <w:r>
        <w:rPr>
          <w:lang w:val="fr-FR"/>
        </w:rPr>
        <w:t>’</w:t>
      </w:r>
      <w:r w:rsidRPr="00EE03A0">
        <w:rPr>
          <w:lang w:val="fr-FR"/>
        </w:rPr>
        <w:t>entretien ou d</w:t>
      </w:r>
      <w:r>
        <w:rPr>
          <w:lang w:val="fr-FR"/>
        </w:rPr>
        <w:t>’</w:t>
      </w:r>
      <w:r w:rsidRPr="00EE03A0">
        <w:rPr>
          <w:lang w:val="fr-FR"/>
        </w:rPr>
        <w:t>inspection et à l</w:t>
      </w:r>
      <w:r>
        <w:rPr>
          <w:lang w:val="fr-FR"/>
        </w:rPr>
        <w:t>’</w:t>
      </w:r>
      <w:r w:rsidRPr="00EE03A0">
        <w:rPr>
          <w:lang w:val="fr-FR"/>
        </w:rPr>
        <w:t>aide d</w:t>
      </w:r>
      <w:r>
        <w:rPr>
          <w:lang w:val="fr-FR"/>
        </w:rPr>
        <w:t>’</w:t>
      </w:r>
      <w:r w:rsidRPr="00EE03A0">
        <w:rPr>
          <w:lang w:val="fr-FR"/>
        </w:rPr>
        <w:t>outils. </w:t>
      </w:r>
      <w:r w:rsidRPr="00F66F0B">
        <w:rPr>
          <w:lang w:val="fr-FR"/>
        </w:rPr>
        <w:t>».</w:t>
      </w:r>
    </w:p>
    <w:p w14:paraId="1AF1C43D" w14:textId="77777777" w:rsidR="00E55B37" w:rsidRPr="00D224FA" w:rsidRDefault="00E55B37" w:rsidP="00E55B37">
      <w:pPr>
        <w:pStyle w:val="SingleTxtG"/>
        <w:keepNext/>
      </w:pPr>
      <w:r w:rsidRPr="00D224FA">
        <w:rPr>
          <w:i/>
          <w:iCs/>
          <w:lang w:val="fr-FR"/>
        </w:rPr>
        <w:t>Paragraphe 2.10</w:t>
      </w:r>
      <w:r w:rsidRPr="00D224FA">
        <w:rPr>
          <w:lang w:val="fr-FR"/>
        </w:rPr>
        <w:t>, lire :</w:t>
      </w:r>
    </w:p>
    <w:p w14:paraId="48022902" w14:textId="77777777" w:rsidR="00E55B37" w:rsidRPr="00D224FA" w:rsidRDefault="00E55B37" w:rsidP="00E55B37">
      <w:pPr>
        <w:pStyle w:val="SingleTxtG"/>
        <w:ind w:left="2268" w:hanging="1134"/>
        <w:rPr>
          <w:strike/>
        </w:rPr>
      </w:pPr>
      <w:r w:rsidRPr="00D224FA">
        <w:rPr>
          <w:lang w:val="fr-FR"/>
        </w:rPr>
        <w:t>« 2.10</w:t>
      </w:r>
      <w:r w:rsidRPr="00D224FA">
        <w:rPr>
          <w:lang w:val="fr-FR"/>
        </w:rPr>
        <w:tab/>
      </w:r>
      <w:r>
        <w:rPr>
          <w:lang w:val="fr-FR"/>
        </w:rPr>
        <w:t>“</w:t>
      </w:r>
      <w:r w:rsidRPr="006C5D3F">
        <w:rPr>
          <w:i/>
          <w:iCs/>
          <w:lang w:val="fr-FR"/>
        </w:rPr>
        <w:t>Véhicule à hydrogène</w:t>
      </w:r>
      <w:r>
        <w:rPr>
          <w:lang w:val="fr-FR"/>
        </w:rPr>
        <w:t>”</w:t>
      </w:r>
      <w:r w:rsidRPr="00D224FA">
        <w:rPr>
          <w:lang w:val="fr-FR"/>
        </w:rPr>
        <w:t xml:space="preserve">, tout véhicule </w:t>
      </w:r>
      <w:r>
        <w:rPr>
          <w:lang w:val="fr-FR"/>
        </w:rPr>
        <w:t xml:space="preserve">à moteur </w:t>
      </w:r>
      <w:r w:rsidRPr="00D224FA">
        <w:rPr>
          <w:lang w:val="fr-FR"/>
        </w:rPr>
        <w:t>qui utilise comme moyen de propulsion de l</w:t>
      </w:r>
      <w:r>
        <w:rPr>
          <w:lang w:val="fr-FR"/>
        </w:rPr>
        <w:t>’</w:t>
      </w:r>
      <w:r w:rsidRPr="00D224FA">
        <w:rPr>
          <w:lang w:val="fr-FR"/>
        </w:rPr>
        <w:t xml:space="preserve">hydrogène gazeux comprimé, y compris les véhicules à pile à </w:t>
      </w:r>
      <w:r w:rsidRPr="003145ED">
        <w:rPr>
          <w:lang w:val="fr-FR"/>
        </w:rPr>
        <w:t>combustible et à moteur à combustion interne. L</w:t>
      </w:r>
      <w:r>
        <w:rPr>
          <w:lang w:val="fr-FR"/>
        </w:rPr>
        <w:t>’</w:t>
      </w:r>
      <w:r w:rsidRPr="003145ED">
        <w:rPr>
          <w:lang w:val="fr-FR"/>
        </w:rPr>
        <w:t xml:space="preserve">hydrogène servant de carburant à </w:t>
      </w:r>
      <w:r w:rsidRPr="00EE03A0">
        <w:rPr>
          <w:lang w:val="fr-FR"/>
        </w:rPr>
        <w:t xml:space="preserve">ces </w:t>
      </w:r>
      <w:r w:rsidRPr="003145ED">
        <w:rPr>
          <w:lang w:val="fr-FR"/>
        </w:rPr>
        <w:t xml:space="preserve">véhicules est défini dans </w:t>
      </w:r>
      <w:r w:rsidRPr="00EE03A0">
        <w:rPr>
          <w:lang w:val="fr-FR"/>
        </w:rPr>
        <w:t>les normes</w:t>
      </w:r>
      <w:r w:rsidRPr="003145ED">
        <w:rPr>
          <w:lang w:val="fr-FR"/>
        </w:rPr>
        <w:t xml:space="preserve"> </w:t>
      </w:r>
      <w:r w:rsidRPr="00EE03A0">
        <w:rPr>
          <w:lang w:val="fr-FR"/>
        </w:rPr>
        <w:t>ISO 14687:2019 et SAE J2719_202003</w:t>
      </w:r>
      <w:r w:rsidRPr="003145ED">
        <w:rPr>
          <w:lang w:val="fr-FR"/>
        </w:rPr>
        <w:t>. ».</w:t>
      </w:r>
    </w:p>
    <w:p w14:paraId="15EC0B32" w14:textId="77777777" w:rsidR="00E55B37" w:rsidRPr="00D224FA" w:rsidRDefault="00E55B37" w:rsidP="00E55B37">
      <w:pPr>
        <w:pStyle w:val="SingleTxtG"/>
        <w:keepNext/>
      </w:pPr>
      <w:bookmarkStart w:id="1" w:name="_Hlk146713388"/>
      <w:r w:rsidRPr="00D224FA">
        <w:rPr>
          <w:i/>
          <w:iCs/>
          <w:lang w:val="fr-FR"/>
        </w:rPr>
        <w:t>Paragraphe 2.14</w:t>
      </w:r>
      <w:r w:rsidRPr="00D224FA">
        <w:rPr>
          <w:lang w:val="fr-FR"/>
        </w:rPr>
        <w:t>, lire</w:t>
      </w:r>
      <w:r>
        <w:rPr>
          <w:lang w:val="fr-FR"/>
        </w:rPr>
        <w:t> :</w:t>
      </w:r>
    </w:p>
    <w:p w14:paraId="1B762BFF" w14:textId="77777777" w:rsidR="00E55B37" w:rsidRDefault="00E55B37" w:rsidP="00E55B37">
      <w:pPr>
        <w:pStyle w:val="SingleTxtG"/>
        <w:keepNext/>
        <w:ind w:left="2268" w:hanging="1134"/>
        <w:jc w:val="left"/>
        <w:rPr>
          <w:i/>
          <w:iCs/>
          <w:lang w:val="fr-FR"/>
        </w:rPr>
      </w:pPr>
      <w:r w:rsidRPr="00D224FA">
        <w:rPr>
          <w:lang w:val="fr-FR"/>
        </w:rPr>
        <w:t>« 2.14</w:t>
      </w:r>
      <w:r w:rsidRPr="00D224FA">
        <w:rPr>
          <w:lang w:val="fr-FR"/>
        </w:rPr>
        <w:tab/>
      </w:r>
      <w:r w:rsidRPr="00EE03A0">
        <w:rPr>
          <w:lang w:val="fr-FR"/>
        </w:rPr>
        <w:t>Habitacle</w:t>
      </w:r>
    </w:p>
    <w:p w14:paraId="1F829D45" w14:textId="77777777" w:rsidR="00E55B37" w:rsidRDefault="00E55B37" w:rsidP="00E55B37">
      <w:pPr>
        <w:pStyle w:val="SingleTxtG"/>
        <w:ind w:left="2268" w:hanging="1134"/>
        <w:rPr>
          <w:lang w:val="fr-FR"/>
        </w:rPr>
      </w:pPr>
      <w:r w:rsidRPr="00EE03A0">
        <w:rPr>
          <w:lang w:val="fr-FR"/>
        </w:rPr>
        <w:t>2.14.1</w:t>
      </w:r>
      <w:r>
        <w:rPr>
          <w:i/>
          <w:iCs/>
          <w:lang w:val="fr-FR"/>
        </w:rPr>
        <w:tab/>
      </w:r>
      <w:r>
        <w:rPr>
          <w:lang w:val="fr-FR"/>
        </w:rPr>
        <w:t>“</w:t>
      </w:r>
      <w:r w:rsidRPr="00EE03A0">
        <w:rPr>
          <w:i/>
          <w:iCs/>
          <w:lang w:val="fr-FR"/>
        </w:rPr>
        <w:t>Habitacle, s</w:t>
      </w:r>
      <w:r>
        <w:rPr>
          <w:i/>
          <w:iCs/>
          <w:lang w:val="fr-FR"/>
        </w:rPr>
        <w:t>’</w:t>
      </w:r>
      <w:r w:rsidRPr="00EE03A0">
        <w:rPr>
          <w:i/>
          <w:iCs/>
          <w:lang w:val="fr-FR"/>
        </w:rPr>
        <w:t>agissant de la protection des occupant</w:t>
      </w:r>
      <w:r>
        <w:rPr>
          <w:i/>
          <w:iCs/>
          <w:lang w:val="fr-FR"/>
        </w:rPr>
        <w:t>s</w:t>
      </w:r>
      <w:r>
        <w:rPr>
          <w:lang w:val="fr-FR"/>
        </w:rPr>
        <w:t>”</w:t>
      </w:r>
      <w:r w:rsidRPr="00D224FA">
        <w:rPr>
          <w:lang w:val="fr-FR"/>
        </w:rPr>
        <w:t>, l</w:t>
      </w:r>
      <w:r>
        <w:rPr>
          <w:lang w:val="fr-FR"/>
        </w:rPr>
        <w:t>’</w:t>
      </w:r>
      <w:r w:rsidRPr="00D224FA">
        <w:rPr>
          <w:lang w:val="fr-FR"/>
        </w:rPr>
        <w:t xml:space="preserve">espace </w:t>
      </w:r>
      <w:r>
        <w:rPr>
          <w:lang w:val="fr-FR"/>
        </w:rPr>
        <w:t>réservé aux</w:t>
      </w:r>
      <w:r w:rsidRPr="00D224FA">
        <w:rPr>
          <w:lang w:val="fr-FR"/>
        </w:rPr>
        <w:t xml:space="preserve"> occupants, </w:t>
      </w:r>
      <w:r>
        <w:rPr>
          <w:lang w:val="fr-FR"/>
        </w:rPr>
        <w:t>dé</w:t>
      </w:r>
      <w:r w:rsidRPr="00D224FA">
        <w:rPr>
          <w:lang w:val="fr-FR"/>
        </w:rPr>
        <w:t xml:space="preserve">limité par le </w:t>
      </w:r>
      <w:r>
        <w:rPr>
          <w:lang w:val="fr-FR"/>
        </w:rPr>
        <w:t>toit</w:t>
      </w:r>
      <w:r w:rsidRPr="00D224FA">
        <w:rPr>
          <w:lang w:val="fr-FR"/>
        </w:rPr>
        <w:t xml:space="preserve">, le plancher, les </w:t>
      </w:r>
      <w:r>
        <w:rPr>
          <w:lang w:val="fr-FR"/>
        </w:rPr>
        <w:t xml:space="preserve">parois </w:t>
      </w:r>
      <w:r w:rsidRPr="00D224FA">
        <w:rPr>
          <w:lang w:val="fr-FR"/>
        </w:rPr>
        <w:t>latérales, les portes, les vitres extérieur</w:t>
      </w:r>
      <w:r>
        <w:rPr>
          <w:lang w:val="fr-FR"/>
        </w:rPr>
        <w:t>e</w:t>
      </w:r>
      <w:r w:rsidRPr="00D224FA">
        <w:rPr>
          <w:lang w:val="fr-FR"/>
        </w:rPr>
        <w:t xml:space="preserve">s, la cloison </w:t>
      </w:r>
      <w:r>
        <w:rPr>
          <w:lang w:val="fr-FR"/>
        </w:rPr>
        <w:t xml:space="preserve">avant </w:t>
      </w:r>
      <w:r w:rsidRPr="00D224FA">
        <w:rPr>
          <w:lang w:val="fr-FR"/>
        </w:rPr>
        <w:t xml:space="preserve">et le plan de la cloison du compartiment arrière ou </w:t>
      </w:r>
      <w:r>
        <w:rPr>
          <w:lang w:val="fr-FR"/>
        </w:rPr>
        <w:t xml:space="preserve">celui du support du dossier du siège </w:t>
      </w:r>
      <w:r w:rsidRPr="00D224FA">
        <w:rPr>
          <w:lang w:val="fr-FR"/>
        </w:rPr>
        <w:t>arrière. </w:t>
      </w:r>
    </w:p>
    <w:p w14:paraId="70D82C6A" w14:textId="72C11E44" w:rsidR="00E55B37" w:rsidRPr="00D224FA" w:rsidRDefault="00E55B37" w:rsidP="00E55B37">
      <w:pPr>
        <w:pStyle w:val="SingleTxtG"/>
        <w:ind w:left="2268" w:hanging="1134"/>
      </w:pPr>
      <w:r>
        <w:rPr>
          <w:lang w:val="fr-FR"/>
        </w:rPr>
        <w:t>2.14.2</w:t>
      </w:r>
      <w:r>
        <w:rPr>
          <w:lang w:val="fr-FR"/>
        </w:rPr>
        <w:tab/>
      </w:r>
      <w:r w:rsidR="004C15AA">
        <w:rPr>
          <w:lang w:val="fr-FR"/>
        </w:rPr>
        <w:t>“</w:t>
      </w:r>
      <w:r w:rsidR="004C15AA" w:rsidRPr="00AF4E14">
        <w:rPr>
          <w:i/>
          <w:iCs/>
          <w:lang w:val="fr-FR"/>
        </w:rPr>
        <w:t>Habitacle, s’agissant de l’évaluation de la sécurité électrique ou de la sécurité liée à l’hydrogène</w:t>
      </w:r>
      <w:r w:rsidR="004C15AA">
        <w:rPr>
          <w:lang w:val="fr-FR"/>
        </w:rPr>
        <w:t xml:space="preserve">”, </w:t>
      </w:r>
      <w:r w:rsidR="004C15AA" w:rsidRPr="007E0378">
        <w:rPr>
          <w:lang w:val="fr-FR"/>
        </w:rPr>
        <w:t xml:space="preserve">l’espace réservé aux occupants, délimité par le toit, le plancher, les parois latérales, les portes, les vitres extérieures, la cloison </w:t>
      </w:r>
      <w:r w:rsidR="004C15AA">
        <w:rPr>
          <w:lang w:val="fr-FR"/>
        </w:rPr>
        <w:t>avant</w:t>
      </w:r>
      <w:r w:rsidR="004C15AA" w:rsidRPr="007E0378">
        <w:rPr>
          <w:lang w:val="fr-FR"/>
        </w:rPr>
        <w:t xml:space="preserve"> et la cloison arrière ou</w:t>
      </w:r>
      <w:r w:rsidR="004C15AA">
        <w:rPr>
          <w:lang w:val="fr-FR"/>
        </w:rPr>
        <w:t xml:space="preserve"> porte arrière, </w:t>
      </w:r>
      <w:r w:rsidR="004C15AA" w:rsidRPr="00AF4E14">
        <w:rPr>
          <w:lang w:val="fr-FR"/>
        </w:rPr>
        <w:t>ainsi que par les barrières et les carters servant à protéger les occupants de tout contact direct avec les éléments à haute tension</w:t>
      </w:r>
      <w:r w:rsidR="004C15AA" w:rsidRPr="008140A3">
        <w:rPr>
          <w:lang w:val="fr-FR"/>
        </w:rPr>
        <w:t>.</w:t>
      </w:r>
      <w:r w:rsidR="004C15AA">
        <w:rPr>
          <w:lang w:val="fr-FR"/>
        </w:rPr>
        <w:t> ».</w:t>
      </w:r>
    </w:p>
    <w:p w14:paraId="75AAF269" w14:textId="77777777" w:rsidR="004C15AA" w:rsidRPr="003F1C56" w:rsidRDefault="004C15AA" w:rsidP="00C20CBC">
      <w:pPr>
        <w:pStyle w:val="SingleTxtG"/>
        <w:rPr>
          <w:lang w:val="fr-FR"/>
        </w:rPr>
      </w:pPr>
      <w:r w:rsidRPr="004C15AA">
        <w:rPr>
          <w:i/>
          <w:iCs/>
          <w:lang w:val="fr-FR"/>
        </w:rPr>
        <w:t>Paragraphe 2.15</w:t>
      </w:r>
      <w:r w:rsidRPr="003F1C56">
        <w:rPr>
          <w:lang w:val="fr-FR"/>
        </w:rPr>
        <w:t>, supprimer.</w:t>
      </w:r>
    </w:p>
    <w:p w14:paraId="3A2289E0" w14:textId="77777777" w:rsidR="004C15AA" w:rsidRPr="001F5F15" w:rsidRDefault="004C15AA" w:rsidP="00C20CBC">
      <w:pPr>
        <w:pStyle w:val="SingleTxtG"/>
        <w:rPr>
          <w:lang w:val="fr-FR"/>
        </w:rPr>
      </w:pPr>
      <w:r w:rsidRPr="004C15AA">
        <w:rPr>
          <w:i/>
          <w:iCs/>
          <w:lang w:val="fr-FR"/>
        </w:rPr>
        <w:t>Les paragraphes 2.16 à 2.20</w:t>
      </w:r>
      <w:r w:rsidRPr="001F5F15">
        <w:rPr>
          <w:lang w:val="fr-FR"/>
        </w:rPr>
        <w:t xml:space="preserve"> </w:t>
      </w:r>
      <w:r w:rsidRPr="00AF4E14">
        <w:rPr>
          <w:lang w:val="fr-FR"/>
        </w:rPr>
        <w:t>deviennent les paragraphes 2.15 à 2.19</w:t>
      </w:r>
      <w:r w:rsidRPr="001F5F15">
        <w:rPr>
          <w:lang w:val="fr-FR"/>
        </w:rPr>
        <w:t>.</w:t>
      </w:r>
    </w:p>
    <w:p w14:paraId="5A102739" w14:textId="77777777" w:rsidR="004C15AA" w:rsidRPr="001F5F15" w:rsidRDefault="004C15AA" w:rsidP="004C15AA">
      <w:pPr>
        <w:pStyle w:val="SingleTxtG"/>
        <w:keepNext/>
        <w:rPr>
          <w:lang w:val="fr-FR"/>
        </w:rPr>
      </w:pPr>
      <w:r w:rsidRPr="004C15AA">
        <w:rPr>
          <w:i/>
          <w:iCs/>
          <w:lang w:val="fr-FR"/>
        </w:rPr>
        <w:t>Le paragraphe 2.21</w:t>
      </w:r>
      <w:r w:rsidRPr="001F5F15">
        <w:rPr>
          <w:lang w:val="fr-FR"/>
        </w:rPr>
        <w:t xml:space="preserve"> </w:t>
      </w:r>
      <w:r w:rsidRPr="00AF4E14">
        <w:rPr>
          <w:lang w:val="fr-FR"/>
        </w:rPr>
        <w:t>devient le paragraphe 2.20 et se lit comme suit</w:t>
      </w:r>
      <w:r w:rsidRPr="001F5F15">
        <w:rPr>
          <w:lang w:val="fr-FR"/>
        </w:rPr>
        <w:t> :</w:t>
      </w:r>
    </w:p>
    <w:p w14:paraId="44EFD7DC" w14:textId="17A2F731" w:rsidR="00E55B37" w:rsidRDefault="00E55B37" w:rsidP="00E55B37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2.20</w:t>
      </w:r>
      <w:r>
        <w:rPr>
          <w:lang w:val="fr-FR"/>
        </w:rPr>
        <w:tab/>
      </w:r>
      <w:r>
        <w:rPr>
          <w:lang w:val="fr-FR"/>
        </w:rPr>
        <w:tab/>
      </w:r>
      <w:r w:rsidRPr="00EE03A0">
        <w:rPr>
          <w:lang w:val="fr-FR"/>
        </w:rPr>
        <w:t>“</w:t>
      </w:r>
      <w:r w:rsidRPr="00EE03A0">
        <w:rPr>
          <w:i/>
          <w:iCs/>
          <w:lang w:val="fr-FR"/>
        </w:rPr>
        <w:t>Vanne d</w:t>
      </w:r>
      <w:r>
        <w:rPr>
          <w:i/>
          <w:iCs/>
          <w:lang w:val="fr-FR"/>
        </w:rPr>
        <w:t>’</w:t>
      </w:r>
      <w:r w:rsidRPr="00EE03A0">
        <w:rPr>
          <w:i/>
          <w:iCs/>
          <w:lang w:val="fr-FR"/>
        </w:rPr>
        <w:t xml:space="preserve">arrêt (pour véhicule </w:t>
      </w:r>
      <w:r w:rsidR="00C20CBC">
        <w:rPr>
          <w:i/>
          <w:iCs/>
          <w:lang w:val="fr-FR"/>
        </w:rPr>
        <w:t>fonctionnant à l’</w:t>
      </w:r>
      <w:r w:rsidRPr="00EE03A0">
        <w:rPr>
          <w:i/>
          <w:iCs/>
          <w:lang w:val="fr-FR"/>
        </w:rPr>
        <w:t>hydrogène)</w:t>
      </w:r>
      <w:r w:rsidRPr="00EE03A0">
        <w:rPr>
          <w:lang w:val="fr-FR"/>
        </w:rPr>
        <w:t>ˮ, une vanne située entre</w:t>
      </w:r>
      <w:r>
        <w:rPr>
          <w:lang w:val="fr-FR"/>
        </w:rPr>
        <w:t xml:space="preserve"> </w:t>
      </w:r>
      <w:r w:rsidRPr="00EE03A0">
        <w:rPr>
          <w:lang w:val="fr-FR"/>
        </w:rPr>
        <w:t>le réservoir et le système d</w:t>
      </w:r>
      <w:r>
        <w:rPr>
          <w:lang w:val="fr-FR"/>
        </w:rPr>
        <w:t>’</w:t>
      </w:r>
      <w:r w:rsidRPr="00EE03A0">
        <w:rPr>
          <w:lang w:val="fr-FR"/>
        </w:rPr>
        <w:t>alimentation en carburant du véhicule, qui doit par défaut revenir en position fermée lorsqu</w:t>
      </w:r>
      <w:r>
        <w:rPr>
          <w:lang w:val="fr-FR"/>
        </w:rPr>
        <w:t>’</w:t>
      </w:r>
      <w:r w:rsidRPr="00EE03A0">
        <w:rPr>
          <w:lang w:val="fr-FR"/>
        </w:rPr>
        <w:t>elle n</w:t>
      </w:r>
      <w:r>
        <w:rPr>
          <w:lang w:val="fr-FR"/>
        </w:rPr>
        <w:t>’</w:t>
      </w:r>
      <w:r w:rsidRPr="00EE03A0">
        <w:rPr>
          <w:lang w:val="fr-FR"/>
        </w:rPr>
        <w:t>est pas alimentée par une source électrique.</w:t>
      </w:r>
      <w:r>
        <w:rPr>
          <w:lang w:val="fr-FR"/>
        </w:rPr>
        <w:t> ».</w:t>
      </w:r>
    </w:p>
    <w:p w14:paraId="1037308C" w14:textId="77777777" w:rsidR="00C20CBC" w:rsidRDefault="00C20CBC" w:rsidP="00C20CBC">
      <w:pPr>
        <w:pStyle w:val="SingleTxtG"/>
        <w:rPr>
          <w:lang w:val="fr-FR"/>
        </w:rPr>
      </w:pPr>
      <w:r w:rsidRPr="003F1C56">
        <w:rPr>
          <w:i/>
          <w:iCs/>
          <w:lang w:val="fr-FR"/>
        </w:rPr>
        <w:t xml:space="preserve">Les paragraphes </w:t>
      </w:r>
      <w:r>
        <w:rPr>
          <w:i/>
          <w:iCs/>
          <w:lang w:val="fr-FR"/>
        </w:rPr>
        <w:t xml:space="preserve">2.22 à </w:t>
      </w:r>
      <w:r w:rsidRPr="003F1C56">
        <w:rPr>
          <w:i/>
          <w:iCs/>
          <w:lang w:val="fr-FR"/>
        </w:rPr>
        <w:t>2.</w:t>
      </w:r>
      <w:r>
        <w:rPr>
          <w:i/>
          <w:iCs/>
          <w:lang w:val="fr-FR"/>
        </w:rPr>
        <w:t>2</w:t>
      </w:r>
      <w:r w:rsidRPr="003F1C56">
        <w:rPr>
          <w:i/>
          <w:iCs/>
          <w:lang w:val="fr-FR"/>
        </w:rPr>
        <w:t>6</w:t>
      </w:r>
      <w:r w:rsidRPr="003F1C56">
        <w:rPr>
          <w:lang w:val="fr-FR"/>
        </w:rPr>
        <w:t xml:space="preserve"> deviennent les paragraphes 2.</w:t>
      </w:r>
      <w:r>
        <w:rPr>
          <w:lang w:val="fr-FR"/>
        </w:rPr>
        <w:t>21</w:t>
      </w:r>
      <w:r w:rsidRPr="003F1C56">
        <w:rPr>
          <w:lang w:val="fr-FR"/>
        </w:rPr>
        <w:t xml:space="preserve"> à 2.</w:t>
      </w:r>
      <w:r>
        <w:rPr>
          <w:lang w:val="fr-FR"/>
        </w:rPr>
        <w:t>2</w:t>
      </w:r>
      <w:r w:rsidRPr="003F1C56">
        <w:rPr>
          <w:lang w:val="fr-FR"/>
        </w:rPr>
        <w:t>5.</w:t>
      </w:r>
    </w:p>
    <w:p w14:paraId="304E1E1D" w14:textId="77777777" w:rsidR="00C20CBC" w:rsidRDefault="00C20CBC" w:rsidP="00C20CBC">
      <w:pPr>
        <w:pStyle w:val="SingleTxtG"/>
        <w:rPr>
          <w:i/>
          <w:iCs/>
          <w:lang w:val="fr-FR"/>
        </w:rPr>
      </w:pPr>
      <w:r>
        <w:rPr>
          <w:i/>
          <w:iCs/>
          <w:lang w:val="fr-FR"/>
        </w:rPr>
        <w:t xml:space="preserve">Le paragraphe 2.27 </w:t>
      </w:r>
      <w:r w:rsidRPr="007E0378">
        <w:rPr>
          <w:lang w:val="fr-FR"/>
        </w:rPr>
        <w:t>devient le paragraphe 2.2</w:t>
      </w:r>
      <w:r>
        <w:rPr>
          <w:lang w:val="fr-FR"/>
        </w:rPr>
        <w:t>6</w:t>
      </w:r>
      <w:r w:rsidRPr="007E0378">
        <w:rPr>
          <w:lang w:val="fr-FR"/>
        </w:rPr>
        <w:t xml:space="preserve"> et se lit comme suit</w:t>
      </w:r>
      <w:r>
        <w:rPr>
          <w:i/>
          <w:iCs/>
          <w:lang w:val="fr-FR"/>
        </w:rPr>
        <w:t> :</w:t>
      </w:r>
    </w:p>
    <w:p w14:paraId="649D5277" w14:textId="77777777" w:rsidR="00E55B37" w:rsidRDefault="00E55B37" w:rsidP="00E55B37">
      <w:pPr>
        <w:pStyle w:val="SingleTxtG"/>
        <w:keepNext/>
        <w:ind w:left="2268" w:hanging="1134"/>
        <w:rPr>
          <w:lang w:val="fr-FR"/>
        </w:rPr>
      </w:pPr>
      <w:r>
        <w:rPr>
          <w:lang w:val="fr-FR"/>
        </w:rPr>
        <w:t>« </w:t>
      </w:r>
      <w:r w:rsidRPr="00EE03A0">
        <w:rPr>
          <w:lang w:val="fr-FR"/>
        </w:rPr>
        <w:t>2.26</w:t>
      </w:r>
      <w:r w:rsidRPr="00EE03A0">
        <w:rPr>
          <w:lang w:val="fr-FR"/>
        </w:rPr>
        <w:tab/>
      </w:r>
      <w:r>
        <w:rPr>
          <w:lang w:val="fr-FR"/>
        </w:rPr>
        <w:tab/>
        <w:t>“</w:t>
      </w:r>
      <w:r w:rsidRPr="00EE03A0">
        <w:rPr>
          <w:i/>
          <w:iCs/>
          <w:lang w:val="fr-FR"/>
        </w:rPr>
        <w:t>Type de véhicule</w:t>
      </w:r>
      <w:r w:rsidRPr="00EE03A0">
        <w:rPr>
          <w:lang w:val="fr-FR"/>
        </w:rPr>
        <w:t xml:space="preserve">”, </w:t>
      </w:r>
      <w:r>
        <w:rPr>
          <w:lang w:val="fr-FR"/>
        </w:rPr>
        <w:t>une catégorie de</w:t>
      </w:r>
      <w:r w:rsidRPr="00EE03A0">
        <w:rPr>
          <w:lang w:val="fr-FR"/>
        </w:rPr>
        <w:t xml:space="preserve"> véhicules dont les caractéristiques ne diffèrent pas </w:t>
      </w:r>
      <w:r>
        <w:rPr>
          <w:lang w:val="fr-FR"/>
        </w:rPr>
        <w:t>sur d</w:t>
      </w:r>
      <w:r w:rsidRPr="00EE03A0">
        <w:rPr>
          <w:lang w:val="fr-FR"/>
        </w:rPr>
        <w:t>es aspects essentiels</w:t>
      </w:r>
      <w:r>
        <w:rPr>
          <w:lang w:val="fr-FR"/>
        </w:rPr>
        <w:t xml:space="preserve">, </w:t>
      </w:r>
      <w:r w:rsidRPr="00E74F05">
        <w:rPr>
          <w:lang w:val="fr-FR"/>
        </w:rPr>
        <w:t xml:space="preserve">dans la mesure où ils faussent </w:t>
      </w:r>
      <w:r>
        <w:rPr>
          <w:lang w:val="fr-FR"/>
        </w:rPr>
        <w:t xml:space="preserve">les </w:t>
      </w:r>
      <w:r w:rsidRPr="00EE03A0">
        <w:rPr>
          <w:lang w:val="fr-FR"/>
        </w:rPr>
        <w:t>résultats de l</w:t>
      </w:r>
      <w:r>
        <w:rPr>
          <w:lang w:val="fr-FR"/>
        </w:rPr>
        <w:t>’</w:t>
      </w:r>
      <w:r w:rsidRPr="00EE03A0">
        <w:rPr>
          <w:lang w:val="fr-FR"/>
        </w:rPr>
        <w:t>essai de choc prescrit dans le présent Règlement</w:t>
      </w:r>
      <w:r>
        <w:rPr>
          <w:lang w:val="fr-FR"/>
        </w:rPr>
        <w:t>, tels que :</w:t>
      </w:r>
    </w:p>
    <w:p w14:paraId="02718609" w14:textId="77777777" w:rsidR="00E55B37" w:rsidRDefault="00E55B37" w:rsidP="00E55B37">
      <w:pPr>
        <w:pStyle w:val="SingleTxtG"/>
        <w:ind w:left="2835" w:hanging="567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Pr="00EE03A0">
        <w:rPr>
          <w:lang w:val="fr-FR"/>
        </w:rPr>
        <w:t>Le type du ou des systèmes de protection</w:t>
      </w:r>
      <w:r>
        <w:rPr>
          <w:lang w:val="fr-FR"/>
        </w:rPr>
        <w:t> </w:t>
      </w:r>
      <w:r w:rsidRPr="00EE03A0">
        <w:rPr>
          <w:lang w:val="fr-FR"/>
        </w:rPr>
        <w:t>;</w:t>
      </w:r>
    </w:p>
    <w:p w14:paraId="582FC2D6" w14:textId="77777777" w:rsidR="00E55B37" w:rsidRDefault="00E55B37" w:rsidP="00E55B37">
      <w:pPr>
        <w:pStyle w:val="SingleTxtG"/>
        <w:ind w:left="2835" w:hanging="567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</w:r>
      <w:r w:rsidRPr="00EE03A0">
        <w:rPr>
          <w:lang w:val="fr-FR"/>
        </w:rPr>
        <w:t>Le type du ou des sièges avant</w:t>
      </w:r>
      <w:r>
        <w:rPr>
          <w:lang w:val="fr-FR"/>
        </w:rPr>
        <w:t> </w:t>
      </w:r>
      <w:r w:rsidRPr="00EE03A0">
        <w:rPr>
          <w:lang w:val="fr-FR"/>
        </w:rPr>
        <w:t>;</w:t>
      </w:r>
    </w:p>
    <w:p w14:paraId="3B527518" w14:textId="77777777" w:rsidR="00E55B37" w:rsidRDefault="00E55B37" w:rsidP="00E55B37">
      <w:pPr>
        <w:pStyle w:val="SingleTxtG"/>
        <w:ind w:left="2835" w:hanging="567"/>
      </w:pPr>
      <w:r>
        <w:rPr>
          <w:lang w:val="fr-FR"/>
        </w:rPr>
        <w:t>c)</w:t>
      </w:r>
      <w:r>
        <w:rPr>
          <w:lang w:val="fr-FR"/>
        </w:rPr>
        <w:tab/>
      </w:r>
      <w:r>
        <w:t>La largeur du véhicule ;</w:t>
      </w:r>
    </w:p>
    <w:p w14:paraId="6562F308" w14:textId="77777777" w:rsidR="00E55B37" w:rsidRDefault="00E55B37" w:rsidP="00E55B37">
      <w:pPr>
        <w:pStyle w:val="SingleTxtG"/>
        <w:ind w:left="2835" w:hanging="567"/>
      </w:pPr>
      <w:r>
        <w:t>d)</w:t>
      </w:r>
      <w:r>
        <w:tab/>
        <w:t>L’empattement et la longueur hors tout du véhicule ;</w:t>
      </w:r>
    </w:p>
    <w:p w14:paraId="20126787" w14:textId="77777777" w:rsidR="00E55B37" w:rsidRDefault="00E55B37" w:rsidP="00E55B37">
      <w:pPr>
        <w:pStyle w:val="SingleTxtG"/>
        <w:ind w:left="2835" w:hanging="567"/>
      </w:pPr>
      <w:r>
        <w:lastRenderedPageBreak/>
        <w:t>e)</w:t>
      </w:r>
      <w:r>
        <w:tab/>
        <w:t>La structure, les dimensions, la forme et les matériaux des parois de l’habitacle, y compris les accessoires ou les garnitures faisant partie des parois de l’habitacle ou se trouvant à proximité ;</w:t>
      </w:r>
    </w:p>
    <w:p w14:paraId="7D1A75EA" w14:textId="77777777" w:rsidR="00E55B37" w:rsidRDefault="00E55B37" w:rsidP="00E55B37">
      <w:pPr>
        <w:pStyle w:val="SingleTxtG"/>
        <w:ind w:left="2835" w:hanging="567"/>
      </w:pPr>
      <w:r>
        <w:t>f)</w:t>
      </w:r>
      <w:r>
        <w:tab/>
        <w:t>Le type des serrures de porte et des charnières ;</w:t>
      </w:r>
    </w:p>
    <w:p w14:paraId="7B2A83F8" w14:textId="77777777" w:rsidR="00E55B37" w:rsidRDefault="00E55B37" w:rsidP="00E55B37">
      <w:pPr>
        <w:pStyle w:val="SingleTxtG"/>
        <w:ind w:left="2835" w:hanging="567"/>
      </w:pPr>
      <w:r>
        <w:t>g)</w:t>
      </w:r>
      <w:r>
        <w:tab/>
        <w:t>Le type du ou des systèmes de carburant ;</w:t>
      </w:r>
    </w:p>
    <w:p w14:paraId="2915CBF0" w14:textId="77777777" w:rsidR="00E55B37" w:rsidRDefault="00E55B37" w:rsidP="00E55B37">
      <w:pPr>
        <w:pStyle w:val="SingleTxtG"/>
        <w:ind w:left="2835" w:hanging="567"/>
      </w:pPr>
      <w:r>
        <w:t>h)</w:t>
      </w:r>
      <w:r>
        <w:tab/>
        <w:t>La masse du véhicule à vide et la masse nominale du chargement et des bagages ;</w:t>
      </w:r>
    </w:p>
    <w:p w14:paraId="443D7FFE" w14:textId="77777777" w:rsidR="00E55B37" w:rsidRPr="00EE03A0" w:rsidRDefault="00E55B37" w:rsidP="00E55B37">
      <w:pPr>
        <w:pStyle w:val="SingleTxtG"/>
        <w:ind w:left="2835" w:hanging="567"/>
        <w:rPr>
          <w:lang w:val="fr-FR"/>
        </w:rPr>
      </w:pPr>
      <w:r>
        <w:t>i)</w:t>
      </w:r>
      <w:r>
        <w:tab/>
        <w:t>L’emplacement du moteur (à l’avant, à l’arrière ou au centre). ».</w:t>
      </w:r>
      <w:bookmarkEnd w:id="1"/>
    </w:p>
    <w:p w14:paraId="066409E5" w14:textId="77777777" w:rsidR="00E55B37" w:rsidRPr="00D224FA" w:rsidRDefault="00E55B37" w:rsidP="00E55B37">
      <w:pPr>
        <w:pStyle w:val="SingleTxtG"/>
        <w:keepNext/>
        <w:rPr>
          <w:bCs/>
        </w:rPr>
      </w:pPr>
      <w:r w:rsidRPr="00D224FA">
        <w:rPr>
          <w:i/>
          <w:iCs/>
          <w:lang w:val="fr-FR"/>
        </w:rPr>
        <w:t>Annexe 6, paragraphe 2.1</w:t>
      </w:r>
      <w:r w:rsidRPr="00D224FA">
        <w:rPr>
          <w:lang w:val="fr-FR"/>
        </w:rPr>
        <w:t>, lire</w:t>
      </w:r>
      <w:r>
        <w:rPr>
          <w:lang w:val="fr-FR"/>
        </w:rPr>
        <w:t> :</w:t>
      </w:r>
    </w:p>
    <w:p w14:paraId="46DC48C5" w14:textId="77777777" w:rsidR="00E55B37" w:rsidRPr="00D224FA" w:rsidRDefault="00E55B37" w:rsidP="00E55B37">
      <w:pPr>
        <w:pStyle w:val="SingleTxtG"/>
        <w:ind w:left="2268" w:hanging="1134"/>
      </w:pPr>
      <w:r w:rsidRPr="00D224FA">
        <w:rPr>
          <w:lang w:val="fr-FR"/>
        </w:rPr>
        <w:t>« 2.1</w:t>
      </w:r>
      <w:r w:rsidRPr="00D224FA">
        <w:rPr>
          <w:lang w:val="fr-FR"/>
        </w:rPr>
        <w:tab/>
      </w:r>
      <w:r>
        <w:rPr>
          <w:lang w:val="fr-FR"/>
        </w:rPr>
        <w:t>“</w:t>
      </w:r>
      <w:r w:rsidRPr="00FA41AC">
        <w:rPr>
          <w:i/>
          <w:iCs/>
          <w:lang w:val="fr-FR"/>
        </w:rPr>
        <w:t>Espaces fermés</w:t>
      </w:r>
      <w:r>
        <w:rPr>
          <w:lang w:val="fr-FR"/>
        </w:rPr>
        <w:t>”</w:t>
      </w:r>
      <w:r w:rsidRPr="00D224FA">
        <w:rPr>
          <w:lang w:val="fr-FR"/>
        </w:rPr>
        <w:t>, les volumes se trouvant à l</w:t>
      </w:r>
      <w:r>
        <w:rPr>
          <w:lang w:val="fr-FR"/>
        </w:rPr>
        <w:t>’</w:t>
      </w:r>
      <w:r w:rsidRPr="00D224FA">
        <w:rPr>
          <w:lang w:val="fr-FR"/>
        </w:rPr>
        <w:t xml:space="preserve">intérieur du véhicule (ou </w:t>
      </w:r>
      <w:r>
        <w:rPr>
          <w:lang w:val="fr-FR"/>
        </w:rPr>
        <w:t xml:space="preserve">du contour du véhicule traversant des </w:t>
      </w:r>
      <w:r w:rsidRPr="00D224FA">
        <w:rPr>
          <w:lang w:val="fr-FR"/>
        </w:rPr>
        <w:t xml:space="preserve">ouvertures) mais </w:t>
      </w:r>
      <w:r>
        <w:rPr>
          <w:lang w:val="fr-FR"/>
        </w:rPr>
        <w:t xml:space="preserve">qui sont </w:t>
      </w:r>
      <w:r w:rsidRPr="00D224FA">
        <w:rPr>
          <w:lang w:val="fr-FR"/>
        </w:rPr>
        <w:t>extérieurs au système hydrogène (</w:t>
      </w:r>
      <w:r>
        <w:rPr>
          <w:lang w:val="fr-FR"/>
        </w:rPr>
        <w:t>système de stockage</w:t>
      </w:r>
      <w:r w:rsidRPr="00D224FA">
        <w:rPr>
          <w:lang w:val="fr-FR"/>
        </w:rPr>
        <w:t xml:space="preserve">, </w:t>
      </w:r>
      <w:r>
        <w:rPr>
          <w:lang w:val="fr-FR"/>
        </w:rPr>
        <w:t xml:space="preserve">système de </w:t>
      </w:r>
      <w:r w:rsidRPr="00D224FA">
        <w:rPr>
          <w:lang w:val="fr-FR"/>
        </w:rPr>
        <w:t xml:space="preserve">pile à combustible, </w:t>
      </w:r>
      <w:r w:rsidRPr="00EE03A0">
        <w:rPr>
          <w:lang w:val="fr-FR"/>
        </w:rPr>
        <w:t>moteur à combustion interne</w:t>
      </w:r>
      <w:r w:rsidRPr="00D224FA">
        <w:rPr>
          <w:lang w:val="fr-FR"/>
        </w:rPr>
        <w:t xml:space="preserve"> et </w:t>
      </w:r>
      <w:r>
        <w:rPr>
          <w:lang w:val="fr-FR"/>
        </w:rPr>
        <w:t>système</w:t>
      </w:r>
      <w:r w:rsidRPr="00D224FA">
        <w:rPr>
          <w:lang w:val="fr-FR"/>
        </w:rPr>
        <w:t xml:space="preserve"> de gestion du débit ».</w:t>
      </w:r>
    </w:p>
    <w:p w14:paraId="0BE07859" w14:textId="77777777" w:rsidR="00E55B37" w:rsidRPr="00D224FA" w:rsidRDefault="00E55B37" w:rsidP="00E55B37">
      <w:pPr>
        <w:pStyle w:val="SingleTxtG"/>
        <w:keepNext/>
        <w:rPr>
          <w:bCs/>
        </w:rPr>
      </w:pPr>
      <w:r w:rsidRPr="00D224FA">
        <w:rPr>
          <w:i/>
          <w:iCs/>
          <w:lang w:val="fr-FR"/>
        </w:rPr>
        <w:t>Annexe 6, paragraphe 3.1.4</w:t>
      </w:r>
      <w:r w:rsidRPr="00D224FA">
        <w:rPr>
          <w:lang w:val="fr-FR"/>
        </w:rPr>
        <w:t>, lire</w:t>
      </w:r>
      <w:r>
        <w:rPr>
          <w:lang w:val="fr-FR"/>
        </w:rPr>
        <w:t> </w:t>
      </w:r>
      <w:r w:rsidRPr="00D224FA">
        <w:rPr>
          <w:lang w:val="fr-FR"/>
        </w:rPr>
        <w:t>:</w:t>
      </w:r>
    </w:p>
    <w:p w14:paraId="3D75AC73" w14:textId="77777777" w:rsidR="00E55B37" w:rsidRPr="00D224FA" w:rsidRDefault="00E55B37" w:rsidP="00E55B37">
      <w:pPr>
        <w:pStyle w:val="SingleTxtG"/>
        <w:ind w:left="2268" w:hanging="1134"/>
        <w:rPr>
          <w:bCs/>
        </w:rPr>
      </w:pPr>
      <w:r w:rsidRPr="00D224FA">
        <w:rPr>
          <w:lang w:val="fr-FR"/>
        </w:rPr>
        <w:t xml:space="preserve">« 3.1.4 </w:t>
      </w:r>
      <w:r w:rsidRPr="00D224FA">
        <w:rPr>
          <w:lang w:val="fr-FR"/>
        </w:rPr>
        <w:tab/>
        <w:t>La vanne d</w:t>
      </w:r>
      <w:r>
        <w:rPr>
          <w:lang w:val="fr-FR"/>
        </w:rPr>
        <w:t>’</w:t>
      </w:r>
      <w:r w:rsidRPr="00D224FA">
        <w:rPr>
          <w:lang w:val="fr-FR"/>
        </w:rPr>
        <w:t>arrêt principale et les autres vannes d</w:t>
      </w:r>
      <w:r>
        <w:rPr>
          <w:lang w:val="fr-FR"/>
        </w:rPr>
        <w:t>’</w:t>
      </w:r>
      <w:r w:rsidRPr="00D224FA">
        <w:rPr>
          <w:lang w:val="fr-FR"/>
        </w:rPr>
        <w:t>arrêt de l</w:t>
      </w:r>
      <w:r>
        <w:rPr>
          <w:lang w:val="fr-FR"/>
        </w:rPr>
        <w:t>’</w:t>
      </w:r>
      <w:r w:rsidRPr="00D224FA">
        <w:rPr>
          <w:lang w:val="fr-FR"/>
        </w:rPr>
        <w:t>hydrogène, qui sont placées dans la tuyauterie aval, sont</w:t>
      </w:r>
      <w:r w:rsidRPr="00961193">
        <w:rPr>
          <w:b/>
          <w:bCs/>
          <w:lang w:val="fr-FR"/>
        </w:rPr>
        <w:t>,</w:t>
      </w:r>
      <w:r w:rsidRPr="00D224FA">
        <w:rPr>
          <w:lang w:val="fr-FR"/>
        </w:rPr>
        <w:t xml:space="preserve"> </w:t>
      </w:r>
      <w:r w:rsidRPr="00330599">
        <w:rPr>
          <w:lang w:val="fr-FR"/>
        </w:rPr>
        <w:t xml:space="preserve">dans </w:t>
      </w:r>
      <w:r w:rsidRPr="00EE03A0">
        <w:rPr>
          <w:lang w:val="fr-FR"/>
        </w:rPr>
        <w:t>les</w:t>
      </w:r>
      <w:r w:rsidRPr="00330599">
        <w:rPr>
          <w:lang w:val="fr-FR"/>
        </w:rPr>
        <w:t xml:space="preserve"> conditions normales de conduite</w:t>
      </w:r>
      <w:r w:rsidRPr="00EE03A0">
        <w:rPr>
          <w:lang w:val="fr-FR"/>
        </w:rPr>
        <w:t>,</w:t>
      </w:r>
      <w:r w:rsidRPr="00330599">
        <w:rPr>
          <w:lang w:val="fr-FR"/>
        </w:rPr>
        <w:t xml:space="preserve"> </w:t>
      </w:r>
      <w:r w:rsidRPr="00EE03A0">
        <w:rPr>
          <w:lang w:val="fr-FR"/>
        </w:rPr>
        <w:t xml:space="preserve">maintenues ouvertes </w:t>
      </w:r>
      <w:r w:rsidRPr="00330599">
        <w:rPr>
          <w:lang w:val="fr-FR"/>
        </w:rPr>
        <w:t>immédiatement</w:t>
      </w:r>
      <w:r w:rsidRPr="00D224FA">
        <w:rPr>
          <w:lang w:val="fr-FR"/>
        </w:rPr>
        <w:t xml:space="preserve"> avant le choc. ».</w:t>
      </w:r>
    </w:p>
    <w:p w14:paraId="66658181" w14:textId="77777777" w:rsidR="00E55B37" w:rsidRPr="00D224FA" w:rsidRDefault="00E55B37" w:rsidP="00E55B37">
      <w:pPr>
        <w:pStyle w:val="SingleTxtG"/>
        <w:keepNext/>
        <w:rPr>
          <w:bCs/>
        </w:rPr>
      </w:pPr>
      <w:r w:rsidRPr="00D224FA">
        <w:rPr>
          <w:i/>
          <w:iCs/>
          <w:lang w:val="fr-FR"/>
        </w:rPr>
        <w:t>Annexe 6, paragraphes 4.2 et 4.3</w:t>
      </w:r>
      <w:r w:rsidRPr="00D224FA">
        <w:rPr>
          <w:lang w:val="fr-FR"/>
        </w:rPr>
        <w:t>, lire</w:t>
      </w:r>
      <w:r>
        <w:rPr>
          <w:lang w:val="fr-FR"/>
        </w:rPr>
        <w:t> :</w:t>
      </w:r>
    </w:p>
    <w:p w14:paraId="5F2627E0" w14:textId="77777777" w:rsidR="00E55B37" w:rsidRPr="00D224FA" w:rsidRDefault="00E55B37" w:rsidP="00E55B37">
      <w:pPr>
        <w:pStyle w:val="SingleTxtG"/>
        <w:keepNext/>
        <w:ind w:left="2268" w:hanging="1134"/>
        <w:rPr>
          <w:lang w:val="fr-FR"/>
        </w:rPr>
      </w:pPr>
      <w:r w:rsidRPr="00D224FA">
        <w:rPr>
          <w:lang w:val="fr-FR"/>
        </w:rPr>
        <w:t>« 4.2</w:t>
      </w:r>
      <w:r w:rsidRPr="00D224FA">
        <w:rPr>
          <w:lang w:val="fr-FR"/>
        </w:rPr>
        <w:tab/>
        <w:t>La masse initiale de l</w:t>
      </w:r>
      <w:r>
        <w:rPr>
          <w:lang w:val="fr-FR"/>
        </w:rPr>
        <w:t>’</w:t>
      </w:r>
      <w:r w:rsidRPr="00D224FA">
        <w:rPr>
          <w:lang w:val="fr-FR"/>
        </w:rPr>
        <w:t>hydrogène dans le système de stockage peut être calculée comme suit</w:t>
      </w:r>
      <w:r>
        <w:rPr>
          <w:lang w:val="fr-FR"/>
        </w:rPr>
        <w:t> </w:t>
      </w:r>
      <w:r w:rsidRPr="00D224FA">
        <w:rPr>
          <w:lang w:val="fr-FR"/>
        </w:rPr>
        <w:t>:</w:t>
      </w:r>
    </w:p>
    <w:p w14:paraId="55D4996F" w14:textId="77777777" w:rsidR="00E55B37" w:rsidRPr="00D224FA" w:rsidRDefault="00E55B37" w:rsidP="00E55B37">
      <w:pPr>
        <w:pStyle w:val="SingleTxtG"/>
        <w:ind w:left="2268"/>
        <w:rPr>
          <w:bCs/>
          <w:lang w:val="fr-FR"/>
        </w:rPr>
      </w:pPr>
      <w:r w:rsidRPr="00D224FA">
        <w:rPr>
          <w:lang w:val="fr-FR"/>
        </w:rPr>
        <w:t>P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>´ = P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 xml:space="preserve"> × 288 / (273 + T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>)</w:t>
      </w:r>
    </w:p>
    <w:p w14:paraId="580F2817" w14:textId="77777777" w:rsidR="00E55B37" w:rsidRPr="00D224FA" w:rsidRDefault="00E55B37" w:rsidP="00E55B37">
      <w:pPr>
        <w:pStyle w:val="SingleTxtG"/>
        <w:ind w:left="2268"/>
        <w:rPr>
          <w:bCs/>
          <w:lang w:val="fr-FR"/>
        </w:rPr>
      </w:pPr>
      <w:r w:rsidRPr="00D224FA">
        <w:rPr>
          <w:lang w:val="fr-FR"/>
        </w:rPr>
        <w:t>ρ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>´ = -0,0027 × (P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>´)</w:t>
      </w:r>
      <w:r w:rsidRPr="00D224FA">
        <w:rPr>
          <w:vertAlign w:val="superscript"/>
          <w:lang w:val="fr-FR"/>
        </w:rPr>
        <w:t>2</w:t>
      </w:r>
      <w:r w:rsidRPr="00D224FA">
        <w:rPr>
          <w:lang w:val="fr-FR"/>
        </w:rPr>
        <w:t xml:space="preserve"> + 0,75 × P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 xml:space="preserve">´ + </w:t>
      </w:r>
      <w:r w:rsidRPr="00EE03A0">
        <w:rPr>
          <w:lang w:val="fr-FR"/>
        </w:rPr>
        <w:t>1,07</w:t>
      </w:r>
    </w:p>
    <w:p w14:paraId="5881E25B" w14:textId="77777777" w:rsidR="00E55B37" w:rsidRPr="00D224FA" w:rsidRDefault="00E55B37" w:rsidP="00E55B37">
      <w:pPr>
        <w:pStyle w:val="SingleTxtG"/>
        <w:ind w:left="2268"/>
        <w:rPr>
          <w:lang w:val="fr-FR"/>
        </w:rPr>
      </w:pPr>
      <w:r w:rsidRPr="00D224FA">
        <w:rPr>
          <w:lang w:val="fr-FR"/>
        </w:rPr>
        <w:t>M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 xml:space="preserve"> = ρ</w:t>
      </w:r>
      <w:r w:rsidRPr="00D224FA">
        <w:rPr>
          <w:vertAlign w:val="subscript"/>
          <w:lang w:val="fr-FR"/>
        </w:rPr>
        <w:t>0</w:t>
      </w:r>
      <w:r w:rsidRPr="00D224FA">
        <w:rPr>
          <w:lang w:val="fr-FR"/>
        </w:rPr>
        <w:t>´ × V</w:t>
      </w:r>
      <w:r w:rsidRPr="00D224FA">
        <w:rPr>
          <w:vertAlign w:val="subscript"/>
          <w:lang w:val="fr-FR"/>
        </w:rPr>
        <w:t>CHSS</w:t>
      </w:r>
    </w:p>
    <w:p w14:paraId="09D59B66" w14:textId="77777777" w:rsidR="00E55B37" w:rsidRPr="00D224FA" w:rsidRDefault="00E55B37" w:rsidP="00E55B37">
      <w:pPr>
        <w:pStyle w:val="SingleTxtG"/>
        <w:ind w:left="2268" w:hanging="1134"/>
        <w:rPr>
          <w:rFonts w:eastAsiaTheme="minorEastAsia"/>
          <w:bCs/>
          <w:lang w:val="fr-FR"/>
        </w:rPr>
      </w:pPr>
      <w:r w:rsidRPr="00D224FA">
        <w:rPr>
          <w:lang w:val="fr-FR"/>
        </w:rPr>
        <w:t>4.3</w:t>
      </w:r>
      <w:r w:rsidRPr="00D224FA">
        <w:rPr>
          <w:lang w:val="fr-FR"/>
        </w:rPr>
        <w:tab/>
      </w:r>
      <w:r w:rsidRPr="00D224FA">
        <w:rPr>
          <w:rFonts w:eastAsia="SimSun"/>
          <w:lang w:val="fr-FR"/>
        </w:rPr>
        <w:t>De même, la masse finale de l</w:t>
      </w:r>
      <w:r>
        <w:rPr>
          <w:rFonts w:eastAsia="SimSun"/>
          <w:lang w:val="fr-FR"/>
        </w:rPr>
        <w:t>’</w:t>
      </w:r>
      <w:r w:rsidRPr="00D224FA">
        <w:rPr>
          <w:rFonts w:eastAsia="SimSun"/>
          <w:lang w:val="fr-FR"/>
        </w:rPr>
        <w:t xml:space="preserve">hydrogène dans le système de stockage </w:t>
      </w:r>
      <w:proofErr w:type="spellStart"/>
      <w:r w:rsidRPr="00D224FA">
        <w:rPr>
          <w:rFonts w:eastAsia="SimSun"/>
          <w:lang w:val="fr-FR"/>
        </w:rPr>
        <w:t>M</w:t>
      </w:r>
      <w:r w:rsidRPr="00D224FA">
        <w:rPr>
          <w:rFonts w:eastAsia="SimSun"/>
          <w:vertAlign w:val="subscript"/>
          <w:lang w:val="fr-FR"/>
        </w:rPr>
        <w:t>f</w:t>
      </w:r>
      <w:proofErr w:type="spellEnd"/>
      <w:r w:rsidRPr="00D224FA">
        <w:rPr>
          <w:rFonts w:eastAsia="SimSun"/>
          <w:lang w:val="fr-FR"/>
        </w:rPr>
        <w:t xml:space="preserve"> à la fin de l</w:t>
      </w:r>
      <w:r>
        <w:rPr>
          <w:rFonts w:eastAsia="SimSun"/>
          <w:lang w:val="fr-FR"/>
        </w:rPr>
        <w:t>’</w:t>
      </w:r>
      <w:r w:rsidRPr="00D224FA">
        <w:rPr>
          <w:rFonts w:eastAsia="SimSun"/>
          <w:lang w:val="fr-FR"/>
        </w:rPr>
        <w:t xml:space="preserve">intervalle de temps </w:t>
      </w:r>
      <w:proofErr w:type="spellStart"/>
      <w:r w:rsidRPr="00D224FA">
        <w:rPr>
          <w:rFonts w:eastAsia="SimSun"/>
          <w:lang w:val="fr-FR"/>
        </w:rPr>
        <w:t>Δt</w:t>
      </w:r>
      <w:proofErr w:type="spellEnd"/>
      <w:r w:rsidRPr="00D224FA">
        <w:rPr>
          <w:rFonts w:eastAsia="SimSun"/>
          <w:lang w:val="fr-FR"/>
        </w:rPr>
        <w:t xml:space="preserve"> peut être calculée comme suit :</w:t>
      </w:r>
    </w:p>
    <w:p w14:paraId="62B73F77" w14:textId="77777777" w:rsidR="00E55B37" w:rsidRPr="00D224FA" w:rsidRDefault="00E55B37" w:rsidP="00E55B37">
      <w:pPr>
        <w:pStyle w:val="SingleTxtG"/>
        <w:ind w:left="2268"/>
        <w:rPr>
          <w:rFonts w:eastAsiaTheme="minorEastAsia"/>
          <w:bCs/>
          <w:lang w:val="de-DE"/>
        </w:rPr>
      </w:pPr>
      <w:proofErr w:type="spellStart"/>
      <w:r w:rsidRPr="00D224FA">
        <w:rPr>
          <w:rFonts w:eastAsia="SimSun"/>
          <w:lang w:val="de-DE"/>
        </w:rPr>
        <w:t>P</w:t>
      </w:r>
      <w:r w:rsidRPr="00D224FA">
        <w:rPr>
          <w:rFonts w:eastAsia="SimSun"/>
          <w:vertAlign w:val="subscript"/>
          <w:lang w:val="de-DE"/>
        </w:rPr>
        <w:t>f</w:t>
      </w:r>
      <w:proofErr w:type="spellEnd"/>
      <w:r w:rsidRPr="00D224FA">
        <w:rPr>
          <w:rFonts w:eastAsia="SimSun"/>
          <w:lang w:val="de-DE"/>
        </w:rPr>
        <w:t xml:space="preserve">´ = </w:t>
      </w:r>
      <w:proofErr w:type="spellStart"/>
      <w:r w:rsidRPr="00D224FA">
        <w:rPr>
          <w:rFonts w:eastAsia="SimSun"/>
          <w:lang w:val="de-DE"/>
        </w:rPr>
        <w:t>P</w:t>
      </w:r>
      <w:r w:rsidRPr="00D224FA">
        <w:rPr>
          <w:rFonts w:eastAsia="SimSun"/>
          <w:vertAlign w:val="subscript"/>
          <w:lang w:val="de-DE"/>
        </w:rPr>
        <w:t>f</w:t>
      </w:r>
      <w:proofErr w:type="spellEnd"/>
      <w:r w:rsidRPr="00D224FA">
        <w:rPr>
          <w:rFonts w:eastAsia="SimSun"/>
          <w:vertAlign w:val="subscript"/>
          <w:lang w:val="de-DE"/>
        </w:rPr>
        <w:t> </w:t>
      </w:r>
      <w:r w:rsidRPr="00D224FA">
        <w:rPr>
          <w:rFonts w:eastAsia="SimSun"/>
          <w:lang w:val="de-DE"/>
        </w:rPr>
        <w:t xml:space="preserve">× 288 / (273 + </w:t>
      </w:r>
      <w:proofErr w:type="spellStart"/>
      <w:r w:rsidRPr="00D224FA">
        <w:rPr>
          <w:rFonts w:eastAsia="SimSun"/>
          <w:lang w:val="de-DE"/>
        </w:rPr>
        <w:t>T</w:t>
      </w:r>
      <w:r w:rsidRPr="00D224FA">
        <w:rPr>
          <w:rFonts w:eastAsia="SimSun"/>
          <w:vertAlign w:val="subscript"/>
          <w:lang w:val="de-DE"/>
        </w:rPr>
        <w:t>f</w:t>
      </w:r>
      <w:proofErr w:type="spellEnd"/>
      <w:r w:rsidRPr="00D224FA">
        <w:rPr>
          <w:rFonts w:eastAsia="SimSun"/>
          <w:lang w:val="de-DE"/>
        </w:rPr>
        <w:t>)</w:t>
      </w:r>
    </w:p>
    <w:p w14:paraId="2B0AA6E7" w14:textId="77777777" w:rsidR="00E55B37" w:rsidRPr="00D224FA" w:rsidRDefault="00E55B37" w:rsidP="00E55B37">
      <w:pPr>
        <w:pStyle w:val="SingleTxtG"/>
        <w:ind w:left="2268"/>
        <w:rPr>
          <w:rFonts w:eastAsiaTheme="minorEastAsia"/>
          <w:bCs/>
          <w:lang w:val="de-DE"/>
        </w:rPr>
      </w:pPr>
      <w:r w:rsidRPr="00D224FA">
        <w:rPr>
          <w:rFonts w:eastAsia="SimSun"/>
          <w:lang w:val="fr-FR"/>
        </w:rPr>
        <w:t>ρ</w:t>
      </w:r>
      <w:r w:rsidRPr="00D224FA">
        <w:rPr>
          <w:rFonts w:eastAsia="SimSun"/>
          <w:vertAlign w:val="subscript"/>
          <w:lang w:val="de-DE"/>
        </w:rPr>
        <w:t>f</w:t>
      </w:r>
      <w:r w:rsidRPr="00D224FA">
        <w:rPr>
          <w:rFonts w:eastAsia="SimSun"/>
          <w:lang w:val="de-DE"/>
        </w:rPr>
        <w:t>´ = -0,0027 × (</w:t>
      </w:r>
      <w:proofErr w:type="spellStart"/>
      <w:r w:rsidRPr="00D224FA">
        <w:rPr>
          <w:rFonts w:eastAsia="SimSun"/>
          <w:lang w:val="de-DE"/>
        </w:rPr>
        <w:t>P</w:t>
      </w:r>
      <w:r w:rsidRPr="00D224FA">
        <w:rPr>
          <w:rFonts w:eastAsia="SimSun"/>
          <w:vertAlign w:val="subscript"/>
          <w:lang w:val="de-DE"/>
        </w:rPr>
        <w:t>f</w:t>
      </w:r>
      <w:proofErr w:type="spellEnd"/>
      <w:r w:rsidRPr="00D224FA">
        <w:rPr>
          <w:rFonts w:eastAsia="SimSun"/>
          <w:lang w:val="de-DE"/>
        </w:rPr>
        <w:t>´)</w:t>
      </w:r>
      <w:r w:rsidRPr="00D224FA">
        <w:rPr>
          <w:rFonts w:eastAsia="SimSun"/>
          <w:vertAlign w:val="superscript"/>
          <w:lang w:val="de-DE"/>
        </w:rPr>
        <w:t>2</w:t>
      </w:r>
      <w:r w:rsidRPr="00D224FA">
        <w:rPr>
          <w:rFonts w:eastAsia="SimSun"/>
          <w:lang w:val="de-DE"/>
        </w:rPr>
        <w:t xml:space="preserve"> + 0,75 × </w:t>
      </w:r>
      <w:proofErr w:type="spellStart"/>
      <w:r w:rsidRPr="00D224FA">
        <w:rPr>
          <w:rFonts w:eastAsia="SimSun"/>
          <w:lang w:val="de-DE"/>
        </w:rPr>
        <w:t>P</w:t>
      </w:r>
      <w:r w:rsidRPr="00D224FA">
        <w:rPr>
          <w:rFonts w:eastAsia="SimSun"/>
          <w:vertAlign w:val="subscript"/>
          <w:lang w:val="de-DE"/>
        </w:rPr>
        <w:t>f</w:t>
      </w:r>
      <w:proofErr w:type="spellEnd"/>
      <w:r w:rsidRPr="00D224FA">
        <w:rPr>
          <w:rFonts w:eastAsia="SimSun"/>
          <w:lang w:val="de-DE"/>
        </w:rPr>
        <w:t xml:space="preserve">´ + </w:t>
      </w:r>
      <w:r w:rsidRPr="00EE03A0">
        <w:rPr>
          <w:rFonts w:eastAsia="SimSun"/>
          <w:lang w:val="de-DE"/>
        </w:rPr>
        <w:t>1,07</w:t>
      </w:r>
    </w:p>
    <w:p w14:paraId="52B1AA42" w14:textId="77777777" w:rsidR="00E55B37" w:rsidRPr="00D224FA" w:rsidRDefault="00E55B37" w:rsidP="00E55B37">
      <w:pPr>
        <w:pStyle w:val="SingleTxtG"/>
        <w:ind w:left="2268"/>
        <w:rPr>
          <w:rFonts w:eastAsiaTheme="minorEastAsia"/>
          <w:bCs/>
          <w:lang w:val="fr-FR"/>
        </w:rPr>
      </w:pPr>
      <w:proofErr w:type="spellStart"/>
      <w:r w:rsidRPr="00D224FA">
        <w:rPr>
          <w:rFonts w:eastAsia="SimSun"/>
          <w:lang w:val="fr-FR"/>
        </w:rPr>
        <w:t>M</w:t>
      </w:r>
      <w:r w:rsidRPr="00D224FA">
        <w:rPr>
          <w:rFonts w:eastAsia="SimSun"/>
          <w:vertAlign w:val="subscript"/>
          <w:lang w:val="fr-FR"/>
        </w:rPr>
        <w:t>f</w:t>
      </w:r>
      <w:proofErr w:type="spellEnd"/>
      <w:r w:rsidRPr="00D224FA">
        <w:rPr>
          <w:rFonts w:eastAsia="SimSun"/>
          <w:lang w:val="fr-FR"/>
        </w:rPr>
        <w:t xml:space="preserve"> = </w:t>
      </w:r>
      <w:proofErr w:type="spellStart"/>
      <w:r w:rsidRPr="00D224FA">
        <w:rPr>
          <w:rFonts w:eastAsia="SimSun"/>
          <w:lang w:val="fr-FR"/>
        </w:rPr>
        <w:t>ρ</w:t>
      </w:r>
      <w:r w:rsidRPr="00D224FA">
        <w:rPr>
          <w:rFonts w:eastAsia="SimSun"/>
          <w:vertAlign w:val="subscript"/>
          <w:lang w:val="fr-FR"/>
        </w:rPr>
        <w:t>f</w:t>
      </w:r>
      <w:proofErr w:type="spellEnd"/>
      <w:r w:rsidRPr="00D224FA">
        <w:rPr>
          <w:rFonts w:eastAsia="SimSun"/>
          <w:lang w:val="fr-FR"/>
        </w:rPr>
        <w:t>´ × V</w:t>
      </w:r>
      <w:r w:rsidRPr="00D224FA">
        <w:rPr>
          <w:rFonts w:eastAsia="SimSun"/>
          <w:vertAlign w:val="subscript"/>
          <w:lang w:val="fr-FR"/>
        </w:rPr>
        <w:t>CHSS</w:t>
      </w:r>
    </w:p>
    <w:p w14:paraId="04DD849D" w14:textId="77777777" w:rsidR="00E55B37" w:rsidRDefault="00E55B37" w:rsidP="00E55B37">
      <w:pPr>
        <w:pStyle w:val="SingleTxtG"/>
        <w:ind w:left="2268"/>
        <w:rPr>
          <w:rFonts w:eastAsia="SimSun"/>
          <w:lang w:val="fr-FR"/>
        </w:rPr>
      </w:pPr>
      <w:r w:rsidRPr="00D224FA">
        <w:rPr>
          <w:rFonts w:eastAsia="SimSun"/>
          <w:lang w:val="fr-FR"/>
        </w:rPr>
        <w:t>où P</w:t>
      </w:r>
      <w:r w:rsidRPr="00D224FA">
        <w:rPr>
          <w:rFonts w:eastAsia="SimSun"/>
          <w:vertAlign w:val="subscript"/>
          <w:lang w:val="fr-FR"/>
        </w:rPr>
        <w:t>f</w:t>
      </w:r>
      <w:r w:rsidRPr="00D224FA">
        <w:rPr>
          <w:rFonts w:eastAsia="SimSun"/>
          <w:lang w:val="fr-FR"/>
        </w:rPr>
        <w:t xml:space="preserve"> est la pression finale mesurée (MPa) à la fin de l</w:t>
      </w:r>
      <w:r>
        <w:rPr>
          <w:rFonts w:eastAsia="SimSun"/>
          <w:lang w:val="fr-FR"/>
        </w:rPr>
        <w:t>’</w:t>
      </w:r>
      <w:r w:rsidRPr="00D224FA">
        <w:rPr>
          <w:rFonts w:eastAsia="SimSun"/>
          <w:lang w:val="fr-FR"/>
        </w:rPr>
        <w:t>intervalle de temps, et T</w:t>
      </w:r>
      <w:r w:rsidRPr="00D224FA">
        <w:rPr>
          <w:rFonts w:eastAsia="SimSun"/>
          <w:vertAlign w:val="subscript"/>
          <w:lang w:val="fr-FR"/>
        </w:rPr>
        <w:t>f</w:t>
      </w:r>
      <w:r w:rsidRPr="00D224FA">
        <w:rPr>
          <w:rFonts w:eastAsia="SimSun"/>
          <w:lang w:val="fr-FR"/>
        </w:rPr>
        <w:t xml:space="preserve"> est la température finale mesurée (°C). ».</w:t>
      </w:r>
    </w:p>
    <w:p w14:paraId="6E831D01" w14:textId="2416BF14" w:rsidR="00F9573C" w:rsidRPr="00B97377" w:rsidRDefault="00E55B37" w:rsidP="00B97377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 w:rsidR="00B97377">
        <w:rPr>
          <w:u w:val="single"/>
          <w:lang w:val="fr-FR"/>
        </w:rPr>
        <w:tab/>
      </w:r>
      <w:r w:rsidR="00B97377">
        <w:rPr>
          <w:u w:val="single"/>
          <w:lang w:val="fr-FR"/>
        </w:rPr>
        <w:tab/>
      </w:r>
      <w:r w:rsidR="00B97377">
        <w:rPr>
          <w:u w:val="single"/>
          <w:lang w:val="fr-FR"/>
        </w:rPr>
        <w:tab/>
      </w:r>
    </w:p>
    <w:sectPr w:rsidR="00F9573C" w:rsidRPr="00B97377" w:rsidSect="002B019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BB46" w14:textId="77777777" w:rsidR="00CE4A54" w:rsidRDefault="00CE4A54" w:rsidP="00F95C08">
      <w:pPr>
        <w:spacing w:line="240" w:lineRule="auto"/>
      </w:pPr>
    </w:p>
  </w:endnote>
  <w:endnote w:type="continuationSeparator" w:id="0">
    <w:p w14:paraId="65B0AA82" w14:textId="77777777" w:rsidR="00CE4A54" w:rsidRPr="00AC3823" w:rsidRDefault="00CE4A54" w:rsidP="00AC3823">
      <w:pPr>
        <w:pStyle w:val="Pieddepage"/>
      </w:pPr>
    </w:p>
  </w:endnote>
  <w:endnote w:type="continuationNotice" w:id="1">
    <w:p w14:paraId="5F13A84B" w14:textId="77777777" w:rsidR="00CE4A54" w:rsidRDefault="00CE4A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C58" w14:textId="60AA6FE0" w:rsidR="002B0197" w:rsidRPr="002B0197" w:rsidRDefault="002B0197" w:rsidP="002B0197">
    <w:pPr>
      <w:pStyle w:val="Pieddepage"/>
      <w:tabs>
        <w:tab w:val="right" w:pos="9638"/>
      </w:tabs>
    </w:pPr>
    <w:r w:rsidRPr="002B0197">
      <w:rPr>
        <w:b/>
        <w:sz w:val="18"/>
      </w:rPr>
      <w:fldChar w:fldCharType="begin"/>
    </w:r>
    <w:r w:rsidRPr="002B0197">
      <w:rPr>
        <w:b/>
        <w:sz w:val="18"/>
      </w:rPr>
      <w:instrText xml:space="preserve"> PAGE  \* MERGEFORMAT </w:instrText>
    </w:r>
    <w:r w:rsidRPr="002B0197">
      <w:rPr>
        <w:b/>
        <w:sz w:val="18"/>
      </w:rPr>
      <w:fldChar w:fldCharType="separate"/>
    </w:r>
    <w:r w:rsidRPr="002B0197">
      <w:rPr>
        <w:b/>
        <w:noProof/>
        <w:sz w:val="18"/>
      </w:rPr>
      <w:t>2</w:t>
    </w:r>
    <w:r w:rsidRPr="002B0197">
      <w:rPr>
        <w:b/>
        <w:sz w:val="18"/>
      </w:rPr>
      <w:fldChar w:fldCharType="end"/>
    </w:r>
    <w:r>
      <w:rPr>
        <w:b/>
        <w:sz w:val="18"/>
      </w:rPr>
      <w:tab/>
    </w:r>
    <w:r>
      <w:t>GE.23-16850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C0F5" w14:textId="49E649A2" w:rsidR="002B0197" w:rsidRPr="002B0197" w:rsidRDefault="002B0197" w:rsidP="002B0197">
    <w:pPr>
      <w:pStyle w:val="Pieddepage"/>
      <w:tabs>
        <w:tab w:val="right" w:pos="9638"/>
      </w:tabs>
      <w:rPr>
        <w:b/>
        <w:sz w:val="18"/>
      </w:rPr>
    </w:pPr>
    <w:r>
      <w:t>GE.23-16850</w:t>
    </w:r>
    <w:r>
      <w:tab/>
    </w:r>
    <w:r w:rsidRPr="002B0197">
      <w:rPr>
        <w:b/>
        <w:sz w:val="18"/>
      </w:rPr>
      <w:fldChar w:fldCharType="begin"/>
    </w:r>
    <w:r w:rsidRPr="002B0197">
      <w:rPr>
        <w:b/>
        <w:sz w:val="18"/>
      </w:rPr>
      <w:instrText xml:space="preserve"> PAGE  \* MERGEFORMAT </w:instrText>
    </w:r>
    <w:r w:rsidRPr="002B0197">
      <w:rPr>
        <w:b/>
        <w:sz w:val="18"/>
      </w:rPr>
      <w:fldChar w:fldCharType="separate"/>
    </w:r>
    <w:r w:rsidRPr="002B0197">
      <w:rPr>
        <w:b/>
        <w:noProof/>
        <w:sz w:val="18"/>
      </w:rPr>
      <w:t>3</w:t>
    </w:r>
    <w:r w:rsidRPr="002B019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10E4" w14:textId="4D6639A1" w:rsidR="007F20FA" w:rsidRPr="002B0197" w:rsidRDefault="002B0197" w:rsidP="002B0197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B422CAD" wp14:editId="533715A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23-16850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293704A" wp14:editId="7CE45A2E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270923    280923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5DB7" w14:textId="77777777" w:rsidR="00CE4A54" w:rsidRPr="00AC3823" w:rsidRDefault="00CE4A5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E2DB6CF" w14:textId="77777777" w:rsidR="00CE4A54" w:rsidRPr="00AC3823" w:rsidRDefault="00CE4A5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B4598C2" w14:textId="77777777" w:rsidR="00CE4A54" w:rsidRPr="00AC3823" w:rsidRDefault="00CE4A54">
      <w:pPr>
        <w:spacing w:line="240" w:lineRule="auto"/>
        <w:rPr>
          <w:sz w:val="2"/>
          <w:szCs w:val="2"/>
        </w:rPr>
      </w:pPr>
    </w:p>
  </w:footnote>
  <w:footnote w:id="2">
    <w:p w14:paraId="40E8DFB4" w14:textId="2216A156" w:rsidR="00B97377" w:rsidRDefault="002E6F1E" w:rsidP="00B97377">
      <w:pPr>
        <w:pStyle w:val="Notedebasdepage"/>
        <w:rPr>
          <w:lang w:val="fr-FR"/>
        </w:rPr>
      </w:pPr>
      <w:r>
        <w:tab/>
      </w:r>
      <w:r w:rsidR="00B97377" w:rsidRPr="002E6F1E">
        <w:rPr>
          <w:rStyle w:val="Appelnotedebasdep"/>
          <w:sz w:val="20"/>
          <w:vertAlign w:val="baseline"/>
        </w:rPr>
        <w:sym w:font="Symbol" w:char="F02A"/>
      </w:r>
      <w:r w:rsidR="00B97377">
        <w:t xml:space="preserve"> </w:t>
      </w:r>
      <w:r>
        <w:tab/>
      </w:r>
      <w:r w:rsidR="00B97377">
        <w:rPr>
          <w:lang w:val="fr-FR"/>
        </w:rPr>
        <w:t>Conformément au programme de travail du Comité des transports intérieurs pour 2023 tel qu’il figure dans le projet de budget-programme pour 2023 (A/77/6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593825A0" w14:textId="77777777" w:rsidR="002E6F1E" w:rsidRPr="007E0378" w:rsidRDefault="002E6F1E" w:rsidP="00B97377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A910" w14:textId="38CEE563" w:rsidR="002B0197" w:rsidRPr="002B0197" w:rsidRDefault="002B0197">
    <w:pPr>
      <w:pStyle w:val="En-tte"/>
    </w:pPr>
    <w:fldSimple w:instr=" TITLE  \* MERGEFORMAT ">
      <w:r>
        <w:t>ECE/TRANS/WP.29/2023/123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2390" w14:textId="76876FB6" w:rsidR="002B0197" w:rsidRPr="002B0197" w:rsidRDefault="002B0197" w:rsidP="002B0197">
    <w:pPr>
      <w:pStyle w:val="En-tte"/>
      <w:jc w:val="right"/>
    </w:pPr>
    <w:fldSimple w:instr=" TITLE  \* MERGEFORMAT ">
      <w:r>
        <w:t>ECE/TRANS/WP.29/2023/123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48717153">
    <w:abstractNumId w:val="12"/>
  </w:num>
  <w:num w:numId="2" w16cid:durableId="220755517">
    <w:abstractNumId w:val="11"/>
  </w:num>
  <w:num w:numId="3" w16cid:durableId="678436087">
    <w:abstractNumId w:val="10"/>
  </w:num>
  <w:num w:numId="4" w16cid:durableId="1980647818">
    <w:abstractNumId w:val="8"/>
  </w:num>
  <w:num w:numId="5" w16cid:durableId="1816987635">
    <w:abstractNumId w:val="3"/>
  </w:num>
  <w:num w:numId="6" w16cid:durableId="739257890">
    <w:abstractNumId w:val="2"/>
  </w:num>
  <w:num w:numId="7" w16cid:durableId="1861165326">
    <w:abstractNumId w:val="1"/>
  </w:num>
  <w:num w:numId="8" w16cid:durableId="629288420">
    <w:abstractNumId w:val="0"/>
  </w:num>
  <w:num w:numId="9" w16cid:durableId="334918711">
    <w:abstractNumId w:val="9"/>
  </w:num>
  <w:num w:numId="10" w16cid:durableId="1137143759">
    <w:abstractNumId w:val="7"/>
  </w:num>
  <w:num w:numId="11" w16cid:durableId="366688706">
    <w:abstractNumId w:val="6"/>
  </w:num>
  <w:num w:numId="12" w16cid:durableId="2052806698">
    <w:abstractNumId w:val="5"/>
  </w:num>
  <w:num w:numId="13" w16cid:durableId="1929537985">
    <w:abstractNumId w:val="4"/>
  </w:num>
  <w:num w:numId="14" w16cid:durableId="1987970594">
    <w:abstractNumId w:val="12"/>
  </w:num>
  <w:num w:numId="15" w16cid:durableId="932399320">
    <w:abstractNumId w:val="11"/>
  </w:num>
  <w:num w:numId="16" w16cid:durableId="333993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4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B0197"/>
    <w:rsid w:val="002D7C93"/>
    <w:rsid w:val="002E6F1E"/>
    <w:rsid w:val="00305801"/>
    <w:rsid w:val="003916DE"/>
    <w:rsid w:val="00421996"/>
    <w:rsid w:val="00441C3B"/>
    <w:rsid w:val="00446FE5"/>
    <w:rsid w:val="00452396"/>
    <w:rsid w:val="00477EB2"/>
    <w:rsid w:val="004837D8"/>
    <w:rsid w:val="004C15AA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97377"/>
    <w:rsid w:val="00BA0CA9"/>
    <w:rsid w:val="00C02897"/>
    <w:rsid w:val="00C07168"/>
    <w:rsid w:val="00C20CBC"/>
    <w:rsid w:val="00C97039"/>
    <w:rsid w:val="00CE4A54"/>
    <w:rsid w:val="00D3439C"/>
    <w:rsid w:val="00D7622E"/>
    <w:rsid w:val="00DB1831"/>
    <w:rsid w:val="00DD3BFD"/>
    <w:rsid w:val="00DF6678"/>
    <w:rsid w:val="00E0299A"/>
    <w:rsid w:val="00E55B37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9EECE8"/>
  <w15:docId w15:val="{97D48736-5AC9-49BD-BC7D-2C79E47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B97377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55D22-9BDA-420C-81F6-567777F04396}"/>
</file>

<file path=customXml/itemProps2.xml><?xml version="1.0" encoding="utf-8"?>
<ds:datastoreItem xmlns:ds="http://schemas.openxmlformats.org/officeDocument/2006/customXml" ds:itemID="{35801428-1560-43E0-B88C-2944F7A7C640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718</Words>
  <Characters>5033</Characters>
  <Application>Microsoft Office Word</Application>
  <DocSecurity>0</DocSecurity>
  <Lines>419</Lines>
  <Paragraphs>230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ECE/TRANS/WP.29/2023/123</vt:lpstr>
    </vt:vector>
  </TitlesOfParts>
  <Company>DCM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ECE/TRANS/WP.29/2023/123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2023-09-28T12:12:00Z</dcterms:created>
  <dcterms:modified xsi:type="dcterms:W3CDTF">2023-09-28T12:12:00Z</dcterms:modified>
</cp:coreProperties>
</file>