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1433FD" w:rsidRPr="00DB58B5" w14:paraId="6E560C34" w14:textId="77777777" w:rsidTr="005316B0">
        <w:trPr>
          <w:trHeight w:hRule="exact" w:val="851"/>
        </w:trPr>
        <w:tc>
          <w:tcPr>
            <w:tcW w:w="1276" w:type="dxa"/>
            <w:tcBorders>
              <w:bottom w:val="single" w:sz="4" w:space="0" w:color="auto"/>
            </w:tcBorders>
          </w:tcPr>
          <w:p w14:paraId="2F620A22" w14:textId="77777777" w:rsidR="001433FD" w:rsidRPr="00DB58B5" w:rsidRDefault="001433FD" w:rsidP="0001207F"/>
        </w:tc>
        <w:tc>
          <w:tcPr>
            <w:tcW w:w="2268" w:type="dxa"/>
            <w:tcBorders>
              <w:bottom w:val="single" w:sz="4" w:space="0" w:color="auto"/>
            </w:tcBorders>
            <w:vAlign w:val="bottom"/>
          </w:tcPr>
          <w:p w14:paraId="5F2B92EA" w14:textId="77777777" w:rsidR="001433FD" w:rsidRPr="00DB58B5" w:rsidRDefault="001433FD" w:rsidP="0070091B">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14:paraId="25B00FAC" w14:textId="77777777" w:rsidR="001433FD" w:rsidRPr="00DB58B5" w:rsidRDefault="00CB4603" w:rsidP="00CB4603">
            <w:pPr>
              <w:jc w:val="right"/>
            </w:pPr>
            <w:r w:rsidRPr="00CB4603">
              <w:rPr>
                <w:sz w:val="40"/>
              </w:rPr>
              <w:t>ECE</w:t>
            </w:r>
            <w:r>
              <w:t>/TRANS/WP.15/AC.1/2023/44</w:t>
            </w:r>
          </w:p>
        </w:tc>
      </w:tr>
      <w:tr w:rsidR="001433FD" w:rsidRPr="00DB58B5" w14:paraId="5FAC4ECC" w14:textId="77777777" w:rsidTr="0070091B">
        <w:trPr>
          <w:trHeight w:hRule="exact" w:val="2835"/>
        </w:trPr>
        <w:tc>
          <w:tcPr>
            <w:tcW w:w="1276" w:type="dxa"/>
            <w:tcBorders>
              <w:top w:val="single" w:sz="4" w:space="0" w:color="auto"/>
              <w:bottom w:val="single" w:sz="12" w:space="0" w:color="auto"/>
            </w:tcBorders>
          </w:tcPr>
          <w:p w14:paraId="761F151B" w14:textId="77777777" w:rsidR="001433FD" w:rsidRPr="00DB58B5" w:rsidRDefault="001433FD" w:rsidP="0070091B">
            <w:pPr>
              <w:spacing w:before="120"/>
              <w:jc w:val="center"/>
            </w:pPr>
            <w:r>
              <w:rPr>
                <w:noProof/>
                <w:lang w:eastAsia="fr-CH"/>
              </w:rPr>
              <w:drawing>
                <wp:inline distT="0" distB="0" distL="0" distR="0" wp14:anchorId="72761069" wp14:editId="36608874">
                  <wp:extent cx="714375" cy="590550"/>
                  <wp:effectExtent l="0" t="0" r="9525" b="0"/>
                  <wp:docPr id="3"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2179B482" w14:textId="77777777" w:rsidR="001433FD" w:rsidRPr="00740562" w:rsidRDefault="001433FD" w:rsidP="0070091B">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14:paraId="550E90E7" w14:textId="77777777" w:rsidR="0001207F" w:rsidRDefault="00CB4603" w:rsidP="00CB4603">
            <w:pPr>
              <w:spacing w:before="240" w:line="240" w:lineRule="exact"/>
            </w:pPr>
            <w:proofErr w:type="spellStart"/>
            <w:r>
              <w:t>Distr</w:t>
            </w:r>
            <w:proofErr w:type="spellEnd"/>
            <w:r>
              <w:t>. générale</w:t>
            </w:r>
          </w:p>
          <w:p w14:paraId="2AD9D82B" w14:textId="61B2C0C7" w:rsidR="00CB4603" w:rsidRDefault="00207BC0" w:rsidP="00CB4603">
            <w:pPr>
              <w:spacing w:line="240" w:lineRule="exact"/>
            </w:pPr>
            <w:r>
              <w:t>1</w:t>
            </w:r>
            <w:r w:rsidR="00A810F0">
              <w:t>1</w:t>
            </w:r>
            <w:r>
              <w:t xml:space="preserve"> </w:t>
            </w:r>
            <w:r w:rsidR="00CB4603">
              <w:t>juillet 2023</w:t>
            </w:r>
          </w:p>
          <w:p w14:paraId="0246B2D5" w14:textId="77777777" w:rsidR="00CB4603" w:rsidRDefault="00CB4603" w:rsidP="00CB4603">
            <w:pPr>
              <w:spacing w:line="240" w:lineRule="exact"/>
            </w:pPr>
          </w:p>
          <w:p w14:paraId="6D47343F" w14:textId="77777777" w:rsidR="00CB4603" w:rsidRPr="00DB58B5" w:rsidRDefault="00CB4603" w:rsidP="00CB4603">
            <w:pPr>
              <w:spacing w:line="240" w:lineRule="exact"/>
            </w:pPr>
            <w:r>
              <w:t>Original : français</w:t>
            </w:r>
          </w:p>
        </w:tc>
      </w:tr>
    </w:tbl>
    <w:p w14:paraId="1AF5A0E9" w14:textId="77777777" w:rsidR="00CB4603" w:rsidRDefault="00CB4603" w:rsidP="00CB4603">
      <w:pPr>
        <w:spacing w:before="120"/>
        <w:rPr>
          <w:b/>
          <w:sz w:val="28"/>
          <w:szCs w:val="28"/>
        </w:rPr>
      </w:pPr>
      <w:r w:rsidRPr="00883605">
        <w:rPr>
          <w:b/>
          <w:sz w:val="28"/>
          <w:szCs w:val="28"/>
        </w:rPr>
        <w:t>Commission économique pour l’Europe</w:t>
      </w:r>
    </w:p>
    <w:p w14:paraId="5C2ABECB" w14:textId="77777777" w:rsidR="00CB4603" w:rsidRPr="008A7BD0" w:rsidRDefault="00CB4603" w:rsidP="00CB4603">
      <w:pPr>
        <w:spacing w:before="120"/>
        <w:rPr>
          <w:sz w:val="28"/>
          <w:szCs w:val="28"/>
          <w:lang w:val="fr-CA"/>
        </w:rPr>
      </w:pPr>
      <w:r w:rsidRPr="008A7BD0">
        <w:rPr>
          <w:sz w:val="28"/>
          <w:szCs w:val="28"/>
          <w:lang w:val="fr-CA"/>
        </w:rPr>
        <w:t>Comité des transports intérieurs</w:t>
      </w:r>
    </w:p>
    <w:p w14:paraId="6EE65BC4" w14:textId="77777777" w:rsidR="00CB4603" w:rsidRPr="008A7BD0" w:rsidRDefault="00CB4603" w:rsidP="00CB4603">
      <w:pPr>
        <w:spacing w:before="120"/>
        <w:rPr>
          <w:b/>
          <w:sz w:val="24"/>
          <w:szCs w:val="24"/>
          <w:lang w:val="fr-CA"/>
        </w:rPr>
      </w:pPr>
      <w:r w:rsidRPr="008A7BD0">
        <w:rPr>
          <w:b/>
          <w:bCs/>
          <w:sz w:val="24"/>
          <w:szCs w:val="24"/>
          <w:lang w:val="fr-FR"/>
        </w:rPr>
        <w:t xml:space="preserve">Groupe de travail des transports </w:t>
      </w:r>
      <w:r w:rsidRPr="008A7BD0">
        <w:rPr>
          <w:b/>
          <w:bCs/>
          <w:sz w:val="24"/>
          <w:szCs w:val="24"/>
          <w:lang w:val="fr-FR"/>
        </w:rPr>
        <w:br/>
        <w:t>de marchandises dangereuses</w:t>
      </w:r>
    </w:p>
    <w:p w14:paraId="165B6F3C" w14:textId="77777777" w:rsidR="00CB4603" w:rsidRDefault="00CB4603" w:rsidP="00CB4603">
      <w:pPr>
        <w:spacing w:before="120"/>
        <w:rPr>
          <w:b/>
          <w:lang w:val="fr-FR"/>
        </w:rPr>
      </w:pPr>
      <w:r w:rsidRPr="008A7BD0">
        <w:rPr>
          <w:b/>
          <w:lang w:val="fr-FR"/>
        </w:rPr>
        <w:t xml:space="preserve">Réunion commune de la Commission d’experts du RID </w:t>
      </w:r>
      <w:r w:rsidRPr="008A7BD0">
        <w:rPr>
          <w:b/>
          <w:lang w:val="fr-FR"/>
        </w:rPr>
        <w:br/>
        <w:t xml:space="preserve">et du Groupe de travail des transports </w:t>
      </w:r>
      <w:r w:rsidRPr="008A7BD0">
        <w:rPr>
          <w:b/>
          <w:lang w:val="fr-FR"/>
        </w:rPr>
        <w:br/>
        <w:t>de marchandises dangereuses</w:t>
      </w:r>
    </w:p>
    <w:p w14:paraId="4CC6FC2E" w14:textId="77777777" w:rsidR="00CB4603" w:rsidRPr="00CE2861" w:rsidRDefault="00CB4603" w:rsidP="00CB4603">
      <w:pPr>
        <w:rPr>
          <w:rFonts w:eastAsiaTheme="minorHAnsi"/>
          <w:lang w:val="fr-FR" w:eastAsia="en-US"/>
        </w:rPr>
      </w:pPr>
      <w:r w:rsidRPr="00CE2861">
        <w:rPr>
          <w:rFonts w:eastAsiaTheme="minorHAnsi"/>
          <w:lang w:val="fr-FR" w:eastAsia="en-US"/>
        </w:rPr>
        <w:t>Genève, 19-29 septembre 2023</w:t>
      </w:r>
    </w:p>
    <w:p w14:paraId="08C55113" w14:textId="77777777" w:rsidR="00CB4603" w:rsidRPr="00F52B36" w:rsidRDefault="00CB4603" w:rsidP="00CB4603">
      <w:pPr>
        <w:spacing w:line="240" w:lineRule="auto"/>
        <w:rPr>
          <w:szCs w:val="24"/>
          <w:lang w:val="fr-FR"/>
        </w:rPr>
      </w:pPr>
      <w:r w:rsidRPr="00F52B36">
        <w:rPr>
          <w:szCs w:val="24"/>
          <w:lang w:val="fr-FR"/>
        </w:rPr>
        <w:t xml:space="preserve">Point 5 </w:t>
      </w:r>
      <w:r>
        <w:rPr>
          <w:szCs w:val="24"/>
          <w:lang w:val="fr-FR"/>
        </w:rPr>
        <w:t>a</w:t>
      </w:r>
      <w:r w:rsidRPr="00F52B36">
        <w:rPr>
          <w:szCs w:val="24"/>
          <w:lang w:val="fr-FR"/>
        </w:rPr>
        <w:t>) de l’ordre du jour provisoire</w:t>
      </w:r>
    </w:p>
    <w:p w14:paraId="14C3E9A5" w14:textId="77777777" w:rsidR="00CB4603" w:rsidRPr="00CA2991" w:rsidRDefault="00CB4603" w:rsidP="00CB4603">
      <w:pPr>
        <w:rPr>
          <w:b/>
          <w:bCs/>
          <w:lang w:val="fr-BE"/>
        </w:rPr>
      </w:pPr>
      <w:r w:rsidRPr="00F52B36">
        <w:rPr>
          <w:b/>
          <w:bCs/>
          <w:lang w:val="fr-FR"/>
        </w:rPr>
        <w:t>Propositions d’amendements au RID, à l’ADR et à l’ADN :</w:t>
      </w:r>
      <w:r w:rsidRPr="00F52B36">
        <w:rPr>
          <w:b/>
          <w:bCs/>
          <w:lang w:val="fr-FR"/>
        </w:rPr>
        <w:br/>
      </w:r>
      <w:r>
        <w:rPr>
          <w:b/>
          <w:bCs/>
          <w:lang w:val="fr-FR"/>
        </w:rPr>
        <w:t>questions en suspens</w:t>
      </w:r>
    </w:p>
    <w:p w14:paraId="3AE72B12" w14:textId="77777777" w:rsidR="00CB4603" w:rsidRPr="006F6E2E" w:rsidRDefault="00CB4603" w:rsidP="00CB4603">
      <w:pPr>
        <w:pStyle w:val="HChG"/>
        <w:rPr>
          <w:lang w:val="fr-BE"/>
        </w:rPr>
      </w:pPr>
      <w:r w:rsidRPr="006F6E2E">
        <w:rPr>
          <w:lang w:val="fr-BE"/>
        </w:rPr>
        <w:tab/>
      </w:r>
      <w:r w:rsidRPr="006F6E2E">
        <w:rPr>
          <w:lang w:val="fr-BE"/>
        </w:rPr>
        <w:tab/>
      </w:r>
      <w:r w:rsidRPr="00F52B36">
        <w:rPr>
          <w:lang w:val="fr-FR"/>
        </w:rPr>
        <w:t xml:space="preserve">Clarification </w:t>
      </w:r>
      <w:r>
        <w:rPr>
          <w:lang w:val="fr-FR"/>
        </w:rPr>
        <w:t xml:space="preserve">des règles </w:t>
      </w:r>
      <w:r w:rsidRPr="00FB5F25">
        <w:t>applicables</w:t>
      </w:r>
      <w:r>
        <w:rPr>
          <w:lang w:val="fr-FR"/>
        </w:rPr>
        <w:t xml:space="preserve"> au placardage des bennes amovibles utilisées pour le transport de marchandises dangereuses en vrac</w:t>
      </w:r>
    </w:p>
    <w:p w14:paraId="516C19FE" w14:textId="77777777" w:rsidR="00CB4603" w:rsidRPr="00F52B36" w:rsidRDefault="00CB4603" w:rsidP="00CB4603">
      <w:pPr>
        <w:pStyle w:val="H1G"/>
        <w:rPr>
          <w:lang w:val="fr-FR"/>
        </w:rPr>
      </w:pPr>
      <w:r w:rsidRPr="00F52B36">
        <w:rPr>
          <w:rFonts w:eastAsia="Arial"/>
          <w:szCs w:val="24"/>
          <w:lang w:val="fr-FR"/>
        </w:rPr>
        <w:tab/>
      </w:r>
      <w:r w:rsidRPr="00F52B36">
        <w:rPr>
          <w:rFonts w:eastAsia="Arial"/>
          <w:szCs w:val="24"/>
          <w:lang w:val="fr-FR"/>
        </w:rPr>
        <w:tab/>
      </w:r>
      <w:r w:rsidRPr="00FB5F25">
        <w:rPr>
          <w:rFonts w:eastAsia="Arial"/>
          <w:lang w:val="fr-FR"/>
        </w:rPr>
        <w:t>Communication du Gouvernement de la France</w:t>
      </w:r>
      <w:r w:rsidRPr="00F52B36">
        <w:rPr>
          <w:rStyle w:val="FootnoteReference"/>
          <w:sz w:val="20"/>
          <w:lang w:val="fr-FR"/>
        </w:rPr>
        <w:footnoteReference w:customMarkFollows="1" w:id="2"/>
        <w:t>*</w:t>
      </w:r>
      <w:r w:rsidRPr="00F52B36">
        <w:rPr>
          <w:vertAlign w:val="superscript"/>
          <w:lang w:val="fr-FR"/>
        </w:rPr>
        <w:t xml:space="preserve">, </w:t>
      </w:r>
      <w:r w:rsidRPr="00F52B36">
        <w:rPr>
          <w:rStyle w:val="FootnoteReference"/>
          <w:sz w:val="20"/>
          <w:lang w:val="fr-FR"/>
        </w:rPr>
        <w:footnoteReference w:customMarkFollows="1" w:id="3"/>
        <w:t>**</w:t>
      </w:r>
    </w:p>
    <w:tbl>
      <w:tblPr>
        <w:tblW w:w="9629" w:type="dxa"/>
        <w:jc w:val="center"/>
        <w:tblBorders>
          <w:top w:val="single" w:sz="4" w:space="0" w:color="auto"/>
          <w:left w:val="single" w:sz="4" w:space="0" w:color="auto"/>
          <w:bottom w:val="single" w:sz="4" w:space="0" w:color="auto"/>
          <w:right w:val="single" w:sz="4" w:space="0" w:color="auto"/>
        </w:tblBorders>
        <w:tblCellMar>
          <w:left w:w="5" w:type="dxa"/>
          <w:right w:w="5" w:type="dxa"/>
        </w:tblCellMar>
        <w:tblLook w:val="01E0" w:firstRow="1" w:lastRow="1" w:firstColumn="1" w:lastColumn="1" w:noHBand="0" w:noVBand="0"/>
      </w:tblPr>
      <w:tblGrid>
        <w:gridCol w:w="9629"/>
      </w:tblGrid>
      <w:tr w:rsidR="00CB4603" w:rsidRPr="00F52B36" w14:paraId="72584266" w14:textId="77777777" w:rsidTr="0070091B">
        <w:trPr>
          <w:jc w:val="center"/>
        </w:trPr>
        <w:tc>
          <w:tcPr>
            <w:tcW w:w="9629" w:type="dxa"/>
            <w:tcBorders>
              <w:top w:val="single" w:sz="4" w:space="0" w:color="auto"/>
              <w:left w:val="single" w:sz="4" w:space="0" w:color="auto"/>
              <w:bottom w:val="nil"/>
              <w:right w:val="single" w:sz="4" w:space="0" w:color="auto"/>
            </w:tcBorders>
            <w:hideMark/>
          </w:tcPr>
          <w:p w14:paraId="3B2E17EA" w14:textId="77777777" w:rsidR="00CB4603" w:rsidRPr="00F52B36" w:rsidRDefault="00CB4603" w:rsidP="0070091B">
            <w:pPr>
              <w:spacing w:before="240" w:after="120"/>
              <w:ind w:left="255"/>
              <w:rPr>
                <w:i/>
                <w:sz w:val="24"/>
                <w:lang w:val="fr-FR"/>
              </w:rPr>
            </w:pPr>
            <w:r w:rsidRPr="00F52B36">
              <w:rPr>
                <w:i/>
                <w:sz w:val="24"/>
                <w:lang w:val="fr-FR"/>
              </w:rPr>
              <w:t>Résumé</w:t>
            </w:r>
          </w:p>
        </w:tc>
      </w:tr>
      <w:tr w:rsidR="00CB4603" w:rsidRPr="00F52B36" w14:paraId="51F49248" w14:textId="77777777" w:rsidTr="0070091B">
        <w:trPr>
          <w:jc w:val="center"/>
        </w:trPr>
        <w:tc>
          <w:tcPr>
            <w:tcW w:w="9629" w:type="dxa"/>
            <w:tcBorders>
              <w:top w:val="nil"/>
              <w:left w:val="single" w:sz="4" w:space="0" w:color="auto"/>
              <w:bottom w:val="nil"/>
              <w:right w:val="single" w:sz="4" w:space="0" w:color="auto"/>
            </w:tcBorders>
            <w:hideMark/>
          </w:tcPr>
          <w:p w14:paraId="3EF82D74" w14:textId="77777777" w:rsidR="00CB4603" w:rsidRPr="00F52B36" w:rsidRDefault="00CB4603" w:rsidP="0070091B">
            <w:pPr>
              <w:pStyle w:val="SingleTxtG"/>
              <w:tabs>
                <w:tab w:val="left" w:pos="3686"/>
              </w:tabs>
              <w:ind w:left="3686" w:hanging="2552"/>
              <w:rPr>
                <w:lang w:val="fr-FR"/>
              </w:rPr>
            </w:pPr>
            <w:r w:rsidRPr="00F52B36">
              <w:rPr>
                <w:b/>
                <w:lang w:val="fr-FR"/>
              </w:rPr>
              <w:t>Résumé analytique :</w:t>
            </w:r>
            <w:r w:rsidRPr="00F52B36">
              <w:rPr>
                <w:b/>
                <w:lang w:val="fr-FR"/>
              </w:rPr>
              <w:tab/>
            </w:r>
            <w:r w:rsidRPr="00F52B36">
              <w:rPr>
                <w:lang w:val="fr-FR"/>
              </w:rPr>
              <w:t xml:space="preserve">Ce document vise à mieux définir </w:t>
            </w:r>
            <w:r>
              <w:rPr>
                <w:lang w:val="fr-FR"/>
              </w:rPr>
              <w:t>les règles applicables au placardage des bennes amovibles, relevant des codes VC1 et VC2 du 7.3.3, utilisées pour le transport de marchandises dangereuses en vrac</w:t>
            </w:r>
            <w:r w:rsidRPr="00F52B36">
              <w:rPr>
                <w:lang w:val="fr-FR"/>
              </w:rPr>
              <w:t>.</w:t>
            </w:r>
          </w:p>
        </w:tc>
      </w:tr>
      <w:tr w:rsidR="00CB4603" w:rsidRPr="00F52B36" w14:paraId="2734A355" w14:textId="77777777" w:rsidTr="0070091B">
        <w:trPr>
          <w:jc w:val="center"/>
        </w:trPr>
        <w:tc>
          <w:tcPr>
            <w:tcW w:w="9629" w:type="dxa"/>
            <w:tcBorders>
              <w:top w:val="nil"/>
              <w:left w:val="single" w:sz="4" w:space="0" w:color="auto"/>
              <w:bottom w:val="nil"/>
              <w:right w:val="single" w:sz="4" w:space="0" w:color="auto"/>
            </w:tcBorders>
            <w:hideMark/>
          </w:tcPr>
          <w:p w14:paraId="2E9CB783" w14:textId="77777777" w:rsidR="00CB4603" w:rsidRDefault="00CB4603" w:rsidP="0070091B">
            <w:pPr>
              <w:pStyle w:val="SingleTxtG"/>
              <w:tabs>
                <w:tab w:val="left" w:pos="3686"/>
              </w:tabs>
              <w:ind w:left="3686" w:hanging="2552"/>
              <w:rPr>
                <w:lang w:val="fr-FR"/>
              </w:rPr>
            </w:pPr>
            <w:r w:rsidRPr="00F52B36">
              <w:rPr>
                <w:b/>
                <w:lang w:val="fr-FR"/>
              </w:rPr>
              <w:t>Mesures à prendre :</w:t>
            </w:r>
            <w:r w:rsidRPr="00F52B36">
              <w:rPr>
                <w:b/>
                <w:lang w:val="fr-FR"/>
              </w:rPr>
              <w:tab/>
            </w:r>
            <w:r w:rsidRPr="00F52B36">
              <w:rPr>
                <w:lang w:val="fr-FR"/>
              </w:rPr>
              <w:t xml:space="preserve">Modifier le </w:t>
            </w:r>
            <w:r>
              <w:rPr>
                <w:lang w:val="fr-FR"/>
              </w:rPr>
              <w:t>chapitre 5.3</w:t>
            </w:r>
            <w:r w:rsidRPr="00F52B36">
              <w:rPr>
                <w:lang w:val="fr-FR"/>
              </w:rPr>
              <w:t>.</w:t>
            </w:r>
          </w:p>
          <w:p w14:paraId="4D38F0E2" w14:textId="77777777" w:rsidR="00CB4603" w:rsidRDefault="00CB4603" w:rsidP="0070091B">
            <w:pPr>
              <w:pStyle w:val="SingleTxtG"/>
              <w:tabs>
                <w:tab w:val="left" w:pos="3686"/>
              </w:tabs>
              <w:spacing w:after="0"/>
              <w:ind w:left="3686" w:hanging="2552"/>
              <w:rPr>
                <w:lang w:val="fr-FR"/>
              </w:rPr>
            </w:pPr>
            <w:r>
              <w:rPr>
                <w:b/>
                <w:lang w:val="fr-FR"/>
              </w:rPr>
              <w:t>Documents annexes :</w:t>
            </w:r>
            <w:r w:rsidRPr="00F52B36">
              <w:rPr>
                <w:b/>
                <w:lang w:val="fr-FR"/>
              </w:rPr>
              <w:t xml:space="preserve"> </w:t>
            </w:r>
            <w:r w:rsidRPr="00F6746D">
              <w:rPr>
                <w:bCs/>
                <w:lang w:val="fr-FR"/>
              </w:rPr>
              <w:tab/>
            </w:r>
            <w:r>
              <w:rPr>
                <w:lang w:val="fr-FR"/>
              </w:rPr>
              <w:t>ECE/TRANS/WP.15/AC.1/168, paragraphe 38</w:t>
            </w:r>
          </w:p>
          <w:p w14:paraId="1C7DF535" w14:textId="1A86C9A8" w:rsidR="00CB4603" w:rsidRPr="00F6746D" w:rsidRDefault="00CB4603" w:rsidP="0070091B">
            <w:pPr>
              <w:pStyle w:val="SingleTxtG"/>
              <w:tabs>
                <w:tab w:val="left" w:pos="3686"/>
              </w:tabs>
              <w:ind w:left="3686" w:hanging="2552"/>
              <w:rPr>
                <w:bCs/>
                <w:lang w:val="fr-FR"/>
              </w:rPr>
            </w:pPr>
            <w:r w:rsidRPr="00F6746D">
              <w:rPr>
                <w:bCs/>
                <w:lang w:val="fr-FR"/>
              </w:rPr>
              <w:tab/>
            </w:r>
            <w:r>
              <w:rPr>
                <w:bCs/>
                <w:lang w:val="fr-FR"/>
              </w:rPr>
              <w:t>Document informel</w:t>
            </w:r>
            <w:r w:rsidRPr="00A51172">
              <w:rPr>
                <w:bCs/>
                <w:lang w:val="fr-FR"/>
              </w:rPr>
              <w:t xml:space="preserve"> INF.1</w:t>
            </w:r>
            <w:r>
              <w:rPr>
                <w:bCs/>
                <w:lang w:val="fr-FR"/>
              </w:rPr>
              <w:t xml:space="preserve">7 </w:t>
            </w:r>
            <w:r>
              <w:rPr>
                <w:lang w:val="fr-FR"/>
              </w:rPr>
              <w:t>de la session de printemps 2023 de la Réunion commune</w:t>
            </w:r>
          </w:p>
        </w:tc>
      </w:tr>
      <w:tr w:rsidR="00CB4603" w:rsidRPr="00F52B36" w14:paraId="013D7F33" w14:textId="77777777" w:rsidTr="0070091B">
        <w:trPr>
          <w:jc w:val="center"/>
        </w:trPr>
        <w:tc>
          <w:tcPr>
            <w:tcW w:w="9629" w:type="dxa"/>
            <w:tcBorders>
              <w:top w:val="nil"/>
              <w:left w:val="single" w:sz="4" w:space="0" w:color="auto"/>
              <w:bottom w:val="single" w:sz="4" w:space="0" w:color="auto"/>
              <w:right w:val="single" w:sz="4" w:space="0" w:color="auto"/>
            </w:tcBorders>
          </w:tcPr>
          <w:p w14:paraId="296ACCBF" w14:textId="77777777" w:rsidR="00CB4603" w:rsidRPr="00F52B36" w:rsidRDefault="00CB4603" w:rsidP="0070091B">
            <w:pPr>
              <w:pStyle w:val="SingleTxtG"/>
              <w:tabs>
                <w:tab w:val="left" w:pos="3686"/>
              </w:tabs>
              <w:ind w:left="3686" w:hanging="2552"/>
              <w:rPr>
                <w:b/>
                <w:lang w:val="fr-FR"/>
              </w:rPr>
            </w:pPr>
          </w:p>
        </w:tc>
      </w:tr>
    </w:tbl>
    <w:p w14:paraId="2F4589C4" w14:textId="77777777" w:rsidR="00CB4603" w:rsidRPr="00F52B36" w:rsidRDefault="00CB4603" w:rsidP="00CB4603">
      <w:pPr>
        <w:pStyle w:val="HChG"/>
        <w:ind w:right="850"/>
        <w:rPr>
          <w:lang w:val="fr-FR"/>
        </w:rPr>
      </w:pPr>
      <w:r w:rsidRPr="00F52B36">
        <w:rPr>
          <w:lang w:val="fr-FR"/>
        </w:rPr>
        <w:tab/>
      </w:r>
      <w:r w:rsidRPr="00F52B36">
        <w:rPr>
          <w:lang w:val="fr-FR"/>
        </w:rPr>
        <w:tab/>
      </w:r>
      <w:r w:rsidRPr="00F52B36">
        <w:rPr>
          <w:lang w:val="fr-FR"/>
        </w:rPr>
        <w:tab/>
        <w:t>Introduction</w:t>
      </w:r>
    </w:p>
    <w:p w14:paraId="252BF16D" w14:textId="66DF60ED" w:rsidR="00CB4603" w:rsidRPr="00F52B36" w:rsidRDefault="001F1334" w:rsidP="008E5080">
      <w:pPr>
        <w:pStyle w:val="SingleTxtG"/>
        <w:rPr>
          <w:lang w:val="fr-FR"/>
        </w:rPr>
      </w:pPr>
      <w:r>
        <w:rPr>
          <w:lang w:val="fr-FR"/>
        </w:rPr>
        <w:t>1.</w:t>
      </w:r>
      <w:r>
        <w:rPr>
          <w:lang w:val="fr-FR"/>
        </w:rPr>
        <w:tab/>
      </w:r>
      <w:r w:rsidR="00CB4603">
        <w:rPr>
          <w:lang w:val="fr-FR"/>
        </w:rPr>
        <w:t xml:space="preserve">Lors de la session de mars 2023 de la Réunion commune et au document informel INF.17 examiné lors de cette session, la Réunion commune a invité la France à proposer dans un document officiel l’amendement qui avait reçu un appui de principe. </w:t>
      </w:r>
      <w:r w:rsidR="00184F18">
        <w:rPr>
          <w:lang w:val="fr-FR"/>
        </w:rPr>
        <w:t>La France</w:t>
      </w:r>
      <w:r w:rsidR="00CB4603">
        <w:rPr>
          <w:lang w:val="fr-FR"/>
        </w:rPr>
        <w:t xml:space="preserve"> propos</w:t>
      </w:r>
      <w:r w:rsidR="00184F18">
        <w:rPr>
          <w:lang w:val="fr-FR"/>
        </w:rPr>
        <w:t>e</w:t>
      </w:r>
      <w:r w:rsidR="00CB4603">
        <w:rPr>
          <w:lang w:val="fr-FR"/>
        </w:rPr>
        <w:t xml:space="preserve"> </w:t>
      </w:r>
      <w:r w:rsidR="00CB4603">
        <w:rPr>
          <w:lang w:val="fr-FR"/>
        </w:rPr>
        <w:lastRenderedPageBreak/>
        <w:t>donc de modifier le chapitre 5.3 du RID/ADR/ADN afin de clarifier les règles de placardage applicables aux bennes amovibles utilisées pour le transport de marchandises dangereuses en vrac.</w:t>
      </w:r>
    </w:p>
    <w:p w14:paraId="21D9A9B5" w14:textId="7E25748E" w:rsidR="00CB4603" w:rsidRDefault="00B00FC9" w:rsidP="00B00FC9">
      <w:pPr>
        <w:pStyle w:val="SingleTxtG"/>
        <w:rPr>
          <w:lang w:val="fr-FR"/>
        </w:rPr>
      </w:pPr>
      <w:r>
        <w:rPr>
          <w:lang w:val="fr-FR"/>
        </w:rPr>
        <w:t>2.</w:t>
      </w:r>
      <w:r>
        <w:rPr>
          <w:lang w:val="fr-FR"/>
        </w:rPr>
        <w:tab/>
      </w:r>
      <w:r w:rsidR="00CB4603">
        <w:rPr>
          <w:lang w:val="fr-FR"/>
        </w:rPr>
        <w:t>En effet, la définition du conteneur pour vrac donnée au 1.2</w:t>
      </w:r>
      <w:r w:rsidR="005F4FC7">
        <w:rPr>
          <w:lang w:val="fr-FR"/>
        </w:rPr>
        <w:t>.1</w:t>
      </w:r>
      <w:r w:rsidR="00CB4603">
        <w:rPr>
          <w:lang w:val="fr-FR"/>
        </w:rPr>
        <w:t xml:space="preserve"> ne concerne que les matériels utilisés comme conteneurs pour vrac de type BK1 ou BK2, qu’ils soient conformes ou non à la CSC. Notamment dans le domaine du transport de déchets, des bennes amovibles non agréées BK1 ou BK2 sont très souvent utilisées (dispositions VC1, VC2 du 7.3.3). Ces matériels ne peuvent bénéficier de la définition du 1.2</w:t>
      </w:r>
      <w:r w:rsidR="005A6227">
        <w:rPr>
          <w:lang w:val="fr-FR"/>
        </w:rPr>
        <w:t>.1</w:t>
      </w:r>
      <w:r w:rsidR="00CB4603">
        <w:rPr>
          <w:lang w:val="fr-FR"/>
        </w:rPr>
        <w:t xml:space="preserve"> mais présentent néanmoins les mêmes caractéristiques que celles décrites dans la définition susmentionnée. Le plus souvent ces bennes ne sont donc pas placardées, car non considérées par les opérateurs comme étant des conteneurs pour vrac, ce qui pose des problèmes de sécurité, notamment lorsque ces bennes sont déposées à terre.</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0"/>
        <w:gridCol w:w="7104"/>
        <w:gridCol w:w="700"/>
      </w:tblGrid>
      <w:tr w:rsidR="00D64CF0" w14:paraId="16C8FF84" w14:textId="77777777" w:rsidTr="00D64CF0">
        <w:tc>
          <w:tcPr>
            <w:tcW w:w="3209" w:type="dxa"/>
          </w:tcPr>
          <w:p w14:paraId="3503340A" w14:textId="77777777" w:rsidR="001D5505" w:rsidRDefault="001D5505" w:rsidP="00B00FC9">
            <w:pPr>
              <w:pStyle w:val="SingleTxtG"/>
              <w:ind w:left="0"/>
              <w:rPr>
                <w:lang w:val="fr-FR"/>
              </w:rPr>
            </w:pPr>
          </w:p>
        </w:tc>
        <w:tc>
          <w:tcPr>
            <w:tcW w:w="3209" w:type="dxa"/>
          </w:tcPr>
          <w:p w14:paraId="56F032C2" w14:textId="0C088BE0" w:rsidR="001D5505" w:rsidRDefault="001D5505" w:rsidP="00B00FC9">
            <w:pPr>
              <w:pStyle w:val="SingleTxtG"/>
              <w:ind w:left="0"/>
              <w:rPr>
                <w:lang w:val="fr-FR"/>
              </w:rPr>
            </w:pPr>
            <w:r>
              <w:rPr>
                <w:noProof/>
                <w:lang w:val="fr-FR" w:eastAsia="fr-FR"/>
              </w:rPr>
              <w:drawing>
                <wp:inline distT="0" distB="0" distL="0" distR="0" wp14:anchorId="3EEACAE5" wp14:editId="3B9E6695">
                  <wp:extent cx="3790950" cy="2164334"/>
                  <wp:effectExtent l="0" t="0" r="0" b="762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nnes vrac.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95560" cy="2224058"/>
                          </a:xfrm>
                          <a:prstGeom prst="rect">
                            <a:avLst/>
                          </a:prstGeom>
                        </pic:spPr>
                      </pic:pic>
                    </a:graphicData>
                  </a:graphic>
                </wp:inline>
              </w:drawing>
            </w:r>
          </w:p>
        </w:tc>
        <w:tc>
          <w:tcPr>
            <w:tcW w:w="3210" w:type="dxa"/>
          </w:tcPr>
          <w:p w14:paraId="57D80F1F" w14:textId="77777777" w:rsidR="001D5505" w:rsidRDefault="001D5505" w:rsidP="00B00FC9">
            <w:pPr>
              <w:pStyle w:val="SingleTxtG"/>
              <w:ind w:left="0"/>
              <w:rPr>
                <w:lang w:val="fr-FR"/>
              </w:rPr>
            </w:pPr>
          </w:p>
        </w:tc>
      </w:tr>
      <w:tr w:rsidR="00D64CF0" w14:paraId="768102F9" w14:textId="77777777" w:rsidTr="00D64CF0">
        <w:tc>
          <w:tcPr>
            <w:tcW w:w="3209" w:type="dxa"/>
          </w:tcPr>
          <w:p w14:paraId="37FF29F8" w14:textId="77777777" w:rsidR="001D5505" w:rsidRDefault="001D5505" w:rsidP="00B00FC9">
            <w:pPr>
              <w:pStyle w:val="SingleTxtG"/>
              <w:ind w:left="0"/>
              <w:rPr>
                <w:lang w:val="fr-FR"/>
              </w:rPr>
            </w:pPr>
          </w:p>
        </w:tc>
        <w:tc>
          <w:tcPr>
            <w:tcW w:w="3209" w:type="dxa"/>
          </w:tcPr>
          <w:p w14:paraId="52F9DFB7" w14:textId="473D8CD7" w:rsidR="001D5505" w:rsidRDefault="001D5505" w:rsidP="00B00FC9">
            <w:pPr>
              <w:pStyle w:val="SingleTxtG"/>
              <w:ind w:left="0"/>
              <w:rPr>
                <w:lang w:val="fr-FR"/>
              </w:rPr>
            </w:pPr>
            <w:r>
              <w:rPr>
                <w:noProof/>
                <w:lang w:val="fr-FR" w:eastAsia="fr-FR"/>
              </w:rPr>
              <w:drawing>
                <wp:inline distT="0" distB="0" distL="0" distR="0" wp14:anchorId="1F50ED59" wp14:editId="7B66FAB1">
                  <wp:extent cx="3790950" cy="2133441"/>
                  <wp:effectExtent l="0" t="0" r="0" b="635"/>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0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63671" cy="2174366"/>
                          </a:xfrm>
                          <a:prstGeom prst="rect">
                            <a:avLst/>
                          </a:prstGeom>
                        </pic:spPr>
                      </pic:pic>
                    </a:graphicData>
                  </a:graphic>
                </wp:inline>
              </w:drawing>
            </w:r>
          </w:p>
        </w:tc>
        <w:tc>
          <w:tcPr>
            <w:tcW w:w="3210" w:type="dxa"/>
          </w:tcPr>
          <w:p w14:paraId="57085A67" w14:textId="77777777" w:rsidR="001D5505" w:rsidRDefault="001D5505" w:rsidP="00B00FC9">
            <w:pPr>
              <w:pStyle w:val="SingleTxtG"/>
              <w:ind w:left="0"/>
              <w:rPr>
                <w:lang w:val="fr-FR"/>
              </w:rPr>
            </w:pPr>
          </w:p>
        </w:tc>
      </w:tr>
      <w:tr w:rsidR="00D64CF0" w14:paraId="16F60E7B" w14:textId="77777777" w:rsidTr="00D64CF0">
        <w:tc>
          <w:tcPr>
            <w:tcW w:w="3209" w:type="dxa"/>
          </w:tcPr>
          <w:p w14:paraId="4E5BF754" w14:textId="77777777" w:rsidR="001D5505" w:rsidRDefault="001D5505" w:rsidP="00B00FC9">
            <w:pPr>
              <w:pStyle w:val="SingleTxtG"/>
              <w:ind w:left="0"/>
              <w:rPr>
                <w:lang w:val="fr-FR"/>
              </w:rPr>
            </w:pPr>
          </w:p>
        </w:tc>
        <w:tc>
          <w:tcPr>
            <w:tcW w:w="3209" w:type="dxa"/>
          </w:tcPr>
          <w:p w14:paraId="392C2882" w14:textId="73136AE9" w:rsidR="001D5505" w:rsidRDefault="001D5505" w:rsidP="00B00FC9">
            <w:pPr>
              <w:pStyle w:val="SingleTxtG"/>
              <w:ind w:left="0"/>
              <w:rPr>
                <w:lang w:val="fr-FR"/>
              </w:rPr>
            </w:pPr>
            <w:r>
              <w:rPr>
                <w:noProof/>
                <w:lang w:val="fr-FR" w:eastAsia="fr-FR"/>
              </w:rPr>
              <w:drawing>
                <wp:inline distT="0" distB="0" distL="0" distR="0" wp14:anchorId="4AF9553E" wp14:editId="1E0AE9F9">
                  <wp:extent cx="3790950" cy="2132260"/>
                  <wp:effectExtent l="0" t="0" r="0" b="1905"/>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utres bennes vrac .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30145" cy="2154306"/>
                          </a:xfrm>
                          <a:prstGeom prst="rect">
                            <a:avLst/>
                          </a:prstGeom>
                        </pic:spPr>
                      </pic:pic>
                    </a:graphicData>
                  </a:graphic>
                </wp:inline>
              </w:drawing>
            </w:r>
          </w:p>
        </w:tc>
        <w:tc>
          <w:tcPr>
            <w:tcW w:w="3210" w:type="dxa"/>
          </w:tcPr>
          <w:p w14:paraId="6E1AD8A4" w14:textId="77777777" w:rsidR="001D5505" w:rsidRDefault="001D5505" w:rsidP="00B00FC9">
            <w:pPr>
              <w:pStyle w:val="SingleTxtG"/>
              <w:ind w:left="0"/>
              <w:rPr>
                <w:lang w:val="fr-FR"/>
              </w:rPr>
            </w:pPr>
          </w:p>
        </w:tc>
      </w:tr>
    </w:tbl>
    <w:p w14:paraId="1AEABDB6" w14:textId="10B443A8" w:rsidR="00CB4603" w:rsidRDefault="00CB4603" w:rsidP="001D5505">
      <w:pPr>
        <w:pStyle w:val="SingleTxtG"/>
        <w:rPr>
          <w:lang w:val="fr-BE"/>
        </w:rPr>
      </w:pPr>
    </w:p>
    <w:p w14:paraId="3A7CAD9C" w14:textId="4820A30E" w:rsidR="00CB4603" w:rsidRPr="00F52B36" w:rsidRDefault="00B93C4E" w:rsidP="008E5080">
      <w:pPr>
        <w:pStyle w:val="SingleTxtG"/>
        <w:rPr>
          <w:lang w:val="fr-FR"/>
        </w:rPr>
      </w:pPr>
      <w:r>
        <w:rPr>
          <w:lang w:val="fr-FR"/>
        </w:rPr>
        <w:lastRenderedPageBreak/>
        <w:t>3.</w:t>
      </w:r>
      <w:r>
        <w:rPr>
          <w:lang w:val="fr-FR"/>
        </w:rPr>
        <w:tab/>
      </w:r>
      <w:r w:rsidR="00CB4603">
        <w:rPr>
          <w:lang w:val="fr-FR"/>
        </w:rPr>
        <w:t>La proposition consiste à introduire un texte au chapitre 5.3 visant à assimiler ces bennes amovibles à des conteneurs pour vrac et à leur appliquer les mêmes règles en termes de placardage selon les dispositions du chapitre 5.3.</w:t>
      </w:r>
    </w:p>
    <w:p w14:paraId="5C1CFFE1" w14:textId="6E88D411" w:rsidR="00CB4603" w:rsidRPr="00F52B36" w:rsidRDefault="00B93C4E" w:rsidP="008E5080">
      <w:pPr>
        <w:pStyle w:val="SingleTxtG"/>
        <w:rPr>
          <w:lang w:val="fr-FR"/>
        </w:rPr>
      </w:pPr>
      <w:r>
        <w:rPr>
          <w:lang w:val="fr-FR"/>
        </w:rPr>
        <w:t>4.</w:t>
      </w:r>
      <w:r>
        <w:rPr>
          <w:lang w:val="fr-FR"/>
        </w:rPr>
        <w:tab/>
      </w:r>
      <w:r w:rsidR="00CB4603">
        <w:rPr>
          <w:lang w:val="fr-FR"/>
        </w:rPr>
        <w:t>La France</w:t>
      </w:r>
      <w:r w:rsidR="00CB4603" w:rsidRPr="00F52B36">
        <w:rPr>
          <w:lang w:val="fr-FR"/>
        </w:rPr>
        <w:t xml:space="preserve"> propos</w:t>
      </w:r>
      <w:r w:rsidR="00CB4603">
        <w:rPr>
          <w:lang w:val="fr-FR"/>
        </w:rPr>
        <w:t>e</w:t>
      </w:r>
      <w:r w:rsidR="00CB4603" w:rsidRPr="00F52B36">
        <w:rPr>
          <w:lang w:val="fr-FR"/>
        </w:rPr>
        <w:t xml:space="preserve"> donc de modifier </w:t>
      </w:r>
      <w:r w:rsidR="00CB4603">
        <w:rPr>
          <w:lang w:val="fr-FR"/>
        </w:rPr>
        <w:t>le chapitre 5.3 (deux options)</w:t>
      </w:r>
      <w:r w:rsidR="00CB4603" w:rsidRPr="00F52B36">
        <w:rPr>
          <w:lang w:val="fr-FR"/>
        </w:rPr>
        <w:t xml:space="preserve"> comme suit.</w:t>
      </w:r>
    </w:p>
    <w:p w14:paraId="5F913C25" w14:textId="77777777" w:rsidR="00CB4603" w:rsidRDefault="00CB4603" w:rsidP="00CB4603">
      <w:pPr>
        <w:pStyle w:val="HChG"/>
        <w:rPr>
          <w:lang w:val="fr-FR"/>
        </w:rPr>
      </w:pPr>
      <w:r>
        <w:tab/>
      </w:r>
      <w:r>
        <w:tab/>
      </w:r>
      <w:r w:rsidRPr="00394F02">
        <w:t>Proposition</w:t>
      </w:r>
    </w:p>
    <w:p w14:paraId="61BD3660" w14:textId="77777777" w:rsidR="00CB4603" w:rsidRDefault="00CB4603" w:rsidP="00CB4603">
      <w:pPr>
        <w:pStyle w:val="H1G"/>
        <w:rPr>
          <w:lang w:val="fr-FR"/>
        </w:rPr>
      </w:pPr>
      <w:r>
        <w:rPr>
          <w:lang w:val="fr-FR"/>
        </w:rPr>
        <w:tab/>
      </w:r>
      <w:r>
        <w:rPr>
          <w:lang w:val="fr-FR"/>
        </w:rPr>
        <w:tab/>
      </w:r>
      <w:r w:rsidRPr="00964AB2">
        <w:rPr>
          <w:lang w:val="fr-FR"/>
        </w:rPr>
        <w:t>Proposition 1</w:t>
      </w:r>
    </w:p>
    <w:p w14:paraId="3CE54DB5" w14:textId="1E446948" w:rsidR="00FB3A6A" w:rsidRDefault="00B93C4E" w:rsidP="008E5080">
      <w:pPr>
        <w:pStyle w:val="SingleTxtG"/>
        <w:rPr>
          <w:lang w:val="fr-FR"/>
        </w:rPr>
      </w:pPr>
      <w:r>
        <w:rPr>
          <w:lang w:val="fr-FR"/>
        </w:rPr>
        <w:t>5.</w:t>
      </w:r>
      <w:r>
        <w:rPr>
          <w:lang w:val="fr-FR"/>
        </w:rPr>
        <w:tab/>
      </w:r>
      <w:r w:rsidR="00FB3A6A">
        <w:rPr>
          <w:lang w:val="fr-FR"/>
        </w:rPr>
        <w:t xml:space="preserve">(RID:) Après le titre du 5.3.1.2, insérer le </w:t>
      </w:r>
      <w:r w:rsidR="00B86D91">
        <w:rPr>
          <w:lang w:val="fr-FR"/>
        </w:rPr>
        <w:t>n</w:t>
      </w:r>
      <w:r w:rsidR="00FB3A6A">
        <w:rPr>
          <w:lang w:val="fr-FR"/>
        </w:rPr>
        <w:t>ota suivant:</w:t>
      </w:r>
    </w:p>
    <w:p w14:paraId="43E2EFF8" w14:textId="77777777" w:rsidR="00FB3A6A" w:rsidRDefault="00FB3A6A" w:rsidP="00FB3A6A">
      <w:pPr>
        <w:pStyle w:val="SingleTxtG"/>
        <w:ind w:left="1689"/>
        <w:rPr>
          <w:lang w:val="fr-FR"/>
        </w:rPr>
      </w:pPr>
      <w:r>
        <w:rPr>
          <w:lang w:val="fr-FR"/>
        </w:rPr>
        <w:t>« </w:t>
      </w:r>
      <w:r w:rsidRPr="00964AB2">
        <w:rPr>
          <w:b/>
          <w:lang w:val="fr-FR"/>
        </w:rPr>
        <w:t>NOT</w:t>
      </w:r>
      <w:r>
        <w:rPr>
          <w:b/>
          <w:lang w:val="fr-FR"/>
        </w:rPr>
        <w:t>A</w:t>
      </w:r>
      <w:r w:rsidRPr="00964AB2">
        <w:rPr>
          <w:b/>
          <w:lang w:val="fr-FR"/>
        </w:rPr>
        <w:t> :</w:t>
      </w:r>
      <w:r w:rsidRPr="00964AB2">
        <w:rPr>
          <w:lang w:val="fr-FR"/>
        </w:rPr>
        <w:t xml:space="preserve"> </w:t>
      </w:r>
      <w:r>
        <w:rPr>
          <w:lang w:val="fr-FR"/>
        </w:rPr>
        <w:t>Les bennes amovibles sont considérées comme des conteneurs pour vrac au titre de cette sous-section ».</w:t>
      </w:r>
    </w:p>
    <w:p w14:paraId="32DBE009" w14:textId="0D82738C" w:rsidR="00CB4603" w:rsidRDefault="00FB3A6A" w:rsidP="008E5080">
      <w:pPr>
        <w:pStyle w:val="SingleTxtG"/>
        <w:ind w:firstLine="555"/>
        <w:rPr>
          <w:lang w:val="fr-FR"/>
        </w:rPr>
      </w:pPr>
      <w:r>
        <w:rPr>
          <w:lang w:val="fr-FR"/>
        </w:rPr>
        <w:t>(ADR:)</w:t>
      </w:r>
      <w:r w:rsidR="004D7BE7">
        <w:rPr>
          <w:lang w:val="fr-FR"/>
        </w:rPr>
        <w:t xml:space="preserve"> </w:t>
      </w:r>
      <w:proofErr w:type="spellStart"/>
      <w:r w:rsidR="00CB4603">
        <w:rPr>
          <w:lang w:val="fr-FR"/>
        </w:rPr>
        <w:t>A</w:t>
      </w:r>
      <w:proofErr w:type="spellEnd"/>
      <w:r w:rsidR="00CB4603">
        <w:rPr>
          <w:lang w:val="fr-FR"/>
        </w:rPr>
        <w:t xml:space="preserve"> la fin du nota au 5.3.1.2, ajouter la phrase suivante :</w:t>
      </w:r>
    </w:p>
    <w:p w14:paraId="382E86F9" w14:textId="77777777" w:rsidR="00CB4603" w:rsidRPr="00F52B36" w:rsidRDefault="00CB4603" w:rsidP="00CB4603">
      <w:pPr>
        <w:pStyle w:val="SingleTxtG"/>
        <w:ind w:left="1689"/>
        <w:rPr>
          <w:lang w:val="fr-FR"/>
        </w:rPr>
      </w:pPr>
      <w:r>
        <w:rPr>
          <w:lang w:val="fr-FR"/>
        </w:rPr>
        <w:t>« Les bennes amovibles sont considérées comme des conteneurs pour vrac au titre de cette sous-section ».</w:t>
      </w:r>
    </w:p>
    <w:p w14:paraId="6BFCBFCB" w14:textId="2DEAE40E" w:rsidR="00CB4603" w:rsidRDefault="00212FB9" w:rsidP="008E5080">
      <w:pPr>
        <w:pStyle w:val="SingleTxtG"/>
        <w:rPr>
          <w:lang w:val="fr-FR"/>
        </w:rPr>
      </w:pPr>
      <w:r>
        <w:rPr>
          <w:lang w:val="fr-FR"/>
        </w:rPr>
        <w:t>6</w:t>
      </w:r>
      <w:r w:rsidR="00B93C4E">
        <w:rPr>
          <w:lang w:val="fr-FR"/>
        </w:rPr>
        <w:t>.</w:t>
      </w:r>
      <w:r w:rsidR="00B93C4E">
        <w:rPr>
          <w:lang w:val="fr-FR"/>
        </w:rPr>
        <w:tab/>
      </w:r>
      <w:proofErr w:type="spellStart"/>
      <w:r w:rsidR="00CB4603">
        <w:rPr>
          <w:lang w:val="fr-FR"/>
        </w:rPr>
        <w:t>A</w:t>
      </w:r>
      <w:proofErr w:type="spellEnd"/>
      <w:r w:rsidR="00CB4603">
        <w:rPr>
          <w:lang w:val="fr-FR"/>
        </w:rPr>
        <w:t xml:space="preserve"> la fin du 5.3.1.6, ajouter le nota suivant :</w:t>
      </w:r>
    </w:p>
    <w:p w14:paraId="5A56B792" w14:textId="77777777" w:rsidR="00CB4603" w:rsidRDefault="00CB4603" w:rsidP="00CB4603">
      <w:pPr>
        <w:pStyle w:val="SingleTxtG"/>
        <w:ind w:left="1689"/>
        <w:rPr>
          <w:lang w:val="fr-FR"/>
        </w:rPr>
      </w:pPr>
      <w:r>
        <w:rPr>
          <w:lang w:val="fr-FR"/>
        </w:rPr>
        <w:t>« </w:t>
      </w:r>
      <w:r w:rsidRPr="00964AB2">
        <w:rPr>
          <w:b/>
          <w:lang w:val="fr-FR"/>
        </w:rPr>
        <w:t>NOT</w:t>
      </w:r>
      <w:r>
        <w:rPr>
          <w:b/>
          <w:lang w:val="fr-FR"/>
        </w:rPr>
        <w:t>A</w:t>
      </w:r>
      <w:r w:rsidRPr="00964AB2">
        <w:rPr>
          <w:b/>
          <w:lang w:val="fr-FR"/>
        </w:rPr>
        <w:t> :</w:t>
      </w:r>
      <w:r w:rsidRPr="00964AB2">
        <w:rPr>
          <w:lang w:val="fr-FR"/>
        </w:rPr>
        <w:t xml:space="preserve"> </w:t>
      </w:r>
      <w:r>
        <w:rPr>
          <w:lang w:val="fr-FR"/>
        </w:rPr>
        <w:t>Les bennes amovibles sont considérées comme des conteneurs pour vrac au titre de cette sous-section ».</w:t>
      </w:r>
    </w:p>
    <w:p w14:paraId="4BCD3A60" w14:textId="533259EC" w:rsidR="00CB4603" w:rsidRDefault="00212FB9" w:rsidP="008E5080">
      <w:pPr>
        <w:pStyle w:val="SingleTxtG"/>
        <w:rPr>
          <w:lang w:val="fr-FR"/>
        </w:rPr>
      </w:pPr>
      <w:r>
        <w:rPr>
          <w:lang w:val="fr-FR"/>
        </w:rPr>
        <w:t>7</w:t>
      </w:r>
      <w:r w:rsidR="00B93C4E">
        <w:rPr>
          <w:lang w:val="fr-FR"/>
        </w:rPr>
        <w:t>.</w:t>
      </w:r>
      <w:r w:rsidR="00B93C4E">
        <w:rPr>
          <w:lang w:val="fr-FR"/>
        </w:rPr>
        <w:tab/>
      </w:r>
      <w:r w:rsidR="00985157">
        <w:rPr>
          <w:lang w:val="fr-FR"/>
        </w:rPr>
        <w:t xml:space="preserve">(ADR seulement:) </w:t>
      </w:r>
      <w:proofErr w:type="spellStart"/>
      <w:r w:rsidR="00CB4603">
        <w:rPr>
          <w:lang w:val="fr-FR"/>
        </w:rPr>
        <w:t>A</w:t>
      </w:r>
      <w:proofErr w:type="spellEnd"/>
      <w:r w:rsidR="00CB4603">
        <w:rPr>
          <w:lang w:val="fr-FR"/>
        </w:rPr>
        <w:t xml:space="preserve"> la fin du 5.3.2.1.4 ajouter le nota suivant :</w:t>
      </w:r>
    </w:p>
    <w:p w14:paraId="1B4542A7" w14:textId="77777777" w:rsidR="00CB4603" w:rsidRDefault="00CB4603" w:rsidP="00CB4603">
      <w:pPr>
        <w:pStyle w:val="SingleTxtG"/>
        <w:ind w:left="1689"/>
        <w:rPr>
          <w:lang w:val="fr-FR"/>
        </w:rPr>
      </w:pPr>
      <w:r>
        <w:rPr>
          <w:lang w:val="fr-FR"/>
        </w:rPr>
        <w:t>« </w:t>
      </w:r>
      <w:r w:rsidRPr="00964AB2">
        <w:rPr>
          <w:b/>
          <w:lang w:val="fr-FR"/>
        </w:rPr>
        <w:t>NOT</w:t>
      </w:r>
      <w:r>
        <w:rPr>
          <w:b/>
          <w:lang w:val="fr-FR"/>
        </w:rPr>
        <w:t>A</w:t>
      </w:r>
      <w:r w:rsidRPr="00964AB2">
        <w:rPr>
          <w:b/>
          <w:lang w:val="fr-FR"/>
        </w:rPr>
        <w:t> :</w:t>
      </w:r>
      <w:r w:rsidRPr="00964AB2">
        <w:rPr>
          <w:lang w:val="fr-FR"/>
        </w:rPr>
        <w:t xml:space="preserve"> </w:t>
      </w:r>
      <w:r>
        <w:rPr>
          <w:lang w:val="fr-FR"/>
        </w:rPr>
        <w:t>Les bennes amovibles sont considérées comme des conteneurs pour vrac au titre de cette sous-section ».</w:t>
      </w:r>
    </w:p>
    <w:p w14:paraId="4B1AC8F9" w14:textId="77777777" w:rsidR="00CB4603" w:rsidRDefault="00CB4603" w:rsidP="00CB4603">
      <w:pPr>
        <w:pStyle w:val="H1G"/>
        <w:rPr>
          <w:lang w:val="fr-FR"/>
        </w:rPr>
      </w:pPr>
      <w:r>
        <w:rPr>
          <w:lang w:val="fr-FR"/>
        </w:rPr>
        <w:tab/>
      </w:r>
      <w:r>
        <w:rPr>
          <w:lang w:val="fr-FR"/>
        </w:rPr>
        <w:tab/>
      </w:r>
      <w:r w:rsidRPr="00964AB2">
        <w:rPr>
          <w:lang w:val="fr-FR"/>
        </w:rPr>
        <w:t xml:space="preserve">Proposition </w:t>
      </w:r>
      <w:r>
        <w:rPr>
          <w:lang w:val="fr-FR"/>
        </w:rPr>
        <w:t>2</w:t>
      </w:r>
    </w:p>
    <w:p w14:paraId="5D9CDD29" w14:textId="18E25CA4" w:rsidR="00CB4603" w:rsidRDefault="00212FB9" w:rsidP="008E5080">
      <w:pPr>
        <w:pStyle w:val="SingleTxtG"/>
        <w:rPr>
          <w:lang w:val="fr-FR"/>
        </w:rPr>
      </w:pPr>
      <w:r>
        <w:rPr>
          <w:lang w:val="fr-FR"/>
        </w:rPr>
        <w:t>8</w:t>
      </w:r>
      <w:r w:rsidR="00B93C4E">
        <w:rPr>
          <w:lang w:val="fr-FR"/>
        </w:rPr>
        <w:t>.</w:t>
      </w:r>
      <w:r w:rsidR="00B93C4E">
        <w:rPr>
          <w:lang w:val="fr-FR"/>
        </w:rPr>
        <w:tab/>
      </w:r>
      <w:r w:rsidR="00CB4603">
        <w:rPr>
          <w:lang w:val="fr-FR"/>
        </w:rPr>
        <w:t>Sous le titre du chapitre 5.3 ajouter un nouveau nota comme suit :</w:t>
      </w:r>
    </w:p>
    <w:p w14:paraId="65DD4C87" w14:textId="271C3790" w:rsidR="00CB4603" w:rsidRDefault="00CB4603" w:rsidP="00CB4603">
      <w:pPr>
        <w:pStyle w:val="SingleTxtG"/>
        <w:ind w:left="1689"/>
        <w:rPr>
          <w:lang w:val="fr-FR"/>
        </w:rPr>
      </w:pPr>
      <w:r>
        <w:rPr>
          <w:lang w:val="fr-FR"/>
        </w:rPr>
        <w:t>« </w:t>
      </w:r>
      <w:r w:rsidRPr="00964AB2">
        <w:rPr>
          <w:b/>
          <w:lang w:val="fr-FR"/>
        </w:rPr>
        <w:t>NOT</w:t>
      </w:r>
      <w:r>
        <w:rPr>
          <w:b/>
          <w:lang w:val="fr-FR"/>
        </w:rPr>
        <w:t>A</w:t>
      </w:r>
      <w:r w:rsidRPr="00964AB2">
        <w:rPr>
          <w:b/>
          <w:lang w:val="fr-FR"/>
        </w:rPr>
        <w:t> </w:t>
      </w:r>
      <w:r>
        <w:rPr>
          <w:b/>
          <w:lang w:val="fr-FR"/>
        </w:rPr>
        <w:t>3</w:t>
      </w:r>
      <w:r w:rsidRPr="00964AB2">
        <w:rPr>
          <w:b/>
          <w:lang w:val="fr-FR"/>
        </w:rPr>
        <w:t>:</w:t>
      </w:r>
      <w:r w:rsidRPr="00964AB2">
        <w:rPr>
          <w:lang w:val="fr-FR"/>
        </w:rPr>
        <w:t xml:space="preserve"> </w:t>
      </w:r>
      <w:r>
        <w:rPr>
          <w:lang w:val="fr-FR"/>
        </w:rPr>
        <w:t>Les bennes amovibles sont considérées comme des conteneurs pour vrac au titre de ce</w:t>
      </w:r>
      <w:r w:rsidR="00D444DF">
        <w:rPr>
          <w:lang w:val="fr-FR"/>
        </w:rPr>
        <w:t xml:space="preserve"> chapitre</w:t>
      </w:r>
      <w:r>
        <w:rPr>
          <w:lang w:val="fr-FR"/>
        </w:rPr>
        <w:t> ».</w:t>
      </w:r>
    </w:p>
    <w:p w14:paraId="75CDC0B0" w14:textId="77777777" w:rsidR="00CB4603" w:rsidRPr="00F52B36" w:rsidRDefault="00CB4603" w:rsidP="00CB4603">
      <w:pPr>
        <w:pStyle w:val="HChG"/>
        <w:rPr>
          <w:lang w:val="fr-FR"/>
        </w:rPr>
      </w:pPr>
      <w:r w:rsidRPr="00F52B36">
        <w:rPr>
          <w:lang w:val="fr-FR"/>
        </w:rPr>
        <w:tab/>
      </w:r>
      <w:r w:rsidRPr="00F52B36">
        <w:rPr>
          <w:lang w:val="fr-FR"/>
        </w:rPr>
        <w:tab/>
      </w:r>
      <w:r w:rsidRPr="00242FAA">
        <w:t>Justification</w:t>
      </w:r>
    </w:p>
    <w:p w14:paraId="7166247C" w14:textId="77777777" w:rsidR="00CB4603" w:rsidRPr="00F52B36" w:rsidRDefault="00CB4603" w:rsidP="00CB4603">
      <w:pPr>
        <w:pStyle w:val="SingleTxtG"/>
        <w:rPr>
          <w:lang w:val="fr-FR"/>
        </w:rPr>
      </w:pPr>
      <w:r>
        <w:rPr>
          <w:lang w:val="fr-FR"/>
        </w:rPr>
        <w:t>9</w:t>
      </w:r>
      <w:r w:rsidRPr="00F52B36">
        <w:rPr>
          <w:lang w:val="fr-FR"/>
        </w:rPr>
        <w:t>.</w:t>
      </w:r>
      <w:r w:rsidRPr="00F52B36">
        <w:rPr>
          <w:lang w:val="fr-FR"/>
        </w:rPr>
        <w:tab/>
        <w:t xml:space="preserve">Cette modification </w:t>
      </w:r>
      <w:r>
        <w:rPr>
          <w:lang w:val="fr-FR"/>
        </w:rPr>
        <w:t>permet d’une part de clarifier les dispositions réglementaires et d’autre part d’accroître les règles de sécurité couvrant ces matériels de transport.</w:t>
      </w:r>
    </w:p>
    <w:p w14:paraId="7057C6E4" w14:textId="1E31D39C" w:rsidR="00C1626B" w:rsidRPr="00CB4603" w:rsidRDefault="00CB4603" w:rsidP="00CB4603">
      <w:pPr>
        <w:spacing w:before="240"/>
        <w:jc w:val="center"/>
        <w:rPr>
          <w:u w:val="single"/>
        </w:rPr>
      </w:pPr>
      <w:r>
        <w:rPr>
          <w:u w:val="single"/>
        </w:rPr>
        <w:tab/>
      </w:r>
      <w:r>
        <w:rPr>
          <w:u w:val="single"/>
        </w:rPr>
        <w:tab/>
      </w:r>
      <w:r>
        <w:rPr>
          <w:u w:val="single"/>
        </w:rPr>
        <w:tab/>
      </w:r>
    </w:p>
    <w:sectPr w:rsidR="00C1626B" w:rsidRPr="00CB4603" w:rsidSect="00CB4603">
      <w:headerReference w:type="even" r:id="rId14"/>
      <w:headerReference w:type="default" r:id="rId15"/>
      <w:footerReference w:type="even" r:id="rId16"/>
      <w:footerReference w:type="default" r:id="rId17"/>
      <w:footerReference w:type="first" r:id="rId18"/>
      <w:endnotePr>
        <w:numFmt w:val="decimal"/>
      </w:endnotePr>
      <w:pgSz w:w="11906" w:h="16838" w:code="9"/>
      <w:pgMar w:top="1418" w:right="1134" w:bottom="1134"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7974D0" w14:textId="77777777" w:rsidR="00944C1C" w:rsidRDefault="00944C1C" w:rsidP="00F95C08">
      <w:pPr>
        <w:spacing w:line="240" w:lineRule="auto"/>
      </w:pPr>
    </w:p>
  </w:endnote>
  <w:endnote w:type="continuationSeparator" w:id="0">
    <w:p w14:paraId="492C5BE4" w14:textId="77777777" w:rsidR="00944C1C" w:rsidRPr="00AC3823" w:rsidRDefault="00944C1C" w:rsidP="00AC3823">
      <w:pPr>
        <w:pStyle w:val="Footer"/>
      </w:pPr>
    </w:p>
  </w:endnote>
  <w:endnote w:type="continuationNotice" w:id="1">
    <w:p w14:paraId="0BF82E44" w14:textId="77777777" w:rsidR="00944C1C" w:rsidRDefault="00944C1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DFF2A" w14:textId="77777777" w:rsidR="00CB4603" w:rsidRPr="00CB4603" w:rsidRDefault="00CB4603" w:rsidP="00CB4603">
    <w:pPr>
      <w:pStyle w:val="Footer"/>
      <w:tabs>
        <w:tab w:val="right" w:pos="9638"/>
      </w:tabs>
      <w:rPr>
        <w:sz w:val="18"/>
      </w:rPr>
    </w:pPr>
    <w:r w:rsidRPr="00CB4603">
      <w:rPr>
        <w:b/>
        <w:sz w:val="18"/>
      </w:rPr>
      <w:fldChar w:fldCharType="begin"/>
    </w:r>
    <w:r w:rsidRPr="00CB4603">
      <w:rPr>
        <w:b/>
        <w:sz w:val="18"/>
      </w:rPr>
      <w:instrText xml:space="preserve"> PAGE  \* MERGEFORMAT </w:instrText>
    </w:r>
    <w:r w:rsidRPr="00CB4603">
      <w:rPr>
        <w:b/>
        <w:sz w:val="18"/>
      </w:rPr>
      <w:fldChar w:fldCharType="separate"/>
    </w:r>
    <w:r w:rsidRPr="00CB4603">
      <w:rPr>
        <w:b/>
        <w:noProof/>
        <w:sz w:val="18"/>
      </w:rPr>
      <w:t>2</w:t>
    </w:r>
    <w:r w:rsidRPr="00CB4603">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C4AA4" w14:textId="77777777" w:rsidR="00CB4603" w:rsidRPr="00CB4603" w:rsidRDefault="00CB4603" w:rsidP="00CB4603">
    <w:pPr>
      <w:pStyle w:val="Footer"/>
      <w:tabs>
        <w:tab w:val="right" w:pos="9638"/>
      </w:tabs>
      <w:rPr>
        <w:b/>
        <w:sz w:val="18"/>
      </w:rPr>
    </w:pPr>
    <w:r>
      <w:tab/>
    </w:r>
    <w:r w:rsidRPr="00CB4603">
      <w:rPr>
        <w:b/>
        <w:sz w:val="18"/>
      </w:rPr>
      <w:fldChar w:fldCharType="begin"/>
    </w:r>
    <w:r w:rsidRPr="00CB4603">
      <w:rPr>
        <w:b/>
        <w:sz w:val="18"/>
      </w:rPr>
      <w:instrText xml:space="preserve"> PAGE  \* MERGEFORMAT </w:instrText>
    </w:r>
    <w:r w:rsidRPr="00CB4603">
      <w:rPr>
        <w:b/>
        <w:sz w:val="18"/>
      </w:rPr>
      <w:fldChar w:fldCharType="separate"/>
    </w:r>
    <w:r w:rsidRPr="00CB4603">
      <w:rPr>
        <w:b/>
        <w:noProof/>
        <w:sz w:val="18"/>
      </w:rPr>
      <w:t>3</w:t>
    </w:r>
    <w:r w:rsidRPr="00CB4603">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892B8" w14:textId="77777777" w:rsidR="000D3EE9" w:rsidRPr="00CB4603" w:rsidRDefault="000942EE" w:rsidP="0001207F">
    <w:pPr>
      <w:pStyle w:val="Footer"/>
      <w:spacing w:before="120"/>
      <w:rPr>
        <w:sz w:val="20"/>
      </w:rPr>
    </w:pPr>
    <w:r w:rsidRPr="000942EE">
      <w:rPr>
        <w:noProof/>
        <w:lang w:eastAsia="fr-CH"/>
      </w:rPr>
      <w:drawing>
        <wp:anchor distT="0" distB="0" distL="114300" distR="114300" simplePos="0" relativeHeight="251658240" behindDoc="0" locked="0" layoutInCell="1" allowOverlap="0" wp14:anchorId="361A2928" wp14:editId="24A9BC8C">
          <wp:simplePos x="0" y="0"/>
          <wp:positionH relativeFrom="margin">
            <wp:posOffset>5004435</wp:posOffset>
          </wp:positionH>
          <wp:positionV relativeFrom="margin">
            <wp:posOffset>9324975</wp:posOffset>
          </wp:positionV>
          <wp:extent cx="1105200" cy="234000"/>
          <wp:effectExtent l="0" t="0" r="0" b="0"/>
          <wp:wrapNone/>
          <wp:docPr id="1" name="Image 1"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36EC7" w14:textId="77777777" w:rsidR="00944C1C" w:rsidRPr="00AC3823" w:rsidRDefault="00944C1C" w:rsidP="00AC3823">
      <w:pPr>
        <w:pStyle w:val="Footer"/>
        <w:tabs>
          <w:tab w:val="right" w:pos="2155"/>
        </w:tabs>
        <w:spacing w:after="80" w:line="240" w:lineRule="atLeast"/>
        <w:ind w:left="680"/>
        <w:rPr>
          <w:u w:val="single"/>
        </w:rPr>
      </w:pPr>
      <w:r>
        <w:rPr>
          <w:u w:val="single"/>
        </w:rPr>
        <w:tab/>
      </w:r>
    </w:p>
  </w:footnote>
  <w:footnote w:type="continuationSeparator" w:id="0">
    <w:p w14:paraId="4C8D796B" w14:textId="77777777" w:rsidR="00944C1C" w:rsidRPr="00AC3823" w:rsidRDefault="00944C1C" w:rsidP="00AC3823">
      <w:pPr>
        <w:pStyle w:val="Footer"/>
        <w:tabs>
          <w:tab w:val="right" w:pos="2155"/>
        </w:tabs>
        <w:spacing w:after="80" w:line="240" w:lineRule="atLeast"/>
        <w:ind w:left="680"/>
        <w:rPr>
          <w:u w:val="single"/>
        </w:rPr>
      </w:pPr>
      <w:r>
        <w:rPr>
          <w:u w:val="single"/>
        </w:rPr>
        <w:tab/>
      </w:r>
    </w:p>
  </w:footnote>
  <w:footnote w:type="continuationNotice" w:id="1">
    <w:p w14:paraId="13A3A6E5" w14:textId="77777777" w:rsidR="00944C1C" w:rsidRPr="00AC3823" w:rsidRDefault="00944C1C">
      <w:pPr>
        <w:spacing w:line="240" w:lineRule="auto"/>
        <w:rPr>
          <w:sz w:val="2"/>
          <w:szCs w:val="2"/>
        </w:rPr>
      </w:pPr>
    </w:p>
  </w:footnote>
  <w:footnote w:id="2">
    <w:p w14:paraId="6620659E" w14:textId="1D133A23" w:rsidR="00CB4603" w:rsidRDefault="00CB4603" w:rsidP="00CB4603">
      <w:pPr>
        <w:pStyle w:val="FootnoteText"/>
        <w:rPr>
          <w:lang w:val="fr-FR"/>
        </w:rPr>
      </w:pPr>
      <w:r>
        <w:rPr>
          <w:rStyle w:val="FootnoteReference"/>
          <w:sz w:val="20"/>
          <w:lang w:val="fr-FR"/>
        </w:rPr>
        <w:tab/>
      </w:r>
      <w:r>
        <w:rPr>
          <w:rStyle w:val="FootnoteReference"/>
          <w:b/>
          <w:bCs/>
          <w:sz w:val="20"/>
          <w:lang w:val="fr-FR"/>
        </w:rPr>
        <w:t>*</w:t>
      </w:r>
      <w:r>
        <w:rPr>
          <w:rStyle w:val="FootnoteReference"/>
          <w:lang w:val="fr-FR"/>
        </w:rPr>
        <w:tab/>
      </w:r>
      <w:r w:rsidRPr="0083055C">
        <w:t>A/77/6 (Sect. 20), table</w:t>
      </w:r>
      <w:r>
        <w:t>au</w:t>
      </w:r>
      <w:r w:rsidRPr="0083055C">
        <w:t xml:space="preserve"> 20.6</w:t>
      </w:r>
      <w:r>
        <w:rPr>
          <w:lang w:val="fr-FR"/>
        </w:rPr>
        <w:t>.</w:t>
      </w:r>
    </w:p>
  </w:footnote>
  <w:footnote w:id="3">
    <w:p w14:paraId="03E75EB8" w14:textId="05AA0CD9" w:rsidR="00CB4603" w:rsidRDefault="00CB4603" w:rsidP="00CB4603">
      <w:pPr>
        <w:pStyle w:val="FootnoteText"/>
        <w:rPr>
          <w:lang w:val="fr-FR"/>
        </w:rPr>
      </w:pPr>
      <w:r>
        <w:rPr>
          <w:rStyle w:val="FootnoteReference"/>
          <w:lang w:val="fr-FR"/>
        </w:rPr>
        <w:tab/>
      </w:r>
      <w:r>
        <w:rPr>
          <w:rStyle w:val="FootnoteReference"/>
          <w:b/>
          <w:bCs/>
          <w:sz w:val="20"/>
          <w:lang w:val="fr-FR"/>
        </w:rPr>
        <w:t>**</w:t>
      </w:r>
      <w:r>
        <w:rPr>
          <w:rStyle w:val="FootnoteReference"/>
          <w:lang w:val="fr-FR"/>
        </w:rPr>
        <w:tab/>
      </w:r>
      <w:r>
        <w:rPr>
          <w:lang w:val="fr-FR"/>
        </w:rPr>
        <w:t xml:space="preserve">Diffusée par l’Organisation </w:t>
      </w:r>
      <w:proofErr w:type="spellStart"/>
      <w:r>
        <w:rPr>
          <w:lang w:val="fr-FR"/>
        </w:rPr>
        <w:t>intergouvernementale</w:t>
      </w:r>
      <w:proofErr w:type="spellEnd"/>
      <w:r>
        <w:rPr>
          <w:lang w:val="fr-FR"/>
        </w:rPr>
        <w:t xml:space="preserve"> pour les transports internationaux ferroviaires (OTIF) sous la cote OTIF/RID/RC/2023/</w:t>
      </w:r>
      <w:r w:rsidR="00586B29">
        <w:rPr>
          <w:lang w:val="fr-FR"/>
        </w:rPr>
        <w:t>44</w:t>
      </w:r>
      <w:r>
        <w:rPr>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A8BB0" w14:textId="77777777" w:rsidR="00CB4603" w:rsidRPr="00CB4603" w:rsidRDefault="00A810F0">
    <w:pPr>
      <w:pStyle w:val="Header"/>
    </w:pPr>
    <w:fldSimple w:instr=" TITLE  \* MERGEFORMAT ">
      <w:r w:rsidR="00CB4603">
        <w:t>ECE/TRANS/WP.15/AC.1/2023/44</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97B1F" w14:textId="77777777" w:rsidR="00CB4603" w:rsidRPr="00CB4603" w:rsidRDefault="00A810F0" w:rsidP="00CB4603">
    <w:pPr>
      <w:pStyle w:val="Header"/>
      <w:jc w:val="right"/>
    </w:pPr>
    <w:fldSimple w:instr=" TITLE  \* MERGEFORMAT ">
      <w:r w:rsidR="00CB4603">
        <w:t>ECE/TRANS/WP.15/AC.1/2023/44</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1AB1D86"/>
    <w:multiLevelType w:val="hybridMultilevel"/>
    <w:tmpl w:val="753E676E"/>
    <w:lvl w:ilvl="0" w:tplc="CAE41390">
      <w:start w:val="1"/>
      <w:numFmt w:val="decimal"/>
      <w:lvlText w:val="%1."/>
      <w:lvlJc w:val="left"/>
      <w:pPr>
        <w:ind w:left="1689" w:hanging="555"/>
      </w:pPr>
    </w:lvl>
    <w:lvl w:ilvl="1" w:tplc="040C0019">
      <w:start w:val="1"/>
      <w:numFmt w:val="lowerLetter"/>
      <w:lvlText w:val="%2."/>
      <w:lvlJc w:val="left"/>
      <w:pPr>
        <w:ind w:left="2214" w:hanging="360"/>
      </w:pPr>
    </w:lvl>
    <w:lvl w:ilvl="2" w:tplc="040C001B">
      <w:start w:val="1"/>
      <w:numFmt w:val="lowerRoman"/>
      <w:lvlText w:val="%3."/>
      <w:lvlJc w:val="right"/>
      <w:pPr>
        <w:ind w:left="2934" w:hanging="180"/>
      </w:pPr>
    </w:lvl>
    <w:lvl w:ilvl="3" w:tplc="040C000F">
      <w:start w:val="1"/>
      <w:numFmt w:val="decimal"/>
      <w:lvlText w:val="%4."/>
      <w:lvlJc w:val="left"/>
      <w:pPr>
        <w:ind w:left="3654" w:hanging="360"/>
      </w:pPr>
    </w:lvl>
    <w:lvl w:ilvl="4" w:tplc="040C0019">
      <w:start w:val="1"/>
      <w:numFmt w:val="lowerLetter"/>
      <w:lvlText w:val="%5."/>
      <w:lvlJc w:val="left"/>
      <w:pPr>
        <w:ind w:left="4374" w:hanging="360"/>
      </w:pPr>
    </w:lvl>
    <w:lvl w:ilvl="5" w:tplc="040C001B">
      <w:start w:val="1"/>
      <w:numFmt w:val="lowerRoman"/>
      <w:lvlText w:val="%6."/>
      <w:lvlJc w:val="right"/>
      <w:pPr>
        <w:ind w:left="5094" w:hanging="180"/>
      </w:pPr>
    </w:lvl>
    <w:lvl w:ilvl="6" w:tplc="040C000F">
      <w:start w:val="1"/>
      <w:numFmt w:val="decimal"/>
      <w:lvlText w:val="%7."/>
      <w:lvlJc w:val="left"/>
      <w:pPr>
        <w:ind w:left="5814" w:hanging="360"/>
      </w:pPr>
    </w:lvl>
    <w:lvl w:ilvl="7" w:tplc="040C0019">
      <w:start w:val="1"/>
      <w:numFmt w:val="lowerLetter"/>
      <w:lvlText w:val="%8."/>
      <w:lvlJc w:val="left"/>
      <w:pPr>
        <w:ind w:left="6534" w:hanging="360"/>
      </w:pPr>
    </w:lvl>
    <w:lvl w:ilvl="8" w:tplc="040C001B">
      <w:start w:val="1"/>
      <w:numFmt w:val="lowerRoman"/>
      <w:lvlText w:val="%9."/>
      <w:lvlJc w:val="right"/>
      <w:pPr>
        <w:ind w:left="7254" w:hanging="180"/>
      </w:pPr>
    </w:lvl>
  </w:abstractNum>
  <w:abstractNum w:abstractNumId="12"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3" w15:restartNumberingAfterBreak="0">
    <w:nsid w:val="5C3D4ABD"/>
    <w:multiLevelType w:val="hybridMultilevel"/>
    <w:tmpl w:val="753E676E"/>
    <w:lvl w:ilvl="0" w:tplc="FFFFFFFF">
      <w:start w:val="1"/>
      <w:numFmt w:val="decimal"/>
      <w:lvlText w:val="%1."/>
      <w:lvlJc w:val="left"/>
      <w:pPr>
        <w:ind w:left="1689" w:hanging="555"/>
      </w:pPr>
    </w:lvl>
    <w:lvl w:ilvl="1" w:tplc="FFFFFFFF">
      <w:start w:val="1"/>
      <w:numFmt w:val="lowerLetter"/>
      <w:lvlText w:val="%2."/>
      <w:lvlJc w:val="left"/>
      <w:pPr>
        <w:ind w:left="2214" w:hanging="360"/>
      </w:pPr>
    </w:lvl>
    <w:lvl w:ilvl="2" w:tplc="FFFFFFFF">
      <w:start w:val="1"/>
      <w:numFmt w:val="lowerRoman"/>
      <w:lvlText w:val="%3."/>
      <w:lvlJc w:val="right"/>
      <w:pPr>
        <w:ind w:left="2934" w:hanging="180"/>
      </w:pPr>
    </w:lvl>
    <w:lvl w:ilvl="3" w:tplc="FFFFFFFF">
      <w:start w:val="1"/>
      <w:numFmt w:val="decimal"/>
      <w:lvlText w:val="%4."/>
      <w:lvlJc w:val="left"/>
      <w:pPr>
        <w:ind w:left="3654" w:hanging="360"/>
      </w:pPr>
    </w:lvl>
    <w:lvl w:ilvl="4" w:tplc="FFFFFFFF">
      <w:start w:val="1"/>
      <w:numFmt w:val="lowerLetter"/>
      <w:lvlText w:val="%5."/>
      <w:lvlJc w:val="left"/>
      <w:pPr>
        <w:ind w:left="4374" w:hanging="360"/>
      </w:pPr>
    </w:lvl>
    <w:lvl w:ilvl="5" w:tplc="FFFFFFFF">
      <w:start w:val="1"/>
      <w:numFmt w:val="lowerRoman"/>
      <w:lvlText w:val="%6."/>
      <w:lvlJc w:val="right"/>
      <w:pPr>
        <w:ind w:left="5094" w:hanging="180"/>
      </w:pPr>
    </w:lvl>
    <w:lvl w:ilvl="6" w:tplc="FFFFFFFF">
      <w:start w:val="1"/>
      <w:numFmt w:val="decimal"/>
      <w:lvlText w:val="%7."/>
      <w:lvlJc w:val="left"/>
      <w:pPr>
        <w:ind w:left="5814" w:hanging="360"/>
      </w:pPr>
    </w:lvl>
    <w:lvl w:ilvl="7" w:tplc="FFFFFFFF">
      <w:start w:val="1"/>
      <w:numFmt w:val="lowerLetter"/>
      <w:lvlText w:val="%8."/>
      <w:lvlJc w:val="left"/>
      <w:pPr>
        <w:ind w:left="6534" w:hanging="360"/>
      </w:pPr>
    </w:lvl>
    <w:lvl w:ilvl="8" w:tplc="FFFFFFFF">
      <w:start w:val="1"/>
      <w:numFmt w:val="lowerRoman"/>
      <w:lvlText w:val="%9."/>
      <w:lvlJc w:val="right"/>
      <w:pPr>
        <w:ind w:left="7254" w:hanging="180"/>
      </w:pPr>
    </w:lvl>
  </w:abstractNum>
  <w:abstractNum w:abstractNumId="14"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16cid:durableId="1828092368">
    <w:abstractNumId w:val="14"/>
  </w:num>
  <w:num w:numId="2" w16cid:durableId="19085575">
    <w:abstractNumId w:val="12"/>
  </w:num>
  <w:num w:numId="3" w16cid:durableId="1573927991">
    <w:abstractNumId w:val="10"/>
  </w:num>
  <w:num w:numId="4" w16cid:durableId="725682405">
    <w:abstractNumId w:val="8"/>
  </w:num>
  <w:num w:numId="5" w16cid:durableId="1753159246">
    <w:abstractNumId w:val="3"/>
  </w:num>
  <w:num w:numId="6" w16cid:durableId="1279415022">
    <w:abstractNumId w:val="2"/>
  </w:num>
  <w:num w:numId="7" w16cid:durableId="707610367">
    <w:abstractNumId w:val="1"/>
  </w:num>
  <w:num w:numId="8" w16cid:durableId="1511527646">
    <w:abstractNumId w:val="0"/>
  </w:num>
  <w:num w:numId="9" w16cid:durableId="659310115">
    <w:abstractNumId w:val="9"/>
  </w:num>
  <w:num w:numId="10" w16cid:durableId="134373663">
    <w:abstractNumId w:val="7"/>
  </w:num>
  <w:num w:numId="11" w16cid:durableId="1797333410">
    <w:abstractNumId w:val="6"/>
  </w:num>
  <w:num w:numId="12" w16cid:durableId="901594951">
    <w:abstractNumId w:val="5"/>
  </w:num>
  <w:num w:numId="13" w16cid:durableId="1195389174">
    <w:abstractNumId w:val="4"/>
  </w:num>
  <w:num w:numId="14" w16cid:durableId="1344937780">
    <w:abstractNumId w:val="11"/>
  </w:num>
  <w:num w:numId="15" w16cid:durableId="1174575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attachedTemplate r:id="rId1"/>
  <w:defaultTabStop w:val="567"/>
  <w:hyphenationZone w:val="425"/>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5F2324AE-7E1B-46E0-BE39-6171A5137F5D}"/>
    <w:docVar w:name="dgnword-eventsink" w:val="646185176"/>
  </w:docVars>
  <w:rsids>
    <w:rsidRoot w:val="00CB4603"/>
    <w:rsid w:val="0001207F"/>
    <w:rsid w:val="00017F94"/>
    <w:rsid w:val="00023842"/>
    <w:rsid w:val="000334F9"/>
    <w:rsid w:val="0004639C"/>
    <w:rsid w:val="00066E4B"/>
    <w:rsid w:val="0007796D"/>
    <w:rsid w:val="000942EE"/>
    <w:rsid w:val="000A52BF"/>
    <w:rsid w:val="000B7790"/>
    <w:rsid w:val="000D3EE9"/>
    <w:rsid w:val="000D62F3"/>
    <w:rsid w:val="00111F2F"/>
    <w:rsid w:val="001433FD"/>
    <w:rsid w:val="0014365E"/>
    <w:rsid w:val="001541D3"/>
    <w:rsid w:val="00156B77"/>
    <w:rsid w:val="00176178"/>
    <w:rsid w:val="00177140"/>
    <w:rsid w:val="00184F18"/>
    <w:rsid w:val="001D400F"/>
    <w:rsid w:val="001D5505"/>
    <w:rsid w:val="001F1334"/>
    <w:rsid w:val="001F525A"/>
    <w:rsid w:val="00207BC0"/>
    <w:rsid w:val="00212FB9"/>
    <w:rsid w:val="00223272"/>
    <w:rsid w:val="00240333"/>
    <w:rsid w:val="0024779E"/>
    <w:rsid w:val="002832AC"/>
    <w:rsid w:val="002D7C93"/>
    <w:rsid w:val="002F2E4F"/>
    <w:rsid w:val="0037241C"/>
    <w:rsid w:val="003819FF"/>
    <w:rsid w:val="00441C3B"/>
    <w:rsid w:val="00446B0A"/>
    <w:rsid w:val="00446FE5"/>
    <w:rsid w:val="00452396"/>
    <w:rsid w:val="00471288"/>
    <w:rsid w:val="0049687C"/>
    <w:rsid w:val="004D7BE7"/>
    <w:rsid w:val="004E3F2E"/>
    <w:rsid w:val="004E468C"/>
    <w:rsid w:val="005316B0"/>
    <w:rsid w:val="005505B7"/>
    <w:rsid w:val="00571C24"/>
    <w:rsid w:val="00573BE5"/>
    <w:rsid w:val="00586B29"/>
    <w:rsid w:val="00586ED3"/>
    <w:rsid w:val="00596AA9"/>
    <w:rsid w:val="005A6227"/>
    <w:rsid w:val="005B4D0F"/>
    <w:rsid w:val="005F4FC7"/>
    <w:rsid w:val="006B6089"/>
    <w:rsid w:val="006C18D9"/>
    <w:rsid w:val="0070091B"/>
    <w:rsid w:val="00703D0F"/>
    <w:rsid w:val="00706363"/>
    <w:rsid w:val="007158BB"/>
    <w:rsid w:val="0071601D"/>
    <w:rsid w:val="0075410D"/>
    <w:rsid w:val="007A62E6"/>
    <w:rsid w:val="0080684C"/>
    <w:rsid w:val="008204DA"/>
    <w:rsid w:val="008535AD"/>
    <w:rsid w:val="00871C75"/>
    <w:rsid w:val="008767E8"/>
    <w:rsid w:val="008776DC"/>
    <w:rsid w:val="00883605"/>
    <w:rsid w:val="008E5080"/>
    <w:rsid w:val="008E6043"/>
    <w:rsid w:val="00944C1C"/>
    <w:rsid w:val="00961E7B"/>
    <w:rsid w:val="009705C8"/>
    <w:rsid w:val="00985157"/>
    <w:rsid w:val="009C1CF4"/>
    <w:rsid w:val="009F02C9"/>
    <w:rsid w:val="00A30353"/>
    <w:rsid w:val="00A62D91"/>
    <w:rsid w:val="00A810F0"/>
    <w:rsid w:val="00A854D7"/>
    <w:rsid w:val="00A904EA"/>
    <w:rsid w:val="00A90D54"/>
    <w:rsid w:val="00AA113A"/>
    <w:rsid w:val="00AC3823"/>
    <w:rsid w:val="00AC7562"/>
    <w:rsid w:val="00AE323C"/>
    <w:rsid w:val="00AF774C"/>
    <w:rsid w:val="00B00181"/>
    <w:rsid w:val="00B00B0D"/>
    <w:rsid w:val="00B00FC9"/>
    <w:rsid w:val="00B40927"/>
    <w:rsid w:val="00B43C44"/>
    <w:rsid w:val="00B50E25"/>
    <w:rsid w:val="00B64918"/>
    <w:rsid w:val="00B765F7"/>
    <w:rsid w:val="00B86D91"/>
    <w:rsid w:val="00B93C4E"/>
    <w:rsid w:val="00BA0CA9"/>
    <w:rsid w:val="00C02897"/>
    <w:rsid w:val="00C1626B"/>
    <w:rsid w:val="00C66A47"/>
    <w:rsid w:val="00C7616F"/>
    <w:rsid w:val="00CB16B5"/>
    <w:rsid w:val="00CB4603"/>
    <w:rsid w:val="00CE0608"/>
    <w:rsid w:val="00D3439C"/>
    <w:rsid w:val="00D444DF"/>
    <w:rsid w:val="00D44CF3"/>
    <w:rsid w:val="00D46C8C"/>
    <w:rsid w:val="00D64CF0"/>
    <w:rsid w:val="00DA53D4"/>
    <w:rsid w:val="00DB1831"/>
    <w:rsid w:val="00DD3BFD"/>
    <w:rsid w:val="00DE239D"/>
    <w:rsid w:val="00DF431C"/>
    <w:rsid w:val="00DF6678"/>
    <w:rsid w:val="00E175C3"/>
    <w:rsid w:val="00E428C8"/>
    <w:rsid w:val="00EF15A1"/>
    <w:rsid w:val="00EF2E22"/>
    <w:rsid w:val="00F0592C"/>
    <w:rsid w:val="00F06ED4"/>
    <w:rsid w:val="00F43289"/>
    <w:rsid w:val="00F660DF"/>
    <w:rsid w:val="00F95C08"/>
    <w:rsid w:val="00FB3A6A"/>
    <w:rsid w:val="00FD1581"/>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B3189C"/>
  <w15:docId w15:val="{7B0EB00C-7F60-4530-97CD-1818F831E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CH"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E25"/>
    <w:pPr>
      <w:suppressAutoHyphens/>
      <w:kinsoku w:val="0"/>
      <w:overflowPunct w:val="0"/>
      <w:autoSpaceDE w:val="0"/>
      <w:autoSpaceDN w:val="0"/>
      <w:adjustRightInd w:val="0"/>
      <w:snapToGrid w:val="0"/>
      <w:spacing w:after="0" w:line="240" w:lineRule="atLeast"/>
    </w:pPr>
  </w:style>
  <w:style w:type="paragraph" w:styleId="Heading1">
    <w:name w:val="heading 1"/>
    <w:aliases w:val="Table_G"/>
    <w:basedOn w:val="SingleTxtG"/>
    <w:next w:val="SingleTxtG"/>
    <w:link w:val="Heading1Char"/>
    <w:qFormat/>
    <w:rsid w:val="0080684C"/>
    <w:pPr>
      <w:keepNext/>
      <w:keepLines/>
      <w:spacing w:after="0" w:line="240" w:lineRule="auto"/>
      <w:ind w:right="0"/>
      <w:jc w:val="left"/>
      <w:outlineLvl w:val="0"/>
    </w:pPr>
  </w:style>
  <w:style w:type="paragraph" w:styleId="Heading2">
    <w:name w:val="heading 2"/>
    <w:basedOn w:val="Normal"/>
    <w:next w:val="Normal"/>
    <w:link w:val="Heading2Char"/>
    <w:semiHidden/>
    <w:qFormat/>
    <w:rsid w:val="00023842"/>
    <w:pPr>
      <w:outlineLvl w:val="1"/>
    </w:pPr>
  </w:style>
  <w:style w:type="paragraph" w:styleId="Heading3">
    <w:name w:val="heading 3"/>
    <w:basedOn w:val="Normal"/>
    <w:next w:val="Normal"/>
    <w:link w:val="Heading3Char"/>
    <w:semiHidden/>
    <w:qFormat/>
    <w:rsid w:val="00023842"/>
    <w:pPr>
      <w:outlineLvl w:val="2"/>
    </w:pPr>
  </w:style>
  <w:style w:type="paragraph" w:styleId="Heading4">
    <w:name w:val="heading 4"/>
    <w:basedOn w:val="Normal"/>
    <w:next w:val="Normal"/>
    <w:link w:val="Heading4Char"/>
    <w:semiHidden/>
    <w:qFormat/>
    <w:rsid w:val="00023842"/>
    <w:pPr>
      <w:outlineLvl w:val="3"/>
    </w:pPr>
  </w:style>
  <w:style w:type="paragraph" w:styleId="Heading5">
    <w:name w:val="heading 5"/>
    <w:basedOn w:val="Normal"/>
    <w:next w:val="Normal"/>
    <w:link w:val="Heading5Char"/>
    <w:semiHidden/>
    <w:qFormat/>
    <w:rsid w:val="00023842"/>
    <w:pPr>
      <w:outlineLvl w:val="4"/>
    </w:pPr>
  </w:style>
  <w:style w:type="paragraph" w:styleId="Heading6">
    <w:name w:val="heading 6"/>
    <w:basedOn w:val="Normal"/>
    <w:next w:val="Normal"/>
    <w:link w:val="Heading6Char"/>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80684C"/>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80684C"/>
    <w:rPr>
      <w:rFonts w:ascii="Times New Roman" w:eastAsia="Times New Roman" w:hAnsi="Times New Roman" w:cs="Times New Roman"/>
      <w:b/>
      <w:sz w:val="18"/>
      <w:szCs w:val="20"/>
      <w:lang w:eastAsia="en-US"/>
    </w:rPr>
  </w:style>
  <w:style w:type="paragraph" w:styleId="Footer">
    <w:name w:val="footer"/>
    <w:aliases w:val="3_G"/>
    <w:basedOn w:val="Normal"/>
    <w:next w:val="Normal"/>
    <w:link w:val="FooterChar"/>
    <w:qFormat/>
    <w:rsid w:val="0080684C"/>
    <w:pPr>
      <w:spacing w:line="240" w:lineRule="auto"/>
    </w:pPr>
    <w:rPr>
      <w:sz w:val="16"/>
    </w:rPr>
  </w:style>
  <w:style w:type="character" w:customStyle="1" w:styleId="FooterChar">
    <w:name w:val="Footer Char"/>
    <w:aliases w:val="3_G Char"/>
    <w:basedOn w:val="DefaultParagraphFont"/>
    <w:link w:val="Footer"/>
    <w:rsid w:val="0080684C"/>
    <w:rPr>
      <w:rFonts w:ascii="Times New Roman" w:eastAsia="Times New Roman" w:hAnsi="Times New Roman" w:cs="Times New Roman"/>
      <w:sz w:val="16"/>
      <w:szCs w:val="20"/>
      <w:lang w:eastAsia="en-US"/>
    </w:rPr>
  </w:style>
  <w:style w:type="paragraph" w:customStyle="1" w:styleId="HMG">
    <w:name w:val="_ H __M_G"/>
    <w:basedOn w:val="Normal"/>
    <w:next w:val="Normal"/>
    <w:qFormat/>
    <w:rsid w:val="0080684C"/>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80684C"/>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80684C"/>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80684C"/>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80684C"/>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871C75"/>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80684C"/>
    <w:pPr>
      <w:spacing w:after="120"/>
      <w:ind w:left="1134" w:right="1134"/>
      <w:jc w:val="both"/>
    </w:pPr>
  </w:style>
  <w:style w:type="paragraph" w:customStyle="1" w:styleId="SLG">
    <w:name w:val="__S_L_G"/>
    <w:basedOn w:val="Normal"/>
    <w:next w:val="Normal"/>
    <w:rsid w:val="0080684C"/>
    <w:pPr>
      <w:keepNext/>
      <w:keepLines/>
      <w:spacing w:before="240" w:after="240" w:line="580" w:lineRule="exact"/>
      <w:ind w:left="1134" w:right="1134"/>
    </w:pPr>
    <w:rPr>
      <w:b/>
      <w:sz w:val="56"/>
    </w:rPr>
  </w:style>
  <w:style w:type="paragraph" w:customStyle="1" w:styleId="SMG">
    <w:name w:val="__S_M_G"/>
    <w:basedOn w:val="Normal"/>
    <w:next w:val="Normal"/>
    <w:rsid w:val="0080684C"/>
    <w:pPr>
      <w:keepNext/>
      <w:keepLines/>
      <w:spacing w:before="240" w:after="240" w:line="420" w:lineRule="exact"/>
      <w:ind w:left="1134" w:right="1134"/>
    </w:pPr>
    <w:rPr>
      <w:b/>
      <w:sz w:val="40"/>
    </w:rPr>
  </w:style>
  <w:style w:type="paragraph" w:customStyle="1" w:styleId="SSG">
    <w:name w:val="__S_S_G"/>
    <w:basedOn w:val="Normal"/>
    <w:next w:val="Normal"/>
    <w:rsid w:val="0080684C"/>
    <w:pPr>
      <w:keepNext/>
      <w:keepLines/>
      <w:spacing w:before="240" w:after="240" w:line="300" w:lineRule="exact"/>
      <w:ind w:left="1134" w:right="1134"/>
    </w:pPr>
    <w:rPr>
      <w:b/>
      <w:sz w:val="28"/>
    </w:rPr>
  </w:style>
  <w:style w:type="paragraph" w:customStyle="1" w:styleId="XLargeG">
    <w:name w:val="__XLarge_G"/>
    <w:basedOn w:val="Normal"/>
    <w:next w:val="Normal"/>
    <w:rsid w:val="00871C75"/>
    <w:pPr>
      <w:keepNext/>
      <w:keepLines/>
      <w:spacing w:before="240" w:after="240" w:line="420" w:lineRule="exact"/>
      <w:ind w:left="1134" w:right="1134"/>
    </w:pPr>
    <w:rPr>
      <w:b/>
      <w:sz w:val="40"/>
    </w:rPr>
  </w:style>
  <w:style w:type="paragraph" w:customStyle="1" w:styleId="Bullet1G">
    <w:name w:val="_Bullet 1_G"/>
    <w:basedOn w:val="Normal"/>
    <w:qFormat/>
    <w:rsid w:val="0080684C"/>
    <w:pPr>
      <w:numPr>
        <w:numId w:val="1"/>
      </w:numPr>
      <w:spacing w:after="120"/>
      <w:ind w:right="1134"/>
      <w:jc w:val="both"/>
    </w:pPr>
  </w:style>
  <w:style w:type="paragraph" w:customStyle="1" w:styleId="Bullet2G">
    <w:name w:val="_Bullet 2_G"/>
    <w:basedOn w:val="Normal"/>
    <w:qFormat/>
    <w:rsid w:val="0080684C"/>
    <w:pPr>
      <w:numPr>
        <w:numId w:val="2"/>
      </w:numPr>
      <w:spacing w:after="120"/>
      <w:ind w:right="1134"/>
      <w:jc w:val="both"/>
    </w:pPr>
  </w:style>
  <w:style w:type="paragraph" w:customStyle="1" w:styleId="ParNoG">
    <w:name w:val="_ParNo_G"/>
    <w:basedOn w:val="Normal"/>
    <w:qFormat/>
    <w:rsid w:val="00DF6678"/>
    <w:pPr>
      <w:numPr>
        <w:numId w:val="3"/>
      </w:numPr>
      <w:tabs>
        <w:tab w:val="clear" w:pos="1701"/>
      </w:tabs>
      <w:spacing w:after="120"/>
      <w:ind w:right="1134"/>
      <w:jc w:val="both"/>
    </w:pPr>
  </w:style>
  <w:style w:type="character" w:styleId="FootnoteReference">
    <w:name w:val="footnote reference"/>
    <w:aliases w:val="4_G,Footnote Reference/,4_GR"/>
    <w:basedOn w:val="DefaultParagraphFont"/>
    <w:qFormat/>
    <w:rsid w:val="00023842"/>
    <w:rPr>
      <w:rFonts w:ascii="Times New Roman" w:hAnsi="Times New Roman"/>
      <w:sz w:val="18"/>
      <w:vertAlign w:val="superscript"/>
      <w:lang w:val="fr-CH"/>
    </w:rPr>
  </w:style>
  <w:style w:type="character" w:styleId="EndnoteReference">
    <w:name w:val="endnote reference"/>
    <w:aliases w:val="1_G"/>
    <w:basedOn w:val="FootnoteReference"/>
    <w:qFormat/>
    <w:rsid w:val="00023842"/>
    <w:rPr>
      <w:rFonts w:ascii="Times New Roman" w:hAnsi="Times New Roman"/>
      <w:sz w:val="18"/>
      <w:vertAlign w:val="superscript"/>
      <w:lang w:val="fr-CH"/>
    </w:rPr>
  </w:style>
  <w:style w:type="table" w:styleId="TableGrid">
    <w:name w:val="Table Grid"/>
    <w:basedOn w:val="TableNormal"/>
    <w:rsid w:val="00023842"/>
    <w:pPr>
      <w:suppressAutoHyphens/>
      <w:spacing w:after="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706363"/>
    <w:rPr>
      <w:color w:val="0000FF"/>
      <w:u w:val="none"/>
    </w:rPr>
  </w:style>
  <w:style w:type="character" w:styleId="FollowedHyperlink">
    <w:name w:val="FollowedHyperlink"/>
    <w:basedOn w:val="DefaultParagraphFont"/>
    <w:unhideWhenUsed/>
    <w:rsid w:val="00706363"/>
    <w:rPr>
      <w:color w:val="0000FF"/>
      <w:u w:val="none"/>
    </w:rPr>
  </w:style>
  <w:style w:type="paragraph" w:styleId="FootnoteText">
    <w:name w:val="footnote text"/>
    <w:aliases w:val="5_G,Fußnote,Footnote Text Char Char,single space,footnote text"/>
    <w:basedOn w:val="Normal"/>
    <w:link w:val="FootnoteTextChar"/>
    <w:qFormat/>
    <w:rsid w:val="0080684C"/>
    <w:pPr>
      <w:tabs>
        <w:tab w:val="right" w:pos="1021"/>
      </w:tabs>
      <w:spacing w:line="220" w:lineRule="exact"/>
      <w:ind w:left="1134" w:right="1134" w:hanging="1134"/>
    </w:pPr>
    <w:rPr>
      <w:sz w:val="18"/>
    </w:rPr>
  </w:style>
  <w:style w:type="character" w:customStyle="1" w:styleId="FootnoteTextChar">
    <w:name w:val="Footnote Text Char"/>
    <w:aliases w:val="5_G Char,Fußnote Char,Footnote Text Char Char Char,single space Char,footnote text Char"/>
    <w:basedOn w:val="DefaultParagraphFont"/>
    <w:link w:val="FootnoteText"/>
    <w:rsid w:val="0080684C"/>
    <w:rPr>
      <w:rFonts w:ascii="Times New Roman" w:eastAsia="Times New Roman" w:hAnsi="Times New Roman" w:cs="Times New Roman"/>
      <w:sz w:val="18"/>
      <w:szCs w:val="20"/>
      <w:lang w:eastAsia="en-US"/>
    </w:rPr>
  </w:style>
  <w:style w:type="paragraph" w:styleId="EndnoteText">
    <w:name w:val="endnote text"/>
    <w:aliases w:val="2_G"/>
    <w:basedOn w:val="FootnoteText"/>
    <w:link w:val="EndnoteTextChar"/>
    <w:qFormat/>
    <w:rsid w:val="0080684C"/>
  </w:style>
  <w:style w:type="character" w:customStyle="1" w:styleId="EndnoteTextChar">
    <w:name w:val="Endnote Text Char"/>
    <w:aliases w:val="2_G Char"/>
    <w:basedOn w:val="DefaultParagraphFont"/>
    <w:link w:val="EndnoteText"/>
    <w:rsid w:val="0080684C"/>
    <w:rPr>
      <w:rFonts w:ascii="Times New Roman" w:eastAsia="Times New Roman" w:hAnsi="Times New Roman" w:cs="Times New Roman"/>
      <w:sz w:val="18"/>
      <w:szCs w:val="20"/>
      <w:lang w:eastAsia="en-US"/>
    </w:rPr>
  </w:style>
  <w:style w:type="character" w:styleId="PageNumber">
    <w:name w:val="page number"/>
    <w:aliases w:val="7_G"/>
    <w:basedOn w:val="DefaultParagraphFont"/>
    <w:qFormat/>
    <w:rsid w:val="00023842"/>
    <w:rPr>
      <w:rFonts w:ascii="Times New Roman" w:hAnsi="Times New Roman"/>
      <w:b/>
      <w:sz w:val="18"/>
      <w:lang w:val="fr-CH"/>
    </w:rPr>
  </w:style>
  <w:style w:type="character" w:customStyle="1" w:styleId="Heading1Char">
    <w:name w:val="Heading 1 Char"/>
    <w:aliases w:val="Table_G Char"/>
    <w:basedOn w:val="DefaultParagraphFont"/>
    <w:link w:val="Heading1"/>
    <w:rsid w:val="0080684C"/>
    <w:rPr>
      <w:rFonts w:ascii="Times New Roman" w:eastAsia="Times New Roman"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1433F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33FD"/>
    <w:rPr>
      <w:rFonts w:ascii="Tahoma" w:hAnsi="Tahoma" w:cs="Tahoma"/>
      <w:sz w:val="16"/>
      <w:szCs w:val="16"/>
      <w:lang w:eastAsia="en-US"/>
    </w:rPr>
  </w:style>
  <w:style w:type="character" w:customStyle="1" w:styleId="SingleTxtGChar">
    <w:name w:val="_ Single Txt_G Char"/>
    <w:link w:val="SingleTxtG"/>
    <w:qFormat/>
    <w:rsid w:val="0001207F"/>
    <w:rPr>
      <w:rFonts w:ascii="Times New Roman" w:hAnsi="Times New Roman" w:cs="Times New Roman"/>
      <w:sz w:val="20"/>
      <w:szCs w:val="20"/>
      <w:lang w:eastAsia="en-US"/>
    </w:rPr>
  </w:style>
  <w:style w:type="character" w:customStyle="1" w:styleId="HChGChar">
    <w:name w:val="_ H _Ch_G Char"/>
    <w:link w:val="HChG"/>
    <w:qFormat/>
    <w:rsid w:val="0001207F"/>
    <w:rPr>
      <w:rFonts w:ascii="Times New Roman" w:hAnsi="Times New Roman" w:cs="Times New Roman"/>
      <w:b/>
      <w:sz w:val="28"/>
      <w:szCs w:val="20"/>
      <w:lang w:eastAsia="en-US"/>
    </w:rPr>
  </w:style>
  <w:style w:type="character" w:customStyle="1" w:styleId="H1GChar">
    <w:name w:val="_ H_1_G Char"/>
    <w:link w:val="H1G"/>
    <w:qFormat/>
    <w:locked/>
    <w:rsid w:val="00CB4603"/>
    <w:rPr>
      <w:b/>
      <w:sz w:val="24"/>
    </w:rPr>
  </w:style>
  <w:style w:type="paragraph" w:styleId="Revision">
    <w:name w:val="Revision"/>
    <w:hidden/>
    <w:uiPriority w:val="99"/>
    <w:semiHidden/>
    <w:rsid w:val="00184F1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3411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wmf"/><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s\UN-Docs2017\Templates\TRANS\TRANS_WP1_24_F.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SharedWithUsers xmlns="4b4a1c0d-4a69-4996-a84a-fc699b9f49de">
      <UserInfo>
        <DisplayName>Romain Hubert</DisplayName>
        <AccountId>40</AccountId>
        <AccountType/>
      </UserInfo>
      <UserInfo>
        <DisplayName>Isabelle Porcu</DisplayName>
        <AccountId>1457</AccountId>
        <AccountType/>
      </UserInfo>
      <UserInfo>
        <DisplayName>Nadiya Dzyubynska</DisplayName>
        <AccountId>453</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398736-1864-4FA8-8D47-17A2C417AAC0}">
  <ds:schemaRefs>
    <ds:schemaRef ds:uri="http://schemas.microsoft.com/office/2006/metadata/properties"/>
    <ds:schemaRef ds:uri="http://purl.org/dc/elements/1.1/"/>
    <ds:schemaRef ds:uri="4b4a1c0d-4a69-4996-a84a-fc699b9f49de"/>
    <ds:schemaRef ds:uri="acccb6d4-dbe5-46d2-b4d3-5733603d8cc6"/>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985ec44e-1bab-4c0b-9df0-6ba128686fc9"/>
    <ds:schemaRef ds:uri="http://www.w3.org/XML/1998/namespace"/>
    <ds:schemaRef ds:uri="http://purl.org/dc/dcmitype/"/>
  </ds:schemaRefs>
</ds:datastoreItem>
</file>

<file path=customXml/itemProps2.xml><?xml version="1.0" encoding="utf-8"?>
<ds:datastoreItem xmlns:ds="http://schemas.openxmlformats.org/officeDocument/2006/customXml" ds:itemID="{6E464763-E1E1-43AD-BA0D-54B6381BF366}">
  <ds:schemaRefs>
    <ds:schemaRef ds:uri="http://schemas.microsoft.com/sharepoint/v3/contenttype/forms"/>
  </ds:schemaRefs>
</ds:datastoreItem>
</file>

<file path=customXml/itemProps3.xml><?xml version="1.0" encoding="utf-8"?>
<ds:datastoreItem xmlns:ds="http://schemas.openxmlformats.org/officeDocument/2006/customXml" ds:itemID="{F45DE8E7-DC64-48C9-BFB6-99D43B4A5A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TRANS_WP1_24_F.dotm</Template>
  <TotalTime>2</TotalTime>
  <Pages>3</Pages>
  <Words>580</Words>
  <Characters>3192</Characters>
  <Application>Microsoft Office Word</Application>
  <DocSecurity>0</DocSecurity>
  <Lines>26</Lines>
  <Paragraphs>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ECE/TRANS/WP.15/AC.1/2023/44</vt:lpstr>
      <vt:lpstr>ECE/EX/22</vt:lpstr>
    </vt:vector>
  </TitlesOfParts>
  <Company>DCM</Company>
  <LinksUpToDate>false</LinksUpToDate>
  <CharactersWithSpaces>3765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ECE/TRANS/WP.15/AC.1/2023/44</dc:title>
  <dc:subject>FINAL</dc:subject>
  <dc:creator>ND</dc:creator>
  <cp:keywords/>
  <dc:description/>
  <cp:lastModifiedBy>Isabelle Porcu</cp:lastModifiedBy>
  <cp:revision>2</cp:revision>
  <cp:lastPrinted>2014-05-14T01:59:00Z</cp:lastPrinted>
  <dcterms:created xsi:type="dcterms:W3CDTF">2023-07-11T08:03:00Z</dcterms:created>
  <dcterms:modified xsi:type="dcterms:W3CDTF">2023-07-11T08:03:00Z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y fmtid="{D5CDD505-2E9C-101B-9397-08002B2CF9AE}" pid="4" name="gba66df640194346a5267c50f24d4797">
    <vt:lpwstr/>
  </property>
  <property fmtid="{D5CDD505-2E9C-101B-9397-08002B2CF9AE}" pid="5" name="Office_x0020_of_x0020_Origin">
    <vt:lpwstr/>
  </property>
  <property fmtid="{D5CDD505-2E9C-101B-9397-08002B2CF9AE}" pid="6" name="Office of Origin">
    <vt:lpwstr/>
  </property>
</Properties>
</file>