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5FF587" w14:textId="77777777"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14:paraId="2D5B2684" w14:textId="77777777" w:rsidR="00215A1B" w:rsidRPr="00560572" w:rsidRDefault="00215A1B" w:rsidP="00F5390C">
      <w:pPr>
        <w:spacing w:before="120" w:after="0" w:line="240" w:lineRule="atLeast"/>
        <w:rPr>
          <w:sz w:val="28"/>
          <w:szCs w:val="28"/>
        </w:rPr>
      </w:pPr>
      <w:r w:rsidRPr="00560572">
        <w:rPr>
          <w:sz w:val="28"/>
          <w:szCs w:val="28"/>
        </w:rPr>
        <w:t>Inland Transport Committee</w:t>
      </w:r>
    </w:p>
    <w:p w14:paraId="1CE17411" w14:textId="311F933F"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71444A">
        <w:rPr>
          <w:b/>
          <w:szCs w:val="24"/>
        </w:rPr>
        <w:t>5</w:t>
      </w:r>
      <w:r w:rsidR="00490D08">
        <w:rPr>
          <w:b/>
          <w:szCs w:val="24"/>
        </w:rPr>
        <w:t xml:space="preserve"> September </w:t>
      </w:r>
      <w:r w:rsidR="00FA3269">
        <w:rPr>
          <w:b/>
        </w:rPr>
        <w:t>20</w:t>
      </w:r>
      <w:r w:rsidR="0073337B">
        <w:rPr>
          <w:b/>
        </w:rPr>
        <w:t>2</w:t>
      </w:r>
      <w:r w:rsidR="00234B3E">
        <w:rPr>
          <w:b/>
        </w:rPr>
        <w:t>3</w:t>
      </w:r>
    </w:p>
    <w:p w14:paraId="102E690D" w14:textId="77777777"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5F80C607" w14:textId="3085F041" w:rsidR="006643C6" w:rsidRPr="00927DAA" w:rsidRDefault="00097793" w:rsidP="00927DAA">
      <w:pPr>
        <w:rPr>
          <w:b/>
        </w:rPr>
      </w:pPr>
      <w:r w:rsidRPr="00560572">
        <w:t>Geneva</w:t>
      </w:r>
      <w:r w:rsidR="00215A1B" w:rsidRPr="00560572">
        <w:t xml:space="preserve">, </w:t>
      </w:r>
      <w:r w:rsidR="00DC584A" w:rsidRPr="00560572">
        <w:t>1</w:t>
      </w:r>
      <w:r w:rsidR="001D4A08">
        <w:t>9–27</w:t>
      </w:r>
      <w:r w:rsidRPr="00560572">
        <w:t xml:space="preserve"> </w:t>
      </w:r>
      <w:r w:rsidR="007D5759" w:rsidRPr="00560572">
        <w:t xml:space="preserve">September </w:t>
      </w:r>
      <w:r w:rsidR="00FA3269">
        <w:t>20</w:t>
      </w:r>
      <w:r w:rsidR="0073337B">
        <w:t>2</w:t>
      </w:r>
      <w:r w:rsidR="001D4A08">
        <w:t>3</w:t>
      </w:r>
      <w:r w:rsidR="00215A1B" w:rsidRPr="00560572">
        <w:br/>
      </w:r>
      <w:r w:rsidR="00215A1B" w:rsidRPr="0028203C">
        <w:t xml:space="preserve">Item </w:t>
      </w:r>
      <w:r w:rsidR="00DF1D5F">
        <w:t>3</w:t>
      </w:r>
      <w:r w:rsidR="00215A1B" w:rsidRPr="0028203C">
        <w:t xml:space="preserve"> of the provisional agenda</w:t>
      </w:r>
      <w:r w:rsidR="00AD79E9" w:rsidRPr="0028203C">
        <w:t>:</w:t>
      </w:r>
      <w:r w:rsidR="00215A1B" w:rsidRPr="00560572">
        <w:br/>
      </w:r>
      <w:r w:rsidR="008F1DF9">
        <w:rPr>
          <w:b/>
        </w:rPr>
        <w:t>Standards</w:t>
      </w:r>
    </w:p>
    <w:p w14:paraId="3CCFBC5A" w14:textId="223D46AC" w:rsidR="00B3258F" w:rsidRPr="00104A1E" w:rsidRDefault="00B3258F" w:rsidP="00B3258F">
      <w:pPr>
        <w:pStyle w:val="HChG"/>
        <w:outlineLvl w:val="0"/>
      </w:pPr>
      <w:r w:rsidRPr="00104A1E">
        <w:tab/>
      </w:r>
      <w:r w:rsidRPr="00104A1E">
        <w:tab/>
      </w:r>
      <w:r w:rsidR="007E5C2F" w:rsidRPr="004562C3">
        <w:t>Report of the Working Group on Standards</w:t>
      </w:r>
    </w:p>
    <w:p w14:paraId="08799D38" w14:textId="44A171A1" w:rsidR="00B3258F" w:rsidRPr="00104A1E" w:rsidRDefault="00B3258F" w:rsidP="00B3258F">
      <w:pPr>
        <w:pStyle w:val="H1G"/>
        <w:rPr>
          <w:b w:val="0"/>
          <w:sz w:val="18"/>
          <w:szCs w:val="18"/>
        </w:rPr>
      </w:pPr>
      <w:r w:rsidRPr="00104A1E">
        <w:tab/>
      </w:r>
      <w:r w:rsidRPr="00104A1E">
        <w:tab/>
        <w:t>Transmitted by the European Committee for Standardisation (CEN)</w:t>
      </w:r>
    </w:p>
    <w:p w14:paraId="2603F134" w14:textId="08D4F7B7" w:rsidR="00B3258F" w:rsidRDefault="001D3A42" w:rsidP="001D3A42">
      <w:pPr>
        <w:pStyle w:val="SingleTxtG"/>
      </w:pPr>
      <w:r>
        <w:t>1.</w:t>
      </w:r>
      <w:r>
        <w:tab/>
      </w:r>
      <w:r w:rsidR="00ED78E9" w:rsidRPr="004562C3">
        <w:t xml:space="preserve">The Working Group on Standards held a virtual meeting on </w:t>
      </w:r>
      <w:r w:rsidR="00ED78E9">
        <w:t>29</w:t>
      </w:r>
      <w:r w:rsidR="00ED78E9" w:rsidRPr="004562C3">
        <w:t xml:space="preserve"> </w:t>
      </w:r>
      <w:r w:rsidR="00ED78E9">
        <w:t>August</w:t>
      </w:r>
      <w:r w:rsidR="00ED78E9" w:rsidRPr="004562C3">
        <w:t xml:space="preserve"> 202</w:t>
      </w:r>
      <w:r w:rsidR="00ED78E9">
        <w:t>3</w:t>
      </w:r>
      <w:r w:rsidR="00ED78E9" w:rsidRPr="004562C3">
        <w:t xml:space="preserve"> when it reviewed the standards listed in document ECE/TRANS/WP.15/AC.1/202</w:t>
      </w:r>
      <w:r w:rsidR="00ED78E9">
        <w:t>3</w:t>
      </w:r>
      <w:r w:rsidR="00ED78E9" w:rsidRPr="004562C3">
        <w:t>/</w:t>
      </w:r>
      <w:r w:rsidR="00ED78E9">
        <w:t>34</w:t>
      </w:r>
      <w:r w:rsidR="00D27C0F">
        <w:t>.</w:t>
      </w:r>
    </w:p>
    <w:p w14:paraId="0AB03D13" w14:textId="198CD9B8" w:rsidR="003737D3" w:rsidRPr="004562C3" w:rsidRDefault="00BF2C13" w:rsidP="00BF2C13">
      <w:pPr>
        <w:pStyle w:val="H23G"/>
      </w:pPr>
      <w:r>
        <w:tab/>
      </w:r>
      <w:r>
        <w:tab/>
      </w:r>
      <w:r w:rsidR="00BA0E62">
        <w:t>2.</w:t>
      </w:r>
      <w:r w:rsidR="00BA0E62">
        <w:tab/>
      </w:r>
      <w:r w:rsidR="003737D3" w:rsidRPr="004562C3">
        <w:t>Results</w:t>
      </w:r>
    </w:p>
    <w:p w14:paraId="2623CA5C" w14:textId="67C6521E" w:rsidR="003737D3" w:rsidRPr="004562C3" w:rsidRDefault="003737D3" w:rsidP="00A36688">
      <w:pPr>
        <w:pStyle w:val="SingleTxtG"/>
        <w:ind w:left="1494"/>
      </w:pPr>
      <w:r w:rsidRPr="004562C3">
        <w:t>2.1</w:t>
      </w:r>
      <w:r w:rsidRPr="004562C3">
        <w:tab/>
        <w:t xml:space="preserve">The proposals in part 3 </w:t>
      </w:r>
      <w:r>
        <w:t>below</w:t>
      </w:r>
      <w:r w:rsidRPr="004562C3">
        <w:t xml:space="preserve"> are made based on </w:t>
      </w:r>
      <w:r>
        <w:t>informal document INF.</w:t>
      </w:r>
      <w:r w:rsidR="001741A4">
        <w:t>22</w:t>
      </w:r>
      <w:r>
        <w:t>.</w:t>
      </w:r>
    </w:p>
    <w:p w14:paraId="4616F7B3" w14:textId="77777777" w:rsidR="003737D3" w:rsidRDefault="003737D3" w:rsidP="00A36688">
      <w:pPr>
        <w:pStyle w:val="SingleTxtG"/>
        <w:ind w:left="1494"/>
      </w:pPr>
      <w:r w:rsidRPr="004562C3">
        <w:t>2.</w:t>
      </w:r>
      <w:r w:rsidRPr="00B679F5">
        <w:t>2</w:t>
      </w:r>
      <w:r w:rsidRPr="00B679F5">
        <w:tab/>
      </w:r>
      <w:r>
        <w:t>One</w:t>
      </w:r>
      <w:r w:rsidRPr="00B679F5">
        <w:t xml:space="preserve"> new standard and </w:t>
      </w:r>
      <w:r>
        <w:t>three</w:t>
      </w:r>
      <w:r w:rsidRPr="00B679F5">
        <w:t xml:space="preserve"> replacement standards are proposed for referencing. Standard</w:t>
      </w:r>
      <w:r>
        <w:t>s</w:t>
      </w:r>
      <w:r w:rsidRPr="00B679F5">
        <w:t xml:space="preserve"> not yet published show</w:t>
      </w:r>
      <w:r>
        <w:t xml:space="preserve"> their</w:t>
      </w:r>
      <w:r w:rsidRPr="00B679F5">
        <w:t xml:space="preserve"> date</w:t>
      </w:r>
      <w:r>
        <w:t>s</w:t>
      </w:r>
      <w:r w:rsidRPr="00B679F5">
        <w:t xml:space="preserve"> in square brackets.</w:t>
      </w:r>
    </w:p>
    <w:p w14:paraId="7A29646B" w14:textId="1DA5D81A" w:rsidR="003737D3" w:rsidRPr="004562C3" w:rsidRDefault="003737D3" w:rsidP="00A36688">
      <w:pPr>
        <w:pStyle w:val="SingleTxtG"/>
        <w:ind w:left="1494"/>
      </w:pPr>
      <w:r>
        <w:t>2.3</w:t>
      </w:r>
      <w:r>
        <w:tab/>
        <w:t>The Working Group confirmed the amendments adopted by the Joint Meeting in September 2022 but kept in square brackets relating to EN 14025, EN 14432 and EN 14433</w:t>
      </w:r>
      <w:r w:rsidRPr="0061204D">
        <w:t xml:space="preserve"> </w:t>
      </w:r>
      <w:r>
        <w:t xml:space="preserve">(see </w:t>
      </w:r>
      <w:r w:rsidR="003F4A0F">
        <w:t xml:space="preserve">WP.15 </w:t>
      </w:r>
      <w:r w:rsidR="00E934EC">
        <w:t xml:space="preserve">report </w:t>
      </w:r>
      <w:r>
        <w:t>ECE/TRANS/WP.15/260). Since EN 14432 and EN 14433 were published the Working Group proposed to remove the square brackets for them.</w:t>
      </w:r>
    </w:p>
    <w:p w14:paraId="23014ECB" w14:textId="77777777" w:rsidR="003F6733" w:rsidRPr="004562C3" w:rsidRDefault="003F6733" w:rsidP="00BF2C13">
      <w:pPr>
        <w:pStyle w:val="HChG"/>
      </w:pPr>
      <w:r w:rsidRPr="004562C3">
        <w:tab/>
      </w:r>
      <w:r w:rsidRPr="004562C3">
        <w:tab/>
        <w:t>Proposals</w:t>
      </w:r>
    </w:p>
    <w:p w14:paraId="043894B2" w14:textId="3EEA8ADB" w:rsidR="003F6733" w:rsidRPr="00583FD1" w:rsidRDefault="00BF2C13" w:rsidP="00A909BF">
      <w:pPr>
        <w:pStyle w:val="H23G"/>
        <w:tabs>
          <w:tab w:val="left" w:pos="1560"/>
        </w:tabs>
      </w:pPr>
      <w:r>
        <w:rPr>
          <w:bCs/>
        </w:rPr>
        <w:tab/>
      </w:r>
      <w:r>
        <w:rPr>
          <w:bCs/>
        </w:rPr>
        <w:tab/>
      </w:r>
      <w:r w:rsidR="003F6733" w:rsidRPr="009856D5">
        <w:rPr>
          <w:bCs/>
        </w:rPr>
        <w:t>3.</w:t>
      </w:r>
      <w:r w:rsidR="003F6733" w:rsidRPr="009856D5">
        <w:rPr>
          <w:bCs/>
        </w:rPr>
        <w:tab/>
      </w:r>
      <w:r w:rsidR="003F6733" w:rsidRPr="00583FD1">
        <w:rPr>
          <w:bCs/>
        </w:rPr>
        <w:t>Proposed</w:t>
      </w:r>
      <w:r w:rsidR="003F6733" w:rsidRPr="00583FD1">
        <w:t xml:space="preserve"> additions to the list of standards for reference in RID/ADR 2025</w:t>
      </w:r>
    </w:p>
    <w:p w14:paraId="09AD2711" w14:textId="77777777" w:rsidR="003F6733" w:rsidRPr="00583FD1" w:rsidRDefault="003F6733" w:rsidP="00616DF4">
      <w:pPr>
        <w:tabs>
          <w:tab w:val="left" w:pos="426"/>
          <w:tab w:val="left" w:pos="1560"/>
        </w:tabs>
        <w:spacing w:before="120" w:after="120"/>
        <w:ind w:left="1701" w:right="1134"/>
        <w:rPr>
          <w:b/>
          <w:bCs/>
          <w:u w:val="single"/>
        </w:rPr>
      </w:pPr>
      <w:r w:rsidRPr="001D3A42">
        <w:rPr>
          <w:b/>
          <w:bCs/>
        </w:rPr>
        <w:t>3.1</w:t>
      </w:r>
      <w:r w:rsidRPr="001D3A42">
        <w:rPr>
          <w:b/>
          <w:bCs/>
        </w:rPr>
        <w:tab/>
      </w:r>
      <w:r w:rsidRPr="00D32F66">
        <w:rPr>
          <w:b/>
          <w:bCs/>
        </w:rPr>
        <w:t xml:space="preserve">Draft amendment relating to standard EN ISO </w:t>
      </w:r>
      <w:r>
        <w:rPr>
          <w:b/>
          <w:bCs/>
        </w:rPr>
        <w:t>11623</w:t>
      </w:r>
      <w:r w:rsidRPr="00D32F66">
        <w:rPr>
          <w:b/>
          <w:bCs/>
        </w:rPr>
        <w:t>:202</w:t>
      </w:r>
      <w:r>
        <w:rPr>
          <w:b/>
          <w:bCs/>
        </w:rPr>
        <w:t>3</w:t>
      </w:r>
    </w:p>
    <w:p w14:paraId="52C065B5" w14:textId="77777777" w:rsidR="003F6733" w:rsidRPr="00583FD1" w:rsidRDefault="003F6733" w:rsidP="00A909BF">
      <w:pPr>
        <w:tabs>
          <w:tab w:val="left" w:pos="1560"/>
        </w:tabs>
        <w:spacing w:after="120"/>
        <w:ind w:left="1701"/>
      </w:pPr>
      <w:r w:rsidRPr="00583FD1">
        <w:t>6.2.4.</w:t>
      </w:r>
      <w:r>
        <w:t>2</w:t>
      </w:r>
      <w:r w:rsidRPr="00583FD1">
        <w:t xml:space="preserve"> Amend the table as follows:</w:t>
      </w:r>
    </w:p>
    <w:p w14:paraId="3A0AA2E0" w14:textId="77777777" w:rsidR="003F6733" w:rsidRPr="00583FD1" w:rsidRDefault="003F6733" w:rsidP="009856D5">
      <w:pPr>
        <w:pStyle w:val="SingleTxtG"/>
        <w:ind w:left="1494"/>
      </w:pPr>
      <w:r w:rsidRPr="00825381">
        <w:t xml:space="preserve">For </w:t>
      </w:r>
      <w:r w:rsidRPr="00583FD1">
        <w:t xml:space="preserve">EN ISO </w:t>
      </w:r>
      <w:r>
        <w:t>11623</w:t>
      </w:r>
      <w:r w:rsidRPr="00583FD1">
        <w:t>:201</w:t>
      </w:r>
      <w:r>
        <w:t xml:space="preserve">5 </w:t>
      </w:r>
      <w:r w:rsidRPr="00825381">
        <w:t>in column (</w:t>
      </w:r>
      <w:r>
        <w:t>3</w:t>
      </w:r>
      <w:r w:rsidRPr="00825381">
        <w:t>) replace “Until further notice” by “</w:t>
      </w:r>
      <w:r>
        <w:t>Until</w:t>
      </w:r>
      <w:r w:rsidRPr="00825381">
        <w:t xml:space="preserve"> 31 December 2026”. </w:t>
      </w:r>
      <w:r w:rsidRPr="00583FD1">
        <w:t xml:space="preserve">After the row for “EN ISO </w:t>
      </w:r>
      <w:r>
        <w:t>11623</w:t>
      </w:r>
      <w:r w:rsidRPr="00583FD1">
        <w:t>:201</w:t>
      </w:r>
      <w:r>
        <w:t>5</w:t>
      </w:r>
      <w:r w:rsidRPr="00583FD1">
        <w:t>”, insert the following new row:</w:t>
      </w:r>
    </w:p>
    <w:tbl>
      <w:tblPr>
        <w:tblStyle w:val="TableGrid"/>
        <w:tblW w:w="7370" w:type="dxa"/>
        <w:tblInd w:w="1134" w:type="dxa"/>
        <w:tblLook w:val="04A0" w:firstRow="1" w:lastRow="0" w:firstColumn="1" w:lastColumn="0" w:noHBand="0" w:noVBand="1"/>
      </w:tblPr>
      <w:tblGrid>
        <w:gridCol w:w="1501"/>
        <w:gridCol w:w="3803"/>
        <w:gridCol w:w="2066"/>
      </w:tblGrid>
      <w:tr w:rsidR="003F6733" w14:paraId="01F615CA" w14:textId="77777777" w:rsidTr="00676D49">
        <w:tc>
          <w:tcPr>
            <w:tcW w:w="1560" w:type="dxa"/>
          </w:tcPr>
          <w:p w14:paraId="45174836" w14:textId="77777777" w:rsidR="003F6733" w:rsidRPr="00287A35" w:rsidRDefault="003F6733">
            <w:pPr>
              <w:spacing w:after="120"/>
              <w:jc w:val="center"/>
            </w:pPr>
            <w:r w:rsidRPr="00287A35">
              <w:t xml:space="preserve">EN ISO </w:t>
            </w:r>
            <w:r>
              <w:t>11623</w:t>
            </w:r>
            <w:r w:rsidRPr="00287A35">
              <w:t>:202</w:t>
            </w:r>
            <w:r>
              <w:t>3</w:t>
            </w:r>
          </w:p>
        </w:tc>
        <w:tc>
          <w:tcPr>
            <w:tcW w:w="4110" w:type="dxa"/>
          </w:tcPr>
          <w:p w14:paraId="293A1B7B" w14:textId="77777777" w:rsidR="003F6733" w:rsidRPr="00287A35" w:rsidRDefault="003F6733">
            <w:pPr>
              <w:spacing w:after="0"/>
              <w:ind w:left="135"/>
            </w:pPr>
            <w:r w:rsidRPr="00287A35">
              <w:t xml:space="preserve">Gas cylinders </w:t>
            </w:r>
            <w:r>
              <w:t>–</w:t>
            </w:r>
            <w:r w:rsidRPr="00287A35">
              <w:t xml:space="preserve"> </w:t>
            </w:r>
            <w:r>
              <w:t>Composite cylinders and tubes</w:t>
            </w:r>
            <w:r w:rsidRPr="00287A35">
              <w:t xml:space="preserve"> </w:t>
            </w:r>
            <w:r>
              <w:t>–</w:t>
            </w:r>
            <w:r w:rsidRPr="00287A35">
              <w:t xml:space="preserve"> </w:t>
            </w:r>
            <w:r>
              <w:t>Periodic inspection and testing</w:t>
            </w:r>
            <w:r w:rsidRPr="00287A35">
              <w:t xml:space="preserve"> </w:t>
            </w:r>
          </w:p>
        </w:tc>
        <w:tc>
          <w:tcPr>
            <w:tcW w:w="2217" w:type="dxa"/>
          </w:tcPr>
          <w:p w14:paraId="353D0BAF" w14:textId="77777777" w:rsidR="003F6733" w:rsidRDefault="003F6733">
            <w:pPr>
              <w:ind w:left="142"/>
            </w:pPr>
            <w:r w:rsidRPr="005C3C50">
              <w:t>Until further notice</w:t>
            </w:r>
          </w:p>
        </w:tc>
      </w:tr>
    </w:tbl>
    <w:p w14:paraId="58AE985C" w14:textId="77777777" w:rsidR="003F6733" w:rsidRPr="003453FC" w:rsidRDefault="003F6733" w:rsidP="0047727F">
      <w:pPr>
        <w:tabs>
          <w:tab w:val="left" w:pos="426"/>
          <w:tab w:val="left" w:pos="2127"/>
        </w:tabs>
        <w:spacing w:before="120" w:after="120"/>
        <w:ind w:left="1701" w:right="1134"/>
        <w:rPr>
          <w:b/>
          <w:bCs/>
        </w:rPr>
      </w:pPr>
      <w:r w:rsidRPr="003453FC">
        <w:rPr>
          <w:b/>
          <w:bCs/>
        </w:rPr>
        <w:t>3.2</w:t>
      </w:r>
      <w:r w:rsidRPr="003453FC">
        <w:rPr>
          <w:b/>
          <w:bCs/>
        </w:rPr>
        <w:tab/>
        <w:t>Draft amendment relating to standard EN 14334:2023</w:t>
      </w:r>
    </w:p>
    <w:p w14:paraId="3D17E12F" w14:textId="77777777" w:rsidR="003F6733" w:rsidRPr="001F6093" w:rsidRDefault="003F6733" w:rsidP="009856D5">
      <w:pPr>
        <w:pStyle w:val="SingleTxtG"/>
        <w:ind w:left="1494"/>
      </w:pPr>
      <w:r w:rsidRPr="001F6093">
        <w:t>6.</w:t>
      </w:r>
      <w:r>
        <w:t>8.2.6.2</w:t>
      </w:r>
      <w:r w:rsidRPr="001F6093">
        <w:t xml:space="preserve"> Amend the table as follows:</w:t>
      </w:r>
    </w:p>
    <w:p w14:paraId="582697CC" w14:textId="77777777" w:rsidR="003F6733" w:rsidRPr="00825381" w:rsidRDefault="003F6733" w:rsidP="009856D5">
      <w:pPr>
        <w:pStyle w:val="SingleTxtG"/>
        <w:ind w:left="1494"/>
      </w:pPr>
      <w:bookmarkStart w:id="0" w:name="_Hlk126658302"/>
      <w:r w:rsidRPr="00825381">
        <w:t>For EN 1</w:t>
      </w:r>
      <w:r>
        <w:t>4334</w:t>
      </w:r>
      <w:r w:rsidRPr="00825381">
        <w:t>:201</w:t>
      </w:r>
      <w:r>
        <w:t>4</w:t>
      </w:r>
      <w:r w:rsidRPr="00825381">
        <w:t xml:space="preserve"> in column (4) replace “Until further notice” by “</w:t>
      </w:r>
      <w:r>
        <w:t xml:space="preserve">Until </w:t>
      </w:r>
      <w:r w:rsidRPr="00825381">
        <w:t xml:space="preserve">31 December 2026”. After the row for “EN </w:t>
      </w:r>
      <w:r>
        <w:t>14334</w:t>
      </w:r>
      <w:r w:rsidRPr="00825381">
        <w:t>:201</w:t>
      </w:r>
      <w:r>
        <w:t>4</w:t>
      </w:r>
      <w:r w:rsidRPr="00825381">
        <w:t>” insert the following new row:</w:t>
      </w:r>
    </w:p>
    <w:tbl>
      <w:tblPr>
        <w:tblStyle w:val="TableGrid"/>
        <w:tblW w:w="7370" w:type="dxa"/>
        <w:tblInd w:w="1134" w:type="dxa"/>
        <w:tblLook w:val="04A0" w:firstRow="1" w:lastRow="0" w:firstColumn="1" w:lastColumn="0" w:noHBand="0" w:noVBand="1"/>
      </w:tblPr>
      <w:tblGrid>
        <w:gridCol w:w="1338"/>
        <w:gridCol w:w="3972"/>
        <w:gridCol w:w="838"/>
        <w:gridCol w:w="1222"/>
      </w:tblGrid>
      <w:tr w:rsidR="003F6733" w14:paraId="59C7A33F" w14:textId="77777777" w:rsidTr="00676D49">
        <w:tc>
          <w:tcPr>
            <w:tcW w:w="1418" w:type="dxa"/>
          </w:tcPr>
          <w:bookmarkEnd w:id="0"/>
          <w:p w14:paraId="5B9A5123" w14:textId="77777777" w:rsidR="003F6733" w:rsidRPr="00825381" w:rsidRDefault="003F6733" w:rsidP="00676D49">
            <w:pPr>
              <w:spacing w:after="120"/>
              <w:jc w:val="center"/>
            </w:pPr>
            <w:r w:rsidRPr="00825381">
              <w:t>EN 1</w:t>
            </w:r>
            <w:r>
              <w:t>4334</w:t>
            </w:r>
            <w:r w:rsidRPr="00825381">
              <w:t>: 202</w:t>
            </w:r>
            <w:r>
              <w:t>3</w:t>
            </w:r>
          </w:p>
        </w:tc>
        <w:tc>
          <w:tcPr>
            <w:tcW w:w="4252" w:type="dxa"/>
          </w:tcPr>
          <w:p w14:paraId="4A27985C" w14:textId="77777777" w:rsidR="003F6733" w:rsidRDefault="003F6733">
            <w:pPr>
              <w:spacing w:after="0"/>
              <w:ind w:left="135" w:right="-3"/>
            </w:pPr>
            <w:r w:rsidRPr="00825381">
              <w:t xml:space="preserve">LPG equipment and </w:t>
            </w:r>
            <w:r w:rsidRPr="00752302">
              <w:t>accessories – Inspection and testing</w:t>
            </w:r>
            <w:r>
              <w:t xml:space="preserve"> of</w:t>
            </w:r>
            <w:r w:rsidRPr="00752302">
              <w:t xml:space="preserve"> LPG</w:t>
            </w:r>
            <w:r>
              <w:t xml:space="preserve"> road tankers</w:t>
            </w:r>
          </w:p>
          <w:p w14:paraId="6C0CE9CB" w14:textId="77777777" w:rsidR="003F6733" w:rsidRPr="00825381" w:rsidRDefault="003F6733">
            <w:pPr>
              <w:spacing w:after="120"/>
              <w:ind w:left="135" w:right="-3"/>
            </w:pPr>
            <w:r w:rsidRPr="00242F03">
              <w:rPr>
                <w:b/>
                <w:i/>
              </w:rPr>
              <w:t>NOTE:</w:t>
            </w:r>
            <w:r w:rsidRPr="00242F03">
              <w:rPr>
                <w:i/>
              </w:rPr>
              <w:t xml:space="preserve"> This standard shall not be applied for tanks manufactured in accordance with EN 14025</w:t>
            </w:r>
            <w:r>
              <w:t>.</w:t>
            </w:r>
          </w:p>
        </w:tc>
        <w:tc>
          <w:tcPr>
            <w:tcW w:w="851" w:type="dxa"/>
          </w:tcPr>
          <w:p w14:paraId="467211EC" w14:textId="77777777" w:rsidR="003F6733" w:rsidRPr="00825381" w:rsidRDefault="003F6733">
            <w:pPr>
              <w:jc w:val="center"/>
            </w:pPr>
            <w:r w:rsidRPr="00825381">
              <w:t>6.</w:t>
            </w:r>
            <w:r>
              <w:t>8</w:t>
            </w:r>
            <w:r w:rsidRPr="00825381">
              <w:t>.</w:t>
            </w:r>
            <w:r>
              <w:t>2</w:t>
            </w:r>
            <w:r w:rsidRPr="00825381">
              <w:t>.</w:t>
            </w:r>
            <w:r>
              <w:t>4</w:t>
            </w:r>
            <w:r w:rsidRPr="00825381">
              <w:t xml:space="preserve"> and 6.</w:t>
            </w:r>
            <w:r>
              <w:t>8</w:t>
            </w:r>
            <w:r w:rsidRPr="00825381">
              <w:t>.3.4</w:t>
            </w:r>
            <w:r>
              <w:t>.9</w:t>
            </w:r>
          </w:p>
        </w:tc>
        <w:tc>
          <w:tcPr>
            <w:tcW w:w="1276" w:type="dxa"/>
          </w:tcPr>
          <w:p w14:paraId="21266A45" w14:textId="77777777" w:rsidR="003F6733" w:rsidRDefault="003F6733">
            <w:pPr>
              <w:ind w:left="141"/>
            </w:pPr>
            <w:r w:rsidRPr="00825381">
              <w:t>Until further notice</w:t>
            </w:r>
          </w:p>
        </w:tc>
      </w:tr>
    </w:tbl>
    <w:p w14:paraId="5ACE7AFB" w14:textId="04D371F3" w:rsidR="003F6733" w:rsidRPr="003453FC" w:rsidRDefault="003453FC" w:rsidP="003453FC">
      <w:pPr>
        <w:tabs>
          <w:tab w:val="left" w:pos="426"/>
        </w:tabs>
        <w:spacing w:before="120" w:after="120"/>
        <w:ind w:left="1701" w:right="1134"/>
        <w:rPr>
          <w:b/>
          <w:bCs/>
        </w:rPr>
      </w:pPr>
      <w:r>
        <w:tab/>
      </w:r>
      <w:r w:rsidR="003F6733" w:rsidRPr="003453FC">
        <w:rPr>
          <w:b/>
          <w:bCs/>
        </w:rPr>
        <w:t>3.3</w:t>
      </w:r>
      <w:r w:rsidR="003F6733" w:rsidRPr="003453FC">
        <w:rPr>
          <w:b/>
          <w:bCs/>
        </w:rPr>
        <w:tab/>
        <w:t>Draft amendment relating to standard EN ISO 21011:2023</w:t>
      </w:r>
    </w:p>
    <w:p w14:paraId="3E50D9E2" w14:textId="77777777" w:rsidR="003F6733" w:rsidRDefault="003F6733" w:rsidP="003F6733">
      <w:pPr>
        <w:spacing w:after="120"/>
        <w:ind w:left="1701"/>
      </w:pPr>
      <w:r w:rsidRPr="001F6093">
        <w:t>6.2.4.1 Amend the table “</w:t>
      </w:r>
      <w:r w:rsidRPr="00BB7FDC">
        <w:rPr>
          <w:i/>
        </w:rPr>
        <w:t xml:space="preserve">for </w:t>
      </w:r>
      <w:r>
        <w:rPr>
          <w:i/>
        </w:rPr>
        <w:t>equipment</w:t>
      </w:r>
      <w:r w:rsidRPr="001F6093">
        <w:t>” as follows:</w:t>
      </w:r>
    </w:p>
    <w:p w14:paraId="3EC37FC1" w14:textId="77777777" w:rsidR="003F6733" w:rsidRPr="00610ADB" w:rsidRDefault="003F6733" w:rsidP="00DE2E5E">
      <w:pPr>
        <w:pStyle w:val="SingleTxtG"/>
        <w:ind w:left="1494"/>
      </w:pPr>
      <w:r>
        <w:t>For EN 1626:2008</w:t>
      </w:r>
      <w:r w:rsidRPr="00610ADB">
        <w:t xml:space="preserve"> in column (4) replace “Until further notice” by “Between 1 January 20</w:t>
      </w:r>
      <w:r>
        <w:t>15</w:t>
      </w:r>
      <w:r w:rsidRPr="00610ADB">
        <w:t xml:space="preserve"> and 31 December 202</w:t>
      </w:r>
      <w:r>
        <w:t>8</w:t>
      </w:r>
      <w:r w:rsidRPr="00610ADB">
        <w:t>”. After the row for “EN 1</w:t>
      </w:r>
      <w:r>
        <w:t>626</w:t>
      </w:r>
      <w:r w:rsidRPr="00610ADB">
        <w:t>:20</w:t>
      </w:r>
      <w:r>
        <w:t>08” insert the following new row</w:t>
      </w:r>
      <w:r w:rsidRPr="00610ADB">
        <w:t>:</w:t>
      </w:r>
    </w:p>
    <w:tbl>
      <w:tblPr>
        <w:tblStyle w:val="TableGrid"/>
        <w:tblW w:w="7370" w:type="dxa"/>
        <w:tblInd w:w="1134" w:type="dxa"/>
        <w:tblLook w:val="04A0" w:firstRow="1" w:lastRow="0" w:firstColumn="1" w:lastColumn="0" w:noHBand="0" w:noVBand="1"/>
      </w:tblPr>
      <w:tblGrid>
        <w:gridCol w:w="957"/>
        <w:gridCol w:w="4107"/>
        <w:gridCol w:w="960"/>
        <w:gridCol w:w="955"/>
        <w:gridCol w:w="391"/>
      </w:tblGrid>
      <w:tr w:rsidR="003F6733" w14:paraId="59ACD0CC" w14:textId="77777777" w:rsidTr="00714026">
        <w:tc>
          <w:tcPr>
            <w:tcW w:w="993" w:type="dxa"/>
            <w:shd w:val="clear" w:color="auto" w:fill="auto"/>
          </w:tcPr>
          <w:p w14:paraId="6D08E1FB" w14:textId="77777777" w:rsidR="003F6733" w:rsidRPr="0094692A" w:rsidRDefault="003F6733">
            <w:pPr>
              <w:spacing w:after="120"/>
              <w:jc w:val="center"/>
            </w:pPr>
            <w:bookmarkStart w:id="1" w:name="_Hlk126658985"/>
            <w:r w:rsidRPr="00C800EA">
              <w:rPr>
                <w:bCs/>
                <w:iCs/>
              </w:rPr>
              <w:t xml:space="preserve">EN </w:t>
            </w:r>
            <w:r>
              <w:rPr>
                <w:bCs/>
                <w:iCs/>
              </w:rPr>
              <w:t>ISO 21011</w:t>
            </w:r>
            <w:r w:rsidRPr="00C800EA">
              <w:t>:</w:t>
            </w:r>
            <w:r>
              <w:t xml:space="preserve"> </w:t>
            </w:r>
            <w:r w:rsidRPr="00C800EA">
              <w:t>[2023]</w:t>
            </w:r>
          </w:p>
        </w:tc>
        <w:tc>
          <w:tcPr>
            <w:tcW w:w="4394" w:type="dxa"/>
          </w:tcPr>
          <w:p w14:paraId="08D25658" w14:textId="77777777" w:rsidR="003F6733" w:rsidRPr="0094692A" w:rsidRDefault="003F6733">
            <w:pPr>
              <w:ind w:left="144"/>
              <w:rPr>
                <w:bCs/>
              </w:rPr>
            </w:pPr>
            <w:r>
              <w:rPr>
                <w:bCs/>
                <w:iCs/>
              </w:rPr>
              <w:t>Cryogenic vessels</w:t>
            </w:r>
            <w:r w:rsidRPr="0094692A">
              <w:rPr>
                <w:bCs/>
                <w:iCs/>
              </w:rPr>
              <w:t xml:space="preserve"> </w:t>
            </w:r>
            <w:r>
              <w:rPr>
                <w:bCs/>
                <w:iCs/>
              </w:rPr>
              <w:t>–</w:t>
            </w:r>
            <w:r w:rsidRPr="0094692A">
              <w:rPr>
                <w:bCs/>
                <w:iCs/>
              </w:rPr>
              <w:t xml:space="preserve"> </w:t>
            </w:r>
            <w:r>
              <w:rPr>
                <w:bCs/>
                <w:iCs/>
              </w:rPr>
              <w:t xml:space="preserve">Valves </w:t>
            </w:r>
            <w:r w:rsidRPr="0094692A">
              <w:rPr>
                <w:bCs/>
                <w:iCs/>
              </w:rPr>
              <w:t xml:space="preserve">for </w:t>
            </w:r>
            <w:r>
              <w:rPr>
                <w:bCs/>
                <w:iCs/>
              </w:rPr>
              <w:t>cryogenic service</w:t>
            </w:r>
          </w:p>
        </w:tc>
        <w:tc>
          <w:tcPr>
            <w:tcW w:w="992" w:type="dxa"/>
          </w:tcPr>
          <w:p w14:paraId="084720B3" w14:textId="77777777" w:rsidR="003F6733" w:rsidRPr="0094692A" w:rsidRDefault="003F6733">
            <w:pPr>
              <w:jc w:val="both"/>
            </w:pPr>
            <w:r>
              <w:t>6.2.3.1, 6.2.3.3 and 6.2.3.4</w:t>
            </w:r>
          </w:p>
        </w:tc>
        <w:tc>
          <w:tcPr>
            <w:tcW w:w="992" w:type="dxa"/>
          </w:tcPr>
          <w:p w14:paraId="2BBE2561" w14:textId="77777777" w:rsidR="003F6733" w:rsidRPr="0094692A" w:rsidRDefault="003F6733">
            <w:pPr>
              <w:spacing w:after="120"/>
              <w:jc w:val="center"/>
            </w:pPr>
            <w:r w:rsidRPr="0094692A">
              <w:t>Until further notice</w:t>
            </w:r>
          </w:p>
        </w:tc>
        <w:tc>
          <w:tcPr>
            <w:tcW w:w="426" w:type="dxa"/>
          </w:tcPr>
          <w:p w14:paraId="38ACD67A" w14:textId="77777777" w:rsidR="003F6733" w:rsidRDefault="003F6733"/>
        </w:tc>
      </w:tr>
    </w:tbl>
    <w:bookmarkEnd w:id="1"/>
    <w:p w14:paraId="55D31114" w14:textId="77777777" w:rsidR="003F6733" w:rsidRDefault="003F6733" w:rsidP="003F6733">
      <w:pPr>
        <w:spacing w:before="120" w:after="120"/>
        <w:ind w:left="1701"/>
      </w:pPr>
      <w:r>
        <w:tab/>
        <w:t>6.8.2.6.1 Amend the table “</w:t>
      </w:r>
      <w:r w:rsidRPr="0082502D">
        <w:rPr>
          <w:i/>
        </w:rPr>
        <w:t>For equipment</w:t>
      </w:r>
      <w:r>
        <w:t>” as follows:</w:t>
      </w:r>
    </w:p>
    <w:p w14:paraId="1D43067B" w14:textId="77777777" w:rsidR="003F6733" w:rsidRPr="00610ADB" w:rsidRDefault="003F6733" w:rsidP="003F6733">
      <w:pPr>
        <w:spacing w:after="120"/>
        <w:ind w:left="1701" w:right="850"/>
      </w:pPr>
      <w:r>
        <w:t>For EN 1626:2008</w:t>
      </w:r>
      <w:r w:rsidRPr="00610ADB">
        <w:t xml:space="preserve"> in column (4) replace “Until further notice” by “Between 1 January 20</w:t>
      </w:r>
      <w:r>
        <w:t>15</w:t>
      </w:r>
      <w:r w:rsidRPr="00610ADB">
        <w:t xml:space="preserve"> and 31 December 202</w:t>
      </w:r>
      <w:r>
        <w:t>8</w:t>
      </w:r>
      <w:r w:rsidRPr="00610ADB">
        <w:t>”. After the row for “EN 1</w:t>
      </w:r>
      <w:r>
        <w:t>626</w:t>
      </w:r>
      <w:r w:rsidRPr="00610ADB">
        <w:t>:20</w:t>
      </w:r>
      <w:r>
        <w:t>08</w:t>
      </w:r>
      <w:r w:rsidRPr="00610ADB">
        <w:t>” insert the following new row:</w:t>
      </w:r>
    </w:p>
    <w:tbl>
      <w:tblPr>
        <w:tblStyle w:val="TableGrid"/>
        <w:tblW w:w="7370" w:type="dxa"/>
        <w:tblInd w:w="1134" w:type="dxa"/>
        <w:tblLook w:val="04A0" w:firstRow="1" w:lastRow="0" w:firstColumn="1" w:lastColumn="0" w:noHBand="0" w:noVBand="1"/>
      </w:tblPr>
      <w:tblGrid>
        <w:gridCol w:w="956"/>
        <w:gridCol w:w="4098"/>
        <w:gridCol w:w="972"/>
        <w:gridCol w:w="954"/>
        <w:gridCol w:w="390"/>
      </w:tblGrid>
      <w:tr w:rsidR="003F6733" w14:paraId="13C351BC" w14:textId="77777777" w:rsidTr="009809A4">
        <w:tc>
          <w:tcPr>
            <w:tcW w:w="993" w:type="dxa"/>
          </w:tcPr>
          <w:p w14:paraId="2F5C6AD6" w14:textId="77777777" w:rsidR="003F6733" w:rsidRPr="0094692A" w:rsidRDefault="003F6733">
            <w:pPr>
              <w:spacing w:after="120"/>
              <w:jc w:val="center"/>
            </w:pPr>
            <w:r w:rsidRPr="00C800EA">
              <w:rPr>
                <w:bCs/>
                <w:iCs/>
              </w:rPr>
              <w:t xml:space="preserve">EN </w:t>
            </w:r>
            <w:r>
              <w:rPr>
                <w:bCs/>
                <w:iCs/>
              </w:rPr>
              <w:t>ISO 21011</w:t>
            </w:r>
            <w:r w:rsidRPr="00C800EA">
              <w:t>:</w:t>
            </w:r>
            <w:r>
              <w:t xml:space="preserve"> </w:t>
            </w:r>
            <w:r w:rsidRPr="00C800EA">
              <w:t>[2023]</w:t>
            </w:r>
          </w:p>
        </w:tc>
        <w:tc>
          <w:tcPr>
            <w:tcW w:w="4394" w:type="dxa"/>
          </w:tcPr>
          <w:p w14:paraId="077B5888" w14:textId="77777777" w:rsidR="003F6733" w:rsidRPr="004B2B39" w:rsidRDefault="003F6733">
            <w:pPr>
              <w:ind w:left="144"/>
              <w:rPr>
                <w:bCs/>
                <w:iCs/>
              </w:rPr>
            </w:pPr>
            <w:r>
              <w:rPr>
                <w:bCs/>
                <w:iCs/>
              </w:rPr>
              <w:t>Cryogenic vessels</w:t>
            </w:r>
            <w:r w:rsidRPr="0094692A">
              <w:rPr>
                <w:bCs/>
                <w:iCs/>
              </w:rPr>
              <w:t xml:space="preserve"> </w:t>
            </w:r>
            <w:r>
              <w:rPr>
                <w:bCs/>
                <w:iCs/>
              </w:rPr>
              <w:t>–</w:t>
            </w:r>
            <w:r w:rsidRPr="0094692A">
              <w:rPr>
                <w:bCs/>
                <w:iCs/>
              </w:rPr>
              <w:t xml:space="preserve"> </w:t>
            </w:r>
            <w:r>
              <w:rPr>
                <w:bCs/>
                <w:iCs/>
              </w:rPr>
              <w:t xml:space="preserve">Valves </w:t>
            </w:r>
            <w:r w:rsidRPr="0094692A">
              <w:rPr>
                <w:bCs/>
                <w:iCs/>
              </w:rPr>
              <w:t xml:space="preserve">for </w:t>
            </w:r>
            <w:r>
              <w:rPr>
                <w:bCs/>
                <w:iCs/>
              </w:rPr>
              <w:t>cryogenic service</w:t>
            </w:r>
          </w:p>
        </w:tc>
        <w:tc>
          <w:tcPr>
            <w:tcW w:w="992" w:type="dxa"/>
          </w:tcPr>
          <w:p w14:paraId="22000325" w14:textId="77777777" w:rsidR="003F6733" w:rsidRPr="0094692A" w:rsidRDefault="003F6733">
            <w:pPr>
              <w:jc w:val="both"/>
            </w:pPr>
            <w:r w:rsidRPr="009405D3">
              <w:t>6.8.2.2.1</w:t>
            </w:r>
            <w:r>
              <w:t>,</w:t>
            </w:r>
            <w:r w:rsidRPr="007C7EEF">
              <w:t xml:space="preserve"> </w:t>
            </w:r>
            <w:r w:rsidRPr="009405D3">
              <w:t xml:space="preserve">6.8.2.4 </w:t>
            </w:r>
            <w:r w:rsidRPr="007C7EEF">
              <w:t>and</w:t>
            </w:r>
            <w:r w:rsidRPr="009405D3">
              <w:t xml:space="preserve"> 6.8.3.4</w:t>
            </w:r>
          </w:p>
        </w:tc>
        <w:tc>
          <w:tcPr>
            <w:tcW w:w="992" w:type="dxa"/>
          </w:tcPr>
          <w:p w14:paraId="75855C95" w14:textId="77777777" w:rsidR="003F6733" w:rsidRPr="0094692A" w:rsidRDefault="003F6733">
            <w:pPr>
              <w:spacing w:after="120"/>
              <w:jc w:val="center"/>
            </w:pPr>
            <w:r w:rsidRPr="0094692A">
              <w:t>Until further notice</w:t>
            </w:r>
          </w:p>
        </w:tc>
        <w:tc>
          <w:tcPr>
            <w:tcW w:w="426" w:type="dxa"/>
          </w:tcPr>
          <w:p w14:paraId="183DBE89" w14:textId="77777777" w:rsidR="003F6733" w:rsidRDefault="003F6733"/>
        </w:tc>
      </w:tr>
    </w:tbl>
    <w:p w14:paraId="4723431B" w14:textId="05352F1A" w:rsidR="003F6733" w:rsidRPr="003453FC" w:rsidRDefault="003453FC" w:rsidP="003453FC">
      <w:pPr>
        <w:tabs>
          <w:tab w:val="left" w:pos="426"/>
        </w:tabs>
        <w:spacing w:before="120" w:after="120"/>
        <w:ind w:left="1701" w:right="1134"/>
        <w:rPr>
          <w:b/>
          <w:bCs/>
        </w:rPr>
      </w:pPr>
      <w:r>
        <w:tab/>
      </w:r>
      <w:r w:rsidR="003F6733" w:rsidRPr="003453FC">
        <w:rPr>
          <w:b/>
          <w:bCs/>
        </w:rPr>
        <w:t>3.4</w:t>
      </w:r>
      <w:r w:rsidR="003F6733" w:rsidRPr="003453FC">
        <w:rPr>
          <w:b/>
          <w:bCs/>
        </w:rPr>
        <w:tab/>
        <w:t>Draft amendment relating to standard EN ISO 11114-1:2020 + A1:[2023]</w:t>
      </w:r>
    </w:p>
    <w:p w14:paraId="2ED24A49" w14:textId="77777777" w:rsidR="003F6733" w:rsidRPr="00947C0C" w:rsidRDefault="003F6733" w:rsidP="00DE2E5E">
      <w:pPr>
        <w:spacing w:after="120"/>
        <w:ind w:left="1701" w:right="1134"/>
      </w:pPr>
      <w:r>
        <w:t>4.1.4.1, P200</w:t>
      </w:r>
      <w:r>
        <w:tab/>
        <w:t xml:space="preserve"> In</w:t>
      </w:r>
      <w:r w:rsidRPr="00947C0C">
        <w:t xml:space="preserve"> (13), 2.4, replace “EN ISO 11114-1:2020” by “EN ISO 11114-1:2020</w:t>
      </w:r>
      <w:r>
        <w:t xml:space="preserve"> + A1:</w:t>
      </w:r>
      <w:r w:rsidRPr="00C800EA">
        <w:t>[2023]</w:t>
      </w:r>
      <w:r w:rsidRPr="00947C0C">
        <w:t>”.</w:t>
      </w:r>
    </w:p>
    <w:p w14:paraId="5478A670" w14:textId="77777777" w:rsidR="003F6733" w:rsidRDefault="003F6733" w:rsidP="003F6733">
      <w:pPr>
        <w:spacing w:after="120"/>
        <w:ind w:left="1701" w:right="850"/>
      </w:pPr>
      <w:r>
        <w:t xml:space="preserve">4.1.6.15 In Table 4.1.6.15.1 for 4.1.6.2, </w:t>
      </w:r>
      <w:r w:rsidRPr="00947C0C">
        <w:t>replace “EN ISO 11114-1:2020” by “EN ISO 11114-1:2020</w:t>
      </w:r>
      <w:r>
        <w:t xml:space="preserve"> + A1:</w:t>
      </w:r>
      <w:r w:rsidRPr="00C800EA">
        <w:t>[2023]</w:t>
      </w:r>
      <w:r w:rsidRPr="00947C0C">
        <w:t>”.</w:t>
      </w:r>
    </w:p>
    <w:p w14:paraId="33960150" w14:textId="73EF92E7" w:rsidR="003F6733" w:rsidRPr="00CC5B1E" w:rsidRDefault="00087A1A" w:rsidP="00087A1A">
      <w:pPr>
        <w:pStyle w:val="H23G"/>
        <w:rPr>
          <w:u w:val="single"/>
        </w:rPr>
      </w:pPr>
      <w:r>
        <w:rPr>
          <w:bCs/>
        </w:rPr>
        <w:tab/>
      </w:r>
      <w:r>
        <w:rPr>
          <w:bCs/>
        </w:rPr>
        <w:tab/>
      </w:r>
      <w:r w:rsidR="003F6733" w:rsidRPr="00DE2E5E">
        <w:rPr>
          <w:bCs/>
        </w:rPr>
        <w:t>4.</w:t>
      </w:r>
      <w:r w:rsidR="003F6733" w:rsidRPr="00DE2E5E">
        <w:rPr>
          <w:bCs/>
        </w:rPr>
        <w:tab/>
      </w:r>
      <w:r w:rsidR="003F6733" w:rsidRPr="00CC5B1E">
        <w:t>Information regarding standards referenced in RID</w:t>
      </w:r>
      <w:r w:rsidR="003F6733" w:rsidRPr="00CC5B1E">
        <w:rPr>
          <w:u w:val="single"/>
        </w:rPr>
        <w:t xml:space="preserve"> </w:t>
      </w:r>
    </w:p>
    <w:p w14:paraId="1CBD1FC0" w14:textId="77777777" w:rsidR="003F6733" w:rsidRDefault="003F6733" w:rsidP="00087A1A">
      <w:pPr>
        <w:pStyle w:val="SingleTxtG"/>
      </w:pPr>
      <w:r>
        <w:t xml:space="preserve">In May 2023, CEN communicated to the Joint Meeting secretariats an updated list of the latest versions of </w:t>
      </w:r>
      <w:r w:rsidRPr="00C800EA">
        <w:t xml:space="preserve">standards </w:t>
      </w:r>
      <w:r>
        <w:t>to be cited</w:t>
      </w:r>
      <w:r w:rsidRPr="00C800EA">
        <w:t xml:space="preserve"> in RID.</w:t>
      </w:r>
    </w:p>
    <w:p w14:paraId="1E77B961" w14:textId="467EE9B7" w:rsidR="003F6733" w:rsidRPr="00476264" w:rsidRDefault="00087A1A" w:rsidP="00087A1A">
      <w:pPr>
        <w:pStyle w:val="H23G"/>
      </w:pPr>
      <w:r>
        <w:rPr>
          <w:bCs/>
        </w:rPr>
        <w:tab/>
      </w:r>
      <w:r>
        <w:rPr>
          <w:bCs/>
        </w:rPr>
        <w:tab/>
      </w:r>
      <w:r w:rsidR="003F6733" w:rsidRPr="00DE2E5E">
        <w:rPr>
          <w:bCs/>
        </w:rPr>
        <w:t>5.</w:t>
      </w:r>
      <w:r w:rsidR="003F6733" w:rsidRPr="00DE2E5E">
        <w:rPr>
          <w:bCs/>
        </w:rPr>
        <w:tab/>
      </w:r>
      <w:r w:rsidR="003F6733" w:rsidRPr="00476264">
        <w:t xml:space="preserve">RID/ADR 6.8.3.6 – Requirements for battery-wagons/ battery-vehicles and multiple-element gas containers which are designed, constructed, inspected and tested according to referenced standards </w:t>
      </w:r>
    </w:p>
    <w:p w14:paraId="720F93A7" w14:textId="77777777" w:rsidR="003F6733" w:rsidRPr="00087A1A" w:rsidRDefault="003F6733" w:rsidP="00087A1A">
      <w:pPr>
        <w:pStyle w:val="SingleTxtG"/>
      </w:pPr>
      <w:r w:rsidRPr="00087A1A">
        <w:t>This concerns that the standard that is referenced in RID/ADR for ball valves, (EN ISO 23826) but not referenced in the standard for battery vehicles/MEGCs (EN 13807) may be used in the construction of a battery-vehicle or an MEGC.</w:t>
      </w:r>
    </w:p>
    <w:p w14:paraId="5AA07091" w14:textId="4F86216B" w:rsidR="003F6733" w:rsidRPr="00087A1A" w:rsidRDefault="003F6733" w:rsidP="00087A1A">
      <w:pPr>
        <w:pStyle w:val="SingleTxtG"/>
      </w:pPr>
      <w:r w:rsidRPr="00087A1A">
        <w:t xml:space="preserve">ECMA/EIGA submitted document ECE/TRANS/WP.15/AC.1/2023/33 and France submitted document ECE/TRANS/WP.15/AC.1/2023/52 </w:t>
      </w:r>
      <w:r w:rsidR="001F1130">
        <w:t>on</w:t>
      </w:r>
      <w:r w:rsidRPr="00087A1A">
        <w:t xml:space="preserve"> this matter. </w:t>
      </w:r>
    </w:p>
    <w:p w14:paraId="580B511A" w14:textId="77777777" w:rsidR="003F6733" w:rsidRPr="00D07FCA" w:rsidRDefault="003F6733" w:rsidP="003F6733">
      <w:pPr>
        <w:pStyle w:val="SingleTxtG"/>
        <w:spacing w:before="240" w:after="0"/>
        <w:rPr>
          <w:bCs/>
        </w:rPr>
      </w:pPr>
      <w:r>
        <w:rPr>
          <w:bCs/>
        </w:rPr>
        <w:t xml:space="preserve">The proposal in </w:t>
      </w:r>
      <w:r w:rsidRPr="00BB411D">
        <w:rPr>
          <w:bCs/>
        </w:rPr>
        <w:t xml:space="preserve">ECE/TRANS/WP.15/AC.1/2023/33 </w:t>
      </w:r>
      <w:r>
        <w:rPr>
          <w:bCs/>
        </w:rPr>
        <w:t xml:space="preserve">is to add a note to the standard for </w:t>
      </w:r>
      <w:r w:rsidRPr="00BB411D">
        <w:rPr>
          <w:bCs/>
        </w:rPr>
        <w:t>battery-wagons/ battery-vehicles and multiple-element gas containers</w:t>
      </w:r>
      <w:r>
        <w:rPr>
          <w:bCs/>
        </w:rPr>
        <w:t xml:space="preserve">. This note is intended to clarify the situation until EN 13807, </w:t>
      </w:r>
      <w:r w:rsidRPr="00273886">
        <w:rPr>
          <w:bCs/>
          <w:i/>
          <w:iCs/>
        </w:rPr>
        <w:t xml:space="preserve">Transportable gas cylinders – </w:t>
      </w:r>
      <w:r>
        <w:rPr>
          <w:bCs/>
          <w:i/>
          <w:iCs/>
        </w:rPr>
        <w:t>B</w:t>
      </w:r>
      <w:r w:rsidRPr="00273886">
        <w:rPr>
          <w:bCs/>
          <w:i/>
          <w:iCs/>
        </w:rPr>
        <w:t>attery vehicles and multiple element gas containers (MEGCs) – Design, manufacture, identification and testing</w:t>
      </w:r>
      <w:r>
        <w:rPr>
          <w:bCs/>
          <w:i/>
          <w:iCs/>
        </w:rPr>
        <w:t xml:space="preserve"> </w:t>
      </w:r>
      <w:r>
        <w:rPr>
          <w:bCs/>
        </w:rPr>
        <w:t xml:space="preserve">is revised and the revision will incorporate </w:t>
      </w:r>
      <w:r w:rsidRPr="00E525E2">
        <w:rPr>
          <w:bCs/>
        </w:rPr>
        <w:t>EN ISO 23826</w:t>
      </w:r>
      <w:r>
        <w:rPr>
          <w:bCs/>
        </w:rPr>
        <w:t>.</w:t>
      </w:r>
    </w:p>
    <w:p w14:paraId="453337E6" w14:textId="77777777" w:rsidR="003F6733" w:rsidRDefault="003F6733" w:rsidP="003F6733">
      <w:pPr>
        <w:pStyle w:val="SingleTxtG"/>
        <w:spacing w:before="240" w:after="0"/>
        <w:rPr>
          <w:bCs/>
        </w:rPr>
      </w:pPr>
      <w:r>
        <w:rPr>
          <w:bCs/>
        </w:rPr>
        <w:t>The Working Group on Standards discussed these documents and considered that rather than a note, the Joint Meeting is requested to confirm in the report of the meeting that b</w:t>
      </w:r>
      <w:r w:rsidRPr="005245AF">
        <w:rPr>
          <w:bCs/>
        </w:rPr>
        <w:t>all valves according to EN ISO 23826 can be fitted on battery-wagons/vehicles</w:t>
      </w:r>
      <w:r w:rsidRPr="00D42162">
        <w:rPr>
          <w:bCs/>
        </w:rPr>
        <w:t xml:space="preserve"> </w:t>
      </w:r>
      <w:r>
        <w:rPr>
          <w:bCs/>
        </w:rPr>
        <w:t xml:space="preserve">or </w:t>
      </w:r>
      <w:r w:rsidRPr="005245AF">
        <w:rPr>
          <w:bCs/>
        </w:rPr>
        <w:t>M</w:t>
      </w:r>
      <w:r>
        <w:rPr>
          <w:bCs/>
        </w:rPr>
        <w:t>EG</w:t>
      </w:r>
      <w:r w:rsidRPr="005245AF">
        <w:rPr>
          <w:bCs/>
        </w:rPr>
        <w:t>Cs</w:t>
      </w:r>
      <w:r>
        <w:rPr>
          <w:bCs/>
        </w:rPr>
        <w:t>.</w:t>
      </w:r>
    </w:p>
    <w:p w14:paraId="58F44A25" w14:textId="77777777" w:rsidR="003F6733" w:rsidRDefault="003F6733" w:rsidP="003F6733">
      <w:pPr>
        <w:pStyle w:val="SingleTxtG"/>
        <w:spacing w:before="240" w:after="0"/>
        <w:rPr>
          <w:bCs/>
        </w:rPr>
      </w:pPr>
      <w:r>
        <w:rPr>
          <w:bCs/>
        </w:rPr>
        <w:t>This opinion has been communicated to the Chair of the Working Group on Tanks.</w:t>
      </w:r>
    </w:p>
    <w:p w14:paraId="2ECD543F" w14:textId="77324BE4" w:rsidR="003F6733" w:rsidRDefault="00087A1A" w:rsidP="00087A1A">
      <w:pPr>
        <w:pStyle w:val="H23G"/>
      </w:pPr>
      <w:r>
        <w:rPr>
          <w:bCs/>
        </w:rPr>
        <w:tab/>
      </w:r>
      <w:r w:rsidR="003F6733" w:rsidRPr="00DE2E5E">
        <w:rPr>
          <w:bCs/>
        </w:rPr>
        <w:t>6.</w:t>
      </w:r>
      <w:r>
        <w:rPr>
          <w:bCs/>
        </w:rPr>
        <w:tab/>
      </w:r>
      <w:r w:rsidR="003F6733" w:rsidRPr="00DE2E5E">
        <w:rPr>
          <w:bCs/>
        </w:rPr>
        <w:tab/>
      </w:r>
      <w:r w:rsidR="003F6733" w:rsidRPr="009405D3">
        <w:t xml:space="preserve">Column </w:t>
      </w:r>
      <w:r w:rsidR="003F6733">
        <w:t>(</w:t>
      </w:r>
      <w:r w:rsidR="003F6733" w:rsidRPr="009405D3">
        <w:t>3</w:t>
      </w:r>
      <w:r w:rsidR="003F6733">
        <w:t>)</w:t>
      </w:r>
      <w:r w:rsidR="003F6733" w:rsidRPr="009405D3">
        <w:t xml:space="preserve"> in tables in Chapter 6.2 and Chapter 6.8</w:t>
      </w:r>
    </w:p>
    <w:p w14:paraId="43D8C0F3" w14:textId="6E7BC294" w:rsidR="008F1007" w:rsidRDefault="003F6733" w:rsidP="00AA4A73">
      <w:pPr>
        <w:pStyle w:val="SingleTxtG"/>
      </w:pPr>
      <w:r>
        <w:t>Within Chapter 6.2 and Chapter 6.8 in the tables for standards there are five columns.</w:t>
      </w:r>
    </w:p>
    <w:tbl>
      <w:tblPr>
        <w:tblStyle w:val="TableGrid"/>
        <w:tblW w:w="0" w:type="auto"/>
        <w:jc w:val="center"/>
        <w:tblLook w:val="04A0" w:firstRow="1" w:lastRow="0" w:firstColumn="1" w:lastColumn="0" w:noHBand="0" w:noVBand="1"/>
      </w:tblPr>
      <w:tblGrid>
        <w:gridCol w:w="1135"/>
        <w:gridCol w:w="1417"/>
        <w:gridCol w:w="1843"/>
        <w:gridCol w:w="1984"/>
        <w:gridCol w:w="2410"/>
      </w:tblGrid>
      <w:tr w:rsidR="00804C00" w14:paraId="14BC43F1" w14:textId="77777777" w:rsidTr="00025DA7">
        <w:trPr>
          <w:jc w:val="center"/>
        </w:trPr>
        <w:tc>
          <w:tcPr>
            <w:tcW w:w="1135" w:type="dxa"/>
          </w:tcPr>
          <w:p w14:paraId="5BCDDC10" w14:textId="392D8CAE" w:rsidR="00804C00" w:rsidRDefault="00804C00" w:rsidP="003E444E">
            <w:pPr>
              <w:pStyle w:val="SingleTxtG"/>
              <w:ind w:left="104" w:right="71"/>
              <w:jc w:val="center"/>
            </w:pPr>
            <w:r w:rsidRPr="000016F1">
              <w:rPr>
                <w:bCs/>
                <w:sz w:val="18"/>
                <w:szCs w:val="18"/>
              </w:rPr>
              <w:t>Reference</w:t>
            </w:r>
          </w:p>
        </w:tc>
        <w:tc>
          <w:tcPr>
            <w:tcW w:w="1417" w:type="dxa"/>
          </w:tcPr>
          <w:p w14:paraId="03803326" w14:textId="348730CF" w:rsidR="00804C00" w:rsidRDefault="00804C00" w:rsidP="00804C00">
            <w:pPr>
              <w:pStyle w:val="SingleTxtG"/>
              <w:ind w:left="0" w:right="141"/>
              <w:jc w:val="center"/>
            </w:pPr>
            <w:r w:rsidRPr="000016F1">
              <w:rPr>
                <w:bCs/>
                <w:sz w:val="18"/>
                <w:szCs w:val="18"/>
              </w:rPr>
              <w:t>Title of document</w:t>
            </w:r>
          </w:p>
        </w:tc>
        <w:tc>
          <w:tcPr>
            <w:tcW w:w="1843" w:type="dxa"/>
          </w:tcPr>
          <w:p w14:paraId="6836EA68" w14:textId="01116209" w:rsidR="00804C00" w:rsidRDefault="00804C00" w:rsidP="00804C00">
            <w:pPr>
              <w:pStyle w:val="SingleTxtG"/>
              <w:ind w:left="0" w:right="136"/>
              <w:jc w:val="center"/>
            </w:pPr>
            <w:r>
              <w:rPr>
                <w:bCs/>
                <w:sz w:val="18"/>
                <w:szCs w:val="18"/>
              </w:rPr>
              <w:t>Requirements the standards comply with</w:t>
            </w:r>
          </w:p>
        </w:tc>
        <w:tc>
          <w:tcPr>
            <w:tcW w:w="1984" w:type="dxa"/>
          </w:tcPr>
          <w:p w14:paraId="1DCB7B10" w14:textId="5F1CFD16" w:rsidR="00804C00" w:rsidRDefault="00804C00" w:rsidP="00804C00">
            <w:pPr>
              <w:pStyle w:val="SingleTxtG"/>
              <w:ind w:left="0" w:right="74"/>
              <w:jc w:val="center"/>
            </w:pPr>
            <w:r w:rsidRPr="000016F1">
              <w:rPr>
                <w:sz w:val="18"/>
                <w:szCs w:val="18"/>
              </w:rPr>
              <w:t>Applicable for new type approvals or for renewals</w:t>
            </w:r>
          </w:p>
        </w:tc>
        <w:tc>
          <w:tcPr>
            <w:tcW w:w="2410" w:type="dxa"/>
          </w:tcPr>
          <w:p w14:paraId="223CE224" w14:textId="316B1703" w:rsidR="00804C00" w:rsidRDefault="00804C00" w:rsidP="007F488F">
            <w:pPr>
              <w:pStyle w:val="SingleTxtG"/>
              <w:tabs>
                <w:tab w:val="left" w:pos="817"/>
              </w:tabs>
              <w:ind w:left="0" w:right="0"/>
              <w:jc w:val="center"/>
            </w:pPr>
            <w:r w:rsidRPr="000016F1">
              <w:rPr>
                <w:rFonts w:eastAsia="Batang"/>
                <w:sz w:val="18"/>
                <w:szCs w:val="18"/>
              </w:rPr>
              <w:t>Latest date for withdrawal of existing type approvals</w:t>
            </w:r>
          </w:p>
        </w:tc>
      </w:tr>
      <w:tr w:rsidR="00804C00" w14:paraId="11DB7BF3" w14:textId="77777777" w:rsidTr="00025DA7">
        <w:trPr>
          <w:jc w:val="center"/>
        </w:trPr>
        <w:tc>
          <w:tcPr>
            <w:tcW w:w="1135" w:type="dxa"/>
          </w:tcPr>
          <w:p w14:paraId="15872542" w14:textId="1F0F49D5" w:rsidR="00804C00" w:rsidRDefault="00804C00" w:rsidP="00804C00">
            <w:pPr>
              <w:pStyle w:val="SingleTxtG"/>
              <w:ind w:left="0" w:right="278"/>
              <w:jc w:val="center"/>
            </w:pPr>
            <w:r w:rsidRPr="000016F1">
              <w:rPr>
                <w:bCs/>
                <w:caps/>
                <w:sz w:val="18"/>
                <w:szCs w:val="18"/>
              </w:rPr>
              <w:t>(1)</w:t>
            </w:r>
          </w:p>
        </w:tc>
        <w:tc>
          <w:tcPr>
            <w:tcW w:w="1417" w:type="dxa"/>
          </w:tcPr>
          <w:p w14:paraId="7CAD0AFF" w14:textId="798F64EF" w:rsidR="00804C00" w:rsidRDefault="00804C00" w:rsidP="003E444E">
            <w:pPr>
              <w:pStyle w:val="SingleTxtG"/>
              <w:ind w:left="0" w:right="138"/>
              <w:jc w:val="center"/>
            </w:pPr>
            <w:r w:rsidRPr="000016F1">
              <w:rPr>
                <w:bCs/>
                <w:caps/>
                <w:sz w:val="18"/>
                <w:szCs w:val="18"/>
              </w:rPr>
              <w:t>(</w:t>
            </w:r>
            <w:r w:rsidR="007F488F">
              <w:rPr>
                <w:bCs/>
                <w:caps/>
                <w:sz w:val="18"/>
                <w:szCs w:val="18"/>
              </w:rPr>
              <w:t>2</w:t>
            </w:r>
            <w:r w:rsidRPr="000016F1">
              <w:rPr>
                <w:bCs/>
                <w:caps/>
                <w:sz w:val="18"/>
                <w:szCs w:val="18"/>
              </w:rPr>
              <w:t>)</w:t>
            </w:r>
          </w:p>
        </w:tc>
        <w:tc>
          <w:tcPr>
            <w:tcW w:w="1843" w:type="dxa"/>
          </w:tcPr>
          <w:p w14:paraId="158BD76B" w14:textId="2575AC80" w:rsidR="00804C00" w:rsidRDefault="00804C00" w:rsidP="003E444E">
            <w:pPr>
              <w:pStyle w:val="SingleTxtG"/>
              <w:ind w:left="0" w:right="143"/>
              <w:jc w:val="center"/>
            </w:pPr>
            <w:r w:rsidRPr="000016F1">
              <w:rPr>
                <w:bCs/>
                <w:caps/>
                <w:sz w:val="18"/>
                <w:szCs w:val="18"/>
              </w:rPr>
              <w:t>(</w:t>
            </w:r>
            <w:r w:rsidR="007F488F">
              <w:rPr>
                <w:bCs/>
                <w:caps/>
                <w:sz w:val="18"/>
                <w:szCs w:val="18"/>
              </w:rPr>
              <w:t>3</w:t>
            </w:r>
            <w:r w:rsidRPr="000016F1">
              <w:rPr>
                <w:bCs/>
                <w:caps/>
                <w:sz w:val="18"/>
                <w:szCs w:val="18"/>
              </w:rPr>
              <w:t>)</w:t>
            </w:r>
          </w:p>
        </w:tc>
        <w:tc>
          <w:tcPr>
            <w:tcW w:w="1984" w:type="dxa"/>
          </w:tcPr>
          <w:p w14:paraId="30D3E43C" w14:textId="52C300FE" w:rsidR="00804C00" w:rsidRDefault="00804C00" w:rsidP="003E444E">
            <w:pPr>
              <w:pStyle w:val="SingleTxtG"/>
              <w:ind w:left="0" w:right="138"/>
              <w:jc w:val="center"/>
            </w:pPr>
            <w:r w:rsidRPr="000016F1">
              <w:rPr>
                <w:bCs/>
                <w:caps/>
                <w:sz w:val="18"/>
                <w:szCs w:val="18"/>
              </w:rPr>
              <w:t>(</w:t>
            </w:r>
            <w:r w:rsidR="007F488F">
              <w:rPr>
                <w:bCs/>
                <w:caps/>
                <w:sz w:val="18"/>
                <w:szCs w:val="18"/>
              </w:rPr>
              <w:t>4</w:t>
            </w:r>
            <w:r w:rsidRPr="000016F1">
              <w:rPr>
                <w:bCs/>
                <w:caps/>
                <w:sz w:val="18"/>
                <w:szCs w:val="18"/>
              </w:rPr>
              <w:t>)</w:t>
            </w:r>
          </w:p>
        </w:tc>
        <w:tc>
          <w:tcPr>
            <w:tcW w:w="2410" w:type="dxa"/>
          </w:tcPr>
          <w:p w14:paraId="4BE7ACC2" w14:textId="0174DD86" w:rsidR="00804C00" w:rsidRDefault="00804C00" w:rsidP="003E444E">
            <w:pPr>
              <w:pStyle w:val="SingleTxtG"/>
              <w:ind w:left="0" w:right="143"/>
              <w:jc w:val="center"/>
            </w:pPr>
            <w:r w:rsidRPr="000016F1">
              <w:rPr>
                <w:bCs/>
                <w:caps/>
                <w:sz w:val="18"/>
                <w:szCs w:val="18"/>
              </w:rPr>
              <w:t>(</w:t>
            </w:r>
            <w:r w:rsidR="007F488F">
              <w:rPr>
                <w:bCs/>
                <w:caps/>
                <w:sz w:val="18"/>
                <w:szCs w:val="18"/>
              </w:rPr>
              <w:t>5</w:t>
            </w:r>
            <w:r w:rsidRPr="000016F1">
              <w:rPr>
                <w:bCs/>
                <w:caps/>
                <w:sz w:val="18"/>
                <w:szCs w:val="18"/>
              </w:rPr>
              <w:t>)</w:t>
            </w:r>
          </w:p>
        </w:tc>
      </w:tr>
    </w:tbl>
    <w:p w14:paraId="2DBA4706" w14:textId="77777777" w:rsidR="00804C00" w:rsidRPr="001356CF" w:rsidRDefault="00804C00" w:rsidP="000203CC">
      <w:pPr>
        <w:pStyle w:val="SingleTxtG"/>
        <w:spacing w:before="120"/>
      </w:pPr>
      <w:r w:rsidRPr="001356CF">
        <w:t xml:space="preserve">Note Column (3) used to be “Applicable sub-sections and paragraphs”. </w:t>
      </w:r>
    </w:p>
    <w:p w14:paraId="5E436FE5" w14:textId="77777777" w:rsidR="00804C00" w:rsidRPr="001356CF" w:rsidRDefault="00804C00" w:rsidP="00804C00">
      <w:pPr>
        <w:pStyle w:val="SingleTxtG"/>
      </w:pPr>
      <w:r w:rsidRPr="001356CF">
        <w:t xml:space="preserve">During a recent review of standards it was noted that as standards had been revised, requirements for initial inspection and test are now part of many standards for closures and need to be included in column (3). </w:t>
      </w:r>
    </w:p>
    <w:p w14:paraId="5C287F4E" w14:textId="77777777" w:rsidR="00804C00" w:rsidRPr="001356CF" w:rsidRDefault="00804C00" w:rsidP="00804C00">
      <w:pPr>
        <w:pStyle w:val="SingleTxtG"/>
      </w:pPr>
      <w:r w:rsidRPr="001356CF">
        <w:t>The Government of the Netherlands has submitted document ECE/TRANS/WP.15/AC.1/2023/29 which shows in proposal 2 that other cross references are probably missing.</w:t>
      </w:r>
    </w:p>
    <w:p w14:paraId="18A8A862" w14:textId="77777777" w:rsidR="00804C00" w:rsidRPr="001356CF" w:rsidRDefault="00804C00" w:rsidP="00804C00">
      <w:pPr>
        <w:pStyle w:val="SingleTxtG"/>
      </w:pPr>
      <w:r w:rsidRPr="001356CF">
        <w:t>This initiated a discussion at the Standards Working Group of the reason for column (3). As this subject was a late addition to the agenda it was not possible for members to consult prior to the meeting. A number of members of the group did question the relevance of column (3). It was noted that there is no equivalent to column (3) in the Model Regulations. Members requested that the relevance of column (3) be raised in plenary and that delegates are invited to share their opinions with the Chair of the Working Group on Standards. Based on this a decision will be made on a recommendation to the Joint Meeting about column (3).</w:t>
      </w:r>
    </w:p>
    <w:p w14:paraId="3C027DD0" w14:textId="46A17A17" w:rsidR="003F6733" w:rsidRPr="003F6733" w:rsidRDefault="003F6733" w:rsidP="003F6733">
      <w:pPr>
        <w:spacing w:before="240" w:after="0" w:line="240" w:lineRule="atLeast"/>
        <w:jc w:val="center"/>
        <w:rPr>
          <w:u w:val="single"/>
        </w:rPr>
      </w:pPr>
      <w:r>
        <w:rPr>
          <w:u w:val="single"/>
        </w:rPr>
        <w:tab/>
      </w:r>
      <w:r>
        <w:rPr>
          <w:u w:val="single"/>
        </w:rPr>
        <w:tab/>
      </w:r>
      <w:r>
        <w:rPr>
          <w:u w:val="single"/>
        </w:rPr>
        <w:tab/>
      </w:r>
    </w:p>
    <w:sectPr w:rsidR="003F6733" w:rsidRPr="003F6733" w:rsidSect="004661AE">
      <w:headerReference w:type="even" r:id="rId11"/>
      <w:headerReference w:type="default" r:id="rId12"/>
      <w:footerReference w:type="even" r:id="rId13"/>
      <w:footerReference w:type="default" r:id="rId14"/>
      <w:headerReference w:type="first" r:id="rId15"/>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26FD41" w14:textId="77777777" w:rsidR="00BB3967" w:rsidRDefault="00BB3967"/>
  </w:endnote>
  <w:endnote w:type="continuationSeparator" w:id="0">
    <w:p w14:paraId="23C3558D" w14:textId="77777777" w:rsidR="00BB3967" w:rsidRDefault="00BB3967"/>
  </w:endnote>
  <w:endnote w:type="continuationNotice" w:id="1">
    <w:p w14:paraId="35EDAD50" w14:textId="77777777" w:rsidR="00BB3967" w:rsidRDefault="00BB39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56E7A7" w14:textId="77777777"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455EC7" w14:textId="77777777"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B1179A" w14:textId="77777777" w:rsidR="00BB3967" w:rsidRPr="000B175B" w:rsidRDefault="00BB3967" w:rsidP="000B175B">
      <w:pPr>
        <w:tabs>
          <w:tab w:val="right" w:pos="2155"/>
        </w:tabs>
        <w:spacing w:after="80"/>
        <w:ind w:left="680"/>
        <w:rPr>
          <w:u w:val="single"/>
        </w:rPr>
      </w:pPr>
      <w:r>
        <w:rPr>
          <w:u w:val="single"/>
        </w:rPr>
        <w:tab/>
      </w:r>
    </w:p>
  </w:footnote>
  <w:footnote w:type="continuationSeparator" w:id="0">
    <w:p w14:paraId="7E0C0C76" w14:textId="77777777" w:rsidR="00BB3967" w:rsidRPr="00FC68B7" w:rsidRDefault="00BB3967" w:rsidP="00FC68B7">
      <w:pPr>
        <w:tabs>
          <w:tab w:val="left" w:pos="2155"/>
        </w:tabs>
        <w:spacing w:after="80"/>
        <w:ind w:left="680"/>
        <w:rPr>
          <w:u w:val="single"/>
        </w:rPr>
      </w:pPr>
      <w:r>
        <w:rPr>
          <w:u w:val="single"/>
        </w:rPr>
        <w:tab/>
      </w:r>
    </w:p>
  </w:footnote>
  <w:footnote w:type="continuationNotice" w:id="1">
    <w:p w14:paraId="524CF10C" w14:textId="77777777" w:rsidR="00BB3967" w:rsidRDefault="00BB39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8D2077" w14:textId="3A03A9F1" w:rsidR="002B16A1" w:rsidRPr="0009455D" w:rsidRDefault="002B16A1">
    <w:pPr>
      <w:pStyle w:val="Header"/>
      <w:rPr>
        <w:lang w:val="fr-CH"/>
      </w:rPr>
    </w:pPr>
    <w:r>
      <w:rPr>
        <w:lang w:val="fr-CH"/>
      </w:rPr>
      <w:t>INF.</w:t>
    </w:r>
    <w:r w:rsidR="0071444A">
      <w:rPr>
        <w:lang w:val="fr-CH"/>
      </w:rPr>
      <w:t>2</w:t>
    </w:r>
    <w:r w:rsidR="003F6733">
      <w:rPr>
        <w:lang w:val="fr-CH"/>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025538" w14:textId="187EF6A4" w:rsidR="002B16A1" w:rsidRPr="00073BC9" w:rsidRDefault="002B16A1" w:rsidP="0009455D">
    <w:pPr>
      <w:pStyle w:val="Header"/>
      <w:jc w:val="right"/>
    </w:pPr>
    <w:r>
      <w:t>INF.</w:t>
    </w:r>
    <w:r w:rsidR="00BC728B">
      <w:t>2</w:t>
    </w:r>
    <w:r w:rsidR="003F6733">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D40788" w14:textId="6A1FB6CD" w:rsidR="002B16A1" w:rsidRPr="00560572" w:rsidRDefault="002B16A1" w:rsidP="00E37495">
    <w:pPr>
      <w:pStyle w:val="Header"/>
      <w:pBdr>
        <w:bottom w:val="single" w:sz="4" w:space="1" w:color="auto"/>
      </w:pBdr>
      <w:jc w:val="right"/>
      <w:rPr>
        <w:sz w:val="28"/>
        <w:szCs w:val="28"/>
      </w:rPr>
    </w:pPr>
    <w:r w:rsidRPr="00560572">
      <w:rPr>
        <w:sz w:val="28"/>
        <w:szCs w:val="28"/>
      </w:rPr>
      <w:t>INF.</w:t>
    </w:r>
    <w:r w:rsidR="0071444A">
      <w:rPr>
        <w:sz w:val="28"/>
        <w:szCs w:val="28"/>
      </w:rPr>
      <w:t>2</w:t>
    </w:r>
    <w:r w:rsidR="004661AE">
      <w:rPr>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CB39C7"/>
    <w:multiLevelType w:val="hybridMultilevel"/>
    <w:tmpl w:val="DACA3B6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210F031D"/>
    <w:multiLevelType w:val="multilevel"/>
    <w:tmpl w:val="4BAA2A42"/>
    <w:lvl w:ilvl="0">
      <w:start w:val="4"/>
      <w:numFmt w:val="bullet"/>
      <w:lvlText w:val="-"/>
      <w:lvlJc w:val="left"/>
      <w:pPr>
        <w:ind w:left="1494" w:hanging="360"/>
      </w:pPr>
      <w:rPr>
        <w:rFonts w:ascii="Arial" w:hAnsi="Arial" w:cs="Arial" w:hint="default"/>
        <w:color w:val="00000A"/>
        <w:sz w:val="22"/>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3173C7"/>
    <w:multiLevelType w:val="hybridMultilevel"/>
    <w:tmpl w:val="5548FD62"/>
    <w:lvl w:ilvl="0" w:tplc="F11C89B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1"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2"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3"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4" w15:restartNumberingAfterBreak="0">
    <w:nsid w:val="493F2862"/>
    <w:multiLevelType w:val="multilevel"/>
    <w:tmpl w:val="D54C3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CD29B3"/>
    <w:multiLevelType w:val="hybridMultilevel"/>
    <w:tmpl w:val="822AEAF2"/>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4166D8"/>
    <w:multiLevelType w:val="hybridMultilevel"/>
    <w:tmpl w:val="9F028D2C"/>
    <w:lvl w:ilvl="0" w:tplc="E6C012A4">
      <w:start w:val="1"/>
      <w:numFmt w:val="decimal"/>
      <w:lvlText w:val="%1."/>
      <w:lvlJc w:val="left"/>
      <w:pPr>
        <w:ind w:left="1710" w:hanging="576"/>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29" w15:restartNumberingAfterBreak="0">
    <w:nsid w:val="6D104D88"/>
    <w:multiLevelType w:val="hybridMultilevel"/>
    <w:tmpl w:val="66343C52"/>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3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16cid:durableId="911740990">
    <w:abstractNumId w:val="1"/>
  </w:num>
  <w:num w:numId="2" w16cid:durableId="154035356">
    <w:abstractNumId w:val="0"/>
  </w:num>
  <w:num w:numId="3" w16cid:durableId="1379351690">
    <w:abstractNumId w:val="2"/>
  </w:num>
  <w:num w:numId="4" w16cid:durableId="1581789628">
    <w:abstractNumId w:val="3"/>
  </w:num>
  <w:num w:numId="5" w16cid:durableId="1606308723">
    <w:abstractNumId w:val="8"/>
  </w:num>
  <w:num w:numId="6" w16cid:durableId="480584321">
    <w:abstractNumId w:val="9"/>
  </w:num>
  <w:num w:numId="7" w16cid:durableId="1766531722">
    <w:abstractNumId w:val="7"/>
  </w:num>
  <w:num w:numId="8" w16cid:durableId="46104389">
    <w:abstractNumId w:val="6"/>
  </w:num>
  <w:num w:numId="9" w16cid:durableId="1667632679">
    <w:abstractNumId w:val="5"/>
  </w:num>
  <w:num w:numId="10" w16cid:durableId="483738226">
    <w:abstractNumId w:val="4"/>
  </w:num>
  <w:num w:numId="11" w16cid:durableId="1484390759">
    <w:abstractNumId w:val="17"/>
  </w:num>
  <w:num w:numId="12" w16cid:durableId="559246105">
    <w:abstractNumId w:val="14"/>
  </w:num>
  <w:num w:numId="13" w16cid:durableId="248463032">
    <w:abstractNumId w:val="10"/>
  </w:num>
  <w:num w:numId="14" w16cid:durableId="1934975464">
    <w:abstractNumId w:val="11"/>
  </w:num>
  <w:num w:numId="15" w16cid:durableId="1733574589">
    <w:abstractNumId w:val="19"/>
  </w:num>
  <w:num w:numId="16" w16cid:durableId="1706712267">
    <w:abstractNumId w:val="13"/>
  </w:num>
  <w:num w:numId="17" w16cid:durableId="161897559">
    <w:abstractNumId w:val="27"/>
  </w:num>
  <w:num w:numId="18" w16cid:durableId="1890535955">
    <w:abstractNumId w:val="31"/>
  </w:num>
  <w:num w:numId="19" w16cid:durableId="12192668">
    <w:abstractNumId w:val="26"/>
  </w:num>
  <w:num w:numId="20" w16cid:durableId="750353665">
    <w:abstractNumId w:val="12"/>
  </w:num>
  <w:num w:numId="21" w16cid:durableId="1077704605">
    <w:abstractNumId w:val="21"/>
  </w:num>
  <w:num w:numId="22" w16cid:durableId="658273538">
    <w:abstractNumId w:val="32"/>
  </w:num>
  <w:num w:numId="23" w16cid:durableId="194849753">
    <w:abstractNumId w:val="20"/>
  </w:num>
  <w:num w:numId="24" w16cid:durableId="1522622807">
    <w:abstractNumId w:val="23"/>
  </w:num>
  <w:num w:numId="25" w16cid:durableId="1204051690">
    <w:abstractNumId w:val="30"/>
  </w:num>
  <w:num w:numId="26" w16cid:durableId="995377665">
    <w:abstractNumId w:val="22"/>
  </w:num>
  <w:num w:numId="27" w16cid:durableId="1150485447">
    <w:abstractNumId w:val="16"/>
  </w:num>
  <w:num w:numId="28" w16cid:durableId="70590960">
    <w:abstractNumId w:val="24"/>
  </w:num>
  <w:num w:numId="29" w16cid:durableId="1523398178">
    <w:abstractNumId w:val="28"/>
  </w:num>
  <w:num w:numId="30" w16cid:durableId="974213421">
    <w:abstractNumId w:val="18"/>
  </w:num>
  <w:num w:numId="31" w16cid:durableId="1598371377">
    <w:abstractNumId w:val="29"/>
  </w:num>
  <w:num w:numId="32" w16cid:durableId="498615702">
    <w:abstractNumId w:val="25"/>
  </w:num>
  <w:num w:numId="33" w16cid:durableId="117106719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8"/>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3A32"/>
    <w:rsid w:val="00017C14"/>
    <w:rsid w:val="000203CC"/>
    <w:rsid w:val="0002423A"/>
    <w:rsid w:val="00025DA7"/>
    <w:rsid w:val="00027624"/>
    <w:rsid w:val="00044C51"/>
    <w:rsid w:val="00050B2C"/>
    <w:rsid w:val="00050F6B"/>
    <w:rsid w:val="00056E1C"/>
    <w:rsid w:val="00057D31"/>
    <w:rsid w:val="00057F00"/>
    <w:rsid w:val="00060675"/>
    <w:rsid w:val="00062540"/>
    <w:rsid w:val="000678CD"/>
    <w:rsid w:val="000679E4"/>
    <w:rsid w:val="00072C8C"/>
    <w:rsid w:val="00073BC9"/>
    <w:rsid w:val="00075498"/>
    <w:rsid w:val="00081CE0"/>
    <w:rsid w:val="00081E5B"/>
    <w:rsid w:val="00082FAE"/>
    <w:rsid w:val="00084D30"/>
    <w:rsid w:val="00087A1A"/>
    <w:rsid w:val="00090320"/>
    <w:rsid w:val="00091148"/>
    <w:rsid w:val="000918D7"/>
    <w:rsid w:val="000931C0"/>
    <w:rsid w:val="0009455D"/>
    <w:rsid w:val="00097793"/>
    <w:rsid w:val="000A2E09"/>
    <w:rsid w:val="000B175B"/>
    <w:rsid w:val="000B3A0F"/>
    <w:rsid w:val="000B41FA"/>
    <w:rsid w:val="000C2A7D"/>
    <w:rsid w:val="000D5A55"/>
    <w:rsid w:val="000E0415"/>
    <w:rsid w:val="000E1E0B"/>
    <w:rsid w:val="000E233A"/>
    <w:rsid w:val="000E6779"/>
    <w:rsid w:val="000E7EB0"/>
    <w:rsid w:val="000F0AF1"/>
    <w:rsid w:val="000F3BA8"/>
    <w:rsid w:val="000F5D2C"/>
    <w:rsid w:val="000F7715"/>
    <w:rsid w:val="001022EF"/>
    <w:rsid w:val="00103E99"/>
    <w:rsid w:val="00116363"/>
    <w:rsid w:val="001179A1"/>
    <w:rsid w:val="00123133"/>
    <w:rsid w:val="00125674"/>
    <w:rsid w:val="00135264"/>
    <w:rsid w:val="001356CF"/>
    <w:rsid w:val="00140040"/>
    <w:rsid w:val="0014401A"/>
    <w:rsid w:val="00156B99"/>
    <w:rsid w:val="0015713B"/>
    <w:rsid w:val="00160D99"/>
    <w:rsid w:val="00161037"/>
    <w:rsid w:val="001630AC"/>
    <w:rsid w:val="00164A58"/>
    <w:rsid w:val="00166124"/>
    <w:rsid w:val="00167F20"/>
    <w:rsid w:val="0017009E"/>
    <w:rsid w:val="00172600"/>
    <w:rsid w:val="001741A4"/>
    <w:rsid w:val="001765D7"/>
    <w:rsid w:val="00176739"/>
    <w:rsid w:val="00182774"/>
    <w:rsid w:val="00184DDA"/>
    <w:rsid w:val="001874B4"/>
    <w:rsid w:val="001900CD"/>
    <w:rsid w:val="00193D85"/>
    <w:rsid w:val="0019444B"/>
    <w:rsid w:val="001A0452"/>
    <w:rsid w:val="001A3481"/>
    <w:rsid w:val="001A4D53"/>
    <w:rsid w:val="001A5F15"/>
    <w:rsid w:val="001A73D9"/>
    <w:rsid w:val="001B0BD2"/>
    <w:rsid w:val="001B4B04"/>
    <w:rsid w:val="001B5875"/>
    <w:rsid w:val="001C3A25"/>
    <w:rsid w:val="001C4B28"/>
    <w:rsid w:val="001C4B9C"/>
    <w:rsid w:val="001C6663"/>
    <w:rsid w:val="001C7895"/>
    <w:rsid w:val="001D15C4"/>
    <w:rsid w:val="001D26DF"/>
    <w:rsid w:val="001D312D"/>
    <w:rsid w:val="001D3A42"/>
    <w:rsid w:val="001D4A08"/>
    <w:rsid w:val="001E0DF6"/>
    <w:rsid w:val="001E583F"/>
    <w:rsid w:val="001F1130"/>
    <w:rsid w:val="001F12DF"/>
    <w:rsid w:val="001F1599"/>
    <w:rsid w:val="001F1961"/>
    <w:rsid w:val="001F19C4"/>
    <w:rsid w:val="001F32FF"/>
    <w:rsid w:val="001F6B91"/>
    <w:rsid w:val="001F7A8B"/>
    <w:rsid w:val="002041AA"/>
    <w:rsid w:val="002043F0"/>
    <w:rsid w:val="002060B9"/>
    <w:rsid w:val="00211E0B"/>
    <w:rsid w:val="00215A1B"/>
    <w:rsid w:val="00216BB2"/>
    <w:rsid w:val="002201C4"/>
    <w:rsid w:val="00222F2C"/>
    <w:rsid w:val="00224D12"/>
    <w:rsid w:val="00230496"/>
    <w:rsid w:val="00232575"/>
    <w:rsid w:val="00234B3E"/>
    <w:rsid w:val="0023589F"/>
    <w:rsid w:val="00247258"/>
    <w:rsid w:val="00250356"/>
    <w:rsid w:val="00252DC4"/>
    <w:rsid w:val="002565C8"/>
    <w:rsid w:val="002574B9"/>
    <w:rsid w:val="00257CAC"/>
    <w:rsid w:val="00264807"/>
    <w:rsid w:val="00264F3F"/>
    <w:rsid w:val="002660D7"/>
    <w:rsid w:val="00274078"/>
    <w:rsid w:val="002815FC"/>
    <w:rsid w:val="0028203C"/>
    <w:rsid w:val="00295F1A"/>
    <w:rsid w:val="002974E9"/>
    <w:rsid w:val="002A214F"/>
    <w:rsid w:val="002A6D75"/>
    <w:rsid w:val="002A7F94"/>
    <w:rsid w:val="002B109A"/>
    <w:rsid w:val="002B16A1"/>
    <w:rsid w:val="002B1765"/>
    <w:rsid w:val="002B400C"/>
    <w:rsid w:val="002B5293"/>
    <w:rsid w:val="002C1973"/>
    <w:rsid w:val="002C3A37"/>
    <w:rsid w:val="002C4661"/>
    <w:rsid w:val="002C57D6"/>
    <w:rsid w:val="002C6D45"/>
    <w:rsid w:val="002D15DD"/>
    <w:rsid w:val="002D1828"/>
    <w:rsid w:val="002D28D9"/>
    <w:rsid w:val="002D4CF0"/>
    <w:rsid w:val="002D6E53"/>
    <w:rsid w:val="002D743E"/>
    <w:rsid w:val="002E0C3F"/>
    <w:rsid w:val="002E2296"/>
    <w:rsid w:val="002E23C9"/>
    <w:rsid w:val="002E6DB4"/>
    <w:rsid w:val="002F024B"/>
    <w:rsid w:val="002F046D"/>
    <w:rsid w:val="002F5044"/>
    <w:rsid w:val="002F57E8"/>
    <w:rsid w:val="003007E7"/>
    <w:rsid w:val="00301764"/>
    <w:rsid w:val="00302B3E"/>
    <w:rsid w:val="00304B2F"/>
    <w:rsid w:val="00313E44"/>
    <w:rsid w:val="00321665"/>
    <w:rsid w:val="003229D8"/>
    <w:rsid w:val="00323AD2"/>
    <w:rsid w:val="0032508A"/>
    <w:rsid w:val="00336080"/>
    <w:rsid w:val="00336C97"/>
    <w:rsid w:val="00337D65"/>
    <w:rsid w:val="00337F88"/>
    <w:rsid w:val="00342432"/>
    <w:rsid w:val="0034444E"/>
    <w:rsid w:val="003453FC"/>
    <w:rsid w:val="00350B59"/>
    <w:rsid w:val="00352D4B"/>
    <w:rsid w:val="00354724"/>
    <w:rsid w:val="00354CED"/>
    <w:rsid w:val="00356347"/>
    <w:rsid w:val="0035638C"/>
    <w:rsid w:val="003564DC"/>
    <w:rsid w:val="00370928"/>
    <w:rsid w:val="00373041"/>
    <w:rsid w:val="003737D3"/>
    <w:rsid w:val="003806F0"/>
    <w:rsid w:val="00382512"/>
    <w:rsid w:val="0038499B"/>
    <w:rsid w:val="00396694"/>
    <w:rsid w:val="0039791F"/>
    <w:rsid w:val="003A1C51"/>
    <w:rsid w:val="003A46BB"/>
    <w:rsid w:val="003A4EC7"/>
    <w:rsid w:val="003A550E"/>
    <w:rsid w:val="003A7295"/>
    <w:rsid w:val="003A7AE3"/>
    <w:rsid w:val="003B115E"/>
    <w:rsid w:val="003B1F60"/>
    <w:rsid w:val="003B3A7E"/>
    <w:rsid w:val="003B4643"/>
    <w:rsid w:val="003C2CC4"/>
    <w:rsid w:val="003C3176"/>
    <w:rsid w:val="003C7026"/>
    <w:rsid w:val="003D4B23"/>
    <w:rsid w:val="003D58A1"/>
    <w:rsid w:val="003D6C76"/>
    <w:rsid w:val="003E1ABE"/>
    <w:rsid w:val="003E278A"/>
    <w:rsid w:val="003E39EF"/>
    <w:rsid w:val="003E3D94"/>
    <w:rsid w:val="003E444E"/>
    <w:rsid w:val="003F07CB"/>
    <w:rsid w:val="003F4A0F"/>
    <w:rsid w:val="003F5568"/>
    <w:rsid w:val="003F557E"/>
    <w:rsid w:val="003F6733"/>
    <w:rsid w:val="003F72F0"/>
    <w:rsid w:val="004019C8"/>
    <w:rsid w:val="004024E2"/>
    <w:rsid w:val="004032CF"/>
    <w:rsid w:val="00413520"/>
    <w:rsid w:val="00414F7A"/>
    <w:rsid w:val="00416016"/>
    <w:rsid w:val="0041614C"/>
    <w:rsid w:val="00417F2B"/>
    <w:rsid w:val="00431D4D"/>
    <w:rsid w:val="004325CB"/>
    <w:rsid w:val="00432608"/>
    <w:rsid w:val="00433A82"/>
    <w:rsid w:val="00440A07"/>
    <w:rsid w:val="00450EF8"/>
    <w:rsid w:val="00456441"/>
    <w:rsid w:val="00462880"/>
    <w:rsid w:val="00465A8E"/>
    <w:rsid w:val="004661AE"/>
    <w:rsid w:val="0047298C"/>
    <w:rsid w:val="0047429E"/>
    <w:rsid w:val="00476F24"/>
    <w:rsid w:val="0047727F"/>
    <w:rsid w:val="0048402E"/>
    <w:rsid w:val="004909E7"/>
    <w:rsid w:val="00490D08"/>
    <w:rsid w:val="0049311D"/>
    <w:rsid w:val="004931C1"/>
    <w:rsid w:val="004B2082"/>
    <w:rsid w:val="004B2A91"/>
    <w:rsid w:val="004B45B0"/>
    <w:rsid w:val="004B7EA2"/>
    <w:rsid w:val="004C1BBB"/>
    <w:rsid w:val="004C55B0"/>
    <w:rsid w:val="004D51F6"/>
    <w:rsid w:val="004D63B1"/>
    <w:rsid w:val="004D6D1E"/>
    <w:rsid w:val="004E4179"/>
    <w:rsid w:val="004E608F"/>
    <w:rsid w:val="004E7160"/>
    <w:rsid w:val="004F3F8F"/>
    <w:rsid w:val="004F6BA0"/>
    <w:rsid w:val="004F77C5"/>
    <w:rsid w:val="00501D07"/>
    <w:rsid w:val="00502D7E"/>
    <w:rsid w:val="00503BEA"/>
    <w:rsid w:val="00512C18"/>
    <w:rsid w:val="0052162A"/>
    <w:rsid w:val="00522CF5"/>
    <w:rsid w:val="00530289"/>
    <w:rsid w:val="00533616"/>
    <w:rsid w:val="00535170"/>
    <w:rsid w:val="00535ABA"/>
    <w:rsid w:val="00536572"/>
    <w:rsid w:val="005371A0"/>
    <w:rsid w:val="0053768B"/>
    <w:rsid w:val="005420F2"/>
    <w:rsid w:val="00542768"/>
    <w:rsid w:val="0054285C"/>
    <w:rsid w:val="005445FF"/>
    <w:rsid w:val="00547A88"/>
    <w:rsid w:val="00554C06"/>
    <w:rsid w:val="0055514F"/>
    <w:rsid w:val="005566B9"/>
    <w:rsid w:val="00560572"/>
    <w:rsid w:val="00564BF4"/>
    <w:rsid w:val="005670DF"/>
    <w:rsid w:val="00573297"/>
    <w:rsid w:val="0058267E"/>
    <w:rsid w:val="00584173"/>
    <w:rsid w:val="0058500F"/>
    <w:rsid w:val="005850DE"/>
    <w:rsid w:val="00587C17"/>
    <w:rsid w:val="00595520"/>
    <w:rsid w:val="005A0287"/>
    <w:rsid w:val="005A415F"/>
    <w:rsid w:val="005A44B9"/>
    <w:rsid w:val="005A548A"/>
    <w:rsid w:val="005A5AE3"/>
    <w:rsid w:val="005B1BA0"/>
    <w:rsid w:val="005B1FD9"/>
    <w:rsid w:val="005B3DB3"/>
    <w:rsid w:val="005B4A3C"/>
    <w:rsid w:val="005B6A8A"/>
    <w:rsid w:val="005C58F0"/>
    <w:rsid w:val="005C700B"/>
    <w:rsid w:val="005D15CA"/>
    <w:rsid w:val="005D1867"/>
    <w:rsid w:val="005D1EB1"/>
    <w:rsid w:val="005D2C39"/>
    <w:rsid w:val="005D390C"/>
    <w:rsid w:val="005E6AAF"/>
    <w:rsid w:val="005F3066"/>
    <w:rsid w:val="005F3E61"/>
    <w:rsid w:val="005F51F6"/>
    <w:rsid w:val="005F69C7"/>
    <w:rsid w:val="005F7732"/>
    <w:rsid w:val="00601B72"/>
    <w:rsid w:val="00604DDD"/>
    <w:rsid w:val="006115CC"/>
    <w:rsid w:val="00611FC4"/>
    <w:rsid w:val="00613302"/>
    <w:rsid w:val="00614F5B"/>
    <w:rsid w:val="00616DF4"/>
    <w:rsid w:val="006176FB"/>
    <w:rsid w:val="0062380F"/>
    <w:rsid w:val="00623A0F"/>
    <w:rsid w:val="0062564C"/>
    <w:rsid w:val="00630FCB"/>
    <w:rsid w:val="00632F10"/>
    <w:rsid w:val="00633628"/>
    <w:rsid w:val="00633FC1"/>
    <w:rsid w:val="00634534"/>
    <w:rsid w:val="0064017F"/>
    <w:rsid w:val="00640B26"/>
    <w:rsid w:val="00642312"/>
    <w:rsid w:val="00642502"/>
    <w:rsid w:val="0064748F"/>
    <w:rsid w:val="00651A29"/>
    <w:rsid w:val="006643C6"/>
    <w:rsid w:val="006679F2"/>
    <w:rsid w:val="00667D6B"/>
    <w:rsid w:val="00671B0D"/>
    <w:rsid w:val="00674892"/>
    <w:rsid w:val="00676D49"/>
    <w:rsid w:val="006770B2"/>
    <w:rsid w:val="00682407"/>
    <w:rsid w:val="00683C1B"/>
    <w:rsid w:val="006846F0"/>
    <w:rsid w:val="006853B3"/>
    <w:rsid w:val="006940E1"/>
    <w:rsid w:val="006A1D39"/>
    <w:rsid w:val="006A3C72"/>
    <w:rsid w:val="006A7392"/>
    <w:rsid w:val="006B03A1"/>
    <w:rsid w:val="006B67D9"/>
    <w:rsid w:val="006B6FE3"/>
    <w:rsid w:val="006C5535"/>
    <w:rsid w:val="006D0589"/>
    <w:rsid w:val="006D513E"/>
    <w:rsid w:val="006D7BB9"/>
    <w:rsid w:val="006E564B"/>
    <w:rsid w:val="006E7154"/>
    <w:rsid w:val="006F0884"/>
    <w:rsid w:val="006F2106"/>
    <w:rsid w:val="006F373A"/>
    <w:rsid w:val="007003CD"/>
    <w:rsid w:val="00703A6D"/>
    <w:rsid w:val="0070701E"/>
    <w:rsid w:val="0070702F"/>
    <w:rsid w:val="00714026"/>
    <w:rsid w:val="0071444A"/>
    <w:rsid w:val="0071447C"/>
    <w:rsid w:val="00714B5C"/>
    <w:rsid w:val="00714C87"/>
    <w:rsid w:val="0071515E"/>
    <w:rsid w:val="00715BE5"/>
    <w:rsid w:val="0072632A"/>
    <w:rsid w:val="0073277D"/>
    <w:rsid w:val="0073337B"/>
    <w:rsid w:val="007358E8"/>
    <w:rsid w:val="00736ECE"/>
    <w:rsid w:val="007408A0"/>
    <w:rsid w:val="00743C64"/>
    <w:rsid w:val="0074533B"/>
    <w:rsid w:val="00753C81"/>
    <w:rsid w:val="00755BB0"/>
    <w:rsid w:val="00762EA6"/>
    <w:rsid w:val="00763813"/>
    <w:rsid w:val="0076432E"/>
    <w:rsid w:val="007643BC"/>
    <w:rsid w:val="00764F01"/>
    <w:rsid w:val="00770846"/>
    <w:rsid w:val="007810E1"/>
    <w:rsid w:val="00781D93"/>
    <w:rsid w:val="00790877"/>
    <w:rsid w:val="007942D2"/>
    <w:rsid w:val="0079577B"/>
    <w:rsid w:val="007959FE"/>
    <w:rsid w:val="00795E37"/>
    <w:rsid w:val="007A0CF1"/>
    <w:rsid w:val="007A38B0"/>
    <w:rsid w:val="007A57B8"/>
    <w:rsid w:val="007A7CC0"/>
    <w:rsid w:val="007B5DDD"/>
    <w:rsid w:val="007B614B"/>
    <w:rsid w:val="007B6A61"/>
    <w:rsid w:val="007B6BA5"/>
    <w:rsid w:val="007C3390"/>
    <w:rsid w:val="007C42D8"/>
    <w:rsid w:val="007C4681"/>
    <w:rsid w:val="007C4F4B"/>
    <w:rsid w:val="007C51E6"/>
    <w:rsid w:val="007C68C8"/>
    <w:rsid w:val="007D5759"/>
    <w:rsid w:val="007D6D44"/>
    <w:rsid w:val="007D7362"/>
    <w:rsid w:val="007E36CB"/>
    <w:rsid w:val="007E4914"/>
    <w:rsid w:val="007E5C2F"/>
    <w:rsid w:val="007F1E0D"/>
    <w:rsid w:val="007F2E11"/>
    <w:rsid w:val="007F488F"/>
    <w:rsid w:val="007F546E"/>
    <w:rsid w:val="007F5CE2"/>
    <w:rsid w:val="007F6611"/>
    <w:rsid w:val="007F6F36"/>
    <w:rsid w:val="00803B7F"/>
    <w:rsid w:val="00804C00"/>
    <w:rsid w:val="008066E9"/>
    <w:rsid w:val="00810BAC"/>
    <w:rsid w:val="00813F78"/>
    <w:rsid w:val="00815D85"/>
    <w:rsid w:val="008175E9"/>
    <w:rsid w:val="008203B2"/>
    <w:rsid w:val="0082405C"/>
    <w:rsid w:val="008242D7"/>
    <w:rsid w:val="00824D3C"/>
    <w:rsid w:val="00825578"/>
    <w:rsid w:val="0082577B"/>
    <w:rsid w:val="00830D15"/>
    <w:rsid w:val="0083344C"/>
    <w:rsid w:val="00834DF7"/>
    <w:rsid w:val="00835316"/>
    <w:rsid w:val="00843148"/>
    <w:rsid w:val="0084424C"/>
    <w:rsid w:val="008463B0"/>
    <w:rsid w:val="008522F9"/>
    <w:rsid w:val="008558E7"/>
    <w:rsid w:val="00857A4B"/>
    <w:rsid w:val="0086054B"/>
    <w:rsid w:val="00866893"/>
    <w:rsid w:val="00866F02"/>
    <w:rsid w:val="00867D18"/>
    <w:rsid w:val="008707F8"/>
    <w:rsid w:val="00871F9A"/>
    <w:rsid w:val="00871FD5"/>
    <w:rsid w:val="00876B8E"/>
    <w:rsid w:val="0088172E"/>
    <w:rsid w:val="00881EFA"/>
    <w:rsid w:val="00882F4F"/>
    <w:rsid w:val="00883E28"/>
    <w:rsid w:val="00887A7D"/>
    <w:rsid w:val="0089256A"/>
    <w:rsid w:val="00894867"/>
    <w:rsid w:val="008979B1"/>
    <w:rsid w:val="008A33B9"/>
    <w:rsid w:val="008A57C8"/>
    <w:rsid w:val="008A5859"/>
    <w:rsid w:val="008A6792"/>
    <w:rsid w:val="008A6B25"/>
    <w:rsid w:val="008A6C4F"/>
    <w:rsid w:val="008A7787"/>
    <w:rsid w:val="008B389E"/>
    <w:rsid w:val="008B3971"/>
    <w:rsid w:val="008B41F4"/>
    <w:rsid w:val="008B59E3"/>
    <w:rsid w:val="008B7D9A"/>
    <w:rsid w:val="008C5B2D"/>
    <w:rsid w:val="008C5BCB"/>
    <w:rsid w:val="008D0365"/>
    <w:rsid w:val="008D045E"/>
    <w:rsid w:val="008D0966"/>
    <w:rsid w:val="008D0D4F"/>
    <w:rsid w:val="008D3F25"/>
    <w:rsid w:val="008D4D82"/>
    <w:rsid w:val="008E0E09"/>
    <w:rsid w:val="008E0E46"/>
    <w:rsid w:val="008E4437"/>
    <w:rsid w:val="008E5A5D"/>
    <w:rsid w:val="008E7116"/>
    <w:rsid w:val="008F1007"/>
    <w:rsid w:val="008F143B"/>
    <w:rsid w:val="008F1DF9"/>
    <w:rsid w:val="008F33C4"/>
    <w:rsid w:val="008F3882"/>
    <w:rsid w:val="008F3C40"/>
    <w:rsid w:val="008F4B7C"/>
    <w:rsid w:val="008F73B3"/>
    <w:rsid w:val="008F7C10"/>
    <w:rsid w:val="00904D63"/>
    <w:rsid w:val="00906BFE"/>
    <w:rsid w:val="00914DC3"/>
    <w:rsid w:val="00915C95"/>
    <w:rsid w:val="00916B9C"/>
    <w:rsid w:val="00924CF0"/>
    <w:rsid w:val="0092598F"/>
    <w:rsid w:val="00926E47"/>
    <w:rsid w:val="00927DAA"/>
    <w:rsid w:val="009324AE"/>
    <w:rsid w:val="009432AD"/>
    <w:rsid w:val="00945B24"/>
    <w:rsid w:val="00946D3D"/>
    <w:rsid w:val="00946EAC"/>
    <w:rsid w:val="00947162"/>
    <w:rsid w:val="009479C1"/>
    <w:rsid w:val="00953163"/>
    <w:rsid w:val="009601FF"/>
    <w:rsid w:val="0096068B"/>
    <w:rsid w:val="00960D5D"/>
    <w:rsid w:val="009610D0"/>
    <w:rsid w:val="0096375C"/>
    <w:rsid w:val="009662E6"/>
    <w:rsid w:val="00966B29"/>
    <w:rsid w:val="0097095E"/>
    <w:rsid w:val="00974F7C"/>
    <w:rsid w:val="00977C04"/>
    <w:rsid w:val="009809A4"/>
    <w:rsid w:val="00980F57"/>
    <w:rsid w:val="00982DDC"/>
    <w:rsid w:val="00985631"/>
    <w:rsid w:val="009856D5"/>
    <w:rsid w:val="0098592B"/>
    <w:rsid w:val="00985AB9"/>
    <w:rsid w:val="00985FC4"/>
    <w:rsid w:val="00986DFE"/>
    <w:rsid w:val="00990766"/>
    <w:rsid w:val="00991261"/>
    <w:rsid w:val="0099198F"/>
    <w:rsid w:val="00992C68"/>
    <w:rsid w:val="0099552C"/>
    <w:rsid w:val="00995FA1"/>
    <w:rsid w:val="009964C4"/>
    <w:rsid w:val="009A6B7B"/>
    <w:rsid w:val="009A7B81"/>
    <w:rsid w:val="009B29EA"/>
    <w:rsid w:val="009C144C"/>
    <w:rsid w:val="009C59B9"/>
    <w:rsid w:val="009D01C0"/>
    <w:rsid w:val="009D0FD7"/>
    <w:rsid w:val="009D3BF3"/>
    <w:rsid w:val="009D6A08"/>
    <w:rsid w:val="009E0A16"/>
    <w:rsid w:val="009E3437"/>
    <w:rsid w:val="009E6740"/>
    <w:rsid w:val="009E7970"/>
    <w:rsid w:val="009F229E"/>
    <w:rsid w:val="009F2C95"/>
    <w:rsid w:val="009F2EAC"/>
    <w:rsid w:val="009F55EE"/>
    <w:rsid w:val="009F57E3"/>
    <w:rsid w:val="00A00D3D"/>
    <w:rsid w:val="00A07EBB"/>
    <w:rsid w:val="00A10F4F"/>
    <w:rsid w:val="00A11067"/>
    <w:rsid w:val="00A12639"/>
    <w:rsid w:val="00A138AB"/>
    <w:rsid w:val="00A1704A"/>
    <w:rsid w:val="00A23E9E"/>
    <w:rsid w:val="00A243CF"/>
    <w:rsid w:val="00A32088"/>
    <w:rsid w:val="00A36688"/>
    <w:rsid w:val="00A370D7"/>
    <w:rsid w:val="00A41BB8"/>
    <w:rsid w:val="00A425EB"/>
    <w:rsid w:val="00A43300"/>
    <w:rsid w:val="00A433C3"/>
    <w:rsid w:val="00A45CB7"/>
    <w:rsid w:val="00A47439"/>
    <w:rsid w:val="00A53A25"/>
    <w:rsid w:val="00A612CD"/>
    <w:rsid w:val="00A72F22"/>
    <w:rsid w:val="00A733BC"/>
    <w:rsid w:val="00A748A6"/>
    <w:rsid w:val="00A749C1"/>
    <w:rsid w:val="00A76A69"/>
    <w:rsid w:val="00A77D0C"/>
    <w:rsid w:val="00A80B8D"/>
    <w:rsid w:val="00A824E7"/>
    <w:rsid w:val="00A84A1B"/>
    <w:rsid w:val="00A865A7"/>
    <w:rsid w:val="00A879A4"/>
    <w:rsid w:val="00A909BF"/>
    <w:rsid w:val="00A910B4"/>
    <w:rsid w:val="00A96696"/>
    <w:rsid w:val="00A976DD"/>
    <w:rsid w:val="00AA0FF8"/>
    <w:rsid w:val="00AA3567"/>
    <w:rsid w:val="00AA4A73"/>
    <w:rsid w:val="00AB037B"/>
    <w:rsid w:val="00AB2CE7"/>
    <w:rsid w:val="00AB2D13"/>
    <w:rsid w:val="00AB6689"/>
    <w:rsid w:val="00AB7EC3"/>
    <w:rsid w:val="00AC0037"/>
    <w:rsid w:val="00AC0F2C"/>
    <w:rsid w:val="00AC502A"/>
    <w:rsid w:val="00AC58F4"/>
    <w:rsid w:val="00AC7298"/>
    <w:rsid w:val="00AC7C33"/>
    <w:rsid w:val="00AD262C"/>
    <w:rsid w:val="00AD79E9"/>
    <w:rsid w:val="00AF3A98"/>
    <w:rsid w:val="00AF58C1"/>
    <w:rsid w:val="00AF76F0"/>
    <w:rsid w:val="00B01321"/>
    <w:rsid w:val="00B03E68"/>
    <w:rsid w:val="00B05D2C"/>
    <w:rsid w:val="00B06643"/>
    <w:rsid w:val="00B1269C"/>
    <w:rsid w:val="00B14514"/>
    <w:rsid w:val="00B14CE4"/>
    <w:rsid w:val="00B15055"/>
    <w:rsid w:val="00B17FC5"/>
    <w:rsid w:val="00B2175D"/>
    <w:rsid w:val="00B23A4E"/>
    <w:rsid w:val="00B27044"/>
    <w:rsid w:val="00B30179"/>
    <w:rsid w:val="00B32444"/>
    <w:rsid w:val="00B3258F"/>
    <w:rsid w:val="00B37B15"/>
    <w:rsid w:val="00B40ECB"/>
    <w:rsid w:val="00B4482F"/>
    <w:rsid w:val="00B45C02"/>
    <w:rsid w:val="00B4691D"/>
    <w:rsid w:val="00B56A74"/>
    <w:rsid w:val="00B56B03"/>
    <w:rsid w:val="00B609E7"/>
    <w:rsid w:val="00B628EC"/>
    <w:rsid w:val="00B62A84"/>
    <w:rsid w:val="00B62EEE"/>
    <w:rsid w:val="00B63F27"/>
    <w:rsid w:val="00B70F5A"/>
    <w:rsid w:val="00B71791"/>
    <w:rsid w:val="00B72A1E"/>
    <w:rsid w:val="00B75E02"/>
    <w:rsid w:val="00B80493"/>
    <w:rsid w:val="00B80D50"/>
    <w:rsid w:val="00B81E12"/>
    <w:rsid w:val="00B82CFE"/>
    <w:rsid w:val="00B8509D"/>
    <w:rsid w:val="00B9110C"/>
    <w:rsid w:val="00BA0E62"/>
    <w:rsid w:val="00BA339B"/>
    <w:rsid w:val="00BB2862"/>
    <w:rsid w:val="00BB3967"/>
    <w:rsid w:val="00BB3D9E"/>
    <w:rsid w:val="00BB6C09"/>
    <w:rsid w:val="00BC1E7E"/>
    <w:rsid w:val="00BC2E45"/>
    <w:rsid w:val="00BC3E26"/>
    <w:rsid w:val="00BC4C12"/>
    <w:rsid w:val="00BC728B"/>
    <w:rsid w:val="00BC74E9"/>
    <w:rsid w:val="00BD242C"/>
    <w:rsid w:val="00BE36A9"/>
    <w:rsid w:val="00BE618E"/>
    <w:rsid w:val="00BE7BEC"/>
    <w:rsid w:val="00BF0A5A"/>
    <w:rsid w:val="00BF0E63"/>
    <w:rsid w:val="00BF103C"/>
    <w:rsid w:val="00BF12A3"/>
    <w:rsid w:val="00BF16D7"/>
    <w:rsid w:val="00BF218C"/>
    <w:rsid w:val="00BF2373"/>
    <w:rsid w:val="00BF2C13"/>
    <w:rsid w:val="00BF36F3"/>
    <w:rsid w:val="00C0183E"/>
    <w:rsid w:val="00C03A88"/>
    <w:rsid w:val="00C044E2"/>
    <w:rsid w:val="00C048CB"/>
    <w:rsid w:val="00C066F3"/>
    <w:rsid w:val="00C06865"/>
    <w:rsid w:val="00C07CA9"/>
    <w:rsid w:val="00C10783"/>
    <w:rsid w:val="00C11B07"/>
    <w:rsid w:val="00C129D5"/>
    <w:rsid w:val="00C13F36"/>
    <w:rsid w:val="00C15DC2"/>
    <w:rsid w:val="00C225E4"/>
    <w:rsid w:val="00C250FE"/>
    <w:rsid w:val="00C26E0E"/>
    <w:rsid w:val="00C27414"/>
    <w:rsid w:val="00C30AAC"/>
    <w:rsid w:val="00C31A6C"/>
    <w:rsid w:val="00C36878"/>
    <w:rsid w:val="00C443B6"/>
    <w:rsid w:val="00C44BB0"/>
    <w:rsid w:val="00C45BBB"/>
    <w:rsid w:val="00C463DD"/>
    <w:rsid w:val="00C47163"/>
    <w:rsid w:val="00C505CD"/>
    <w:rsid w:val="00C60D93"/>
    <w:rsid w:val="00C62A7A"/>
    <w:rsid w:val="00C64D42"/>
    <w:rsid w:val="00C70809"/>
    <w:rsid w:val="00C72A18"/>
    <w:rsid w:val="00C73173"/>
    <w:rsid w:val="00C745C3"/>
    <w:rsid w:val="00C805A7"/>
    <w:rsid w:val="00C83923"/>
    <w:rsid w:val="00C9213B"/>
    <w:rsid w:val="00C94EB3"/>
    <w:rsid w:val="00CA2221"/>
    <w:rsid w:val="00CA24A4"/>
    <w:rsid w:val="00CA3137"/>
    <w:rsid w:val="00CA3AF1"/>
    <w:rsid w:val="00CA44E1"/>
    <w:rsid w:val="00CA6540"/>
    <w:rsid w:val="00CA7045"/>
    <w:rsid w:val="00CB1981"/>
    <w:rsid w:val="00CB348D"/>
    <w:rsid w:val="00CB34BE"/>
    <w:rsid w:val="00CB4FCE"/>
    <w:rsid w:val="00CB51DE"/>
    <w:rsid w:val="00CB5B76"/>
    <w:rsid w:val="00CB763D"/>
    <w:rsid w:val="00CC0178"/>
    <w:rsid w:val="00CC1589"/>
    <w:rsid w:val="00CC1B3A"/>
    <w:rsid w:val="00CC4E06"/>
    <w:rsid w:val="00CC4EC6"/>
    <w:rsid w:val="00CD0F47"/>
    <w:rsid w:val="00CD1C17"/>
    <w:rsid w:val="00CD2214"/>
    <w:rsid w:val="00CD46F5"/>
    <w:rsid w:val="00CD58A9"/>
    <w:rsid w:val="00CD6883"/>
    <w:rsid w:val="00CD6C29"/>
    <w:rsid w:val="00CE2428"/>
    <w:rsid w:val="00CE4A8F"/>
    <w:rsid w:val="00CE52ED"/>
    <w:rsid w:val="00CF071D"/>
    <w:rsid w:val="00CF102B"/>
    <w:rsid w:val="00CF116C"/>
    <w:rsid w:val="00D00745"/>
    <w:rsid w:val="00D03595"/>
    <w:rsid w:val="00D1319A"/>
    <w:rsid w:val="00D13A4C"/>
    <w:rsid w:val="00D15B04"/>
    <w:rsid w:val="00D2031B"/>
    <w:rsid w:val="00D22806"/>
    <w:rsid w:val="00D231B0"/>
    <w:rsid w:val="00D23EAC"/>
    <w:rsid w:val="00D25583"/>
    <w:rsid w:val="00D25A28"/>
    <w:rsid w:val="00D25EC1"/>
    <w:rsid w:val="00D25FE2"/>
    <w:rsid w:val="00D27C0F"/>
    <w:rsid w:val="00D31B1C"/>
    <w:rsid w:val="00D334E3"/>
    <w:rsid w:val="00D33707"/>
    <w:rsid w:val="00D3462E"/>
    <w:rsid w:val="00D37DA9"/>
    <w:rsid w:val="00D406A7"/>
    <w:rsid w:val="00D43252"/>
    <w:rsid w:val="00D44D86"/>
    <w:rsid w:val="00D4540B"/>
    <w:rsid w:val="00D50B7D"/>
    <w:rsid w:val="00D52012"/>
    <w:rsid w:val="00D52588"/>
    <w:rsid w:val="00D53D19"/>
    <w:rsid w:val="00D57536"/>
    <w:rsid w:val="00D60D04"/>
    <w:rsid w:val="00D6633F"/>
    <w:rsid w:val="00D704E5"/>
    <w:rsid w:val="00D72727"/>
    <w:rsid w:val="00D731DD"/>
    <w:rsid w:val="00D73D7E"/>
    <w:rsid w:val="00D8478F"/>
    <w:rsid w:val="00D871AC"/>
    <w:rsid w:val="00D901A5"/>
    <w:rsid w:val="00D90395"/>
    <w:rsid w:val="00D90415"/>
    <w:rsid w:val="00D917F9"/>
    <w:rsid w:val="00D91E8D"/>
    <w:rsid w:val="00D922CE"/>
    <w:rsid w:val="00D978C6"/>
    <w:rsid w:val="00DA0956"/>
    <w:rsid w:val="00DA121A"/>
    <w:rsid w:val="00DA1D54"/>
    <w:rsid w:val="00DA357F"/>
    <w:rsid w:val="00DA3E12"/>
    <w:rsid w:val="00DB0BFD"/>
    <w:rsid w:val="00DB5900"/>
    <w:rsid w:val="00DB66FA"/>
    <w:rsid w:val="00DC0D23"/>
    <w:rsid w:val="00DC18AD"/>
    <w:rsid w:val="00DC36B8"/>
    <w:rsid w:val="00DC584A"/>
    <w:rsid w:val="00DC5972"/>
    <w:rsid w:val="00DD00F1"/>
    <w:rsid w:val="00DD138F"/>
    <w:rsid w:val="00DD3FE8"/>
    <w:rsid w:val="00DD641C"/>
    <w:rsid w:val="00DE0CB9"/>
    <w:rsid w:val="00DE178B"/>
    <w:rsid w:val="00DE2E5E"/>
    <w:rsid w:val="00DE3887"/>
    <w:rsid w:val="00DE5105"/>
    <w:rsid w:val="00DF1147"/>
    <w:rsid w:val="00DF1A1E"/>
    <w:rsid w:val="00DF1D5F"/>
    <w:rsid w:val="00DF4518"/>
    <w:rsid w:val="00DF45EB"/>
    <w:rsid w:val="00DF6A82"/>
    <w:rsid w:val="00DF7CAE"/>
    <w:rsid w:val="00E02011"/>
    <w:rsid w:val="00E04FFB"/>
    <w:rsid w:val="00E05E6D"/>
    <w:rsid w:val="00E06790"/>
    <w:rsid w:val="00E06CCB"/>
    <w:rsid w:val="00E133E5"/>
    <w:rsid w:val="00E13B19"/>
    <w:rsid w:val="00E1773B"/>
    <w:rsid w:val="00E20681"/>
    <w:rsid w:val="00E225EF"/>
    <w:rsid w:val="00E27AE7"/>
    <w:rsid w:val="00E324A0"/>
    <w:rsid w:val="00E37495"/>
    <w:rsid w:val="00E423C0"/>
    <w:rsid w:val="00E50BC6"/>
    <w:rsid w:val="00E53624"/>
    <w:rsid w:val="00E550E7"/>
    <w:rsid w:val="00E57974"/>
    <w:rsid w:val="00E62258"/>
    <w:rsid w:val="00E62965"/>
    <w:rsid w:val="00E6414C"/>
    <w:rsid w:val="00E672F0"/>
    <w:rsid w:val="00E7260F"/>
    <w:rsid w:val="00E82C50"/>
    <w:rsid w:val="00E83095"/>
    <w:rsid w:val="00E86772"/>
    <w:rsid w:val="00E8702D"/>
    <w:rsid w:val="00E87C7D"/>
    <w:rsid w:val="00E90695"/>
    <w:rsid w:val="00E916A9"/>
    <w:rsid w:val="00E916DE"/>
    <w:rsid w:val="00E92473"/>
    <w:rsid w:val="00E934EC"/>
    <w:rsid w:val="00E9388E"/>
    <w:rsid w:val="00E96630"/>
    <w:rsid w:val="00EA3AA7"/>
    <w:rsid w:val="00EA586A"/>
    <w:rsid w:val="00EB5B1B"/>
    <w:rsid w:val="00EB6177"/>
    <w:rsid w:val="00EC10B9"/>
    <w:rsid w:val="00EC1A07"/>
    <w:rsid w:val="00ED18DC"/>
    <w:rsid w:val="00ED6201"/>
    <w:rsid w:val="00ED7773"/>
    <w:rsid w:val="00ED78E9"/>
    <w:rsid w:val="00ED7A2A"/>
    <w:rsid w:val="00ED7F40"/>
    <w:rsid w:val="00EE3065"/>
    <w:rsid w:val="00EE4832"/>
    <w:rsid w:val="00EE4F04"/>
    <w:rsid w:val="00EF1D7F"/>
    <w:rsid w:val="00EF4426"/>
    <w:rsid w:val="00F0137E"/>
    <w:rsid w:val="00F0148F"/>
    <w:rsid w:val="00F01B6E"/>
    <w:rsid w:val="00F0348C"/>
    <w:rsid w:val="00F0524A"/>
    <w:rsid w:val="00F06FC0"/>
    <w:rsid w:val="00F07771"/>
    <w:rsid w:val="00F21786"/>
    <w:rsid w:val="00F2346A"/>
    <w:rsid w:val="00F237F4"/>
    <w:rsid w:val="00F33308"/>
    <w:rsid w:val="00F347BC"/>
    <w:rsid w:val="00F3742B"/>
    <w:rsid w:val="00F40CCF"/>
    <w:rsid w:val="00F41E7B"/>
    <w:rsid w:val="00F41FDB"/>
    <w:rsid w:val="00F42082"/>
    <w:rsid w:val="00F459B2"/>
    <w:rsid w:val="00F5337D"/>
    <w:rsid w:val="00F5390C"/>
    <w:rsid w:val="00F56D63"/>
    <w:rsid w:val="00F609A9"/>
    <w:rsid w:val="00F6280E"/>
    <w:rsid w:val="00F63A40"/>
    <w:rsid w:val="00F7472D"/>
    <w:rsid w:val="00F80C99"/>
    <w:rsid w:val="00F867EC"/>
    <w:rsid w:val="00F906FE"/>
    <w:rsid w:val="00F91B2B"/>
    <w:rsid w:val="00F96CB6"/>
    <w:rsid w:val="00FA28CC"/>
    <w:rsid w:val="00FA3135"/>
    <w:rsid w:val="00FA3269"/>
    <w:rsid w:val="00FA6CE5"/>
    <w:rsid w:val="00FB4490"/>
    <w:rsid w:val="00FB468B"/>
    <w:rsid w:val="00FB4D0C"/>
    <w:rsid w:val="00FC03CD"/>
    <w:rsid w:val="00FC0646"/>
    <w:rsid w:val="00FC0826"/>
    <w:rsid w:val="00FC161F"/>
    <w:rsid w:val="00FC2FC6"/>
    <w:rsid w:val="00FC48EC"/>
    <w:rsid w:val="00FC55A7"/>
    <w:rsid w:val="00FC68B7"/>
    <w:rsid w:val="00FD0A90"/>
    <w:rsid w:val="00FD1D35"/>
    <w:rsid w:val="00FD4600"/>
    <w:rsid w:val="00FD4B6B"/>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175AFCD2"/>
  <w15:chartTrackingRefBased/>
  <w15:docId w15:val="{4310A947-8FBF-4E97-813B-CD672BBC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uiPriority w:val="99"/>
    <w:semiHidden/>
    <w:rsid w:val="00A23E9E"/>
    <w:rPr>
      <w:color w:val="auto"/>
      <w:u w:val="none"/>
    </w:rPr>
  </w:style>
  <w:style w:type="paragraph" w:styleId="Footer">
    <w:name w:val="footer"/>
    <w:aliases w:val="3_G"/>
    <w:basedOn w:val="Normal"/>
    <w:link w:val="FooterChar"/>
    <w:uiPriority w:val="99"/>
    <w:rsid w:val="009F2EAC"/>
    <w:rPr>
      <w:sz w:val="16"/>
    </w:rPr>
  </w:style>
  <w:style w:type="paragraph" w:styleId="Header">
    <w:name w:val="header"/>
    <w:aliases w:val="6_G"/>
    <w:basedOn w:val="Normal"/>
    <w:link w:val="HeaderChar"/>
    <w:uiPriority w:val="99"/>
    <w:rsid w:val="00050F6B"/>
    <w:pPr>
      <w:pBdr>
        <w:bottom w:val="single" w:sz="4" w:space="4" w:color="auto"/>
      </w:pBdr>
    </w:pPr>
    <w:rPr>
      <w:b/>
      <w:sz w:val="18"/>
    </w:rPr>
  </w:style>
  <w:style w:type="character" w:customStyle="1" w:styleId="HeaderChar">
    <w:name w:val="Header Char"/>
    <w:aliases w:val="6_G Char"/>
    <w:link w:val="Header"/>
    <w:uiPriority w:val="99"/>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qFormat/>
    <w:rsid w:val="00D6633F"/>
    <w:rPr>
      <w:b/>
      <w:sz w:val="24"/>
      <w:lang w:eastAsia="en-US"/>
    </w:rPr>
  </w:style>
  <w:style w:type="character" w:customStyle="1" w:styleId="SingleTxtGChar">
    <w:name w:val="_ Single Txt_G Char"/>
    <w:qFormat/>
    <w:locked/>
    <w:rsid w:val="0079577B"/>
    <w:rPr>
      <w:lang w:val="en-GB" w:eastAsia="en-US"/>
    </w:rPr>
  </w:style>
  <w:style w:type="character" w:styleId="UnresolvedMention">
    <w:name w:val="Unresolved Mention"/>
    <w:basedOn w:val="DefaultParagraphFont"/>
    <w:uiPriority w:val="99"/>
    <w:semiHidden/>
    <w:unhideWhenUsed/>
    <w:rsid w:val="00C03A88"/>
    <w:rPr>
      <w:color w:val="605E5C"/>
      <w:shd w:val="clear" w:color="auto" w:fill="E1DFDD"/>
    </w:rPr>
  </w:style>
  <w:style w:type="paragraph" w:styleId="ListParagraph">
    <w:name w:val="List Paragraph"/>
    <w:basedOn w:val="Normal"/>
    <w:uiPriority w:val="99"/>
    <w:qFormat/>
    <w:rsid w:val="00E06CCB"/>
    <w:pPr>
      <w:spacing w:after="200" w:line="276" w:lineRule="auto"/>
      <w:ind w:left="720"/>
      <w:contextualSpacing/>
    </w:pPr>
    <w:rPr>
      <w:rFonts w:ascii="Calibri" w:hAnsi="Calibri"/>
      <w:color w:val="00000A"/>
      <w:sz w:val="22"/>
      <w:szCs w:val="22"/>
    </w:rPr>
  </w:style>
  <w:style w:type="character" w:customStyle="1" w:styleId="H23GChar">
    <w:name w:val="_ H_2/3_G Char"/>
    <w:link w:val="H23G"/>
    <w:locked/>
    <w:rsid w:val="008E4437"/>
    <w:rPr>
      <w:b/>
      <w:lang w:val="en-GB"/>
    </w:rPr>
  </w:style>
  <w:style w:type="paragraph" w:customStyle="1" w:styleId="Titre31">
    <w:name w:val="Titre 31"/>
    <w:basedOn w:val="Normal"/>
    <w:next w:val="Normal"/>
    <w:qFormat/>
    <w:rsid w:val="00857A4B"/>
    <w:pPr>
      <w:suppressAutoHyphens/>
      <w:spacing w:after="0"/>
      <w:outlineLvl w:val="2"/>
    </w:pPr>
  </w:style>
  <w:style w:type="character" w:customStyle="1" w:styleId="FootnoteTextChar">
    <w:name w:val="Footnote Text Char"/>
    <w:aliases w:val="5_G Char"/>
    <w:link w:val="FootnoteText"/>
    <w:qFormat/>
    <w:rsid w:val="00857A4B"/>
    <w:rPr>
      <w:sz w:val="18"/>
      <w:lang w:val="en-GB"/>
    </w:rPr>
  </w:style>
  <w:style w:type="character" w:customStyle="1" w:styleId="Ancredenotedebasdepage">
    <w:name w:val="Ancre de note de bas de page"/>
    <w:rsid w:val="00857A4B"/>
    <w:rPr>
      <w:vertAlign w:val="superscript"/>
    </w:rPr>
  </w:style>
  <w:style w:type="paragraph" w:styleId="Revision">
    <w:name w:val="Revision"/>
    <w:hidden/>
    <w:uiPriority w:val="99"/>
    <w:semiHidden/>
    <w:rsid w:val="00634534"/>
    <w:rPr>
      <w:lang w:val="en-GB"/>
    </w:rPr>
  </w:style>
  <w:style w:type="character" w:styleId="Strong">
    <w:name w:val="Strong"/>
    <w:uiPriority w:val="22"/>
    <w:qFormat/>
    <w:rsid w:val="005A415F"/>
    <w:rPr>
      <w:b/>
      <w:bCs/>
    </w:rPr>
  </w:style>
  <w:style w:type="paragraph" w:styleId="Title">
    <w:name w:val="Title"/>
    <w:basedOn w:val="Normal"/>
    <w:link w:val="TitleChar"/>
    <w:qFormat/>
    <w:rsid w:val="005A415F"/>
    <w:pPr>
      <w:suppressAutoHyphens/>
      <w:spacing w:before="240" w:after="60" w:line="240" w:lineRule="atLeast"/>
      <w:jc w:val="center"/>
      <w:outlineLvl w:val="0"/>
    </w:pPr>
    <w:rPr>
      <w:rFonts w:ascii="Arial" w:hAnsi="Arial"/>
      <w:b/>
      <w:bCs/>
      <w:kern w:val="28"/>
      <w:sz w:val="32"/>
      <w:szCs w:val="32"/>
    </w:rPr>
  </w:style>
  <w:style w:type="character" w:customStyle="1" w:styleId="TitleChar">
    <w:name w:val="Title Char"/>
    <w:basedOn w:val="DefaultParagraphFont"/>
    <w:link w:val="Title"/>
    <w:rsid w:val="005A415F"/>
    <w:rPr>
      <w:rFonts w:ascii="Arial" w:hAnsi="Arial"/>
      <w:b/>
      <w:bCs/>
      <w:kern w:val="28"/>
      <w:sz w:val="32"/>
      <w:szCs w:val="32"/>
      <w:lang w:val="en-GB"/>
    </w:rPr>
  </w:style>
  <w:style w:type="paragraph" w:customStyle="1" w:styleId="NoteHead">
    <w:name w:val="NoteHead"/>
    <w:basedOn w:val="Normal"/>
    <w:next w:val="Normal"/>
    <w:rsid w:val="005A415F"/>
    <w:pPr>
      <w:spacing w:before="720" w:after="720"/>
      <w:jc w:val="center"/>
    </w:pPr>
    <w:rPr>
      <w:b/>
      <w:smallCaps/>
      <w:sz w:val="24"/>
    </w:rPr>
  </w:style>
  <w:style w:type="character" w:customStyle="1" w:styleId="FooterChar">
    <w:name w:val="Footer Char"/>
    <w:aliases w:val="3_G Char"/>
    <w:link w:val="Footer"/>
    <w:uiPriority w:val="99"/>
    <w:rsid w:val="005A415F"/>
    <w:rPr>
      <w:sz w:val="16"/>
      <w:lang w:val="en-GB"/>
    </w:rPr>
  </w:style>
  <w:style w:type="paragraph" w:customStyle="1" w:styleId="ISOClause">
    <w:name w:val="ISO_Clause"/>
    <w:basedOn w:val="Normal"/>
    <w:rsid w:val="005A415F"/>
    <w:pPr>
      <w:spacing w:before="210" w:after="0" w:line="210" w:lineRule="exact"/>
    </w:pPr>
    <w:rPr>
      <w:rFonts w:ascii="Arial" w:hAnsi="Arial"/>
      <w:sz w:val="18"/>
    </w:rPr>
  </w:style>
  <w:style w:type="paragraph" w:customStyle="1" w:styleId="ISOComments">
    <w:name w:val="ISO_Comments"/>
    <w:basedOn w:val="Normal"/>
    <w:rsid w:val="005A415F"/>
    <w:pPr>
      <w:spacing w:before="210" w:after="0" w:line="210" w:lineRule="exact"/>
    </w:pPr>
    <w:rPr>
      <w:rFonts w:ascii="Arial" w:hAnsi="Arial"/>
      <w:sz w:val="18"/>
    </w:rPr>
  </w:style>
  <w:style w:type="paragraph" w:customStyle="1" w:styleId="ISOChange">
    <w:name w:val="ISO_Change"/>
    <w:basedOn w:val="Normal"/>
    <w:rsid w:val="005A415F"/>
    <w:pPr>
      <w:spacing w:before="210" w:after="0" w:line="210" w:lineRule="exact"/>
    </w:pPr>
    <w:rPr>
      <w:rFonts w:ascii="Arial" w:hAnsi="Arial"/>
      <w:sz w:val="18"/>
    </w:rPr>
  </w:style>
  <w:style w:type="paragraph" w:customStyle="1" w:styleId="ISOParagraph">
    <w:name w:val="ISO_Paragraph"/>
    <w:basedOn w:val="Normal"/>
    <w:rsid w:val="005A415F"/>
    <w:pPr>
      <w:spacing w:before="210" w:after="0" w:line="210" w:lineRule="exact"/>
    </w:pPr>
    <w:rPr>
      <w:rFonts w:ascii="Arial" w:hAnsi="Arial"/>
      <w:sz w:val="18"/>
    </w:rPr>
  </w:style>
  <w:style w:type="paragraph" w:customStyle="1" w:styleId="Pa0">
    <w:name w:val="Pa0"/>
    <w:basedOn w:val="Normal"/>
    <w:next w:val="Normal"/>
    <w:uiPriority w:val="99"/>
    <w:rsid w:val="005A415F"/>
    <w:pPr>
      <w:autoSpaceDE w:val="0"/>
      <w:autoSpaceDN w:val="0"/>
      <w:adjustRightInd w:val="0"/>
      <w:spacing w:after="0" w:line="361" w:lineRule="atLeast"/>
    </w:pPr>
    <w:rPr>
      <w:rFonts w:ascii="Cambria" w:hAnsi="Cambria"/>
      <w:sz w:val="24"/>
      <w:szCs w:val="24"/>
      <w:lang w:eastAsia="zh-CN"/>
    </w:rPr>
  </w:style>
  <w:style w:type="character" w:customStyle="1" w:styleId="ui-provider">
    <w:name w:val="ui-provider"/>
    <w:basedOn w:val="DefaultParagraphFont"/>
    <w:rsid w:val="005A4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Isabelle Porcu</DisplayName>
        <AccountId>1457</AccountId>
        <AccountType/>
      </UserInfo>
      <UserInfo>
        <DisplayName>Nadiya Dzyubynska</DisplayName>
        <AccountId>453</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BD81CD44-CBD8-42F6-A767-F6DF6EF0C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0564E-BA80-421B-88E7-17F888C98B3E}">
  <ds:schemaRefs>
    <ds:schemaRef ds:uri="http://schemas.openxmlformats.org/officeDocument/2006/bibliography"/>
  </ds:schemaRefs>
</ds:datastoreItem>
</file>

<file path=customXml/itemProps3.xml><?xml version="1.0" encoding="utf-8"?>
<ds:datastoreItem xmlns:ds="http://schemas.openxmlformats.org/officeDocument/2006/customXml" ds:itemID="{9EC0D251-4914-43D2-8613-65A800ED9A57}">
  <ds:schemaRefs>
    <ds:schemaRef ds:uri="http://schemas.microsoft.com/sharepoint/v3/contenttype/forms"/>
  </ds:schemaRefs>
</ds:datastoreItem>
</file>

<file path=customXml/itemProps4.xml><?xml version="1.0" encoding="utf-8"?>
<ds:datastoreItem xmlns:ds="http://schemas.openxmlformats.org/officeDocument/2006/customXml" ds:itemID="{B0E29F96-A8B4-4B40-BF7F-A219AB10C45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902</Words>
  <Characters>5145</Characters>
  <Application>Microsoft Office Word</Application>
  <DocSecurity>4</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
  <cp:keywords/>
  <cp:lastModifiedBy>Romain Hubert</cp:lastModifiedBy>
  <cp:revision>114</cp:revision>
  <cp:lastPrinted>2023-07-24T21:13:00Z</cp:lastPrinted>
  <dcterms:created xsi:type="dcterms:W3CDTF">2023-08-28T19:15:00Z</dcterms:created>
  <dcterms:modified xsi:type="dcterms:W3CDTF">2023-09-06T18:06:00Z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