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BD62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B5ACC1" w14:textId="77777777" w:rsidR="002D5AAC" w:rsidRDefault="002D5AAC" w:rsidP="007A0F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B13B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5609A9" w14:textId="58A3DD45" w:rsidR="002D5AAC" w:rsidRDefault="007A0F6A" w:rsidP="007A0F6A">
            <w:pPr>
              <w:jc w:val="right"/>
            </w:pPr>
            <w:r w:rsidRPr="007A0F6A">
              <w:rPr>
                <w:sz w:val="40"/>
              </w:rPr>
              <w:t>ECE</w:t>
            </w:r>
            <w:r>
              <w:t>/TRANS/WP.15/2023/15</w:t>
            </w:r>
          </w:p>
        </w:tc>
      </w:tr>
      <w:tr w:rsidR="002D5AAC" w14:paraId="1800AC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6D15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A082DC" wp14:editId="53C903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D105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328DC3" w14:textId="77777777" w:rsidR="002D5AAC" w:rsidRDefault="007A0F6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31D05A" w14:textId="77777777" w:rsidR="007A0F6A" w:rsidRDefault="007A0F6A" w:rsidP="007A0F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2023</w:t>
            </w:r>
          </w:p>
          <w:p w14:paraId="36EA09A5" w14:textId="77777777" w:rsidR="007A0F6A" w:rsidRDefault="007A0F6A" w:rsidP="007A0F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C84B61" w14:textId="289EE71D" w:rsidR="007A0F6A" w:rsidRPr="008D53B6" w:rsidRDefault="007A0F6A" w:rsidP="007A0F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EED89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26DE91" w14:textId="77777777" w:rsidR="00426158" w:rsidRPr="006D1370" w:rsidRDefault="00426158" w:rsidP="00426158">
      <w:pPr>
        <w:spacing w:before="120"/>
        <w:rPr>
          <w:sz w:val="28"/>
          <w:szCs w:val="28"/>
        </w:rPr>
      </w:pPr>
      <w:r w:rsidRPr="006D1370">
        <w:rPr>
          <w:sz w:val="28"/>
          <w:szCs w:val="28"/>
        </w:rPr>
        <w:t>Комитет по внутреннему транспорту</w:t>
      </w:r>
    </w:p>
    <w:p w14:paraId="26351BF2" w14:textId="77777777" w:rsidR="00426158" w:rsidRPr="006D1370" w:rsidRDefault="00426158" w:rsidP="00426158">
      <w:pPr>
        <w:spacing w:before="120"/>
        <w:rPr>
          <w:b/>
          <w:bCs/>
          <w:sz w:val="24"/>
          <w:szCs w:val="24"/>
        </w:rPr>
      </w:pPr>
      <w:r w:rsidRPr="006D1370">
        <w:rPr>
          <w:b/>
          <w:bCs/>
          <w:sz w:val="24"/>
          <w:szCs w:val="24"/>
        </w:rPr>
        <w:t>Рабочая группа по перевозкам опасных грузов</w:t>
      </w:r>
    </w:p>
    <w:p w14:paraId="5E7DE063" w14:textId="77777777" w:rsidR="00426158" w:rsidRPr="00B2665D" w:rsidRDefault="00426158" w:rsidP="00426158">
      <w:pPr>
        <w:spacing w:before="120"/>
        <w:rPr>
          <w:rFonts w:eastAsia="SimSun"/>
          <w:b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1E162F20" w14:textId="2C13A776" w:rsidR="00426158" w:rsidRPr="00B2665D" w:rsidRDefault="00426158" w:rsidP="00426158">
      <w:pPr>
        <w:rPr>
          <w:rFonts w:eastAsia="SimSun"/>
        </w:rPr>
      </w:pPr>
      <w:r>
        <w:t xml:space="preserve">Женева, </w:t>
      </w:r>
      <w:r w:rsidR="006D1370">
        <w:t xml:space="preserve">6–10 </w:t>
      </w:r>
      <w:r>
        <w:t>ноября 2023 года</w:t>
      </w:r>
    </w:p>
    <w:p w14:paraId="541AAD73" w14:textId="77777777" w:rsidR="00426158" w:rsidRPr="00B2665D" w:rsidRDefault="00426158" w:rsidP="00426158">
      <w:pPr>
        <w:autoSpaceDE w:val="0"/>
        <w:autoSpaceDN w:val="0"/>
        <w:adjustRightInd w:val="0"/>
      </w:pPr>
      <w:r>
        <w:t>Пункт 8 предварительной повестки дня</w:t>
      </w:r>
    </w:p>
    <w:p w14:paraId="1E7CF1EA" w14:textId="77777777" w:rsidR="00426158" w:rsidRPr="00B2665D" w:rsidRDefault="00426158" w:rsidP="00426158">
      <w:pPr>
        <w:rPr>
          <w:b/>
        </w:rPr>
      </w:pPr>
      <w:r>
        <w:rPr>
          <w:b/>
          <w:bCs/>
        </w:rPr>
        <w:t>Программа работы</w:t>
      </w:r>
    </w:p>
    <w:p w14:paraId="3A596F61" w14:textId="77777777" w:rsidR="00426158" w:rsidRPr="00B2665D" w:rsidRDefault="00426158" w:rsidP="00426158">
      <w:pPr>
        <w:pStyle w:val="HChG"/>
      </w:pPr>
      <w:r>
        <w:tab/>
      </w:r>
      <w:r>
        <w:tab/>
      </w:r>
      <w:r>
        <w:rPr>
          <w:bCs/>
        </w:rPr>
        <w:t>Эффективность и методы работы Рабочей группы</w:t>
      </w:r>
    </w:p>
    <w:p w14:paraId="1412C01F" w14:textId="77777777" w:rsidR="00426158" w:rsidRPr="00B2665D" w:rsidRDefault="00426158" w:rsidP="00426158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6D137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E611D9C" w14:textId="77777777" w:rsidR="00426158" w:rsidRPr="00B2665D" w:rsidRDefault="00426158" w:rsidP="00426158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Введение</w:t>
      </w:r>
    </w:p>
    <w:p w14:paraId="5EB9B3ED" w14:textId="77777777" w:rsidR="00426158" w:rsidRPr="00B2665D" w:rsidRDefault="00426158" w:rsidP="00426158">
      <w:pPr>
        <w:pStyle w:val="SingleTxtG"/>
      </w:pPr>
      <w:r>
        <w:t>1.</w:t>
      </w:r>
      <w:r>
        <w:tab/>
        <w:t>На своей восемьдесят пятой сессии Комитет по внутреннему транспорту решил провести обзор мандатов своих рабочих групп в течение 2023 года. См. пункт 18 документа ECE/TRANS/328.</w:t>
      </w:r>
    </w:p>
    <w:p w14:paraId="1538652A" w14:textId="77777777" w:rsidR="00426158" w:rsidRPr="00B2665D" w:rsidRDefault="00426158" w:rsidP="00426158">
      <w:pPr>
        <w:pStyle w:val="SingleTxtG"/>
      </w:pPr>
      <w:r>
        <w:t>2.</w:t>
      </w:r>
      <w:r>
        <w:tab/>
        <w:t>Обзор мандатов рабочих групп их вышестоящими секторальными комитетами осуществляется в соответствии с итогами реформы ЕЭК 2005 года и принятыми впоследствии Руководящими принципами создания и функционирования рабочих групп в рамках ЕЭК (ECE/EX/1).</w:t>
      </w:r>
    </w:p>
    <w:p w14:paraId="2F8DBC79" w14:textId="77777777" w:rsidR="00426158" w:rsidRPr="00B2665D" w:rsidRDefault="00426158" w:rsidP="00426158">
      <w:pPr>
        <w:pStyle w:val="SingleTxtG"/>
        <w:rPr>
          <w:rFonts w:eastAsia="Calibri"/>
        </w:rPr>
      </w:pPr>
      <w:r>
        <w:t>3.</w:t>
      </w:r>
      <w:r>
        <w:tab/>
        <w:t>Процесс обзора будет опираться на ряд оптимальных принципов и практических подходов, включая эффективное использование ресурсов. В связи с этим председателям рабочих групп предлагается представить Комитету по внутреннему транспорту предложения для определения возможных путей повышения эффективности и совершенствования методов работы.</w:t>
      </w:r>
    </w:p>
    <w:p w14:paraId="6B843AFB" w14:textId="77777777" w:rsidR="00426158" w:rsidRPr="00B2665D" w:rsidRDefault="00426158" w:rsidP="00426158">
      <w:pPr>
        <w:pStyle w:val="SingleTxtG"/>
        <w:rPr>
          <w:rFonts w:eastAsia="Calibri"/>
        </w:rPr>
      </w:pPr>
      <w:r>
        <w:t>4.</w:t>
      </w:r>
      <w:r>
        <w:tab/>
        <w:t xml:space="preserve">В этом контексте Рабочая группа, возможно, пожелает пересмотреть, при необходимости актуализировать и вновь подтвердить свое намерение следовать уже принятым ею методам работы в отношении ее графика сессий и правил, касающихся документации. </w:t>
      </w:r>
    </w:p>
    <w:p w14:paraId="4AD7A4E5" w14:textId="77777777" w:rsidR="00426158" w:rsidRPr="00B2665D" w:rsidRDefault="00426158" w:rsidP="00426158">
      <w:pPr>
        <w:pStyle w:val="SingleTxtG"/>
        <w:rPr>
          <w:rFonts w:eastAsia="Calibri"/>
        </w:rPr>
      </w:pPr>
      <w:r>
        <w:t>5.</w:t>
      </w:r>
      <w:r>
        <w:tab/>
        <w:t>Нижеследующая информация уже была представлена на сто тринадцатой сессии в неофициальном документе INF.19. На той сессии Рабочая группа высказала желание возобновить обсуждение графика сессий и правил, касающихся документации, на сто четырнадцатой сессии и обратилась к секретариату с просьбой представить неофициальный документ INF.19 в качестве официального документа.</w:t>
      </w:r>
    </w:p>
    <w:p w14:paraId="4DDDCCD1" w14:textId="77777777" w:rsidR="00426158" w:rsidRPr="00B2665D" w:rsidRDefault="00426158" w:rsidP="00426158">
      <w:pPr>
        <w:pStyle w:val="H1G"/>
        <w:rPr>
          <w:rFonts w:eastAsia="Calibri"/>
        </w:rPr>
      </w:pPr>
      <w:r>
        <w:lastRenderedPageBreak/>
        <w:tab/>
      </w:r>
      <w:r>
        <w:tab/>
      </w:r>
      <w:r>
        <w:rPr>
          <w:bCs/>
        </w:rPr>
        <w:t>Планирование и организация сессий</w:t>
      </w:r>
    </w:p>
    <w:p w14:paraId="51074FC8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Правила, касающиеся повестки дня последней за период поправок сессии</w:t>
      </w:r>
    </w:p>
    <w:p w14:paraId="208C8E0A" w14:textId="77777777" w:rsidR="00426158" w:rsidRPr="00B2665D" w:rsidRDefault="00426158" w:rsidP="0042615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>
        <w:t>6.</w:t>
      </w:r>
      <w:r>
        <w:tab/>
        <w:t>На сто тринадцатой сессии Рабочая группа подтвердила, что повестка дня последних сессий двухлетних периодов (ноябрьские сессии нечетных лет) может быть расширена за счет новых предложений по поправкам сообразно практике прошлых лет. В частности, это позволило посвятить время, которое высвободилось благодаря тому, что принятые Совместным совещанием тексты с положениями, общими для всех трех видов внутреннего транспорта, в целом больше не обсуждались в рамках Рабочей группы, рассмотрению новых положений, непосредственно касающихся автомобильных перевозок. См. документ ECE/TRANS/WP.15/262, пункт 11.</w:t>
      </w:r>
    </w:p>
    <w:p w14:paraId="4B31DC11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Предложение 1</w:t>
      </w:r>
    </w:p>
    <w:p w14:paraId="52D44820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rFonts w:eastAsia="Calibri"/>
        </w:rPr>
      </w:pPr>
      <w:r>
        <w:t>7.</w:t>
      </w:r>
      <w:r>
        <w:tab/>
        <w:t>На основе этого решения Рабочая группа, возможно, пожелает принять следующие пересмотренные правила, касающиеся повестки дня последней за период поправок сессии, вместо правил, принятых на ее шестьдесят четвертой сессии (TRANS/WP.15/153).</w:t>
      </w:r>
    </w:p>
    <w:p w14:paraId="34DFC632" w14:textId="4092867D" w:rsidR="00426158" w:rsidRPr="00B2665D" w:rsidRDefault="00333041" w:rsidP="00426158">
      <w:pPr>
        <w:pStyle w:val="SingleTxtG"/>
        <w:ind w:left="1701"/>
        <w:rPr>
          <w:rFonts w:eastAsia="Calibri"/>
        </w:rPr>
      </w:pPr>
      <w:r>
        <w:t>«</w:t>
      </w:r>
      <w:r w:rsidR="00426158">
        <w:t>На последней (ноябрьской) за период поправок сессии WP.15 рассматривает тексты всех поправок, принятых на предыдущих сессиях WP.15 и Совместного совещания.</w:t>
      </w:r>
    </w:p>
    <w:p w14:paraId="07C34C73" w14:textId="77777777" w:rsidR="00426158" w:rsidRPr="0019308F" w:rsidRDefault="00426158" w:rsidP="00426158">
      <w:pPr>
        <w:pStyle w:val="SingleTxtG"/>
        <w:ind w:left="1701"/>
        <w:rPr>
          <w:rFonts w:eastAsia="Calibri"/>
        </w:rPr>
      </w:pPr>
      <w:r>
        <w:t>На этой сессии WP.15 может рассмотреть также новые предложения по поправкам, если позволяет время. В этом случае приоритет следует отдавать новым документам, которые:</w:t>
      </w:r>
    </w:p>
    <w:p w14:paraId="6A589AE9" w14:textId="77777777" w:rsidR="00426158" w:rsidRPr="00B2665D" w:rsidRDefault="00426158" w:rsidP="00426158">
      <w:pPr>
        <w:pStyle w:val="Bullet1G"/>
        <w:numPr>
          <w:ilvl w:val="0"/>
          <w:numId w:val="22"/>
        </w:numPr>
        <w:tabs>
          <w:tab w:val="clear" w:pos="1701"/>
          <w:tab w:val="num" w:pos="2268"/>
        </w:tabs>
        <w:ind w:left="2268"/>
        <w:rPr>
          <w:rFonts w:eastAsia="Calibri"/>
        </w:rPr>
      </w:pPr>
      <w:r>
        <w:t>касаются изменений к тексту с поправками;</w:t>
      </w:r>
    </w:p>
    <w:p w14:paraId="643BD341" w14:textId="184CB387" w:rsidR="00426158" w:rsidRPr="00B2665D" w:rsidRDefault="00426158" w:rsidP="00426158">
      <w:pPr>
        <w:pStyle w:val="Bullet1G"/>
        <w:numPr>
          <w:ilvl w:val="0"/>
          <w:numId w:val="22"/>
        </w:numPr>
        <w:tabs>
          <w:tab w:val="clear" w:pos="1701"/>
          <w:tab w:val="num" w:pos="2268"/>
        </w:tabs>
        <w:ind w:left="2268"/>
        <w:rPr>
          <w:rFonts w:eastAsia="Calibri"/>
        </w:rPr>
      </w:pPr>
      <w:r>
        <w:t>направлены на согласование приложений с другими международными соглашениями, касающимися перевозки опасных грузов</w:t>
      </w:r>
      <w:r w:rsidR="001057BE">
        <w:t>»</w:t>
      </w:r>
      <w:r>
        <w:t>.</w:t>
      </w:r>
    </w:p>
    <w:p w14:paraId="6624530E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Количество и расписание сессий</w:t>
      </w:r>
    </w:p>
    <w:p w14:paraId="1A933640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rFonts w:eastAsia="Calibri"/>
        </w:rPr>
      </w:pPr>
      <w:r>
        <w:t>8.</w:t>
      </w:r>
      <w:r>
        <w:tab/>
        <w:t>Рабочая группа, возможно, пожелает пересмотреть нынешнее количество и расписание своих сессий с учетом существующей рабочей нагрузки и прогнозируемого развития ДОПОГ, а также с учетом нижеследующей информации.</w:t>
      </w:r>
    </w:p>
    <w:p w14:paraId="1C94F9E3" w14:textId="1A970352" w:rsidR="00426158" w:rsidRPr="00B2665D" w:rsidRDefault="00426158" w:rsidP="00426158">
      <w:pPr>
        <w:pStyle w:val="SingleTxtG"/>
        <w:rPr>
          <w:rFonts w:eastAsia="Calibri"/>
        </w:rPr>
      </w:pPr>
      <w:r>
        <w:t>9.</w:t>
      </w:r>
      <w:r>
        <w:tab/>
        <w:t>В течение последних двух лет Рабочая группа использовала не все выделенные ей дни для заседаний. В прошлом секретариат уже предлагал Рабочей группе изучить возможность сокращения продолжительности ее сессий или изменения расписания совещаний, с тем чтобы уменьшить предусмотренное для нее число</w:t>
      </w:r>
      <w:r w:rsidR="001057BE">
        <w:br/>
      </w:r>
      <w:r>
        <w:t xml:space="preserve">совещаний (см. документ ECE/TRANS/WP.15/2013/6). </w:t>
      </w:r>
    </w:p>
    <w:p w14:paraId="1A433BA1" w14:textId="77777777" w:rsidR="00426158" w:rsidRPr="00B2665D" w:rsidRDefault="00426158" w:rsidP="00426158">
      <w:pPr>
        <w:pStyle w:val="SingleTxtG"/>
      </w:pPr>
      <w:r>
        <w:t>10.</w:t>
      </w:r>
      <w:r>
        <w:tab/>
        <w:t>Первоначально в документе ECE/TRANS/WP.15/2013/6 было предложено заменить существующее расписание совещаний (четыре сессии в течение двухгодичного периода) новым расписанием, предусматривающим только три сессии в течение двухгодичного периода, организуемые следующим образом:</w:t>
      </w:r>
    </w:p>
    <w:p w14:paraId="205351E1" w14:textId="7B03AB0E" w:rsidR="00426158" w:rsidRPr="00B2665D" w:rsidRDefault="00426158" w:rsidP="00426158">
      <w:pPr>
        <w:pStyle w:val="SingleTxtG"/>
        <w:ind w:left="1701"/>
      </w:pPr>
      <w:r w:rsidRPr="00252EDE">
        <w:rPr>
          <w:b/>
          <w:bCs/>
        </w:rPr>
        <w:t>Четные годы (n)</w:t>
      </w:r>
      <w:r>
        <w:t>: Одна сессия в мае, в ходе которой при необходимости еще могут быть приняты какие-либо исправления к перечню поправок, вступающих в силу 1 января следующего года (n</w:t>
      </w:r>
      <w:r w:rsidR="006361FF">
        <w:t xml:space="preserve"> </w:t>
      </w:r>
      <w:r>
        <w:t>+</w:t>
      </w:r>
      <w:r w:rsidR="006361FF">
        <w:t xml:space="preserve"> </w:t>
      </w:r>
      <w:r>
        <w:t>1), и обсуждаются новые поправки, которые вступят в силу 1 января года n</w:t>
      </w:r>
      <w:r w:rsidR="006361FF">
        <w:t xml:space="preserve"> </w:t>
      </w:r>
      <w:r>
        <w:t>+</w:t>
      </w:r>
      <w:r w:rsidR="006361FF">
        <w:t xml:space="preserve"> </w:t>
      </w:r>
      <w:r>
        <w:t>3.</w:t>
      </w:r>
    </w:p>
    <w:p w14:paraId="3778D5AB" w14:textId="29F25E59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ind w:left="1701"/>
      </w:pPr>
      <w:r w:rsidRPr="00252EDE">
        <w:rPr>
          <w:b/>
          <w:bCs/>
        </w:rPr>
        <w:t>Нечетные годы (n</w:t>
      </w:r>
      <w:r w:rsidR="006361FF">
        <w:rPr>
          <w:b/>
          <w:bCs/>
        </w:rPr>
        <w:t xml:space="preserve"> </w:t>
      </w:r>
      <w:r w:rsidRPr="00252EDE">
        <w:rPr>
          <w:b/>
          <w:bCs/>
        </w:rPr>
        <w:t>+</w:t>
      </w:r>
      <w:r w:rsidR="006361FF">
        <w:rPr>
          <w:b/>
          <w:bCs/>
        </w:rPr>
        <w:t xml:space="preserve"> </w:t>
      </w:r>
      <w:r w:rsidRPr="00252EDE">
        <w:rPr>
          <w:b/>
          <w:bCs/>
        </w:rPr>
        <w:t>1)</w:t>
      </w:r>
      <w:r>
        <w:t xml:space="preserve">: Одна сессия в мае и одна сессия в конце октября </w:t>
      </w:r>
      <w:r w:rsidR="001057BE">
        <w:t>—</w:t>
      </w:r>
      <w:r>
        <w:t xml:space="preserve"> начале ноября. Вторая из этих сессий является последней сессией, в ходе которой теоретически могут быть приняты поправки, вступающие в силу 1</w:t>
      </w:r>
      <w:r w:rsidR="001057BE">
        <w:t> </w:t>
      </w:r>
      <w:r>
        <w:t>января следующего нечетного года (n</w:t>
      </w:r>
      <w:r w:rsidR="006361FF">
        <w:t xml:space="preserve"> </w:t>
      </w:r>
      <w:r>
        <w:t>+</w:t>
      </w:r>
      <w:r w:rsidR="006361FF">
        <w:t xml:space="preserve"> </w:t>
      </w:r>
      <w:r>
        <w:t>3).</w:t>
      </w:r>
    </w:p>
    <w:p w14:paraId="31A9CC0D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</w:pPr>
      <w:r>
        <w:t>11.</w:t>
      </w:r>
      <w:r>
        <w:tab/>
        <w:t xml:space="preserve">На тот момент большинство выступивших делегаций подтвердили, что, поскольку в рамках Рабочей группы предусмотрены направления деятельности, связанные, например, с пересмотром главы 9 ДОПОГ, учетом новых интеллектуальных транспортных систем и </w:t>
      </w:r>
      <w:r>
        <w:rPr>
          <w:rFonts w:eastAsiaTheme="minorEastAsia"/>
          <w:lang w:eastAsia="zh-CN" w:bidi="ar-TN"/>
        </w:rPr>
        <w:t>налаживанием</w:t>
      </w:r>
      <w:r>
        <w:t xml:space="preserve"> обмена информацией между </w:t>
      </w:r>
      <w:r>
        <w:lastRenderedPageBreak/>
        <w:t xml:space="preserve">Договаривающимися сторонами ДОПОГ, число совещаний необходимо оставить без изменения. </w:t>
      </w:r>
    </w:p>
    <w:p w14:paraId="5A05DAC6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b/>
          <w:bCs/>
        </w:rPr>
      </w:pPr>
      <w:r>
        <w:t>12.</w:t>
      </w:r>
      <w:r>
        <w:tab/>
        <w:t>Начиная с 2010 года Рабочая группа решила сократить продолжительность второй сессии нечетных лет до 8 совещаний (4 дня).</w:t>
      </w:r>
    </w:p>
    <w:p w14:paraId="2DA6C5C8" w14:textId="3FE933B3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rFonts w:eastAsia="Calibri"/>
        </w:rPr>
      </w:pPr>
      <w:r>
        <w:t>13.</w:t>
      </w:r>
      <w:r>
        <w:tab/>
        <w:t>За последние два года оказалось, что вместо запланированных 19 дней</w:t>
      </w:r>
      <w:r w:rsidR="001057BE">
        <w:br/>
      </w:r>
      <w:r>
        <w:t xml:space="preserve">(38 совещаний) Рабочая группа использовала только 15,5 дней (31 совещание). Следует отметить также, что в 2021 и 2022 годах продолжительность каждого совещания была сокращена до двух часов вместо трех из-за гибридного формата. </w:t>
      </w:r>
    </w:p>
    <w:p w14:paraId="71FE5A0D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rFonts w:eastAsia="Calibri"/>
        </w:rPr>
      </w:pPr>
      <w:r>
        <w:t>14.</w:t>
      </w:r>
      <w:r>
        <w:tab/>
        <w:t xml:space="preserve">Тот факт, что Рабочая группа использует не все выделенные ей ресурсы, может повлиять на объем бюджетных средств, закладываемых для нее в будущем. </w:t>
      </w:r>
    </w:p>
    <w:p w14:paraId="45D1A11B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Предложение 2</w:t>
      </w:r>
    </w:p>
    <w:p w14:paraId="161E505E" w14:textId="77777777" w:rsidR="00426158" w:rsidRPr="00B2665D" w:rsidRDefault="00426158" w:rsidP="0042615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rPr>
          <w:rFonts w:eastAsia="Calibri"/>
        </w:rPr>
      </w:pPr>
      <w:r>
        <w:t>15.</w:t>
      </w:r>
      <w:r>
        <w:tab/>
        <w:t>С учетом вышеизложенного, Рабочая группа, возможно, пожелает вновь рассмотреть предложение, содержащееся в пункте 10.</w:t>
      </w:r>
    </w:p>
    <w:p w14:paraId="23FDEB89" w14:textId="77777777" w:rsidR="00426158" w:rsidRPr="00B2665D" w:rsidRDefault="00426158" w:rsidP="00426158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Документация</w:t>
      </w:r>
    </w:p>
    <w:p w14:paraId="5F41A1E3" w14:textId="77777777" w:rsidR="00426158" w:rsidRPr="00B2665D" w:rsidRDefault="00426158" w:rsidP="00426158">
      <w:pPr>
        <w:pStyle w:val="SingleTxtG"/>
        <w:rPr>
          <w:rFonts w:eastAsia="Calibri"/>
        </w:rPr>
      </w:pPr>
      <w:r>
        <w:t>16.</w:t>
      </w:r>
      <w:r>
        <w:tab/>
        <w:t>Рабочая группа, возможно, пожелает пересмотреть, при необходимости актуализировать и вновь подтвердить свое намерение следовать принятым ею правилам в отношении документации.</w:t>
      </w:r>
    </w:p>
    <w:p w14:paraId="73EC675D" w14:textId="77777777" w:rsidR="00426158" w:rsidRPr="00B2665D" w:rsidRDefault="00426158" w:rsidP="00426158">
      <w:pPr>
        <w:pStyle w:val="SingleTxtG"/>
        <w:rPr>
          <w:rFonts w:eastAsia="Calibri"/>
        </w:rPr>
      </w:pPr>
      <w:r>
        <w:t>17.</w:t>
      </w:r>
      <w:r>
        <w:tab/>
        <w:t>На своей шестьдесят четвертой сессии Рабочая группа приняла правила, касающиеся документации, которая должна быть представлена на ее будущих сессиях. Эти правила были обновлены и воспроизведены в приложении к Правилам процедуры Рабочей группы (ECE/TRANS/WP.15/190/Add.1).</w:t>
      </w:r>
    </w:p>
    <w:p w14:paraId="4F465C30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Официальные документы</w:t>
      </w:r>
    </w:p>
    <w:p w14:paraId="594B6B96" w14:textId="77777777" w:rsidR="00426158" w:rsidRPr="00B2665D" w:rsidRDefault="00426158" w:rsidP="00426158">
      <w:pPr>
        <w:pStyle w:val="SingleTxtG"/>
        <w:rPr>
          <w:rFonts w:eastAsia="SimSun"/>
        </w:rPr>
      </w:pPr>
      <w:r>
        <w:t>18.</w:t>
      </w:r>
      <w:r>
        <w:tab/>
        <w:t>Правила представления официальных документов надлежащим образом соблюдаются участниками Рабочей группы. Их можно обновить с учетом недавнего решения Рабочей группы предложить делегациям при подаче предложений включать в раздел «Обоснование» информацию о любых возможных взаимосвязях с целями в области устойчивого развития (ЦУР) и циклической экономикой.</w:t>
      </w:r>
    </w:p>
    <w:p w14:paraId="3D6B44A4" w14:textId="6D32A1F1" w:rsidR="00426158" w:rsidRPr="00B2665D" w:rsidRDefault="00426158" w:rsidP="00426158">
      <w:pPr>
        <w:pStyle w:val="SingleTxtG"/>
        <w:rPr>
          <w:rFonts w:eastAsia="Calibri"/>
        </w:rPr>
      </w:pPr>
      <w:r>
        <w:t>19.</w:t>
      </w:r>
      <w:r>
        <w:tab/>
        <w:t>Для этого секретариат определил круг ЦУР и связанных с ними задач, имеющих особую значимость для деятельности Рабочей группы. Эта информация</w:t>
      </w:r>
      <w:r w:rsidR="001057BE">
        <w:br/>
      </w:r>
      <w:r>
        <w:t>опубликована на веб-сайте Европейской экономической комиссии,</w:t>
      </w:r>
      <w:r w:rsidR="001057BE">
        <w:br/>
      </w:r>
      <w:r w:rsidRPr="001057BE">
        <w:rPr>
          <w:spacing w:val="-2"/>
        </w:rPr>
        <w:t xml:space="preserve">URL: </w:t>
      </w:r>
      <w:hyperlink r:id="rId8" w:history="1">
        <w:r w:rsidR="001057BE" w:rsidRPr="00B116E3">
          <w:rPr>
            <w:rStyle w:val="af1"/>
            <w:spacing w:val="-2"/>
          </w:rPr>
          <w:t>https://unece.org/transport/dangerous-goods/unece-bodies-dealing-transport-dangerous-goods</w:t>
        </w:r>
      </w:hyperlink>
      <w:r w:rsidRPr="001057BE">
        <w:rPr>
          <w:spacing w:val="-2"/>
        </w:rPr>
        <w:t>.</w:t>
      </w:r>
      <w:r>
        <w:t xml:space="preserve"> </w:t>
      </w:r>
    </w:p>
    <w:p w14:paraId="573517AD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Предложение 3</w:t>
      </w:r>
    </w:p>
    <w:p w14:paraId="2ADA285B" w14:textId="27B7531B" w:rsidR="00426158" w:rsidRPr="00B2665D" w:rsidRDefault="00426158" w:rsidP="00426158">
      <w:pPr>
        <w:pStyle w:val="SingleTxtG"/>
      </w:pPr>
      <w:r>
        <w:t>20.</w:t>
      </w:r>
      <w:r>
        <w:tab/>
        <w:t xml:space="preserve">В приложении (Правила, касающиеся документов, представляемых на рассмотрение Рабочей группы по перевозкам опасных грузов) к Правилам процедуры, содержащимся в документе ECE/TRANS/WP.15/190/Add.1, в пункте 4 после строки </w:t>
      </w:r>
      <w:r w:rsidR="001057BE">
        <w:t>«</w:t>
      </w:r>
      <w:r>
        <w:t>Обеспечение применения</w:t>
      </w:r>
      <w:r w:rsidR="001057BE">
        <w:t>»</w:t>
      </w:r>
      <w:r>
        <w:t xml:space="preserve"> добавить следующую новую строку:</w:t>
      </w:r>
    </w:p>
    <w:p w14:paraId="0E4B031A" w14:textId="5D566180" w:rsidR="00426158" w:rsidRPr="00B2665D" w:rsidRDefault="001057BE" w:rsidP="00426158">
      <w:pPr>
        <w:pStyle w:val="SingleTxtG"/>
        <w:rPr>
          <w:rFonts w:eastAsia="SimSun"/>
        </w:rPr>
      </w:pPr>
      <w:r>
        <w:t>«</w:t>
      </w:r>
      <w:r w:rsidR="00426158">
        <w:t>Циклическая экономика, устойчивое использование природных ресурсов и цели в области устойчивого развития (ЦУР): могут ли предлагаемые поправки повлиять на переход к циклической экономике? Могут ли предлагаемые поправки помочь добиться устойчивого управления природными ресурсами и их устойчивого использования? Каким образом предлагаемые поправки могут способствовать достижению некоторых ЦУР и связанных с ними задач в соответствии с Повесткой дня в области устойчивого развития на период до 2030 года?</w:t>
      </w:r>
      <w:r>
        <w:t>»</w:t>
      </w:r>
      <w:r w:rsidR="00426158">
        <w:t>.</w:t>
      </w:r>
    </w:p>
    <w:p w14:paraId="6EC2C054" w14:textId="77777777" w:rsidR="00426158" w:rsidRPr="00B2665D" w:rsidRDefault="00426158" w:rsidP="00E44E18">
      <w:pPr>
        <w:pStyle w:val="H23G"/>
        <w:pageBreakBefore/>
        <w:rPr>
          <w:rFonts w:eastAsia="Calibri"/>
        </w:rPr>
      </w:pPr>
      <w:r>
        <w:lastRenderedPageBreak/>
        <w:tab/>
      </w:r>
      <w:r>
        <w:tab/>
      </w:r>
      <w:r>
        <w:rPr>
          <w:bCs/>
        </w:rPr>
        <w:t>Неофициальные документы</w:t>
      </w:r>
    </w:p>
    <w:p w14:paraId="40594616" w14:textId="77777777" w:rsidR="00426158" w:rsidRPr="00B2665D" w:rsidRDefault="00426158" w:rsidP="00426158">
      <w:pPr>
        <w:pStyle w:val="SingleTxtG"/>
        <w:rPr>
          <w:rFonts w:eastAsia="Calibri"/>
        </w:rPr>
      </w:pPr>
      <w:r>
        <w:t>21.</w:t>
      </w:r>
      <w:r>
        <w:tab/>
        <w:t xml:space="preserve">Правила представления </w:t>
      </w:r>
      <w:proofErr w:type="gramStart"/>
      <w:r>
        <w:t>неофициальных документов</w:t>
      </w:r>
      <w:proofErr w:type="gramEnd"/>
      <w:r>
        <w:t xml:space="preserve"> следующие:</w:t>
      </w:r>
    </w:p>
    <w:p w14:paraId="3BE27F4D" w14:textId="77777777" w:rsidR="00426158" w:rsidRPr="00B2665D" w:rsidRDefault="00426158" w:rsidP="00426158">
      <w:pPr>
        <w:pStyle w:val="SingleTxtG"/>
        <w:rPr>
          <w:rFonts w:eastAsia="Calibri"/>
        </w:rPr>
      </w:pPr>
      <w:r>
        <w:tab/>
        <w:t>Неофициальные документы могут быть представлены для рассмотрения на сессии, если:</w:t>
      </w:r>
    </w:p>
    <w:p w14:paraId="7B3A877C" w14:textId="0D75280F" w:rsidR="00426158" w:rsidRPr="00B2665D" w:rsidRDefault="00543E08" w:rsidP="00543E08">
      <w:pPr>
        <w:pStyle w:val="SingleTxtG"/>
        <w:rPr>
          <w:rFonts w:eastAsia="Calibri"/>
        </w:rPr>
      </w:pPr>
      <w:r>
        <w:tab/>
      </w:r>
      <w:r w:rsidR="00426158">
        <w:t>a)</w:t>
      </w:r>
      <w:r w:rsidR="00426158">
        <w:tab/>
        <w:t>они содержат конкретные замечания или дополнительные сведения, которые касаются нового документа, включенного в предварительную повестку дня, и которые поэтому не могли быть своевременно представлены;</w:t>
      </w:r>
    </w:p>
    <w:p w14:paraId="0F6C8A13" w14:textId="628E7FB8" w:rsidR="00426158" w:rsidRPr="00B2665D" w:rsidRDefault="00543E08" w:rsidP="00543E08">
      <w:pPr>
        <w:pStyle w:val="SingleTxtG"/>
        <w:rPr>
          <w:rFonts w:eastAsia="Calibri"/>
        </w:rPr>
      </w:pPr>
      <w:r>
        <w:tab/>
      </w:r>
      <w:r w:rsidR="00426158">
        <w:t>b)</w:t>
      </w:r>
      <w:r w:rsidR="00426158">
        <w:tab/>
        <w:t>они представлены исключительно в информационных целях и не требуют принятия решения Рабочей группой;</w:t>
      </w:r>
    </w:p>
    <w:p w14:paraId="51F9AF47" w14:textId="0FC69F7F" w:rsidR="00426158" w:rsidRPr="00B2665D" w:rsidRDefault="00543E08" w:rsidP="00543E08">
      <w:pPr>
        <w:pStyle w:val="SingleTxtG"/>
        <w:rPr>
          <w:rFonts w:eastAsia="Calibri"/>
        </w:rPr>
      </w:pPr>
      <w:r>
        <w:tab/>
      </w:r>
      <w:r w:rsidR="00426158">
        <w:t>c)</w:t>
      </w:r>
      <w:r w:rsidR="00426158">
        <w:tab/>
        <w:t xml:space="preserve">они направлены на исправление явных ошибок в существующих текстах; </w:t>
      </w:r>
    </w:p>
    <w:p w14:paraId="72C60F5B" w14:textId="51E182F5" w:rsidR="00426158" w:rsidRPr="00B2665D" w:rsidRDefault="00543E08" w:rsidP="00543E08">
      <w:pPr>
        <w:pStyle w:val="SingleTxtG"/>
        <w:rPr>
          <w:rFonts w:eastAsia="Calibri"/>
        </w:rPr>
      </w:pPr>
      <w:r>
        <w:tab/>
      </w:r>
      <w:r w:rsidR="00426158">
        <w:t>d)</w:t>
      </w:r>
      <w:r w:rsidR="00426158">
        <w:tab/>
        <w:t>они направлены на уточнение толкования существующих текстов; или</w:t>
      </w:r>
    </w:p>
    <w:p w14:paraId="33480AB9" w14:textId="5369D735" w:rsidR="00426158" w:rsidRPr="00B2665D" w:rsidRDefault="00543E08" w:rsidP="00543E08">
      <w:pPr>
        <w:pStyle w:val="SingleTxtG"/>
        <w:rPr>
          <w:rFonts w:eastAsia="Calibri"/>
        </w:rPr>
      </w:pPr>
      <w:r>
        <w:tab/>
      </w:r>
      <w:r w:rsidR="00426158">
        <w:t>e)</w:t>
      </w:r>
      <w:r w:rsidR="00426158">
        <w:tab/>
        <w:t>они содержат доклад неофициальной рабочей группы, упомянутый в предварительной повестке дня.</w:t>
      </w:r>
    </w:p>
    <w:p w14:paraId="6DD02E00" w14:textId="71640450" w:rsidR="00426158" w:rsidRPr="00B2665D" w:rsidRDefault="00426158" w:rsidP="00426158">
      <w:pPr>
        <w:pStyle w:val="SingleTxtG"/>
        <w:rPr>
          <w:rFonts w:eastAsia="Calibri"/>
        </w:rPr>
      </w:pPr>
      <w:r>
        <w:t>22.</w:t>
      </w:r>
      <w:r>
        <w:tab/>
        <w:t xml:space="preserve">Начиная с двухлетнего периода </w:t>
      </w:r>
      <w:r w:rsidR="00E44E18">
        <w:t xml:space="preserve">2012–2013 </w:t>
      </w:r>
      <w:r>
        <w:t xml:space="preserve">годов количество документов, представляемых на рассмотрение на каждой сессии, остается низким, и, судя по всему, решения по поправкам или вопросам толкования иногда принимаются на основе неофициальных документов. </w:t>
      </w:r>
    </w:p>
    <w:p w14:paraId="6681AB30" w14:textId="77777777" w:rsidR="00426158" w:rsidRPr="00B2665D" w:rsidRDefault="00426158" w:rsidP="00426158">
      <w:pPr>
        <w:pStyle w:val="SingleTxtG"/>
        <w:rPr>
          <w:rFonts w:eastAsia="Calibri"/>
        </w:rPr>
      </w:pPr>
      <w:r>
        <w:t>23.</w:t>
      </w:r>
      <w:r>
        <w:tab/>
        <w:t xml:space="preserve">Это затрудняет работу секретариата и Бюро по планированию совещаний и может повлиять на бюджет, выделяемый Рабочей группе в будущем, поскольку количество выпущенных документов для заседающих органов используется государствами-членами для оценки эффективности подпрограмм ЕЭК. </w:t>
      </w:r>
    </w:p>
    <w:p w14:paraId="17912D93" w14:textId="77777777" w:rsidR="00426158" w:rsidRPr="00B2665D" w:rsidRDefault="00426158" w:rsidP="00426158">
      <w:pPr>
        <w:pStyle w:val="SingleTxtG"/>
        <w:rPr>
          <w:rFonts w:eastAsia="Calibri"/>
        </w:rPr>
      </w:pPr>
      <w:r>
        <w:t>24.</w:t>
      </w:r>
      <w:r>
        <w:tab/>
        <w:t>Кроме того, большинство неофициальных документов доступны только на английском языке, что не способствует инклюзивному обсуждению. Они зачастую также представляются с опозданием, что не позволяет участникам провести национальные консультации до начала обсуждения.</w:t>
      </w:r>
    </w:p>
    <w:p w14:paraId="378E31C6" w14:textId="77777777" w:rsidR="00426158" w:rsidRPr="00B2665D" w:rsidRDefault="00426158" w:rsidP="00426158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Предложение 4</w:t>
      </w:r>
    </w:p>
    <w:p w14:paraId="65185CCF" w14:textId="77777777" w:rsidR="00426158" w:rsidRPr="00B2665D" w:rsidRDefault="00426158" w:rsidP="00426158">
      <w:pPr>
        <w:pStyle w:val="SingleTxtG"/>
        <w:rPr>
          <w:rFonts w:eastAsia="Calibri"/>
        </w:rPr>
      </w:pPr>
      <w:r>
        <w:t>25.</w:t>
      </w:r>
      <w:r>
        <w:tab/>
        <w:t>Рабочая группа, возможно, пожелает подтвердить правила представления неофициальных документов, изложенные в документе ECE/TRANS/WP.15/190/Add.1, и предложить делегациям по возможности отдавать предпочтение представлениям в официальных документах.</w:t>
      </w:r>
    </w:p>
    <w:p w14:paraId="72AD4FE8" w14:textId="77777777" w:rsidR="00426158" w:rsidRPr="00B2665D" w:rsidRDefault="00426158" w:rsidP="00426158">
      <w:pPr>
        <w:spacing w:before="240"/>
        <w:jc w:val="center"/>
        <w:rPr>
          <w:u w:val="single"/>
        </w:rPr>
      </w:pPr>
      <w:r w:rsidRPr="00B2665D">
        <w:rPr>
          <w:u w:val="single"/>
        </w:rPr>
        <w:tab/>
      </w:r>
      <w:r w:rsidRPr="00B2665D">
        <w:rPr>
          <w:u w:val="single"/>
        </w:rPr>
        <w:tab/>
      </w:r>
      <w:r w:rsidRPr="00B2665D">
        <w:rPr>
          <w:u w:val="single"/>
        </w:rPr>
        <w:tab/>
      </w:r>
    </w:p>
    <w:p w14:paraId="36EC13B2" w14:textId="77777777" w:rsidR="00E12C5F" w:rsidRPr="008D53B6" w:rsidRDefault="00E12C5F" w:rsidP="00D9145B"/>
    <w:sectPr w:rsidR="00E12C5F" w:rsidRPr="008D53B6" w:rsidSect="007A0F6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640D" w14:textId="77777777" w:rsidR="0025469A" w:rsidRPr="00A312BC" w:rsidRDefault="0025469A" w:rsidP="00A312BC"/>
  </w:endnote>
  <w:endnote w:type="continuationSeparator" w:id="0">
    <w:p w14:paraId="3036B730" w14:textId="77777777" w:rsidR="0025469A" w:rsidRPr="00A312BC" w:rsidRDefault="002546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0B8B" w14:textId="03671BDD" w:rsidR="007A0F6A" w:rsidRPr="007A0F6A" w:rsidRDefault="007A0F6A">
    <w:pPr>
      <w:pStyle w:val="a8"/>
    </w:pPr>
    <w:r w:rsidRPr="007A0F6A">
      <w:rPr>
        <w:b/>
        <w:sz w:val="18"/>
      </w:rPr>
      <w:fldChar w:fldCharType="begin"/>
    </w:r>
    <w:r w:rsidRPr="007A0F6A">
      <w:rPr>
        <w:b/>
        <w:sz w:val="18"/>
      </w:rPr>
      <w:instrText xml:space="preserve"> PAGE  \* MERGEFORMAT </w:instrText>
    </w:r>
    <w:r w:rsidRPr="007A0F6A">
      <w:rPr>
        <w:b/>
        <w:sz w:val="18"/>
      </w:rPr>
      <w:fldChar w:fldCharType="separate"/>
    </w:r>
    <w:r w:rsidRPr="007A0F6A">
      <w:rPr>
        <w:b/>
        <w:noProof/>
        <w:sz w:val="18"/>
      </w:rPr>
      <w:t>2</w:t>
    </w:r>
    <w:r w:rsidRPr="007A0F6A">
      <w:rPr>
        <w:b/>
        <w:sz w:val="18"/>
      </w:rPr>
      <w:fldChar w:fldCharType="end"/>
    </w:r>
    <w:r>
      <w:rPr>
        <w:b/>
        <w:sz w:val="18"/>
      </w:rPr>
      <w:tab/>
    </w:r>
    <w:r>
      <w:t>GE.23-15923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F605" w14:textId="54639D6F" w:rsidR="007A0F6A" w:rsidRPr="007A0F6A" w:rsidRDefault="007A0F6A" w:rsidP="007A0F6A">
    <w:pPr>
      <w:pStyle w:val="a8"/>
      <w:tabs>
        <w:tab w:val="clear" w:pos="9639"/>
        <w:tab w:val="right" w:pos="9638"/>
      </w:tabs>
      <w:rPr>
        <w:b/>
        <w:sz w:val="18"/>
      </w:rPr>
    </w:pPr>
    <w:r>
      <w:t>GE.23-15923</w:t>
    </w:r>
    <w:r>
      <w:tab/>
    </w:r>
    <w:r w:rsidRPr="007A0F6A">
      <w:rPr>
        <w:b/>
        <w:sz w:val="18"/>
      </w:rPr>
      <w:fldChar w:fldCharType="begin"/>
    </w:r>
    <w:r w:rsidRPr="007A0F6A">
      <w:rPr>
        <w:b/>
        <w:sz w:val="18"/>
      </w:rPr>
      <w:instrText xml:space="preserve"> PAGE  \* MERGEFORMAT </w:instrText>
    </w:r>
    <w:r w:rsidRPr="007A0F6A">
      <w:rPr>
        <w:b/>
        <w:sz w:val="18"/>
      </w:rPr>
      <w:fldChar w:fldCharType="separate"/>
    </w:r>
    <w:r w:rsidRPr="007A0F6A">
      <w:rPr>
        <w:b/>
        <w:noProof/>
        <w:sz w:val="18"/>
      </w:rPr>
      <w:t>3</w:t>
    </w:r>
    <w:r w:rsidRPr="007A0F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372" w14:textId="63D4CC8F" w:rsidR="00042B72" w:rsidRPr="006D1370" w:rsidRDefault="007A0F6A" w:rsidP="007A0F6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8E61C5" wp14:editId="369B12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15923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F2BC19" wp14:editId="3AFF67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370">
      <w:rPr>
        <w:lang w:val="en-US"/>
      </w:rPr>
      <w:t xml:space="preserve">  150923  180923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820" w14:textId="77777777" w:rsidR="0025469A" w:rsidRPr="001075E9" w:rsidRDefault="002546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4677E" w14:textId="77777777" w:rsidR="0025469A" w:rsidRDefault="002546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DF67E5" w14:textId="77777777" w:rsidR="00426158" w:rsidRPr="00AD4A1B" w:rsidRDefault="00426158" w:rsidP="00426158">
      <w:pPr>
        <w:pStyle w:val="ad"/>
      </w:pPr>
      <w:r>
        <w:tab/>
      </w:r>
      <w:r w:rsidRPr="006D1370">
        <w:rPr>
          <w:sz w:val="20"/>
        </w:rPr>
        <w:t>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580" w14:textId="1AEAE372" w:rsidR="007A0F6A" w:rsidRPr="007A0F6A" w:rsidRDefault="007A0F6A">
    <w:pPr>
      <w:pStyle w:val="a5"/>
    </w:pPr>
    <w:fldSimple w:instr=" TITLE  \* MERGEFORMAT ">
      <w:r w:rsidR="005007B1">
        <w:t>ECE/TRANS/WP.15/2023/15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903" w14:textId="4D00F97A" w:rsidR="007A0F6A" w:rsidRPr="007A0F6A" w:rsidRDefault="007A0F6A" w:rsidP="007A0F6A">
    <w:pPr>
      <w:pStyle w:val="a5"/>
      <w:jc w:val="right"/>
    </w:pPr>
    <w:fldSimple w:instr=" TITLE  \* MERGEFORMAT ">
      <w:r w:rsidR="005007B1">
        <w:t>ECE/TRANS/WP.15/2023/15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758135048">
    <w:abstractNumId w:val="16"/>
  </w:num>
  <w:num w:numId="23" w16cid:durableId="3408572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9A"/>
    <w:rsid w:val="00012E2B"/>
    <w:rsid w:val="00033EE1"/>
    <w:rsid w:val="00042B72"/>
    <w:rsid w:val="000558BD"/>
    <w:rsid w:val="000B57E7"/>
    <w:rsid w:val="000B6373"/>
    <w:rsid w:val="000E4E5B"/>
    <w:rsid w:val="000F09DF"/>
    <w:rsid w:val="000F61B2"/>
    <w:rsid w:val="001057BE"/>
    <w:rsid w:val="001075E9"/>
    <w:rsid w:val="0014152F"/>
    <w:rsid w:val="00180183"/>
    <w:rsid w:val="0018024D"/>
    <w:rsid w:val="0018649F"/>
    <w:rsid w:val="00196389"/>
    <w:rsid w:val="001B3EF6"/>
    <w:rsid w:val="001C7A89"/>
    <w:rsid w:val="0025469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041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6158"/>
    <w:rsid w:val="00452493"/>
    <w:rsid w:val="00453318"/>
    <w:rsid w:val="00454AF2"/>
    <w:rsid w:val="00454E07"/>
    <w:rsid w:val="00472C5C"/>
    <w:rsid w:val="00485F8A"/>
    <w:rsid w:val="004E05B7"/>
    <w:rsid w:val="005007B1"/>
    <w:rsid w:val="0050108D"/>
    <w:rsid w:val="00513081"/>
    <w:rsid w:val="00517901"/>
    <w:rsid w:val="00526683"/>
    <w:rsid w:val="00526DB8"/>
    <w:rsid w:val="00543E0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1FF"/>
    <w:rsid w:val="00640F49"/>
    <w:rsid w:val="00680D03"/>
    <w:rsid w:val="00681A10"/>
    <w:rsid w:val="006A1ED8"/>
    <w:rsid w:val="006C2031"/>
    <w:rsid w:val="006D1370"/>
    <w:rsid w:val="006D461A"/>
    <w:rsid w:val="006F35EE"/>
    <w:rsid w:val="007021FF"/>
    <w:rsid w:val="00712895"/>
    <w:rsid w:val="00734ACB"/>
    <w:rsid w:val="00757357"/>
    <w:rsid w:val="00792497"/>
    <w:rsid w:val="007A0F6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E18"/>
    <w:rsid w:val="00E73F76"/>
    <w:rsid w:val="00EA2C9F"/>
    <w:rsid w:val="00EA420E"/>
    <w:rsid w:val="00ED0BDA"/>
    <w:rsid w:val="00EE142A"/>
    <w:rsid w:val="00EE16F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7FC3"/>
  <w15:docId w15:val="{BEBDEB77-BDED-4957-B7E5-CFC5517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26158"/>
    <w:rPr>
      <w:lang w:val="ru-RU" w:eastAsia="en-US"/>
    </w:rPr>
  </w:style>
  <w:style w:type="paragraph" w:customStyle="1" w:styleId="ParNoG">
    <w:name w:val="_ParNo_G"/>
    <w:basedOn w:val="a"/>
    <w:qFormat/>
    <w:rsid w:val="00426158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styleId="af3">
    <w:name w:val="Unresolved Mention"/>
    <w:basedOn w:val="a0"/>
    <w:uiPriority w:val="99"/>
    <w:semiHidden/>
    <w:unhideWhenUsed/>
    <w:rsid w:val="0010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unece-bodies-dealing-transport-dangerous-good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85C9-A491-4187-88D3-36D813382787}"/>
</file>

<file path=customXml/itemProps2.xml><?xml version="1.0" encoding="utf-8"?>
<ds:datastoreItem xmlns:ds="http://schemas.openxmlformats.org/officeDocument/2006/customXml" ds:itemID="{E4758677-53BF-41E1-800A-A5694DCB099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1213</Words>
  <Characters>8431</Characters>
  <Application>Microsoft Office Word</Application>
  <DocSecurity>0</DocSecurity>
  <Lines>172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ECE/TRANS/WP.15/2023/15</dc:title>
  <dc:subject/>
  <dc:creator>Uliana ANTIPOVA</dc:creator>
  <cp:keywords/>
  <cp:lastModifiedBy>Uliana Antipova</cp:lastModifiedBy>
  <cp:revision>3</cp:revision>
  <cp:lastPrinted>2023-09-18T06:58:00Z</cp:lastPrinted>
  <dcterms:created xsi:type="dcterms:W3CDTF">2023-09-18T06:58:00Z</dcterms:created>
  <dcterms:modified xsi:type="dcterms:W3CDTF">2023-09-18T06:59:00Z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