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F252E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3064B6" w14:textId="77777777" w:rsidR="002D5AAC" w:rsidRDefault="002D5AAC" w:rsidP="006340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9458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1DDE9E" w14:textId="60BB3DCF" w:rsidR="002D5AAC" w:rsidRDefault="0063404D" w:rsidP="0063404D">
            <w:pPr>
              <w:jc w:val="right"/>
            </w:pPr>
            <w:r w:rsidRPr="0063404D">
              <w:rPr>
                <w:sz w:val="40"/>
              </w:rPr>
              <w:t>ECE</w:t>
            </w:r>
            <w:r>
              <w:t>/TRANS/WP.15/2023/14</w:t>
            </w:r>
          </w:p>
        </w:tc>
      </w:tr>
      <w:tr w:rsidR="002D5AAC" w14:paraId="64FE938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642DE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39FB0B" wp14:editId="32608DF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42E98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56095F" w14:textId="77777777" w:rsidR="002D5AAC" w:rsidRDefault="006340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6440B9" w14:textId="77777777" w:rsidR="0063404D" w:rsidRDefault="0063404D" w:rsidP="006340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2023</w:t>
            </w:r>
          </w:p>
          <w:p w14:paraId="4EC420A5" w14:textId="77777777" w:rsidR="0063404D" w:rsidRDefault="0063404D" w:rsidP="006340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F052F90" w14:textId="10EF7DEF" w:rsidR="0063404D" w:rsidRPr="008D53B6" w:rsidRDefault="0063404D" w:rsidP="006340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6DC72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7EF05A" w14:textId="77777777" w:rsidR="0063404D" w:rsidRPr="0063404D" w:rsidRDefault="0063404D" w:rsidP="0063404D">
      <w:pPr>
        <w:spacing w:before="120"/>
        <w:rPr>
          <w:sz w:val="28"/>
          <w:szCs w:val="28"/>
        </w:rPr>
      </w:pPr>
      <w:r w:rsidRPr="0063404D">
        <w:rPr>
          <w:sz w:val="28"/>
          <w:szCs w:val="28"/>
        </w:rPr>
        <w:t>Комитет по внутреннему транспорту</w:t>
      </w:r>
    </w:p>
    <w:p w14:paraId="1FD758FB" w14:textId="77777777" w:rsidR="0063404D" w:rsidRPr="0063404D" w:rsidRDefault="0063404D" w:rsidP="0063404D">
      <w:pPr>
        <w:spacing w:before="120"/>
        <w:rPr>
          <w:b/>
          <w:bCs/>
          <w:sz w:val="24"/>
          <w:szCs w:val="24"/>
        </w:rPr>
      </w:pPr>
      <w:r w:rsidRPr="0063404D">
        <w:rPr>
          <w:b/>
          <w:bCs/>
          <w:sz w:val="24"/>
          <w:szCs w:val="24"/>
        </w:rPr>
        <w:t>Рабочая группа по перевозкам опасных грузов</w:t>
      </w:r>
    </w:p>
    <w:p w14:paraId="237D5613" w14:textId="77777777" w:rsidR="0063404D" w:rsidRPr="001330DE" w:rsidRDefault="0063404D" w:rsidP="0063404D">
      <w:pPr>
        <w:spacing w:before="120"/>
        <w:rPr>
          <w:rFonts w:eastAsia="SimSun"/>
          <w:b/>
        </w:rPr>
      </w:pPr>
      <w:r>
        <w:rPr>
          <w:b/>
          <w:bCs/>
        </w:rPr>
        <w:t>Сто четырнадцатая сессия</w:t>
      </w:r>
      <w:r>
        <w:t xml:space="preserve"> </w:t>
      </w:r>
    </w:p>
    <w:p w14:paraId="1A5BD5EB" w14:textId="17CD2CAC" w:rsidR="0063404D" w:rsidRPr="00BA64A8" w:rsidRDefault="0063404D" w:rsidP="0063404D">
      <w:pPr>
        <w:rPr>
          <w:rFonts w:eastAsia="SimSun"/>
        </w:rPr>
      </w:pPr>
      <w:r>
        <w:t>Женева, 6</w:t>
      </w:r>
      <w:r>
        <w:rPr>
          <w:lang w:val="en-US"/>
        </w:rPr>
        <w:t>–</w:t>
      </w:r>
      <w:r>
        <w:t>10 ноября 2023 года</w:t>
      </w:r>
    </w:p>
    <w:p w14:paraId="502A68FE" w14:textId="77777777" w:rsidR="0063404D" w:rsidRPr="00C521A6" w:rsidRDefault="0063404D" w:rsidP="0063404D">
      <w:pPr>
        <w:autoSpaceDE w:val="0"/>
        <w:autoSpaceDN w:val="0"/>
        <w:adjustRightInd w:val="0"/>
      </w:pPr>
      <w:r>
        <w:t>Пункт 5 а) предварительной повестки дня</w:t>
      </w:r>
    </w:p>
    <w:p w14:paraId="060AC333" w14:textId="35378E50" w:rsidR="0063404D" w:rsidRPr="0063404D" w:rsidRDefault="0063404D" w:rsidP="0063404D">
      <w:pPr>
        <w:autoSpaceDE w:val="0"/>
        <w:autoSpaceDN w:val="0"/>
        <w:adjustRightInd w:val="0"/>
        <w:rPr>
          <w:b/>
          <w:bCs/>
        </w:rPr>
      </w:pPr>
      <w:r w:rsidRPr="0063404D">
        <w:rPr>
          <w:b/>
          <w:bCs/>
        </w:rPr>
        <w:t xml:space="preserve">Предложения о внесении поправок </w:t>
      </w:r>
      <w:r w:rsidRPr="0063404D">
        <w:rPr>
          <w:b/>
          <w:bCs/>
        </w:rPr>
        <w:br/>
      </w:r>
      <w:r w:rsidRPr="0063404D">
        <w:rPr>
          <w:b/>
          <w:bCs/>
        </w:rPr>
        <w:t>в приложения А и B к ДОПОГ:</w:t>
      </w:r>
    </w:p>
    <w:p w14:paraId="65EF36B8" w14:textId="2F5B6602" w:rsidR="0063404D" w:rsidRPr="0063404D" w:rsidRDefault="0063404D" w:rsidP="0063404D">
      <w:pPr>
        <w:rPr>
          <w:b/>
          <w:bCs/>
        </w:rPr>
      </w:pPr>
      <w:r w:rsidRPr="0063404D">
        <w:rPr>
          <w:b/>
          <w:bCs/>
        </w:rPr>
        <w:t xml:space="preserve">конструкция и допущение к перевозке </w:t>
      </w:r>
      <w:r w:rsidRPr="0063404D">
        <w:rPr>
          <w:b/>
          <w:bCs/>
        </w:rPr>
        <w:br/>
      </w:r>
      <w:r w:rsidRPr="0063404D">
        <w:rPr>
          <w:b/>
          <w:bCs/>
        </w:rPr>
        <w:t>транспортных средств</w:t>
      </w:r>
    </w:p>
    <w:p w14:paraId="25131DB7" w14:textId="77777777" w:rsidR="0063404D" w:rsidRDefault="0063404D" w:rsidP="0063404D">
      <w:pPr>
        <w:pStyle w:val="HChG"/>
        <w:rPr>
          <w:bCs/>
          <w:sz w:val="24"/>
          <w:szCs w:val="24"/>
        </w:rPr>
      </w:pPr>
      <w:r>
        <w:tab/>
      </w:r>
      <w:r>
        <w:tab/>
      </w:r>
      <w:r>
        <w:rPr>
          <w:bCs/>
        </w:rPr>
        <w:t>Аккумуляторные электромобили и транспортные средства, работающие на водороде</w:t>
      </w:r>
    </w:p>
    <w:p w14:paraId="6967CC65" w14:textId="77777777" w:rsidR="0063404D" w:rsidRDefault="0063404D" w:rsidP="0063404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правительством Нидерландов от имени неофициальной рабочей группы по электромобилям</w:t>
      </w:r>
      <w:r w:rsidRPr="0063404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E193381" w14:textId="77777777" w:rsidR="0063404D" w:rsidRDefault="0063404D" w:rsidP="0063404D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7D9BC86" w14:textId="6504EFF0" w:rsidR="0063404D" w:rsidRPr="002D45F3" w:rsidRDefault="0063404D" w:rsidP="0063404D">
      <w:pPr>
        <w:pStyle w:val="SingleTxtG"/>
      </w:pPr>
      <w:r>
        <w:t>1.</w:t>
      </w:r>
      <w:r>
        <w:tab/>
        <w:t xml:space="preserve">Настоящий документ содержит предложения неофициальной рабочей группы по электромобилям. Его цель состоит в том, чтобы включить аккумуляторные электромобили в категорию транспортных средств FL, в дополнение к их отнесению к категории AT в издании ДОПОГ 2023 года, транспортные средства, работающие на водороде в категории AT и FL, а водород </w:t>
      </w:r>
      <w:r w:rsidR="00600F98" w:rsidRPr="00600F98">
        <w:t>—</w:t>
      </w:r>
      <w:r>
        <w:t xml:space="preserve"> в качестве топлива для транспортных средств с двигателем внутреннего сгорания</w:t>
      </w:r>
      <w:r w:rsidRPr="005D0545">
        <w:t xml:space="preserve"> </w:t>
      </w:r>
      <w:r>
        <w:t xml:space="preserve">категорий AT и FL. </w:t>
      </w:r>
    </w:p>
    <w:p w14:paraId="3722204B" w14:textId="77777777" w:rsidR="0063404D" w:rsidRDefault="0063404D" w:rsidP="0063404D">
      <w:pPr>
        <w:pStyle w:val="SingleTxtG"/>
      </w:pPr>
      <w:r>
        <w:t>2.</w:t>
      </w:r>
      <w:r>
        <w:tab/>
        <w:t>Технологии и правила безопасности транспортных средств продолжают развиваться, и положения ДОПОГ не должны этому препятствовать. В них не отдается предпочтения той или иной конфигурации, но гарантируется, что транспортные средства будут достаточно надежными для перевозки опасных грузов, и поэтому при выборе формулировок необходимо выдержать это деликатное равновесие. Соответственно, некоторые предлагаемые формулировки по-прежнему заключены в квадратные скобки, поскольку они могут нуждаться в дальнейшей доработке. Тем не менее этот документ было решено представить на сто четырнадцатой сессии WP.15, чтобы обеспечить его своевременное обсуждение и возможность внести в него необходимые изменения для включения поправок в издание ДОПОГ 2025 года.</w:t>
      </w:r>
    </w:p>
    <w:p w14:paraId="333DBF41" w14:textId="77777777" w:rsidR="0063404D" w:rsidRPr="002D45F3" w:rsidRDefault="0063404D" w:rsidP="0063404D">
      <w:pPr>
        <w:pStyle w:val="SingleTxtG"/>
      </w:pPr>
      <w:r>
        <w:t>3.</w:t>
      </w:r>
      <w:r>
        <w:tab/>
        <w:t xml:space="preserve">Сводный вариант главы 9.2 ДОПОГ будет представлен в виде неофициального документа (неофициальный документ INF.3) для содействия обсуждению. Вслед за ним будет представлен доклад неофициальной рабочей группы. </w:t>
      </w:r>
    </w:p>
    <w:p w14:paraId="62DEEA91" w14:textId="77777777" w:rsidR="0063404D" w:rsidRDefault="0063404D" w:rsidP="0063404D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 1</w:t>
      </w:r>
    </w:p>
    <w:p w14:paraId="1CD9A13B" w14:textId="77777777" w:rsidR="0063404D" w:rsidRPr="002D45F3" w:rsidRDefault="0063404D" w:rsidP="0063404D">
      <w:pPr>
        <w:pStyle w:val="SingleTxtG"/>
      </w:pPr>
      <w:r>
        <w:t>4.</w:t>
      </w:r>
      <w:r>
        <w:tab/>
        <w:t xml:space="preserve">Внести изменения в таблицу раздела 9.2.1.1 (издание ДОПОГ 2023 года) (исключенные формулировки </w:t>
      </w:r>
      <w:r>
        <w:rPr>
          <w:strike/>
        </w:rPr>
        <w:t>зачеркнуты</w:t>
      </w:r>
      <w:r>
        <w:t xml:space="preserve">, а новые формулировки выделены </w:t>
      </w:r>
      <w:r>
        <w:rPr>
          <w:i/>
          <w:iCs/>
          <w:u w:val="single"/>
        </w:rPr>
        <w:t>курсивом и подчеркнуты</w:t>
      </w:r>
      <w:r>
        <w:t>):</w:t>
      </w:r>
    </w:p>
    <w:p w14:paraId="640B2521" w14:textId="07B1D9D2" w:rsidR="0063404D" w:rsidRDefault="0063404D" w:rsidP="0063404D">
      <w:pPr>
        <w:pStyle w:val="SingleTxtG"/>
      </w:pPr>
      <w:r>
        <w:t xml:space="preserve">9.2.4 Заменить </w:t>
      </w:r>
      <w:r w:rsidR="00414230">
        <w:t>«</w:t>
      </w:r>
      <w:r>
        <w:rPr>
          <w:i/>
          <w:iCs/>
        </w:rPr>
        <w:t>ПРЕДОТВРАЩЕНИЕ ОПАСНОСТИ ВОЗНИКНОВЕНИЯ ПОЖАРА</w:t>
      </w:r>
      <w:r w:rsidR="00414230">
        <w:rPr>
          <w:i/>
          <w:iCs/>
        </w:rPr>
        <w:t>»</w:t>
      </w:r>
      <w:r>
        <w:t xml:space="preserve"> на </w:t>
      </w:r>
      <w:r w:rsidR="00414230">
        <w:t>«</w:t>
      </w:r>
      <w:r>
        <w:rPr>
          <w:i/>
          <w:iCs/>
        </w:rPr>
        <w:t>СИЛОВАЯ УСТАНОВКА ТРАНСПОРТНОГО СРЕДСТВА</w:t>
      </w:r>
      <w:r w:rsidR="00414230">
        <w:rPr>
          <w:i/>
          <w:iCs/>
        </w:rPr>
        <w:t>»</w:t>
      </w:r>
      <w:r>
        <w:t>.</w:t>
      </w:r>
    </w:p>
    <w:tbl>
      <w:tblPr>
        <w:tblStyle w:val="ac"/>
        <w:tblW w:w="770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93"/>
        <w:gridCol w:w="3117"/>
        <w:gridCol w:w="480"/>
        <w:gridCol w:w="480"/>
        <w:gridCol w:w="480"/>
        <w:gridCol w:w="480"/>
        <w:gridCol w:w="1675"/>
      </w:tblGrid>
      <w:tr w:rsidR="0063404D" w:rsidRPr="002D45F3" w14:paraId="497019DA" w14:textId="77777777" w:rsidTr="006A5171">
        <w:tc>
          <w:tcPr>
            <w:tcW w:w="993" w:type="dxa"/>
          </w:tcPr>
          <w:p w14:paraId="1A9C54E2" w14:textId="77777777" w:rsidR="0063404D" w:rsidRPr="002D45F3" w:rsidRDefault="0063404D" w:rsidP="006A5171">
            <w:pPr>
              <w:ind w:left="284"/>
              <w:rPr>
                <w:i/>
                <w:iCs/>
                <w:sz w:val="18"/>
                <w:szCs w:val="18"/>
              </w:rPr>
            </w:pPr>
            <w:bookmarkStart w:id="0" w:name="_Hlk142657784"/>
            <w:r>
              <w:rPr>
                <w:i/>
                <w:iCs/>
              </w:rPr>
              <w:t>9.2.4</w:t>
            </w:r>
          </w:p>
        </w:tc>
        <w:tc>
          <w:tcPr>
            <w:tcW w:w="3117" w:type="dxa"/>
          </w:tcPr>
          <w:p w14:paraId="7A71192C" w14:textId="77777777" w:rsidR="0063404D" w:rsidRPr="002D45F3" w:rsidRDefault="0063404D" w:rsidP="006A5171">
            <w:pPr>
              <w:ind w:left="138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trike/>
              </w:rPr>
              <w:t>ПРЕДОТВРАЩЕНИЕ ОПАСНОСТИ ВОЗНИКНОВЕНИЯ ПОЖАРА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СИЛОВАЯ УСТАНОВКА ТРАНСПОРТНОГО СРЕДСТВА</w:t>
            </w:r>
          </w:p>
        </w:tc>
        <w:tc>
          <w:tcPr>
            <w:tcW w:w="480" w:type="dxa"/>
          </w:tcPr>
          <w:p w14:paraId="5FDF9A3A" w14:textId="77777777" w:rsidR="0063404D" w:rsidRPr="002D45F3" w:rsidRDefault="0063404D" w:rsidP="006A5171">
            <w:pPr>
              <w:ind w:left="1134"/>
              <w:rPr>
                <w:i/>
                <w:iCs/>
              </w:rPr>
            </w:pPr>
          </w:p>
        </w:tc>
        <w:tc>
          <w:tcPr>
            <w:tcW w:w="480" w:type="dxa"/>
          </w:tcPr>
          <w:p w14:paraId="202C9CFB" w14:textId="77777777" w:rsidR="0063404D" w:rsidRPr="002D45F3" w:rsidRDefault="0063404D" w:rsidP="006A5171">
            <w:pPr>
              <w:ind w:left="1134"/>
              <w:rPr>
                <w:i/>
                <w:iCs/>
              </w:rPr>
            </w:pPr>
          </w:p>
        </w:tc>
        <w:tc>
          <w:tcPr>
            <w:tcW w:w="480" w:type="dxa"/>
          </w:tcPr>
          <w:p w14:paraId="6A8F10F6" w14:textId="77777777" w:rsidR="0063404D" w:rsidRPr="002D45F3" w:rsidRDefault="0063404D" w:rsidP="006A5171">
            <w:pPr>
              <w:ind w:left="1134"/>
              <w:rPr>
                <w:i/>
                <w:iCs/>
              </w:rPr>
            </w:pPr>
          </w:p>
        </w:tc>
        <w:tc>
          <w:tcPr>
            <w:tcW w:w="480" w:type="dxa"/>
          </w:tcPr>
          <w:p w14:paraId="0D8AAE06" w14:textId="77777777" w:rsidR="0063404D" w:rsidRPr="002D45F3" w:rsidRDefault="0063404D" w:rsidP="006A5171">
            <w:pPr>
              <w:ind w:left="1134"/>
              <w:rPr>
                <w:i/>
                <w:iCs/>
              </w:rPr>
            </w:pPr>
          </w:p>
        </w:tc>
        <w:tc>
          <w:tcPr>
            <w:tcW w:w="1675" w:type="dxa"/>
          </w:tcPr>
          <w:p w14:paraId="1C42CAF0" w14:textId="77777777" w:rsidR="0063404D" w:rsidRPr="002D45F3" w:rsidRDefault="0063404D" w:rsidP="006A5171">
            <w:pPr>
              <w:ind w:left="1134"/>
              <w:rPr>
                <w:i/>
                <w:iCs/>
              </w:rPr>
            </w:pPr>
          </w:p>
        </w:tc>
      </w:tr>
    </w:tbl>
    <w:bookmarkEnd w:id="0"/>
    <w:p w14:paraId="6C9C90AA" w14:textId="0B41B1DB" w:rsidR="0063404D" w:rsidRDefault="0063404D" w:rsidP="0063404D">
      <w:pPr>
        <w:pStyle w:val="SingleTxtG"/>
        <w:spacing w:before="120"/>
        <w:rPr>
          <w:i/>
          <w:iCs/>
        </w:rPr>
      </w:pPr>
      <w:r>
        <w:t xml:space="preserve">9.2.4.3 </w:t>
      </w:r>
      <w:r w:rsidR="00414230">
        <w:t>«</w:t>
      </w:r>
      <w:r>
        <w:t>Топливные баки и баллоны</w:t>
      </w:r>
      <w:r w:rsidR="00414230">
        <w:t>»</w:t>
      </w:r>
      <w:r>
        <w:t>: изменить нумерацию на 9.2.4.2, включить [</w:t>
      </w:r>
      <w:r w:rsidR="00414230">
        <w:t>«</w:t>
      </w:r>
      <w:r w:rsidRPr="00414230">
        <w:rPr>
          <w:i/>
          <w:iCs/>
        </w:rPr>
        <w:t>X</w:t>
      </w:r>
      <w:r w:rsidRPr="00414230">
        <w:rPr>
          <w:i/>
          <w:iCs/>
          <w:vertAlign w:val="superscript"/>
        </w:rPr>
        <w:t>k</w:t>
      </w:r>
      <w:r w:rsidR="00414230" w:rsidRPr="00414230">
        <w:t>»</w:t>
      </w:r>
      <w:r>
        <w:t xml:space="preserve">] в колонку </w:t>
      </w:r>
      <w:r w:rsidR="00414230">
        <w:t>«</w:t>
      </w:r>
      <w:r>
        <w:t>AT</w:t>
      </w:r>
      <w:r w:rsidR="00414230">
        <w:t>»</w:t>
      </w:r>
      <w:r>
        <w:t xml:space="preserve"> и в колонку </w:t>
      </w:r>
      <w:r w:rsidR="00414230">
        <w:t>«</w:t>
      </w:r>
      <w:r>
        <w:t>ЗАМЕЧАНИЯ</w:t>
      </w:r>
      <w:r w:rsidR="00414230">
        <w:t>»</w:t>
      </w:r>
      <w:r>
        <w:t xml:space="preserve"> добавить [</w:t>
      </w:r>
      <w:r w:rsidR="00414230">
        <w:t>«</w:t>
      </w:r>
      <w:proofErr w:type="gramStart"/>
      <w:r>
        <w:rPr>
          <w:i/>
          <w:iCs/>
          <w:vertAlign w:val="superscript"/>
        </w:rPr>
        <w:t xml:space="preserve">K </w:t>
      </w:r>
      <w:r>
        <w:rPr>
          <w:i/>
          <w:iCs/>
        </w:rPr>
        <w:t>Применимо</w:t>
      </w:r>
      <w:proofErr w:type="gramEnd"/>
      <w:r>
        <w:rPr>
          <w:i/>
          <w:iCs/>
        </w:rPr>
        <w:t xml:space="preserve"> к автомобилям, впервые зарегистрированным после 31 марта 2026 года</w:t>
      </w:r>
      <w:r w:rsidR="00414230" w:rsidRPr="000226FF">
        <w:t>»</w:t>
      </w:r>
      <w:r>
        <w:t>].</w:t>
      </w:r>
    </w:p>
    <w:tbl>
      <w:tblPr>
        <w:tblStyle w:val="ac"/>
        <w:tblW w:w="808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1878"/>
        <w:gridCol w:w="532"/>
        <w:gridCol w:w="567"/>
        <w:gridCol w:w="709"/>
        <w:gridCol w:w="567"/>
        <w:gridCol w:w="2977"/>
      </w:tblGrid>
      <w:tr w:rsidR="0063404D" w:rsidRPr="002D45F3" w14:paraId="20EAB892" w14:textId="77777777" w:rsidTr="006A5171">
        <w:tc>
          <w:tcPr>
            <w:tcW w:w="851" w:type="dxa"/>
          </w:tcPr>
          <w:p w14:paraId="4D66CD1B" w14:textId="77777777" w:rsidR="0063404D" w:rsidRPr="002D45F3" w:rsidRDefault="0063404D" w:rsidP="006A5171">
            <w:pPr>
              <w:ind w:left="142" w:right="-11"/>
              <w:rPr>
                <w:i/>
                <w:iCs/>
                <w:strike/>
                <w:sz w:val="18"/>
                <w:szCs w:val="18"/>
              </w:rPr>
            </w:pPr>
            <w:bookmarkStart w:id="1" w:name="_Hlk142716978"/>
            <w:r>
              <w:rPr>
                <w:i/>
                <w:iCs/>
                <w:strike/>
              </w:rPr>
              <w:t>9.2.4.3</w:t>
            </w:r>
          </w:p>
          <w:p w14:paraId="7BD76EAE" w14:textId="77777777" w:rsidR="0063404D" w:rsidRPr="002D45F3" w:rsidRDefault="0063404D" w:rsidP="006A5171">
            <w:pPr>
              <w:ind w:left="142" w:right="-11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9.2.4.2</w:t>
            </w:r>
          </w:p>
        </w:tc>
        <w:tc>
          <w:tcPr>
            <w:tcW w:w="1878" w:type="dxa"/>
          </w:tcPr>
          <w:p w14:paraId="12BDFC4E" w14:textId="77777777" w:rsidR="0063404D" w:rsidRPr="002D45F3" w:rsidRDefault="0063404D" w:rsidP="006A5171">
            <w:pPr>
              <w:ind w:left="142" w:right="-11"/>
              <w:rPr>
                <w:i/>
                <w:iCs/>
                <w:sz w:val="18"/>
                <w:szCs w:val="18"/>
              </w:rPr>
            </w:pPr>
            <w:r>
              <w:t>Топливные баки и баллоны</w:t>
            </w:r>
          </w:p>
        </w:tc>
        <w:tc>
          <w:tcPr>
            <w:tcW w:w="532" w:type="dxa"/>
          </w:tcPr>
          <w:p w14:paraId="1D84EFD0" w14:textId="77777777" w:rsidR="0063404D" w:rsidRPr="002D45F3" w:rsidRDefault="0063404D" w:rsidP="006A5171">
            <w:pPr>
              <w:ind w:left="246" w:right="-11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567" w:type="dxa"/>
          </w:tcPr>
          <w:p w14:paraId="0FF0D03D" w14:textId="77777777" w:rsidR="0063404D" w:rsidRPr="002D45F3" w:rsidRDefault="0063404D" w:rsidP="006A5171">
            <w:pPr>
              <w:ind w:left="286" w:right="-11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709" w:type="dxa"/>
          </w:tcPr>
          <w:p w14:paraId="24716730" w14:textId="77777777" w:rsidR="0063404D" w:rsidRPr="002D45F3" w:rsidRDefault="0063404D" w:rsidP="006A5171">
            <w:pPr>
              <w:ind w:left="144" w:right="-11"/>
              <w:rPr>
                <w:sz w:val="18"/>
                <w:szCs w:val="18"/>
              </w:rPr>
            </w:pPr>
            <w:r>
              <w:t>[X</w:t>
            </w:r>
            <w:r>
              <w:rPr>
                <w:vertAlign w:val="superscript"/>
              </w:rPr>
              <w:t>k</w:t>
            </w:r>
            <w:r>
              <w:t>]</w:t>
            </w:r>
          </w:p>
        </w:tc>
        <w:tc>
          <w:tcPr>
            <w:tcW w:w="567" w:type="dxa"/>
          </w:tcPr>
          <w:p w14:paraId="2D906AAA" w14:textId="77777777" w:rsidR="0063404D" w:rsidRPr="002D45F3" w:rsidRDefault="0063404D" w:rsidP="006A5171">
            <w:pPr>
              <w:ind w:left="141" w:right="-11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2977" w:type="dxa"/>
          </w:tcPr>
          <w:p w14:paraId="1858C783" w14:textId="77777777" w:rsidR="0063404D" w:rsidRPr="002D45F3" w:rsidRDefault="0063404D" w:rsidP="006A5171">
            <w:pPr>
              <w:ind w:left="141" w:right="-11"/>
              <w:rPr>
                <w:sz w:val="18"/>
                <w:szCs w:val="18"/>
              </w:rPr>
            </w:pPr>
            <w:r>
              <w:t>[</w:t>
            </w:r>
            <w:r>
              <w:rPr>
                <w:vertAlign w:val="superscript"/>
              </w:rPr>
              <w:t>k</w:t>
            </w:r>
            <w:r>
              <w:t xml:space="preserve"> Применимо к автомобилям, впервые зарегистрированным после 31 марта 2026 года]</w:t>
            </w:r>
          </w:p>
        </w:tc>
      </w:tr>
    </w:tbl>
    <w:bookmarkEnd w:id="1"/>
    <w:p w14:paraId="67B7738E" w14:textId="7A65D94F" w:rsidR="0063404D" w:rsidRPr="00A82EF2" w:rsidRDefault="0063404D" w:rsidP="0063404D">
      <w:pPr>
        <w:pStyle w:val="SingleTxtG"/>
        <w:spacing w:before="120"/>
      </w:pPr>
      <w:r>
        <w:t xml:space="preserve">9.2.4.4 изменить нумерацию на 9.2.4.3 и заменить </w:t>
      </w:r>
      <w:r w:rsidR="00414230">
        <w:t>«</w:t>
      </w:r>
      <w:r>
        <w:t>Двигатель</w:t>
      </w:r>
      <w:r w:rsidR="00414230">
        <w:t>»</w:t>
      </w:r>
      <w:r>
        <w:t xml:space="preserve"> на </w:t>
      </w:r>
      <w:r w:rsidR="00414230">
        <w:t>«</w:t>
      </w:r>
      <w:r>
        <w:t>Двигатель внутреннего сгорания</w:t>
      </w:r>
      <w:r w:rsidR="00414230">
        <w:t>»</w:t>
      </w:r>
      <w:r>
        <w:t>.</w:t>
      </w:r>
    </w:p>
    <w:tbl>
      <w:tblPr>
        <w:tblStyle w:val="ac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67"/>
        <w:gridCol w:w="567"/>
        <w:gridCol w:w="567"/>
        <w:gridCol w:w="567"/>
        <w:gridCol w:w="3118"/>
      </w:tblGrid>
      <w:tr w:rsidR="0063404D" w:rsidRPr="002D45F3" w14:paraId="3E0056CA" w14:textId="77777777" w:rsidTr="006A5171">
        <w:tc>
          <w:tcPr>
            <w:tcW w:w="851" w:type="dxa"/>
          </w:tcPr>
          <w:p w14:paraId="03D90979" w14:textId="77777777" w:rsidR="0063404D" w:rsidRPr="002D45F3" w:rsidRDefault="0063404D" w:rsidP="006A5171">
            <w:pPr>
              <w:ind w:left="139"/>
              <w:rPr>
                <w:i/>
                <w:iCs/>
                <w:strike/>
                <w:sz w:val="18"/>
                <w:szCs w:val="18"/>
              </w:rPr>
            </w:pPr>
            <w:r>
              <w:rPr>
                <w:i/>
                <w:iCs/>
                <w:strike/>
              </w:rPr>
              <w:t>9.2.4.4</w:t>
            </w:r>
          </w:p>
          <w:p w14:paraId="384D163D" w14:textId="77777777" w:rsidR="0063404D" w:rsidRPr="002D45F3" w:rsidRDefault="0063404D" w:rsidP="006A5171">
            <w:pPr>
              <w:ind w:left="13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9.2.4.3</w:t>
            </w:r>
          </w:p>
        </w:tc>
        <w:tc>
          <w:tcPr>
            <w:tcW w:w="1843" w:type="dxa"/>
          </w:tcPr>
          <w:p w14:paraId="005AED3E" w14:textId="77777777" w:rsidR="0063404D" w:rsidRPr="002D45F3" w:rsidRDefault="0063404D" w:rsidP="006A5171">
            <w:pPr>
              <w:ind w:left="13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trike/>
              </w:rPr>
              <w:t xml:space="preserve">Двигатель </w:t>
            </w:r>
            <w:r>
              <w:rPr>
                <w:i/>
                <w:iCs/>
              </w:rPr>
              <w:t>Двигатель внутреннего сгорания</w:t>
            </w:r>
          </w:p>
        </w:tc>
        <w:tc>
          <w:tcPr>
            <w:tcW w:w="567" w:type="dxa"/>
          </w:tcPr>
          <w:p w14:paraId="3B4C1726" w14:textId="77777777" w:rsidR="0063404D" w:rsidRPr="002D45F3" w:rsidRDefault="0063404D" w:rsidP="006A5171">
            <w:pPr>
              <w:ind w:left="139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567" w:type="dxa"/>
          </w:tcPr>
          <w:p w14:paraId="7120EC69" w14:textId="77777777" w:rsidR="0063404D" w:rsidRPr="002D45F3" w:rsidRDefault="0063404D" w:rsidP="006A5171">
            <w:pPr>
              <w:ind w:left="139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567" w:type="dxa"/>
          </w:tcPr>
          <w:p w14:paraId="171A7E0B" w14:textId="77777777" w:rsidR="0063404D" w:rsidRPr="002D45F3" w:rsidRDefault="0063404D" w:rsidP="006A5171">
            <w:pPr>
              <w:ind w:left="139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62363F" w14:textId="77777777" w:rsidR="0063404D" w:rsidRPr="002D45F3" w:rsidRDefault="0063404D" w:rsidP="006A5171">
            <w:pPr>
              <w:ind w:left="139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3118" w:type="dxa"/>
          </w:tcPr>
          <w:p w14:paraId="48C80F50" w14:textId="77777777" w:rsidR="0063404D" w:rsidRPr="002D45F3" w:rsidRDefault="0063404D" w:rsidP="006A5171">
            <w:pPr>
              <w:ind w:left="139"/>
              <w:rPr>
                <w:i/>
                <w:iCs/>
                <w:sz w:val="18"/>
                <w:szCs w:val="18"/>
              </w:rPr>
            </w:pPr>
          </w:p>
        </w:tc>
      </w:tr>
    </w:tbl>
    <w:p w14:paraId="2E0E5E59" w14:textId="77777777" w:rsidR="0063404D" w:rsidRPr="00A82EF2" w:rsidRDefault="0063404D" w:rsidP="0063404D">
      <w:pPr>
        <w:pStyle w:val="SingleTxtG"/>
        <w:spacing w:before="120"/>
      </w:pPr>
      <w:r>
        <w:t>Исключить строку 9.2.4.5.</w:t>
      </w:r>
    </w:p>
    <w:tbl>
      <w:tblPr>
        <w:tblStyle w:val="ac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67"/>
        <w:gridCol w:w="567"/>
        <w:gridCol w:w="567"/>
        <w:gridCol w:w="567"/>
        <w:gridCol w:w="3118"/>
      </w:tblGrid>
      <w:tr w:rsidR="0063404D" w:rsidRPr="002D45F3" w14:paraId="42B7306D" w14:textId="77777777" w:rsidTr="006A5171">
        <w:tc>
          <w:tcPr>
            <w:tcW w:w="851" w:type="dxa"/>
          </w:tcPr>
          <w:p w14:paraId="78464370" w14:textId="77777777" w:rsidR="0063404D" w:rsidRPr="002D45F3" w:rsidRDefault="0063404D" w:rsidP="006A5171">
            <w:pPr>
              <w:ind w:left="136"/>
              <w:rPr>
                <w:i/>
                <w:iCs/>
                <w:strike/>
                <w:sz w:val="18"/>
                <w:szCs w:val="18"/>
              </w:rPr>
            </w:pPr>
            <w:r>
              <w:rPr>
                <w:i/>
                <w:iCs/>
                <w:strike/>
              </w:rPr>
              <w:t>9.2.4.5</w:t>
            </w:r>
          </w:p>
        </w:tc>
        <w:tc>
          <w:tcPr>
            <w:tcW w:w="1843" w:type="dxa"/>
          </w:tcPr>
          <w:p w14:paraId="3A9607FD" w14:textId="77777777" w:rsidR="0063404D" w:rsidRPr="002D45F3" w:rsidRDefault="0063404D" w:rsidP="006A5171">
            <w:pPr>
              <w:ind w:left="142"/>
              <w:rPr>
                <w:i/>
                <w:iCs/>
                <w:strike/>
                <w:sz w:val="18"/>
                <w:szCs w:val="18"/>
              </w:rPr>
            </w:pPr>
            <w:r>
              <w:rPr>
                <w:i/>
                <w:iCs/>
                <w:strike/>
              </w:rPr>
              <w:t>Система выпуска отработавших газов</w:t>
            </w:r>
          </w:p>
        </w:tc>
        <w:tc>
          <w:tcPr>
            <w:tcW w:w="567" w:type="dxa"/>
          </w:tcPr>
          <w:p w14:paraId="28BD48C2" w14:textId="77777777" w:rsidR="0063404D" w:rsidRPr="00A7259F" w:rsidRDefault="0063404D" w:rsidP="006A5171">
            <w:pPr>
              <w:ind w:left="138"/>
              <w:rPr>
                <w:strike/>
                <w:sz w:val="18"/>
                <w:szCs w:val="18"/>
              </w:rPr>
            </w:pPr>
            <w:r w:rsidRPr="00A7259F">
              <w:rPr>
                <w:strike/>
              </w:rPr>
              <w:t>X</w:t>
            </w:r>
          </w:p>
        </w:tc>
        <w:tc>
          <w:tcPr>
            <w:tcW w:w="567" w:type="dxa"/>
          </w:tcPr>
          <w:p w14:paraId="009CF7C6" w14:textId="77777777" w:rsidR="0063404D" w:rsidRPr="00A7259F" w:rsidRDefault="0063404D" w:rsidP="006A5171">
            <w:pPr>
              <w:ind w:left="286"/>
              <w:rPr>
                <w:strike/>
                <w:sz w:val="18"/>
                <w:szCs w:val="18"/>
              </w:rPr>
            </w:pPr>
            <w:r w:rsidRPr="00A7259F">
              <w:rPr>
                <w:strike/>
              </w:rPr>
              <w:t>X</w:t>
            </w:r>
          </w:p>
        </w:tc>
        <w:tc>
          <w:tcPr>
            <w:tcW w:w="567" w:type="dxa"/>
          </w:tcPr>
          <w:p w14:paraId="20DA0A5F" w14:textId="77777777" w:rsidR="0063404D" w:rsidRPr="00A7259F" w:rsidRDefault="0063404D" w:rsidP="006A5171">
            <w:pPr>
              <w:ind w:left="1134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14:paraId="67CCB521" w14:textId="77777777" w:rsidR="0063404D" w:rsidRPr="00A7259F" w:rsidRDefault="0063404D" w:rsidP="006A5171">
            <w:pPr>
              <w:ind w:left="144"/>
              <w:rPr>
                <w:strike/>
                <w:sz w:val="18"/>
                <w:szCs w:val="18"/>
              </w:rPr>
            </w:pPr>
            <w:r w:rsidRPr="00A7259F">
              <w:rPr>
                <w:strike/>
              </w:rPr>
              <w:t>X</w:t>
            </w:r>
          </w:p>
        </w:tc>
        <w:tc>
          <w:tcPr>
            <w:tcW w:w="3118" w:type="dxa"/>
          </w:tcPr>
          <w:p w14:paraId="334D976E" w14:textId="77777777" w:rsidR="0063404D" w:rsidRPr="002D45F3" w:rsidRDefault="0063404D" w:rsidP="006A5171">
            <w:pPr>
              <w:ind w:left="1134"/>
              <w:rPr>
                <w:i/>
                <w:iCs/>
                <w:strike/>
                <w:sz w:val="18"/>
                <w:szCs w:val="18"/>
              </w:rPr>
            </w:pPr>
          </w:p>
        </w:tc>
      </w:tr>
    </w:tbl>
    <w:p w14:paraId="08C99ACB" w14:textId="77777777" w:rsidR="0063404D" w:rsidRDefault="0063404D" w:rsidP="0063404D">
      <w:pPr>
        <w:pStyle w:val="SingleTxtG"/>
        <w:spacing w:before="120"/>
      </w:pPr>
      <w:r>
        <w:t>Изменить нумерацию существующего пункта 9.2.4.6 на 9.2.4.4 следующим образом:</w:t>
      </w:r>
    </w:p>
    <w:tbl>
      <w:tblPr>
        <w:tblStyle w:val="ac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88"/>
        <w:gridCol w:w="1706"/>
        <w:gridCol w:w="567"/>
        <w:gridCol w:w="567"/>
        <w:gridCol w:w="567"/>
        <w:gridCol w:w="567"/>
        <w:gridCol w:w="3118"/>
      </w:tblGrid>
      <w:tr w:rsidR="0063404D" w:rsidRPr="002D45F3" w14:paraId="2ACEE266" w14:textId="77777777" w:rsidTr="006A5171">
        <w:tc>
          <w:tcPr>
            <w:tcW w:w="988" w:type="dxa"/>
          </w:tcPr>
          <w:p w14:paraId="39442561" w14:textId="77777777" w:rsidR="0063404D" w:rsidRPr="002D45F3" w:rsidRDefault="0063404D" w:rsidP="006A5171">
            <w:pPr>
              <w:ind w:left="13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9.2.4.4</w:t>
            </w:r>
          </w:p>
        </w:tc>
        <w:tc>
          <w:tcPr>
            <w:tcW w:w="1706" w:type="dxa"/>
          </w:tcPr>
          <w:p w14:paraId="065AC698" w14:textId="77777777" w:rsidR="0063404D" w:rsidRPr="002D45F3" w:rsidRDefault="0063404D" w:rsidP="006A5171">
            <w:pPr>
              <w:ind w:left="8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Электрический привод</w:t>
            </w:r>
          </w:p>
        </w:tc>
        <w:tc>
          <w:tcPr>
            <w:tcW w:w="567" w:type="dxa"/>
          </w:tcPr>
          <w:p w14:paraId="63816C37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7216041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6769B7E" w14:textId="77777777" w:rsidR="0063404D" w:rsidRPr="002D45F3" w:rsidRDefault="0063404D" w:rsidP="006A5171">
            <w:pPr>
              <w:ind w:left="11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38109C" w14:textId="77777777" w:rsidR="0063404D" w:rsidRPr="002D45F3" w:rsidRDefault="0063404D" w:rsidP="006A5171">
            <w:pPr>
              <w:ind w:left="143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4E1F05C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</w:tr>
    </w:tbl>
    <w:p w14:paraId="5DD028E3" w14:textId="77777777" w:rsidR="0063404D" w:rsidRDefault="0063404D" w:rsidP="0063404D">
      <w:pPr>
        <w:pStyle w:val="SingleTxtG"/>
        <w:spacing w:before="120"/>
      </w:pPr>
      <w:r>
        <w:t>Добавить новую строку 9.2.4.4.1 следующего содержания:</w:t>
      </w:r>
    </w:p>
    <w:tbl>
      <w:tblPr>
        <w:tblStyle w:val="ac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88"/>
        <w:gridCol w:w="1706"/>
        <w:gridCol w:w="567"/>
        <w:gridCol w:w="567"/>
        <w:gridCol w:w="567"/>
        <w:gridCol w:w="567"/>
        <w:gridCol w:w="3118"/>
      </w:tblGrid>
      <w:tr w:rsidR="0063404D" w:rsidRPr="002D45F3" w14:paraId="1F1B9C6D" w14:textId="77777777" w:rsidTr="006A5171">
        <w:tc>
          <w:tcPr>
            <w:tcW w:w="988" w:type="dxa"/>
          </w:tcPr>
          <w:p w14:paraId="15BD7165" w14:textId="77777777" w:rsidR="0063404D" w:rsidRPr="002D45F3" w:rsidRDefault="0063404D" w:rsidP="006A5171">
            <w:pPr>
              <w:ind w:left="13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9.2.4.4.1</w:t>
            </w:r>
          </w:p>
        </w:tc>
        <w:tc>
          <w:tcPr>
            <w:tcW w:w="1706" w:type="dxa"/>
          </w:tcPr>
          <w:p w14:paraId="1FB3FCDF" w14:textId="77777777" w:rsidR="0063404D" w:rsidRPr="002D45F3" w:rsidRDefault="0063404D" w:rsidP="006A5171">
            <w:pPr>
              <w:ind w:left="19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Общие положения</w:t>
            </w:r>
          </w:p>
        </w:tc>
        <w:tc>
          <w:tcPr>
            <w:tcW w:w="567" w:type="dxa"/>
          </w:tcPr>
          <w:p w14:paraId="56F8ADEF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D358923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9DAB8FE" w14:textId="77777777" w:rsidR="0063404D" w:rsidRPr="002D45F3" w:rsidRDefault="0063404D" w:rsidP="006A5171">
            <w:pPr>
              <w:ind w:left="96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567" w:type="dxa"/>
          </w:tcPr>
          <w:p w14:paraId="46F7A15E" w14:textId="77777777" w:rsidR="0063404D" w:rsidRPr="002D45F3" w:rsidRDefault="0063404D" w:rsidP="006A5171">
            <w:pPr>
              <w:ind w:left="132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3118" w:type="dxa"/>
          </w:tcPr>
          <w:p w14:paraId="24F67CB9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</w:tr>
    </w:tbl>
    <w:p w14:paraId="014CC590" w14:textId="77777777" w:rsidR="0063404D" w:rsidRDefault="0063404D" w:rsidP="0063404D">
      <w:pPr>
        <w:pStyle w:val="SingleTxtG"/>
        <w:spacing w:before="120"/>
      </w:pPr>
      <w:r>
        <w:t>Добавить новую строку 9.2.4.4.2 следующего содержания:</w:t>
      </w:r>
    </w:p>
    <w:tbl>
      <w:tblPr>
        <w:tblStyle w:val="ac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88"/>
        <w:gridCol w:w="1706"/>
        <w:gridCol w:w="567"/>
        <w:gridCol w:w="708"/>
        <w:gridCol w:w="426"/>
        <w:gridCol w:w="567"/>
        <w:gridCol w:w="3118"/>
      </w:tblGrid>
      <w:tr w:rsidR="0063404D" w:rsidRPr="002D45F3" w14:paraId="7E6BAB64" w14:textId="77777777" w:rsidTr="006A5171">
        <w:tc>
          <w:tcPr>
            <w:tcW w:w="988" w:type="dxa"/>
          </w:tcPr>
          <w:p w14:paraId="7943CF1F" w14:textId="77777777" w:rsidR="0063404D" w:rsidRPr="002D45F3" w:rsidRDefault="0063404D" w:rsidP="006A5171">
            <w:pPr>
              <w:ind w:left="13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9.2.4.4.2</w:t>
            </w:r>
          </w:p>
        </w:tc>
        <w:tc>
          <w:tcPr>
            <w:tcW w:w="1706" w:type="dxa"/>
          </w:tcPr>
          <w:p w14:paraId="396DBFBD" w14:textId="77777777" w:rsidR="0063404D" w:rsidRPr="002D45F3" w:rsidRDefault="0063404D" w:rsidP="006A5171">
            <w:pPr>
              <w:ind w:left="16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Перезаряжаемая система аккумулирования электрической энергии</w:t>
            </w:r>
          </w:p>
        </w:tc>
        <w:tc>
          <w:tcPr>
            <w:tcW w:w="567" w:type="dxa"/>
          </w:tcPr>
          <w:p w14:paraId="42619532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4A56958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48C72810" w14:textId="77777777" w:rsidR="0063404D" w:rsidRPr="002D45F3" w:rsidRDefault="0063404D" w:rsidP="006A5171">
            <w:pPr>
              <w:ind w:left="3"/>
              <w:rPr>
                <w:i/>
                <w:iCs/>
                <w:sz w:val="18"/>
                <w:szCs w:val="18"/>
              </w:rPr>
            </w:pPr>
            <w:r>
              <w:t>[X</w:t>
            </w:r>
            <w:r>
              <w:rPr>
                <w:vertAlign w:val="superscript"/>
              </w:rPr>
              <w:t>k</w:t>
            </w:r>
            <w:r>
              <w:t>]</w:t>
            </w:r>
          </w:p>
        </w:tc>
        <w:tc>
          <w:tcPr>
            <w:tcW w:w="567" w:type="dxa"/>
          </w:tcPr>
          <w:p w14:paraId="1B58D883" w14:textId="77777777" w:rsidR="0063404D" w:rsidRPr="002D45F3" w:rsidRDefault="0063404D" w:rsidP="006A5171">
            <w:pPr>
              <w:ind w:left="126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3118" w:type="dxa"/>
          </w:tcPr>
          <w:p w14:paraId="3A76E63E" w14:textId="77777777" w:rsidR="0063404D" w:rsidRPr="002D45F3" w:rsidRDefault="0063404D" w:rsidP="006A5171">
            <w:pPr>
              <w:ind w:left="139"/>
              <w:rPr>
                <w:i/>
                <w:iCs/>
                <w:sz w:val="18"/>
                <w:szCs w:val="18"/>
              </w:rPr>
            </w:pPr>
            <w:r>
              <w:t>[</w:t>
            </w:r>
            <w:r>
              <w:rPr>
                <w:vertAlign w:val="superscript"/>
              </w:rPr>
              <w:t>k</w:t>
            </w:r>
            <w:r>
              <w:t xml:space="preserve"> Применимо к автомобилям, впервые зарегистрированным после 31 марта 2026 года]</w:t>
            </w:r>
          </w:p>
        </w:tc>
      </w:tr>
    </w:tbl>
    <w:p w14:paraId="039B177D" w14:textId="77777777" w:rsidR="0063404D" w:rsidRDefault="0063404D" w:rsidP="0063404D">
      <w:pPr>
        <w:pStyle w:val="SingleTxtG"/>
        <w:spacing w:before="120"/>
      </w:pPr>
      <w:r>
        <w:t>Добавить новую строку 9.2.4.4.3 следующего содержания:</w:t>
      </w:r>
    </w:p>
    <w:tbl>
      <w:tblPr>
        <w:tblStyle w:val="ac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88"/>
        <w:gridCol w:w="1706"/>
        <w:gridCol w:w="567"/>
        <w:gridCol w:w="567"/>
        <w:gridCol w:w="567"/>
        <w:gridCol w:w="567"/>
        <w:gridCol w:w="3118"/>
      </w:tblGrid>
      <w:tr w:rsidR="0063404D" w:rsidRPr="002D45F3" w14:paraId="439108CC" w14:textId="77777777" w:rsidTr="006A5171">
        <w:tc>
          <w:tcPr>
            <w:tcW w:w="988" w:type="dxa"/>
          </w:tcPr>
          <w:p w14:paraId="6FE0C922" w14:textId="77777777" w:rsidR="0063404D" w:rsidRPr="002D45F3" w:rsidRDefault="0063404D" w:rsidP="006A5171">
            <w:pPr>
              <w:ind w:left="13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9.2.4.4.3</w:t>
            </w:r>
          </w:p>
        </w:tc>
        <w:tc>
          <w:tcPr>
            <w:tcW w:w="1706" w:type="dxa"/>
          </w:tcPr>
          <w:p w14:paraId="1D911C6F" w14:textId="77777777" w:rsidR="0063404D" w:rsidRPr="002D45F3" w:rsidRDefault="0063404D" w:rsidP="006A5171">
            <w:pPr>
              <w:ind w:left="13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Меры защиты от теплового распространения</w:t>
            </w:r>
          </w:p>
        </w:tc>
        <w:tc>
          <w:tcPr>
            <w:tcW w:w="567" w:type="dxa"/>
          </w:tcPr>
          <w:p w14:paraId="62FC8432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C686302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BAB0C56" w14:textId="77777777" w:rsidR="0063404D" w:rsidRPr="002D45F3" w:rsidRDefault="0063404D" w:rsidP="006A5171">
            <w:pPr>
              <w:ind w:left="11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C04F319" w14:textId="77777777" w:rsidR="0063404D" w:rsidRPr="002D45F3" w:rsidRDefault="0063404D" w:rsidP="006A5171">
            <w:pPr>
              <w:ind w:left="108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3118" w:type="dxa"/>
          </w:tcPr>
          <w:p w14:paraId="34EEADDF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</w:tr>
    </w:tbl>
    <w:p w14:paraId="2E0B4A36" w14:textId="77777777" w:rsidR="0063404D" w:rsidRDefault="0063404D" w:rsidP="00414230">
      <w:pPr>
        <w:pStyle w:val="SingleTxtG"/>
        <w:pageBreakBefore/>
        <w:spacing w:before="120"/>
      </w:pPr>
      <w:r>
        <w:lastRenderedPageBreak/>
        <w:t>Исключить строку 9.2.4.7.</w:t>
      </w:r>
    </w:p>
    <w:tbl>
      <w:tblPr>
        <w:tblStyle w:val="ac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67"/>
        <w:gridCol w:w="567"/>
        <w:gridCol w:w="567"/>
        <w:gridCol w:w="567"/>
        <w:gridCol w:w="3118"/>
      </w:tblGrid>
      <w:tr w:rsidR="0063404D" w:rsidRPr="002D45F3" w14:paraId="22302CD1" w14:textId="77777777" w:rsidTr="006A5171">
        <w:tc>
          <w:tcPr>
            <w:tcW w:w="993" w:type="dxa"/>
          </w:tcPr>
          <w:p w14:paraId="022AB3C4" w14:textId="77777777" w:rsidR="0063404D" w:rsidRPr="002D45F3" w:rsidRDefault="0063404D" w:rsidP="006A5171">
            <w:pPr>
              <w:ind w:left="136"/>
              <w:rPr>
                <w:i/>
                <w:iCs/>
                <w:strike/>
                <w:sz w:val="18"/>
                <w:szCs w:val="18"/>
              </w:rPr>
            </w:pPr>
            <w:r>
              <w:rPr>
                <w:i/>
                <w:iCs/>
                <w:strike/>
              </w:rPr>
              <w:t>9.2.4.7</w:t>
            </w:r>
          </w:p>
        </w:tc>
        <w:tc>
          <w:tcPr>
            <w:tcW w:w="1701" w:type="dxa"/>
          </w:tcPr>
          <w:p w14:paraId="3B3F17E2" w14:textId="77777777" w:rsidR="0063404D" w:rsidRPr="002D45F3" w:rsidRDefault="0063404D" w:rsidP="006A5171">
            <w:pPr>
              <w:ind w:left="64"/>
              <w:rPr>
                <w:i/>
                <w:iCs/>
                <w:strike/>
                <w:sz w:val="18"/>
                <w:szCs w:val="18"/>
              </w:rPr>
            </w:pPr>
            <w:r>
              <w:rPr>
                <w:i/>
                <w:iCs/>
                <w:strike/>
              </w:rPr>
              <w:t>Износостойкая тормозная система транспортного средства</w:t>
            </w:r>
          </w:p>
        </w:tc>
        <w:tc>
          <w:tcPr>
            <w:tcW w:w="567" w:type="dxa"/>
          </w:tcPr>
          <w:p w14:paraId="7E83FCFC" w14:textId="77777777" w:rsidR="0063404D" w:rsidRPr="002D45F3" w:rsidRDefault="0063404D" w:rsidP="006A5171">
            <w:pPr>
              <w:ind w:left="86"/>
              <w:rPr>
                <w:i/>
                <w:iCs/>
                <w:strike/>
                <w:sz w:val="18"/>
                <w:szCs w:val="18"/>
              </w:rPr>
            </w:pPr>
            <w:r>
              <w:rPr>
                <w:i/>
                <w:iCs/>
                <w:strike/>
              </w:rPr>
              <w:t>X</w:t>
            </w:r>
            <w:r w:rsidRPr="000226FF">
              <w:rPr>
                <w:i/>
                <w:iCs/>
                <w:strike/>
                <w:vertAlign w:val="superscript"/>
              </w:rPr>
              <w:t>f</w:t>
            </w:r>
          </w:p>
        </w:tc>
        <w:tc>
          <w:tcPr>
            <w:tcW w:w="567" w:type="dxa"/>
          </w:tcPr>
          <w:p w14:paraId="288D561F" w14:textId="77777777" w:rsidR="0063404D" w:rsidRPr="00092587" w:rsidRDefault="0063404D" w:rsidP="006A5171">
            <w:pPr>
              <w:ind w:left="219"/>
              <w:rPr>
                <w:i/>
                <w:iCs/>
                <w:strike/>
                <w:sz w:val="18"/>
                <w:szCs w:val="18"/>
              </w:rPr>
            </w:pPr>
            <w:r w:rsidRPr="00092587">
              <w:rPr>
                <w:strike/>
              </w:rPr>
              <w:t>X</w:t>
            </w:r>
          </w:p>
        </w:tc>
        <w:tc>
          <w:tcPr>
            <w:tcW w:w="567" w:type="dxa"/>
          </w:tcPr>
          <w:p w14:paraId="512D9F6E" w14:textId="77777777" w:rsidR="0063404D" w:rsidRPr="00092587" w:rsidRDefault="0063404D" w:rsidP="006A5171">
            <w:pPr>
              <w:ind w:left="97"/>
              <w:rPr>
                <w:i/>
                <w:iCs/>
                <w:strike/>
                <w:sz w:val="18"/>
                <w:szCs w:val="18"/>
              </w:rPr>
            </w:pPr>
            <w:r w:rsidRPr="00092587">
              <w:rPr>
                <w:strike/>
              </w:rPr>
              <w:t>X</w:t>
            </w:r>
          </w:p>
        </w:tc>
        <w:tc>
          <w:tcPr>
            <w:tcW w:w="567" w:type="dxa"/>
          </w:tcPr>
          <w:p w14:paraId="5E4A1354" w14:textId="77777777" w:rsidR="0063404D" w:rsidRPr="00092587" w:rsidRDefault="0063404D" w:rsidP="006A5171">
            <w:pPr>
              <w:ind w:left="121"/>
              <w:rPr>
                <w:strike/>
                <w:sz w:val="18"/>
                <w:szCs w:val="18"/>
              </w:rPr>
            </w:pPr>
            <w:r w:rsidRPr="00092587">
              <w:rPr>
                <w:strike/>
              </w:rPr>
              <w:t>X</w:t>
            </w:r>
          </w:p>
        </w:tc>
        <w:tc>
          <w:tcPr>
            <w:tcW w:w="3118" w:type="dxa"/>
          </w:tcPr>
          <w:p w14:paraId="5AD46B95" w14:textId="56BDBC4D" w:rsidR="0063404D" w:rsidRPr="002D45F3" w:rsidRDefault="0063404D" w:rsidP="006A5171">
            <w:pPr>
              <w:ind w:left="118"/>
              <w:rPr>
                <w:i/>
                <w:iCs/>
                <w:strike/>
                <w:sz w:val="18"/>
                <w:szCs w:val="18"/>
              </w:rPr>
            </w:pPr>
            <w:r>
              <w:rPr>
                <w:i/>
                <w:iCs/>
                <w:strike/>
                <w:vertAlign w:val="superscript"/>
              </w:rPr>
              <w:t>F</w:t>
            </w:r>
            <w:r>
              <w:rPr>
                <w:i/>
                <w:iCs/>
                <w:strike/>
              </w:rPr>
              <w:t xml:space="preserve"> Применимо к автомобилям... должна быть типа IIA.</w:t>
            </w:r>
          </w:p>
        </w:tc>
      </w:tr>
    </w:tbl>
    <w:p w14:paraId="2D3400CE" w14:textId="77777777" w:rsidR="0063404D" w:rsidRDefault="0063404D" w:rsidP="0063404D">
      <w:pPr>
        <w:pStyle w:val="SingleTxtG"/>
        <w:spacing w:before="120"/>
      </w:pPr>
      <w:r>
        <w:t>Добавить новую строку 9.2.4.5 следующего содержания:</w:t>
      </w:r>
    </w:p>
    <w:tbl>
      <w:tblPr>
        <w:tblStyle w:val="ac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88"/>
        <w:gridCol w:w="1706"/>
        <w:gridCol w:w="567"/>
        <w:gridCol w:w="567"/>
        <w:gridCol w:w="567"/>
        <w:gridCol w:w="567"/>
        <w:gridCol w:w="3118"/>
      </w:tblGrid>
      <w:tr w:rsidR="0063404D" w:rsidRPr="002D45F3" w14:paraId="6FD65FD1" w14:textId="77777777" w:rsidTr="006A5171">
        <w:trPr>
          <w:trHeight w:val="385"/>
        </w:trPr>
        <w:tc>
          <w:tcPr>
            <w:tcW w:w="988" w:type="dxa"/>
          </w:tcPr>
          <w:p w14:paraId="3F0F9F20" w14:textId="77777777" w:rsidR="0063404D" w:rsidRPr="002D45F3" w:rsidRDefault="0063404D" w:rsidP="006A5171">
            <w:pPr>
              <w:ind w:left="13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9.2.4.5</w:t>
            </w:r>
          </w:p>
        </w:tc>
        <w:tc>
          <w:tcPr>
            <w:tcW w:w="1706" w:type="dxa"/>
          </w:tcPr>
          <w:p w14:paraId="5558629E" w14:textId="77777777" w:rsidR="0063404D" w:rsidRPr="002D45F3" w:rsidRDefault="0063404D" w:rsidP="006A5171">
            <w:pPr>
              <w:ind w:left="10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Водородный топливный элемент</w:t>
            </w:r>
          </w:p>
        </w:tc>
        <w:tc>
          <w:tcPr>
            <w:tcW w:w="567" w:type="dxa"/>
          </w:tcPr>
          <w:p w14:paraId="3ACC38FE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7B329D6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F58CE1C" w14:textId="77777777" w:rsidR="0063404D" w:rsidRPr="002D45F3" w:rsidRDefault="0063404D" w:rsidP="006A5171">
            <w:pPr>
              <w:ind w:left="177"/>
              <w:rPr>
                <w:i/>
                <w:iCs/>
                <w:sz w:val="18"/>
                <w:szCs w:val="18"/>
              </w:rPr>
            </w:pPr>
            <w:r>
              <w:t>X</w:t>
            </w:r>
          </w:p>
        </w:tc>
        <w:tc>
          <w:tcPr>
            <w:tcW w:w="567" w:type="dxa"/>
          </w:tcPr>
          <w:p w14:paraId="4CE7DA11" w14:textId="77777777" w:rsidR="0063404D" w:rsidRPr="002D45F3" w:rsidRDefault="0063404D" w:rsidP="006A5171">
            <w:pPr>
              <w:ind w:left="188"/>
              <w:rPr>
                <w:i/>
                <w:iCs/>
                <w:sz w:val="18"/>
                <w:szCs w:val="18"/>
              </w:rPr>
            </w:pPr>
            <w:r>
              <w:t>X</w:t>
            </w:r>
          </w:p>
        </w:tc>
        <w:tc>
          <w:tcPr>
            <w:tcW w:w="3118" w:type="dxa"/>
          </w:tcPr>
          <w:p w14:paraId="75A5AC78" w14:textId="77777777" w:rsidR="0063404D" w:rsidRPr="002D45F3" w:rsidRDefault="0063404D" w:rsidP="006A5171">
            <w:pPr>
              <w:ind w:left="1134"/>
              <w:rPr>
                <w:i/>
                <w:iCs/>
                <w:sz w:val="18"/>
                <w:szCs w:val="18"/>
              </w:rPr>
            </w:pPr>
          </w:p>
        </w:tc>
      </w:tr>
    </w:tbl>
    <w:p w14:paraId="0E26C83E" w14:textId="3C57B3B5" w:rsidR="0063404D" w:rsidRPr="002D45F3" w:rsidRDefault="0063404D" w:rsidP="0063404D">
      <w:pPr>
        <w:pStyle w:val="SingleTxtG"/>
        <w:spacing w:before="120"/>
      </w:pPr>
      <w:r>
        <w:t>Перенумеровать строки 9.2.4.8</w:t>
      </w:r>
      <w:r w:rsidR="00414230">
        <w:t>–</w:t>
      </w:r>
      <w:r>
        <w:t>9.2.4.8.6 (Топливные обогревательные приборы) в 9.2.5</w:t>
      </w:r>
      <w:r w:rsidR="00414230">
        <w:t>–</w:t>
      </w:r>
      <w:r>
        <w:t>9.2.5.6 соответственно.</w:t>
      </w:r>
    </w:p>
    <w:p w14:paraId="00DCBAFC" w14:textId="09769FBF" w:rsidR="0063404D" w:rsidRPr="002D45F3" w:rsidRDefault="0063404D" w:rsidP="0063404D">
      <w:pPr>
        <w:pStyle w:val="SingleTxtG"/>
      </w:pPr>
      <w:r>
        <w:t xml:space="preserve">Перенумеровать строку 9.2.5 (Устройство ограничения скорости) в 9.2.6; </w:t>
      </w:r>
      <w:r w:rsidR="00414230">
        <w:br/>
      </w:r>
      <w:r>
        <w:t xml:space="preserve">строку 9.2.6 (Сцепные устройства...) </w:t>
      </w:r>
      <w:r w:rsidR="00414230">
        <w:t>—</w:t>
      </w:r>
      <w:r>
        <w:t xml:space="preserve"> в 9.2.7, а строку 9.2.7 (Предупреждение других рисков...)  </w:t>
      </w:r>
      <w:r w:rsidR="00414230">
        <w:t xml:space="preserve">— </w:t>
      </w:r>
      <w:r>
        <w:t>в 9.2.8.</w:t>
      </w:r>
    </w:p>
    <w:p w14:paraId="2EFDFB76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2</w:t>
      </w:r>
    </w:p>
    <w:p w14:paraId="60A4B442" w14:textId="77777777" w:rsidR="0063404D" w:rsidRPr="004A1D9B" w:rsidRDefault="0063404D" w:rsidP="0063404D">
      <w:pPr>
        <w:pStyle w:val="SingleTxtG"/>
      </w:pPr>
      <w:r>
        <w:t>5.</w:t>
      </w:r>
      <w:r>
        <w:tab/>
        <w:t xml:space="preserve">Изменить пункт 9.2.2.1 следующим образом (исключенные формулировки </w:t>
      </w:r>
      <w:r>
        <w:rPr>
          <w:strike/>
        </w:rPr>
        <w:t>зачеркнуты</w:t>
      </w:r>
      <w:r>
        <w:t xml:space="preserve">, а новые формулировки </w:t>
      </w:r>
      <w:r>
        <w:rPr>
          <w:i/>
          <w:iCs/>
          <w:u w:val="single"/>
        </w:rPr>
        <w:t>выделены курсивом и подчеркнуты</w:t>
      </w:r>
      <w:r>
        <w:t>):</w:t>
      </w:r>
    </w:p>
    <w:p w14:paraId="29A43DE1" w14:textId="09B977C7" w:rsidR="0063404D" w:rsidRPr="00241619" w:rsidRDefault="00414230" w:rsidP="0063404D">
      <w:pPr>
        <w:pStyle w:val="SingleTxtG"/>
        <w:rPr>
          <w:b/>
          <w:bCs/>
        </w:rPr>
      </w:pPr>
      <w:r w:rsidRPr="00414230">
        <w:t>«</w:t>
      </w:r>
      <w:r w:rsidR="0063404D">
        <w:rPr>
          <w:b/>
          <w:bCs/>
        </w:rPr>
        <w:t>9.2.2.1</w:t>
      </w:r>
      <w:r w:rsidR="0063404D">
        <w:tab/>
      </w:r>
      <w:r w:rsidR="0063404D" w:rsidRPr="00241619">
        <w:rPr>
          <w:b/>
          <w:bCs/>
          <w:i/>
          <w:iCs/>
        </w:rPr>
        <w:t>Общие положения</w:t>
      </w:r>
    </w:p>
    <w:p w14:paraId="1CE6A021" w14:textId="21EB1635" w:rsidR="0063404D" w:rsidRPr="002D45F3" w:rsidRDefault="0063404D" w:rsidP="0063404D">
      <w:pPr>
        <w:pStyle w:val="SingleTxtG"/>
        <w:ind w:left="1701"/>
      </w:pPr>
      <w:r>
        <w:t>Установка должна быть сконструирована, выполнена и снабжена средствами защиты таким образом, чтобы при нормальных условиях эксплуатации транспортных средств она не могла вызвать случайного возгорания</w:t>
      </w:r>
      <w:r w:rsidR="00414230">
        <w:br/>
      </w:r>
      <w:r>
        <w:rPr>
          <w:i/>
          <w:iCs/>
          <w:u w:val="single"/>
        </w:rPr>
        <w:t>[, воспламенения]</w:t>
      </w:r>
      <w:r>
        <w:t xml:space="preserve"> или короткого замыкания. </w:t>
      </w:r>
    </w:p>
    <w:p w14:paraId="5699DF17" w14:textId="3F4266B4" w:rsidR="0063404D" w:rsidRPr="002D45F3" w:rsidRDefault="0063404D" w:rsidP="0063404D">
      <w:pPr>
        <w:pStyle w:val="SingleTxtG"/>
        <w:ind w:left="1701"/>
      </w:pPr>
      <w:r>
        <w:t>Установленное электрооборудование</w:t>
      </w:r>
      <w:r>
        <w:rPr>
          <w:strike/>
        </w:rPr>
        <w:t>, за исключением электрического привода, соответствующего техническим положениям Правил № 100 ООН с поправками по крайней мере серии 03,</w:t>
      </w:r>
      <w:r>
        <w:t xml:space="preserve"> должно удовлетворять положениям </w:t>
      </w:r>
      <w:r w:rsidR="001B68DA">
        <w:br/>
      </w:r>
      <w:r>
        <w:t>подразделов 9.2.2.2–9.2.2.9 в соответствии с таблицей, приведенной в разделе</w:t>
      </w:r>
      <w:r w:rsidR="001B68DA">
        <w:t> </w:t>
      </w:r>
      <w:r>
        <w:t>9.2.1.</w:t>
      </w:r>
    </w:p>
    <w:p w14:paraId="68104BAC" w14:textId="1E6356FA" w:rsidR="0063404D" w:rsidRPr="00DF301E" w:rsidRDefault="0063404D" w:rsidP="0063404D">
      <w:pPr>
        <w:pStyle w:val="SingleTxtG"/>
        <w:ind w:left="1701"/>
        <w:rPr>
          <w:i/>
          <w:iCs/>
          <w:u w:val="single"/>
        </w:rPr>
      </w:pPr>
      <w:r>
        <w:rPr>
          <w:i/>
          <w:iCs/>
          <w:u w:val="single"/>
        </w:rPr>
        <w:t>Электрический привод и гальванически соединенные части в соответствии с техническими положениями Правил № 100 ООН с поправками по крайней мере серии 03, не обязательно должны соответствовать положениям пунктов</w:t>
      </w:r>
      <w:r w:rsidR="000226FF">
        <w:rPr>
          <w:i/>
          <w:iCs/>
          <w:u w:val="single"/>
          <w:lang w:val="fr-CH"/>
        </w:rPr>
        <w:t> </w:t>
      </w:r>
      <w:r>
        <w:rPr>
          <w:i/>
          <w:iCs/>
          <w:u w:val="single"/>
        </w:rPr>
        <w:t>9.2.2.2</w:t>
      </w:r>
      <w:r w:rsidR="000226FF" w:rsidRPr="000226FF">
        <w:rPr>
          <w:i/>
          <w:iCs/>
          <w:u w:val="single"/>
        </w:rPr>
        <w:t>–</w:t>
      </w:r>
      <w:r>
        <w:rPr>
          <w:i/>
          <w:iCs/>
          <w:u w:val="single"/>
        </w:rPr>
        <w:t>9.2.2.7</w:t>
      </w:r>
      <w:r w:rsidR="001B68DA" w:rsidRPr="001B68DA">
        <w:t>»</w:t>
      </w:r>
      <w:r>
        <w:t>.</w:t>
      </w:r>
    </w:p>
    <w:p w14:paraId="5433E8EA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3</w:t>
      </w:r>
    </w:p>
    <w:p w14:paraId="667B3445" w14:textId="77777777" w:rsidR="0063404D" w:rsidRPr="002D45F3" w:rsidRDefault="0063404D" w:rsidP="0063404D">
      <w:pPr>
        <w:pStyle w:val="SingleTxtG"/>
      </w:pPr>
      <w:r>
        <w:t>6.</w:t>
      </w:r>
      <w:r>
        <w:tab/>
        <w:t>Ввести после пункта 9.2.3.1.1 новое примечание следующего содержания:</w:t>
      </w:r>
    </w:p>
    <w:p w14:paraId="1F911E0D" w14:textId="66E9B85C" w:rsidR="0063404D" w:rsidRPr="003C54A7" w:rsidRDefault="001B68DA" w:rsidP="0063404D">
      <w:pPr>
        <w:pStyle w:val="SingleTxtG"/>
        <w:ind w:left="1701"/>
      </w:pPr>
      <w:r w:rsidRPr="001B68DA">
        <w:t>«</w:t>
      </w:r>
      <w:r w:rsidR="0063404D">
        <w:rPr>
          <w:b/>
          <w:bCs/>
          <w:i/>
          <w:iCs/>
        </w:rPr>
        <w:t>ПРИМЕЧАНИЕ</w:t>
      </w:r>
      <w:r w:rsidR="0063404D">
        <w:rPr>
          <w:i/>
          <w:iCs/>
        </w:rPr>
        <w:t>: Прицепы с рекуперативным торможением или электрическим приводом не допускаются</w:t>
      </w:r>
      <w:r w:rsidRPr="001B68DA">
        <w:t>»</w:t>
      </w:r>
      <w:r w:rsidR="0063404D">
        <w:t>.</w:t>
      </w:r>
    </w:p>
    <w:p w14:paraId="1D3A8A2E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4</w:t>
      </w:r>
    </w:p>
    <w:p w14:paraId="69D3B5B0" w14:textId="77777777" w:rsidR="0063404D" w:rsidRPr="002D45F3" w:rsidRDefault="0063404D" w:rsidP="0063404D">
      <w:pPr>
        <w:pStyle w:val="SingleTxtG"/>
      </w:pPr>
      <w:r>
        <w:t>7.</w:t>
      </w:r>
      <w:r>
        <w:tab/>
        <w:t>Включить новый пункт 9.2.3.3 с тем же текстом, что и в пункте 9.2.4.7 (издание ДОПОГ 2023 года), в следующей редакции:</w:t>
      </w:r>
    </w:p>
    <w:p w14:paraId="79EE1CDE" w14:textId="6FEF33D0" w:rsidR="0063404D" w:rsidRPr="000C5FDB" w:rsidRDefault="001B68DA" w:rsidP="0063404D">
      <w:pPr>
        <w:pStyle w:val="SingleTxtG"/>
        <w:rPr>
          <w:rFonts w:eastAsia="SimSun"/>
          <w:iCs/>
        </w:rPr>
      </w:pPr>
      <w:r>
        <w:t>«</w:t>
      </w:r>
      <w:r w:rsidR="0063404D">
        <w:t>9.2.3.3</w:t>
      </w:r>
      <w:r w:rsidR="0063404D">
        <w:tab/>
        <w:t xml:space="preserve">Транспортные средства, оборудованные </w:t>
      </w:r>
      <w:r w:rsidR="0063404D" w:rsidRPr="00082DA4">
        <w:t>тормозн</w:t>
      </w:r>
      <w:r w:rsidR="0063404D">
        <w:t>ыми</w:t>
      </w:r>
      <w:r w:rsidR="0063404D" w:rsidRPr="00082DA4">
        <w:t xml:space="preserve"> систем</w:t>
      </w:r>
      <w:r w:rsidR="0063404D">
        <w:t>ами</w:t>
      </w:r>
      <w:r w:rsidR="0063404D" w:rsidRPr="00082DA4">
        <w:t xml:space="preserve"> длительного действия</w:t>
      </w:r>
      <w:r w:rsidR="0063404D">
        <w:t xml:space="preserve"> с интенсивным тепловыделением, расположенными за задней стенкой кабины водителя, должны быть оснащены жестко закрепленным теплозащитным экраном, установленным между этой системой и топливным баком или грузом, чтобы исключалась любая опасность нагрева, даже локального, топливного бака или груза.</w:t>
      </w:r>
    </w:p>
    <w:p w14:paraId="3ED65B1F" w14:textId="5D456FB1" w:rsidR="0063404D" w:rsidRPr="000C5FDB" w:rsidRDefault="0063404D" w:rsidP="0063404D">
      <w:pPr>
        <w:pStyle w:val="SingleTxtG"/>
        <w:rPr>
          <w:iCs/>
        </w:rPr>
      </w:pPr>
      <w:r>
        <w:lastRenderedPageBreak/>
        <w:t>Кроме того, этот теплозащитный экран должен защищать тормозную систему от любых, даже аварийных, утечек или выбросов груза. Удовлетворительной считается, например, защита, обеспечиваемая экраном с двойной оболочкой</w:t>
      </w:r>
      <w:r w:rsidR="001B68DA">
        <w:t>»</w:t>
      </w:r>
      <w:r>
        <w:t>.</w:t>
      </w:r>
    </w:p>
    <w:p w14:paraId="40729272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5</w:t>
      </w:r>
    </w:p>
    <w:p w14:paraId="0669059F" w14:textId="77777777" w:rsidR="0063404D" w:rsidRPr="002D45F3" w:rsidRDefault="0063404D" w:rsidP="0063404D">
      <w:pPr>
        <w:pStyle w:val="SingleTxtG"/>
      </w:pPr>
      <w:r>
        <w:t>8.</w:t>
      </w:r>
      <w:r>
        <w:tab/>
        <w:t xml:space="preserve">Изменить пункт 9.2.4 следующим образом (исключенные формулировки </w:t>
      </w:r>
      <w:r>
        <w:rPr>
          <w:strike/>
        </w:rPr>
        <w:t>зачеркнуты</w:t>
      </w:r>
      <w:r>
        <w:t xml:space="preserve">, а новые формулировки выделены </w:t>
      </w:r>
      <w:r>
        <w:rPr>
          <w:i/>
          <w:iCs/>
          <w:u w:val="single"/>
        </w:rPr>
        <w:t>курсивом и подчеркнуты</w:t>
      </w:r>
      <w:r>
        <w:t>):</w:t>
      </w:r>
    </w:p>
    <w:p w14:paraId="06094EF3" w14:textId="77777777" w:rsidR="0063404D" w:rsidRPr="002D45F3" w:rsidRDefault="0063404D" w:rsidP="0063404D">
      <w:pPr>
        <w:pStyle w:val="SingleTxtG"/>
        <w:ind w:left="1701"/>
        <w:rPr>
          <w:strike/>
        </w:rPr>
      </w:pPr>
      <w:r>
        <w:rPr>
          <w:b/>
          <w:bCs/>
        </w:rPr>
        <w:t>9.2.4</w:t>
      </w:r>
      <w:r>
        <w:tab/>
      </w:r>
      <w:r>
        <w:rPr>
          <w:b/>
          <w:bCs/>
          <w:i/>
          <w:iCs/>
          <w:u w:val="single"/>
        </w:rPr>
        <w:t>Силовая установка транспортного средства</w:t>
      </w:r>
      <w:r w:rsidRPr="001B68DA">
        <w:t xml:space="preserve"> </w:t>
      </w:r>
      <w:r>
        <w:rPr>
          <w:strike/>
        </w:rPr>
        <w:t>Предотвращение опасности возникновения пожара</w:t>
      </w:r>
    </w:p>
    <w:p w14:paraId="2E267DDF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6</w:t>
      </w:r>
    </w:p>
    <w:p w14:paraId="15B79354" w14:textId="77777777" w:rsidR="0063404D" w:rsidRPr="007767BA" w:rsidRDefault="0063404D" w:rsidP="0063404D">
      <w:pPr>
        <w:pStyle w:val="SingleTxtG"/>
      </w:pPr>
      <w:r>
        <w:t>9.</w:t>
      </w:r>
      <w:r>
        <w:tab/>
        <w:t>Включить в конце пункта 9.2.4.1 новый абзац следующего содержания:</w:t>
      </w:r>
    </w:p>
    <w:p w14:paraId="3E9BC3A6" w14:textId="4C71589E" w:rsidR="0063404D" w:rsidRPr="000C5FDB" w:rsidRDefault="001B68DA" w:rsidP="0063404D">
      <w:pPr>
        <w:pStyle w:val="SingleTxtG"/>
        <w:ind w:left="1701"/>
        <w:rPr>
          <w:sz w:val="22"/>
          <w:szCs w:val="22"/>
        </w:rPr>
      </w:pPr>
      <w:r>
        <w:t>«</w:t>
      </w:r>
      <w:r w:rsidR="0063404D">
        <w:t>Гибридные транспортные средства, оснащенные двигателем внутреннего сгорания и электрическим приводом, должны соответствовать положениям пунктов 9.2.4.2</w:t>
      </w:r>
      <w:r w:rsidR="000226FF" w:rsidRPr="000226FF">
        <w:t>–</w:t>
      </w:r>
      <w:r w:rsidR="0063404D">
        <w:t>9.2.4.4 и 9.2.4.5</w:t>
      </w:r>
      <w:r>
        <w:t>»</w:t>
      </w:r>
      <w:r w:rsidR="0063404D">
        <w:t>.</w:t>
      </w:r>
    </w:p>
    <w:p w14:paraId="78AD91BD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7</w:t>
      </w:r>
    </w:p>
    <w:p w14:paraId="35BD0914" w14:textId="042ABAB2" w:rsidR="0063404D" w:rsidRPr="002D45F3" w:rsidRDefault="0063404D" w:rsidP="0063404D">
      <w:pPr>
        <w:pStyle w:val="SingleTxtG"/>
      </w:pPr>
      <w:r>
        <w:t>10.</w:t>
      </w:r>
      <w:r>
        <w:tab/>
        <w:t xml:space="preserve">Исключить пункт 9.2.4.2 (в настоящее время имеет пометку </w:t>
      </w:r>
      <w:r w:rsidR="001B68DA">
        <w:t>«</w:t>
      </w:r>
      <w:r>
        <w:t>Исключен</w:t>
      </w:r>
      <w:r w:rsidR="001B68DA">
        <w:t>»</w:t>
      </w:r>
      <w:r>
        <w:t>).</w:t>
      </w:r>
    </w:p>
    <w:p w14:paraId="30122333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8</w:t>
      </w:r>
    </w:p>
    <w:p w14:paraId="42DD3AB0" w14:textId="77777777" w:rsidR="0063404D" w:rsidRPr="002D45F3" w:rsidRDefault="0063404D" w:rsidP="0063404D">
      <w:pPr>
        <w:pStyle w:val="SingleTxtG"/>
      </w:pPr>
      <w:r>
        <w:t>11.</w:t>
      </w:r>
      <w:r>
        <w:tab/>
        <w:t xml:space="preserve">Изменить нумерацию существующего пункта 9.2.4.3 на 9.2.4.2 и изложить его в следующей редакции (исключенные формулировки </w:t>
      </w:r>
      <w:r>
        <w:rPr>
          <w:strike/>
        </w:rPr>
        <w:t>зачеркнуты</w:t>
      </w:r>
      <w:r>
        <w:t xml:space="preserve">, а новые формулировки выделены </w:t>
      </w:r>
      <w:r>
        <w:rPr>
          <w:i/>
          <w:iCs/>
          <w:u w:val="single"/>
        </w:rPr>
        <w:t>курсивом и подчеркнуты</w:t>
      </w:r>
      <w:r>
        <w:t>):</w:t>
      </w:r>
    </w:p>
    <w:p w14:paraId="3C213FA4" w14:textId="63C5FE02" w:rsidR="0063404D" w:rsidRPr="00D90C07" w:rsidRDefault="001B68DA" w:rsidP="0063404D">
      <w:pPr>
        <w:pStyle w:val="SingleTxtG"/>
        <w:rPr>
          <w:i/>
          <w:iCs/>
        </w:rPr>
      </w:pPr>
      <w:r w:rsidRPr="001B68DA">
        <w:t>«</w:t>
      </w:r>
      <w:r w:rsidR="0063404D">
        <w:rPr>
          <w:b/>
          <w:bCs/>
        </w:rPr>
        <w:t>9.2.4.</w:t>
      </w:r>
      <w:r w:rsidR="0063404D" w:rsidRPr="002B1CA8">
        <w:rPr>
          <w:b/>
          <w:bCs/>
          <w:strike/>
        </w:rPr>
        <w:t>3</w:t>
      </w:r>
      <w:r w:rsidR="0063404D" w:rsidRPr="002B1CA8">
        <w:rPr>
          <w:b/>
          <w:bCs/>
        </w:rPr>
        <w:t>.</w:t>
      </w:r>
      <w:r w:rsidR="0063404D" w:rsidRPr="002B1CA8">
        <w:rPr>
          <w:b/>
          <w:bCs/>
          <w:i/>
          <w:iCs/>
          <w:u w:val="single"/>
        </w:rPr>
        <w:t>2</w:t>
      </w:r>
      <w:r w:rsidR="0063404D">
        <w:t xml:space="preserve"> </w:t>
      </w:r>
      <w:r w:rsidR="0063404D">
        <w:tab/>
      </w:r>
      <w:r w:rsidR="0063404D" w:rsidRPr="002B1CA8">
        <w:rPr>
          <w:b/>
          <w:bCs/>
          <w:i/>
          <w:iCs/>
        </w:rPr>
        <w:t>Топливные баки и баллоны</w:t>
      </w:r>
    </w:p>
    <w:p w14:paraId="629337EA" w14:textId="77777777" w:rsidR="0063404D" w:rsidRPr="00D90C07" w:rsidRDefault="0063404D" w:rsidP="0063404D">
      <w:pPr>
        <w:pStyle w:val="SingleTxtG"/>
        <w:ind w:left="1701"/>
        <w:rPr>
          <w:i/>
          <w:iCs/>
          <w:strike/>
        </w:rPr>
      </w:pPr>
      <w:r w:rsidRPr="002B1CA8">
        <w:rPr>
          <w:b/>
          <w:bCs/>
          <w:i/>
          <w:iCs/>
          <w:strike/>
        </w:rPr>
        <w:t>ПРИМЕЧАНИЕ</w:t>
      </w:r>
      <w:r>
        <w:rPr>
          <w:i/>
          <w:iCs/>
          <w:strike/>
        </w:rPr>
        <w:t>: Подраздел 9.2.4.3 аналогичным образом применяется к топливным бакам и баллонам, используемым для гибридных транспортных средств, которые включают в себя электрический привод в механической трансмиссии двигателя внутреннего сгорания или используют двигатель внутреннего сгорания для приведения в действие генератора для подачи энергии на электрический привод.</w:t>
      </w:r>
    </w:p>
    <w:p w14:paraId="44D4F4D5" w14:textId="77777777" w:rsidR="0063404D" w:rsidRPr="002D45F3" w:rsidRDefault="0063404D" w:rsidP="0063404D">
      <w:pPr>
        <w:pStyle w:val="SingleTxtG"/>
        <w:ind w:left="1701"/>
      </w:pPr>
      <w:r>
        <w:t xml:space="preserve">Топливные баки и баллоны для подачи топлива в двигатель </w:t>
      </w:r>
      <w:r>
        <w:rPr>
          <w:i/>
          <w:iCs/>
          <w:u w:val="single"/>
        </w:rPr>
        <w:t>либо топливные элементы</w:t>
      </w:r>
      <w:r>
        <w:t xml:space="preserve"> транспортного средства должны отвечать следующим требованиям.</w:t>
      </w:r>
    </w:p>
    <w:p w14:paraId="38C16DA4" w14:textId="77777777" w:rsidR="0063404D" w:rsidRPr="002D45F3" w:rsidRDefault="0063404D" w:rsidP="0063404D">
      <w:pPr>
        <w:pStyle w:val="SingleTxtG"/>
        <w:ind w:left="1701"/>
      </w:pPr>
      <w:r>
        <w:t>a)</w:t>
      </w:r>
      <w:r>
        <w:tab/>
        <w:t>В случае любой утечки в нормальных условиях перевозки жидкое топливо или жидкая фаза газообразного топлива должна(о) стекать на землю и не попадать на груз или нагретые части транспортного средства.</w:t>
      </w:r>
    </w:p>
    <w:p w14:paraId="6F97F362" w14:textId="77777777" w:rsidR="0063404D" w:rsidRPr="002D45F3" w:rsidRDefault="0063404D" w:rsidP="0063404D">
      <w:pPr>
        <w:pStyle w:val="SingleTxtG"/>
        <w:ind w:left="1701"/>
        <w:rPr>
          <w:i/>
        </w:rPr>
      </w:pPr>
      <w:r>
        <w:t>b)</w:t>
      </w:r>
      <w:r>
        <w:tab/>
        <w:t xml:space="preserve">Топливные баки для жидких видов топлива должны соответствовать положениям Правил № 34 ООН; топливные баки, содержащие бензин, должны быть оборудованы эффективным пламеуловителем, расположенным у заливного отверстия, или затвором, герметично закрывающим это отверстие. </w:t>
      </w:r>
      <w:r>
        <w:rPr>
          <w:strike/>
        </w:rPr>
        <w:t>Топливные баки и баллоны соответственно для СПГ и КПГ должны отвечать соответствующим требованиям Правил № 110 ООН.</w:t>
      </w:r>
      <w:r>
        <w:t xml:space="preserve"> </w:t>
      </w:r>
      <w:r>
        <w:rPr>
          <w:strike/>
        </w:rPr>
        <w:t>Топливные баки для СНГ должны отвечать соответствующим требованиям Правил № 67 ООН.</w:t>
      </w:r>
    </w:p>
    <w:p w14:paraId="3360E965" w14:textId="77777777" w:rsidR="0063404D" w:rsidRPr="00EF3E29" w:rsidRDefault="0063404D" w:rsidP="0063404D">
      <w:pPr>
        <w:pStyle w:val="SingleTxtG"/>
        <w:ind w:left="1701"/>
        <w:rPr>
          <w:i/>
          <w:iCs/>
        </w:rPr>
      </w:pPr>
      <w:r w:rsidRPr="001B68DA">
        <w:rPr>
          <w:i/>
          <w:iCs/>
          <w:u w:val="single"/>
        </w:rPr>
        <w:t>c)</w:t>
      </w:r>
      <w:r w:rsidRPr="001B68DA">
        <w:rPr>
          <w:u w:val="single"/>
        </w:rPr>
        <w:tab/>
      </w:r>
      <w:r w:rsidRPr="001B68DA">
        <w:rPr>
          <w:i/>
          <w:iCs/>
          <w:u w:val="single"/>
        </w:rPr>
        <w:t>Т</w:t>
      </w:r>
      <w:r>
        <w:rPr>
          <w:i/>
          <w:iCs/>
          <w:u w:val="single"/>
        </w:rPr>
        <w:t>опливные баки и баллоны соответственно для СПГ и КПГ должны отвечать применимым требованиям Правил № 110 ООН.</w:t>
      </w:r>
    </w:p>
    <w:p w14:paraId="27E685A9" w14:textId="77777777" w:rsidR="0063404D" w:rsidRPr="000463B0" w:rsidRDefault="0063404D" w:rsidP="0063404D">
      <w:pPr>
        <w:pStyle w:val="SingleTxtG"/>
        <w:ind w:left="1701"/>
        <w:rPr>
          <w:i/>
          <w:iCs/>
        </w:rPr>
      </w:pPr>
      <w:r>
        <w:rPr>
          <w:i/>
          <w:iCs/>
          <w:u w:val="single"/>
        </w:rPr>
        <w:t>d)</w:t>
      </w:r>
      <w:r w:rsidRPr="001B68DA">
        <w:rPr>
          <w:u w:val="single"/>
        </w:rPr>
        <w:tab/>
      </w:r>
      <w:r>
        <w:rPr>
          <w:i/>
          <w:iCs/>
          <w:u w:val="single"/>
        </w:rPr>
        <w:t>Топливные баки для СНГ должны отвечать соответствующим требованиям Правил № 67 ООН.</w:t>
      </w:r>
    </w:p>
    <w:p w14:paraId="51A26030" w14:textId="3E07BC95" w:rsidR="0063404D" w:rsidRPr="002D45F3" w:rsidRDefault="0063404D" w:rsidP="0063404D">
      <w:pPr>
        <w:pStyle w:val="SingleTxtG"/>
        <w:ind w:left="1701"/>
      </w:pPr>
      <w:r>
        <w:rPr>
          <w:i/>
          <w:iCs/>
          <w:u w:val="single"/>
        </w:rPr>
        <w:lastRenderedPageBreak/>
        <w:t>e)</w:t>
      </w:r>
      <w:r w:rsidRPr="001B68DA">
        <w:rPr>
          <w:u w:val="single"/>
        </w:rPr>
        <w:tab/>
      </w:r>
      <w:r>
        <w:rPr>
          <w:i/>
          <w:iCs/>
          <w:u w:val="single"/>
        </w:rPr>
        <w:t xml:space="preserve">Топливные баки и баллоны для водорода должны отвечать соответствующим требованиям Правил № 134 ООН с поправками по крайней мере серии 02, а резервуары для жидкого водорода </w:t>
      </w:r>
      <w:r w:rsidR="000226FF" w:rsidRPr="000226FF">
        <w:rPr>
          <w:i/>
          <w:iCs/>
          <w:u w:val="single"/>
        </w:rPr>
        <w:t>—</w:t>
      </w:r>
      <w:r>
        <w:rPr>
          <w:i/>
          <w:iCs/>
          <w:u w:val="single"/>
        </w:rPr>
        <w:t xml:space="preserve"> техническим положениям ГТП № 13 ООН, этап 2, часть 7.</w:t>
      </w:r>
    </w:p>
    <w:p w14:paraId="5D50E954" w14:textId="77777777" w:rsidR="0063404D" w:rsidRPr="002D45F3" w:rsidRDefault="0063404D" w:rsidP="0063404D">
      <w:pPr>
        <w:pStyle w:val="SingleTxtG"/>
        <w:ind w:left="1701"/>
      </w:pPr>
      <w:r>
        <w:rPr>
          <w:i/>
          <w:iCs/>
          <w:u w:val="single"/>
        </w:rPr>
        <w:t>f)</w:t>
      </w:r>
      <w:r>
        <w:tab/>
        <w:t xml:space="preserve">Выпускное(ые) отверстие(ия) устройств для сброса давления и/или клапанов для сброса давления топливных баков, содержащих газообразное топливо, должно(ы) быть направлено(ы) в сторону от воздухозаборных систем, топливных баков, груза или нагретых частей транспортного средства, и выходящие из них газы не должны проникать в замкнутые пространства, другие транспортные средства, наружные воздухозаборные системы (например, системы кондиционирования воздуха), воздухозаборники двигателя, </w:t>
      </w:r>
      <w:r>
        <w:rPr>
          <w:i/>
          <w:iCs/>
          <w:u w:val="single"/>
        </w:rPr>
        <w:t xml:space="preserve">системы аккумулирования электрической энергии </w:t>
      </w:r>
      <w:r>
        <w:t>или системы выпуска отработавших газов двигателя. Патрубки топливной системы не должны устанавливаться на корпусе, содержащем груз».</w:t>
      </w:r>
    </w:p>
    <w:p w14:paraId="041417D5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9</w:t>
      </w:r>
    </w:p>
    <w:p w14:paraId="11E2F177" w14:textId="77777777" w:rsidR="0063404D" w:rsidRPr="002D45F3" w:rsidRDefault="0063404D" w:rsidP="0063404D">
      <w:pPr>
        <w:pStyle w:val="SingleTxtG"/>
      </w:pPr>
      <w:r>
        <w:t>12.</w:t>
      </w:r>
      <w:r>
        <w:tab/>
        <w:t xml:space="preserve">Изменить нумерацию существующего пункта 9.2.4.4 на 9.2.4.3 и изменить его заголовок и примечание следующим образом (исключенные формулировки </w:t>
      </w:r>
      <w:r>
        <w:rPr>
          <w:strike/>
        </w:rPr>
        <w:t>зачеркнуты</w:t>
      </w:r>
      <w:r>
        <w:t xml:space="preserve">, а новые формулировки выделены </w:t>
      </w:r>
      <w:r>
        <w:rPr>
          <w:i/>
          <w:iCs/>
          <w:u w:val="single"/>
        </w:rPr>
        <w:t>курсивом и подчеркнуты</w:t>
      </w:r>
      <w:r>
        <w:t>):</w:t>
      </w:r>
    </w:p>
    <w:p w14:paraId="4A5626B7" w14:textId="0AF8D171" w:rsidR="0063404D" w:rsidRPr="002D45F3" w:rsidRDefault="001B68DA" w:rsidP="0063404D">
      <w:pPr>
        <w:pStyle w:val="SingleTxtG"/>
        <w:rPr>
          <w:strike/>
        </w:rPr>
      </w:pPr>
      <w:r w:rsidRPr="001B68DA">
        <w:t>«</w:t>
      </w:r>
      <w:r w:rsidR="0063404D">
        <w:rPr>
          <w:b/>
          <w:bCs/>
        </w:rPr>
        <w:t>9.2.4.</w:t>
      </w:r>
      <w:r w:rsidR="0063404D">
        <w:rPr>
          <w:b/>
          <w:bCs/>
          <w:i/>
          <w:iCs/>
          <w:u w:val="single"/>
        </w:rPr>
        <w:t>3</w:t>
      </w:r>
      <w:r w:rsidR="0063404D">
        <w:rPr>
          <w:b/>
          <w:bCs/>
          <w:strike/>
        </w:rPr>
        <w:t>4</w:t>
      </w:r>
      <w:r w:rsidR="0063404D">
        <w:tab/>
      </w:r>
      <w:r w:rsidR="0063404D">
        <w:rPr>
          <w:b/>
          <w:bCs/>
          <w:i/>
          <w:iCs/>
          <w:u w:val="single"/>
        </w:rPr>
        <w:t xml:space="preserve">Двигатель внутреннего сгорания </w:t>
      </w:r>
      <w:r w:rsidR="0063404D">
        <w:rPr>
          <w:b/>
          <w:bCs/>
          <w:i/>
          <w:iCs/>
          <w:strike/>
          <w:u w:val="single"/>
        </w:rPr>
        <w:t>Двигатель</w:t>
      </w:r>
    </w:p>
    <w:p w14:paraId="66181511" w14:textId="70C7D09B" w:rsidR="0063404D" w:rsidRDefault="0063404D" w:rsidP="0063404D">
      <w:pPr>
        <w:pStyle w:val="SingleTxtG"/>
        <w:ind w:left="1701"/>
        <w:rPr>
          <w:i/>
          <w:iCs/>
          <w:strike/>
        </w:rPr>
      </w:pPr>
      <w:r w:rsidRPr="001B68DA">
        <w:rPr>
          <w:b/>
          <w:bCs/>
          <w:i/>
          <w:iCs/>
          <w:strike/>
        </w:rPr>
        <w:t>ПРИМЕЧАНИЕ</w:t>
      </w:r>
      <w:r w:rsidRPr="001B68DA">
        <w:rPr>
          <w:i/>
          <w:iCs/>
          <w:strike/>
        </w:rPr>
        <w:t xml:space="preserve">: </w:t>
      </w:r>
      <w:r>
        <w:rPr>
          <w:i/>
          <w:iCs/>
          <w:strike/>
        </w:rPr>
        <w:t>Подраздел 9.2.4.4 аналогичным образом применяется к гибридным транспортным средствам, которые включают в себя электрический привод в механической трансмиссии двигателя внутреннего сгорания или используют двигатель внутреннего сгорания для приведения в действие генератора для подачи энергии на электрический привод</w:t>
      </w:r>
      <w:r w:rsidR="001B68DA" w:rsidRPr="001B68DA">
        <w:t>»</w:t>
      </w:r>
      <w:r>
        <w:rPr>
          <w:i/>
          <w:iCs/>
        </w:rPr>
        <w:t>.</w:t>
      </w:r>
    </w:p>
    <w:p w14:paraId="44ED1E2B" w14:textId="77777777" w:rsidR="0063404D" w:rsidRPr="00B80591" w:rsidRDefault="0063404D" w:rsidP="0063404D">
      <w:pPr>
        <w:pStyle w:val="SingleTxtG"/>
        <w:ind w:left="1701"/>
      </w:pPr>
      <w:r>
        <w:t>[Остальной текст остается без изменений].</w:t>
      </w:r>
    </w:p>
    <w:p w14:paraId="57AB2E2A" w14:textId="77777777" w:rsidR="0063404D" w:rsidRPr="002D45F3" w:rsidRDefault="0063404D" w:rsidP="0063404D">
      <w:pPr>
        <w:pStyle w:val="HChG"/>
        <w:rPr>
          <w:i/>
          <w:iCs/>
        </w:rPr>
      </w:pPr>
      <w:r>
        <w:tab/>
      </w:r>
      <w:r>
        <w:tab/>
      </w:r>
      <w:r>
        <w:rPr>
          <w:bCs/>
        </w:rPr>
        <w:t>Предложение 10</w:t>
      </w:r>
    </w:p>
    <w:p w14:paraId="5D16D33A" w14:textId="77777777" w:rsidR="0063404D" w:rsidRPr="007767BA" w:rsidRDefault="0063404D" w:rsidP="0063404D">
      <w:pPr>
        <w:pStyle w:val="SingleTxtG"/>
        <w:rPr>
          <w:i/>
          <w:iCs/>
        </w:rPr>
      </w:pPr>
      <w:r>
        <w:t>13.</w:t>
      </w:r>
      <w:r>
        <w:tab/>
        <w:t xml:space="preserve">Включить новый пункт 9.2.4.3.1 и использовать формулировки нынешнего пункта 9.2.4.4 издания ДОПОГ 2023 года, реорганизовав их следующим образом (исключенные формулировки </w:t>
      </w:r>
      <w:r>
        <w:rPr>
          <w:strike/>
        </w:rPr>
        <w:t>зачеркнуты</w:t>
      </w:r>
      <w:r>
        <w:t xml:space="preserve">, а новые формулировки выделены </w:t>
      </w:r>
      <w:r>
        <w:rPr>
          <w:i/>
          <w:iCs/>
          <w:u w:val="single"/>
        </w:rPr>
        <w:t>курсивом и подчеркнуты</w:t>
      </w:r>
      <w:r>
        <w:t xml:space="preserve">): </w:t>
      </w:r>
    </w:p>
    <w:p w14:paraId="4FB24D55" w14:textId="7B743097" w:rsidR="0063404D" w:rsidRPr="002D45F3" w:rsidRDefault="001B68DA" w:rsidP="0063404D">
      <w:pPr>
        <w:pStyle w:val="SingleTxtG"/>
        <w:ind w:left="1701"/>
        <w:rPr>
          <w:i/>
          <w:iCs/>
          <w:u w:val="single"/>
        </w:rPr>
      </w:pPr>
      <w:r>
        <w:t>«</w:t>
      </w:r>
      <w:r w:rsidR="0063404D">
        <w:t>9.2.4.3.1</w:t>
      </w:r>
      <w:r w:rsidR="0063404D">
        <w:tab/>
        <w:t xml:space="preserve">Двигатель транспортного средства должен быть оборудован и расположен таким образом, чтобы груз не подвергался какой-либо опасности нагревания или воспламенения. </w:t>
      </w:r>
      <w:r w:rsidR="0063404D">
        <w:rPr>
          <w:strike/>
        </w:rPr>
        <w:t>Использование КПГ или СПГ в качестве топлива допускается только в том случае, если элементы специального оборудования для КПГ и СПГ официально утверждены в соответствии с Правилами № 110 ООН</w:t>
      </w:r>
      <w:r w:rsidR="0063404D">
        <w:rPr>
          <w:strike/>
          <w:vertAlign w:val="superscript"/>
        </w:rPr>
        <w:t>7</w:t>
      </w:r>
      <w:r w:rsidR="0063404D">
        <w:rPr>
          <w:strike/>
        </w:rPr>
        <w:t xml:space="preserve"> и соответствуют положениям раздела 9.2.2.</w:t>
      </w:r>
      <w:r w:rsidR="0063404D">
        <w:t xml:space="preserve"> </w:t>
      </w:r>
      <w:r w:rsidR="0063404D">
        <w:rPr>
          <w:strike/>
        </w:rPr>
        <w:t>Установка на транспортном средстве должна соответствовать техническим требованиям раздела 9.2.2 и Правил № 110 ООН</w:t>
      </w:r>
      <w:r w:rsidR="0063404D">
        <w:rPr>
          <w:strike/>
          <w:vertAlign w:val="superscript"/>
        </w:rPr>
        <w:t>7</w:t>
      </w:r>
      <w:r w:rsidR="0063404D">
        <w:rPr>
          <w:strike/>
        </w:rPr>
        <w:t>.</w:t>
      </w:r>
      <w:r w:rsidR="0063404D" w:rsidRPr="00B104F8">
        <w:rPr>
          <w:strike/>
        </w:rPr>
        <w:t xml:space="preserve"> </w:t>
      </w:r>
      <w:r w:rsidR="0063404D">
        <w:rPr>
          <w:strike/>
        </w:rPr>
        <w:t>Использование СНГ в качестве топлива допускается только в том случае, если элементы специального оборудования для СНГ официально утверждены в соответствии с Правилами № 67 ООН</w:t>
      </w:r>
      <w:r w:rsidR="0063404D">
        <w:rPr>
          <w:strike/>
          <w:vertAlign w:val="superscript"/>
        </w:rPr>
        <w:t>8</w:t>
      </w:r>
      <w:r w:rsidR="0063404D">
        <w:rPr>
          <w:strike/>
        </w:rPr>
        <w:t xml:space="preserve"> и соответствуют положениям раздела 9.2.2.</w:t>
      </w:r>
      <w:r w:rsidR="0063404D">
        <w:t xml:space="preserve"> </w:t>
      </w:r>
      <w:r w:rsidR="0063404D">
        <w:rPr>
          <w:strike/>
        </w:rPr>
        <w:t xml:space="preserve">Установка на транспортном </w:t>
      </w:r>
      <w:r w:rsidR="00B104F8">
        <w:rPr>
          <w:strike/>
        </w:rPr>
        <w:br/>
      </w:r>
      <w:r w:rsidR="0063404D">
        <w:rPr>
          <w:strike/>
        </w:rPr>
        <w:t>средстве должна соответствовать техническим требованиям раздела 9.2.2 и Правил № 67 ООН</w:t>
      </w:r>
      <w:r w:rsidR="0063404D">
        <w:rPr>
          <w:strike/>
          <w:vertAlign w:val="superscript"/>
        </w:rPr>
        <w:t>8</w:t>
      </w:r>
      <w:r w:rsidR="0063404D">
        <w:rPr>
          <w:strike/>
        </w:rPr>
        <w:t>.</w:t>
      </w:r>
      <w:r w:rsidR="0063404D">
        <w:t xml:space="preserve"> </w:t>
      </w:r>
      <w:r w:rsidR="0063404D">
        <w:rPr>
          <w:i/>
          <w:iCs/>
          <w:u w:val="single"/>
        </w:rPr>
        <w:t>Использование топлива допускается только в том случае, если соответствующие компоненты одобрены, а установка соответствует положениям раздела 9.2.2 и техническим требованиям:</w:t>
      </w:r>
    </w:p>
    <w:p w14:paraId="064D99FD" w14:textId="77777777" w:rsidR="0063404D" w:rsidRPr="00AA5ED3" w:rsidRDefault="0063404D" w:rsidP="0063404D">
      <w:pPr>
        <w:pStyle w:val="SingleTxtG"/>
        <w:ind w:left="1701"/>
        <w:rPr>
          <w:i/>
          <w:iCs/>
          <w:u w:val="single"/>
        </w:rPr>
      </w:pPr>
      <w:r>
        <w:rPr>
          <w:i/>
          <w:iCs/>
          <w:u w:val="single"/>
        </w:rPr>
        <w:t>a)</w:t>
      </w:r>
      <w:r w:rsidRPr="00B104F8">
        <w:rPr>
          <w:u w:val="single"/>
        </w:rPr>
        <w:tab/>
      </w:r>
      <w:r>
        <w:rPr>
          <w:i/>
          <w:iCs/>
          <w:u w:val="single"/>
        </w:rPr>
        <w:t>Правил № 110 ООН для КПГ или СПГ,</w:t>
      </w:r>
    </w:p>
    <w:p w14:paraId="6A1925CC" w14:textId="77777777" w:rsidR="0063404D" w:rsidRPr="00AA5ED3" w:rsidRDefault="0063404D" w:rsidP="0063404D">
      <w:pPr>
        <w:pStyle w:val="SingleTxtG"/>
        <w:ind w:left="1701"/>
        <w:rPr>
          <w:i/>
          <w:iCs/>
          <w:u w:val="single"/>
        </w:rPr>
      </w:pPr>
      <w:r>
        <w:rPr>
          <w:i/>
          <w:iCs/>
          <w:u w:val="single"/>
        </w:rPr>
        <w:t>b)</w:t>
      </w:r>
      <w:r w:rsidRPr="00B104F8">
        <w:rPr>
          <w:u w:val="single"/>
        </w:rPr>
        <w:tab/>
      </w:r>
      <w:r>
        <w:rPr>
          <w:i/>
          <w:iCs/>
          <w:u w:val="single"/>
        </w:rPr>
        <w:t>Правил № 67 ООН для СНГ,</w:t>
      </w:r>
    </w:p>
    <w:p w14:paraId="61CBE75D" w14:textId="77777777" w:rsidR="0063404D" w:rsidRPr="00AA5ED3" w:rsidRDefault="0063404D" w:rsidP="0063404D">
      <w:pPr>
        <w:pStyle w:val="SingleTxtG"/>
        <w:ind w:left="1701"/>
        <w:rPr>
          <w:i/>
          <w:iCs/>
          <w:u w:val="single"/>
        </w:rPr>
      </w:pPr>
      <w:r>
        <w:rPr>
          <w:i/>
          <w:iCs/>
          <w:u w:val="single"/>
        </w:rPr>
        <w:t>c)</w:t>
      </w:r>
      <w:r w:rsidRPr="00B104F8">
        <w:rPr>
          <w:u w:val="single"/>
        </w:rPr>
        <w:tab/>
      </w:r>
      <w:r>
        <w:rPr>
          <w:i/>
          <w:iCs/>
          <w:u w:val="single"/>
        </w:rPr>
        <w:t>Правил № 134 ООН для сжатого водорода и техническим положениям ГТП № 13 ООН, этап 2, для жидкого водорода в случае применимости.</w:t>
      </w:r>
    </w:p>
    <w:p w14:paraId="6677B5F9" w14:textId="2BB2F399" w:rsidR="0063404D" w:rsidRPr="002D45F3" w:rsidRDefault="0063404D" w:rsidP="0063404D">
      <w:pPr>
        <w:pStyle w:val="SingleTxtG"/>
        <w:ind w:left="1701"/>
      </w:pPr>
      <w:r>
        <w:lastRenderedPageBreak/>
        <w:t>В случае транспортных средств EX/II и EX/III в качестве двигателя должен использоваться двигатель с воспламенением от сжатия, работающий только на жидком топливе с температурой вспышки выше 55 °C. Использование газов не допускается</w:t>
      </w:r>
      <w:r w:rsidR="00B104F8">
        <w:t>»</w:t>
      </w:r>
      <w:r>
        <w:t>.</w:t>
      </w:r>
    </w:p>
    <w:p w14:paraId="198CED79" w14:textId="77777777" w:rsidR="0063404D" w:rsidRPr="0025388F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11</w:t>
      </w:r>
    </w:p>
    <w:p w14:paraId="4E7EF088" w14:textId="77777777" w:rsidR="0063404D" w:rsidRPr="002D45F3" w:rsidRDefault="0063404D" w:rsidP="0063404D">
      <w:pPr>
        <w:pStyle w:val="SingleTxtG"/>
      </w:pPr>
      <w:r>
        <w:t>14.</w:t>
      </w:r>
      <w:r>
        <w:tab/>
        <w:t>Изменить нумерацию существующего пункта 9.2.4.5 на 9.2.4.3.2.</w:t>
      </w:r>
    </w:p>
    <w:p w14:paraId="76DE665F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12</w:t>
      </w:r>
    </w:p>
    <w:p w14:paraId="4D0A49F7" w14:textId="77777777" w:rsidR="0063404D" w:rsidRPr="002D45F3" w:rsidRDefault="0063404D" w:rsidP="0063404D">
      <w:pPr>
        <w:pStyle w:val="SingleTxtG"/>
      </w:pPr>
      <w:r>
        <w:t>15.</w:t>
      </w:r>
      <w:r>
        <w:tab/>
        <w:t xml:space="preserve">Изменить нумерацию существующего пункта 9.2.4.6 на 9.2.4.4 и изложить его в следующей редакции (исключенные формулировки </w:t>
      </w:r>
      <w:r>
        <w:rPr>
          <w:strike/>
        </w:rPr>
        <w:t>зачеркнуты</w:t>
      </w:r>
      <w:r>
        <w:t xml:space="preserve">, а новые формулировки выделены </w:t>
      </w:r>
      <w:r>
        <w:rPr>
          <w:i/>
          <w:iCs/>
          <w:u w:val="single"/>
        </w:rPr>
        <w:t>курсивом и подчеркнуты</w:t>
      </w:r>
      <w:r>
        <w:t>):</w:t>
      </w:r>
    </w:p>
    <w:p w14:paraId="1EC46186" w14:textId="04F5A8A3" w:rsidR="0063404D" w:rsidRPr="0025388F" w:rsidRDefault="00B104F8" w:rsidP="0063404D">
      <w:pPr>
        <w:pStyle w:val="SingleTxtG"/>
        <w:rPr>
          <w:b/>
          <w:bCs/>
          <w:i/>
          <w:iCs/>
        </w:rPr>
      </w:pPr>
      <w:r>
        <w:t>«</w:t>
      </w:r>
      <w:r w:rsidR="0063404D">
        <w:t>9.2.4.</w:t>
      </w:r>
      <w:r w:rsidR="0063404D">
        <w:rPr>
          <w:u w:val="single"/>
        </w:rPr>
        <w:t>4</w:t>
      </w:r>
      <w:r w:rsidR="0063404D">
        <w:t>.</w:t>
      </w:r>
      <w:r w:rsidR="0063404D">
        <w:rPr>
          <w:strike/>
        </w:rPr>
        <w:t>6</w:t>
      </w:r>
      <w:r w:rsidR="0063404D">
        <w:tab/>
      </w:r>
      <w:r w:rsidR="0063404D" w:rsidRPr="00D3107B">
        <w:rPr>
          <w:b/>
          <w:bCs/>
          <w:i/>
          <w:iCs/>
        </w:rPr>
        <w:t>Электрический привод</w:t>
      </w:r>
    </w:p>
    <w:p w14:paraId="6EDE0E85" w14:textId="77777777" w:rsidR="0063404D" w:rsidRPr="003C54A7" w:rsidRDefault="0063404D" w:rsidP="0063404D">
      <w:pPr>
        <w:pStyle w:val="SingleTxtG"/>
        <w:ind w:left="1701"/>
      </w:pPr>
      <w:r>
        <w:rPr>
          <w:b/>
          <w:bCs/>
          <w:i/>
          <w:iCs/>
        </w:rPr>
        <w:t>ПРИМЕЧАНИЕ 1</w:t>
      </w:r>
      <w:r>
        <w:t xml:space="preserve">: </w:t>
      </w:r>
      <w:r>
        <w:rPr>
          <w:i/>
          <w:iCs/>
          <w:strike/>
        </w:rPr>
        <w:t>Подраздел 9.2.4.6 аналогичным образом применяется к гибридным транспортным средствам, которые включают в себя электрический привод в механической трансмиссии двигателя внутреннего сгорания.</w:t>
      </w:r>
      <w:r>
        <w:t xml:space="preserve"> </w:t>
      </w:r>
      <w:r>
        <w:rPr>
          <w:i/>
          <w:iCs/>
        </w:rPr>
        <w:t xml:space="preserve">Электрические приводы не должны использоваться на транспортных средствах EX </w:t>
      </w:r>
      <w:r>
        <w:rPr>
          <w:i/>
          <w:iCs/>
          <w:strike/>
        </w:rPr>
        <w:t>и FL</w:t>
      </w:r>
      <w:r>
        <w:rPr>
          <w:i/>
          <w:iCs/>
        </w:rPr>
        <w:t>.</w:t>
      </w:r>
      <w:r>
        <w:t xml:space="preserve"> </w:t>
      </w:r>
    </w:p>
    <w:p w14:paraId="57DFF109" w14:textId="5986C488" w:rsidR="0063404D" w:rsidRPr="00C00B86" w:rsidRDefault="0063404D" w:rsidP="0063404D">
      <w:pPr>
        <w:pStyle w:val="SingleTxtG"/>
        <w:ind w:left="1701"/>
        <w:rPr>
          <w:i/>
          <w:iCs/>
          <w:u w:val="single"/>
        </w:rPr>
      </w:pPr>
      <w:r>
        <w:rPr>
          <w:b/>
          <w:bCs/>
          <w:i/>
          <w:iCs/>
          <w:u w:val="single"/>
        </w:rPr>
        <w:t>ПРИМЕЧАНИЕ 2</w:t>
      </w:r>
      <w:r>
        <w:rPr>
          <w:u w:val="single"/>
        </w:rPr>
        <w:t xml:space="preserve">: </w:t>
      </w:r>
      <w:r>
        <w:rPr>
          <w:i/>
          <w:iCs/>
          <w:u w:val="single"/>
        </w:rPr>
        <w:t>Прицепы с рекуперативным торможением или электрическим приводом не допускаются</w:t>
      </w:r>
      <w:r w:rsidR="00B104F8" w:rsidRPr="00B104F8">
        <w:t>»</w:t>
      </w:r>
      <w:r w:rsidRPr="00B104F8">
        <w:rPr>
          <w:i/>
          <w:iCs/>
        </w:rPr>
        <w:t>.</w:t>
      </w:r>
    </w:p>
    <w:p w14:paraId="452ED5B0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13</w:t>
      </w:r>
    </w:p>
    <w:p w14:paraId="30C89E99" w14:textId="77777777" w:rsidR="0063404D" w:rsidRPr="002D45F3" w:rsidRDefault="0063404D" w:rsidP="0063404D">
      <w:pPr>
        <w:pStyle w:val="SingleTxtG"/>
      </w:pPr>
      <w:r>
        <w:t>16.</w:t>
      </w:r>
      <w:r>
        <w:tab/>
        <w:t>Включить новый пункт 9.2.4.4.1 и использовать положения пункта 9.2.4.6 (издание ДОПОГ 2023 года)  следующим образом (исключенные формулировки</w:t>
      </w:r>
      <w:r>
        <w:rPr>
          <w:strike/>
        </w:rPr>
        <w:t xml:space="preserve"> зачеркнуты</w:t>
      </w:r>
      <w:r>
        <w:t>):</w:t>
      </w:r>
    </w:p>
    <w:p w14:paraId="1B792F5F" w14:textId="71785FD9" w:rsidR="0063404D" w:rsidRPr="004C171F" w:rsidRDefault="00B104F8" w:rsidP="0063404D">
      <w:pPr>
        <w:pStyle w:val="SingleTxtG"/>
        <w:rPr>
          <w:i/>
          <w:iCs/>
        </w:rPr>
      </w:pPr>
      <w:r>
        <w:t>«</w:t>
      </w:r>
      <w:r w:rsidR="0063404D">
        <w:t>9.2.4.4.1</w:t>
      </w:r>
      <w:r w:rsidR="0063404D">
        <w:tab/>
      </w:r>
      <w:r w:rsidR="0063404D">
        <w:rPr>
          <w:i/>
          <w:iCs/>
        </w:rPr>
        <w:t>Общие положения</w:t>
      </w:r>
    </w:p>
    <w:p w14:paraId="131B168C" w14:textId="77777777" w:rsidR="0063404D" w:rsidRPr="003C54A7" w:rsidRDefault="0063404D" w:rsidP="0063404D">
      <w:pPr>
        <w:pStyle w:val="SingleTxtG"/>
        <w:ind w:left="1701"/>
      </w:pPr>
      <w:r>
        <w:t xml:space="preserve">Электрический привод должен отвечать требованиям Правил № 100 ООН с поправками по крайней мере серии 03. </w:t>
      </w:r>
      <w:r>
        <w:rPr>
          <w:strike/>
        </w:rPr>
        <w:t>Должны быть приняты меры для предотвращения возникновения любой опасности для груза в результате нагрева или воспламенения</w:t>
      </w:r>
      <w:r>
        <w:t>».</w:t>
      </w:r>
    </w:p>
    <w:p w14:paraId="113CB3D5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14</w:t>
      </w:r>
    </w:p>
    <w:p w14:paraId="60CBA3FB" w14:textId="77777777" w:rsidR="0063404D" w:rsidRPr="002D45F3" w:rsidRDefault="0063404D" w:rsidP="0063404D">
      <w:pPr>
        <w:pStyle w:val="SingleTxtG"/>
      </w:pPr>
      <w:r>
        <w:t>17.</w:t>
      </w:r>
      <w:r>
        <w:tab/>
        <w:t>Включить новые пункты 9.2.4.4.1.1 и 9.2.4.4.1.2 следующего содержания:</w:t>
      </w:r>
    </w:p>
    <w:p w14:paraId="7F5EB776" w14:textId="38F6EF48" w:rsidR="0063404D" w:rsidRPr="00496F08" w:rsidRDefault="00B104F8" w:rsidP="0063404D">
      <w:pPr>
        <w:pStyle w:val="SingleTxtG"/>
      </w:pPr>
      <w:r>
        <w:t>«</w:t>
      </w:r>
      <w:r w:rsidR="0063404D">
        <w:t>9.2.4.4.1.1</w:t>
      </w:r>
      <w:r w:rsidR="0063404D">
        <w:tab/>
        <w:t>Транспортные средства с электрическим приводом должны быть оборудованы системой контроля за сопротивлением изоляции.</w:t>
      </w:r>
    </w:p>
    <w:p w14:paraId="6FB11D8E" w14:textId="0DD8DCB4" w:rsidR="0063404D" w:rsidRPr="00496F08" w:rsidRDefault="0063404D" w:rsidP="0063404D">
      <w:pPr>
        <w:pStyle w:val="SingleTxtG"/>
      </w:pPr>
      <w:r>
        <w:t>9.2.4.4.1.2</w:t>
      </w:r>
      <w:r>
        <w:tab/>
        <w:t>В неподвижном состоянии транспортное средство должно подавать внешние сигналы в дополнение к предупреждающему сигналу, который подается водителю в кабине в соответствии с требованиями пункта 6.15.1 Правил № 100 ООН</w:t>
      </w:r>
      <w:r w:rsidR="00B104F8">
        <w:t>»</w:t>
      </w:r>
      <w:r>
        <w:t>.</w:t>
      </w:r>
    </w:p>
    <w:p w14:paraId="78C7BBCE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15</w:t>
      </w:r>
    </w:p>
    <w:p w14:paraId="217CCB58" w14:textId="77777777" w:rsidR="0063404D" w:rsidRPr="002D45F3" w:rsidRDefault="0063404D" w:rsidP="0063404D">
      <w:pPr>
        <w:pStyle w:val="SingleTxtG"/>
      </w:pPr>
      <w:r>
        <w:t>18.</w:t>
      </w:r>
      <w:r>
        <w:tab/>
        <w:t>Включить новый пункт 9.2.4.4.2 следующего содержания:</w:t>
      </w:r>
    </w:p>
    <w:p w14:paraId="4B91AC09" w14:textId="04901B13" w:rsidR="0063404D" w:rsidRPr="008B515B" w:rsidRDefault="00B104F8" w:rsidP="0063404D">
      <w:pPr>
        <w:pStyle w:val="SingleTxtG"/>
      </w:pPr>
      <w:r>
        <w:t>«</w:t>
      </w:r>
      <w:r w:rsidR="0063404D" w:rsidRPr="00B104F8">
        <w:rPr>
          <w:spacing w:val="-4"/>
        </w:rPr>
        <w:t>9.2.4.4.2</w:t>
      </w:r>
      <w:r w:rsidR="0063404D" w:rsidRPr="00B104F8">
        <w:rPr>
          <w:spacing w:val="-4"/>
        </w:rPr>
        <w:tab/>
      </w:r>
      <w:r w:rsidR="0063404D" w:rsidRPr="00B104F8">
        <w:rPr>
          <w:i/>
          <w:iCs/>
          <w:spacing w:val="-4"/>
        </w:rPr>
        <w:t>Перезаряжаемая система аккумулирования электрической энергии (ПСАЭЭ)</w:t>
      </w:r>
      <w:bookmarkStart w:id="2" w:name="_Hlk142650461"/>
      <w:bookmarkEnd w:id="2"/>
    </w:p>
    <w:p w14:paraId="2E81B089" w14:textId="77777777" w:rsidR="0063404D" w:rsidRPr="008B515B" w:rsidRDefault="0063404D" w:rsidP="0063404D">
      <w:pPr>
        <w:pStyle w:val="SingleTxtG"/>
        <w:ind w:left="2268"/>
        <w:rPr>
          <w:i/>
          <w:iCs/>
        </w:rPr>
      </w:pPr>
      <w:r>
        <w:rPr>
          <w:b/>
          <w:bCs/>
          <w:i/>
          <w:iCs/>
        </w:rPr>
        <w:t>ПРИМЕЧАНИЕ</w:t>
      </w:r>
      <w:r>
        <w:rPr>
          <w:i/>
          <w:iCs/>
        </w:rPr>
        <w:t>: В других документах применительно к аналогичным системам помимо ПСАЭЭ используются иные сокращения (например, ПСАЭ).</w:t>
      </w:r>
    </w:p>
    <w:p w14:paraId="405E3463" w14:textId="4B0654CC" w:rsidR="0063404D" w:rsidRPr="008B515B" w:rsidRDefault="0063404D" w:rsidP="0063404D">
      <w:pPr>
        <w:pStyle w:val="SingleTxtG"/>
        <w:ind w:left="2268"/>
        <w:rPr>
          <w:b/>
          <w:bCs/>
        </w:rPr>
      </w:pPr>
      <w:r>
        <w:lastRenderedPageBreak/>
        <w:t xml:space="preserve">ПСАЭЭ транспортных средств с электрическим приводом должны быть сконструированы и изготовлены с учетом результатов оценки </w:t>
      </w:r>
      <w:r w:rsidR="000226FF">
        <w:br/>
      </w:r>
      <w:r>
        <w:t>рисков в соответствии со стандартом ISO 6469-1:2019/</w:t>
      </w:r>
      <w:proofErr w:type="spellStart"/>
      <w:r>
        <w:t>Amd</w:t>
      </w:r>
      <w:proofErr w:type="spellEnd"/>
      <w:r w:rsidR="000226FF">
        <w:rPr>
          <w:lang w:val="fr-CH"/>
        </w:rPr>
        <w:t> </w:t>
      </w:r>
      <w:r>
        <w:t xml:space="preserve">1:2022 для подтверждения безопасности в нормальных условиях эксплуатации. Проверка должна проводиться технической службой (например, технической службой, ответственной за официальное утверждение транспортных средств в соответствии с Правилами № 100 ООН). </w:t>
      </w:r>
    </w:p>
    <w:p w14:paraId="790C91C7" w14:textId="19BC1883" w:rsidR="0063404D" w:rsidRPr="0063404D" w:rsidRDefault="0063404D" w:rsidP="0063404D">
      <w:pPr>
        <w:pStyle w:val="ADR"/>
        <w:ind w:left="2268" w:right="1089" w:firstLine="0"/>
        <w:rPr>
          <w:lang w:val="ru-RU"/>
        </w:rPr>
      </w:pPr>
      <w:r>
        <w:rPr>
          <w:b/>
          <w:bCs/>
          <w:i/>
          <w:iCs/>
          <w:lang w:val="ru-RU"/>
        </w:rPr>
        <w:t>ПРИМЕЧАНИЕ</w:t>
      </w:r>
      <w:r>
        <w:rPr>
          <w:i/>
          <w:iCs/>
          <w:lang w:val="ru-RU"/>
        </w:rPr>
        <w:t>: Нормальные условия эксплуатации включают в себя штатную работу, возникновение неисправностей и разумно предсказуемые аварийные ситуации</w:t>
      </w:r>
      <w:r w:rsidR="00B104F8" w:rsidRPr="00B104F8">
        <w:rPr>
          <w:lang w:val="ru-RU"/>
        </w:rPr>
        <w:t>»</w:t>
      </w:r>
      <w:r>
        <w:rPr>
          <w:i/>
          <w:iCs/>
          <w:lang w:val="ru-RU"/>
        </w:rPr>
        <w:t>.</w:t>
      </w:r>
    </w:p>
    <w:p w14:paraId="72417AFF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16</w:t>
      </w:r>
    </w:p>
    <w:p w14:paraId="551884A4" w14:textId="77777777" w:rsidR="0063404D" w:rsidRPr="002D45F3" w:rsidRDefault="0063404D" w:rsidP="0063404D">
      <w:pPr>
        <w:pStyle w:val="SingleTxtG"/>
      </w:pPr>
      <w:r>
        <w:t>19.</w:t>
      </w:r>
      <w:r>
        <w:tab/>
        <w:t>Включить новый пункт 9.2.4.4.3 следующего содержания:</w:t>
      </w:r>
    </w:p>
    <w:p w14:paraId="28A57919" w14:textId="59949748" w:rsidR="0063404D" w:rsidRPr="00CE26DF" w:rsidRDefault="00B104F8" w:rsidP="0063404D">
      <w:pPr>
        <w:pStyle w:val="SingleTxtG"/>
      </w:pPr>
      <w:r>
        <w:t>«</w:t>
      </w:r>
      <w:r w:rsidR="0063404D">
        <w:t>9.2.4.4.3</w:t>
      </w:r>
      <w:r w:rsidR="0063404D">
        <w:tab/>
      </w:r>
      <w:r w:rsidR="0063404D">
        <w:rPr>
          <w:i/>
          <w:iCs/>
        </w:rPr>
        <w:t>Меры защиты от теплового распространения</w:t>
      </w:r>
    </w:p>
    <w:p w14:paraId="6F236EAC" w14:textId="4C3A8628" w:rsidR="0063404D" w:rsidRPr="00CE26DF" w:rsidRDefault="0063404D" w:rsidP="0063404D">
      <w:pPr>
        <w:pStyle w:val="SingleTxtG"/>
      </w:pPr>
      <w:r>
        <w:t>В случае ПСАЭЭ, содержащих элементы, для которых нельзя гарантировать, что тепловое распространение будет происходить только внутри ПСАЭЭ, надлежит принять меры в целях предотвращения любой опасности для груза в результате нагрева или воспламенения. [Они должны быть сконструированы с учетом необходимости облегчить вмешательство аварийных служб для сдерживания последствий теплового распространения]</w:t>
      </w:r>
      <w:r w:rsidR="00B104F8">
        <w:t>»</w:t>
      </w:r>
      <w:r>
        <w:t>.</w:t>
      </w:r>
    </w:p>
    <w:p w14:paraId="3D59BE56" w14:textId="77777777" w:rsidR="0063404D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17</w:t>
      </w:r>
    </w:p>
    <w:p w14:paraId="36E7BAD7" w14:textId="6A779B0C" w:rsidR="0063404D" w:rsidRPr="00397AC3" w:rsidRDefault="0063404D" w:rsidP="0063404D">
      <w:pPr>
        <w:pStyle w:val="SingleTxtG"/>
        <w:rPr>
          <w:b/>
          <w:bCs/>
          <w:sz w:val="24"/>
          <w:szCs w:val="24"/>
        </w:rPr>
      </w:pPr>
      <w:r>
        <w:t>20.</w:t>
      </w:r>
      <w:r>
        <w:tab/>
        <w:t>Включить новые пункты 9.2.4.5</w:t>
      </w:r>
      <w:r w:rsidR="00B104F8">
        <w:t>–</w:t>
      </w:r>
      <w:r>
        <w:t>9.2.4.5.3 следующего содержания:</w:t>
      </w:r>
    </w:p>
    <w:p w14:paraId="72F79C86" w14:textId="482FCF1C" w:rsidR="0063404D" w:rsidRPr="00CE26DF" w:rsidRDefault="00B104F8" w:rsidP="0063404D">
      <w:pPr>
        <w:pStyle w:val="SingleTxtG"/>
      </w:pPr>
      <w:r w:rsidRPr="00B104F8">
        <w:t>«</w:t>
      </w:r>
      <w:r w:rsidR="0063404D">
        <w:rPr>
          <w:b/>
          <w:bCs/>
        </w:rPr>
        <w:t>9.2.4.5</w:t>
      </w:r>
      <w:r w:rsidR="0063404D">
        <w:tab/>
      </w:r>
      <w:r w:rsidR="0063404D">
        <w:rPr>
          <w:b/>
          <w:bCs/>
          <w:i/>
          <w:iCs/>
        </w:rPr>
        <w:t>Транспортные средства на водородных топливных элементах</w:t>
      </w:r>
      <w:r w:rsidR="0063404D">
        <w:t xml:space="preserve"> </w:t>
      </w:r>
    </w:p>
    <w:p w14:paraId="203CB964" w14:textId="60D6799B" w:rsidR="0063404D" w:rsidRPr="00CE26DF" w:rsidRDefault="0063404D" w:rsidP="0063404D">
      <w:pPr>
        <w:pStyle w:val="SingleTxtG"/>
      </w:pPr>
      <w:r>
        <w:t>9.2.4.5.1</w:t>
      </w:r>
      <w:r>
        <w:tab/>
        <w:t>Транспортные средства на водородных топливных элементах должны соответствовать требованиям для электрического привода, изложенным в пункте</w:t>
      </w:r>
      <w:r w:rsidR="00B104F8">
        <w:t> </w:t>
      </w:r>
      <w:r>
        <w:t>9.2.4.4.</w:t>
      </w:r>
    </w:p>
    <w:p w14:paraId="54A0FCC8" w14:textId="1F042852" w:rsidR="0063404D" w:rsidRPr="00CE26DF" w:rsidRDefault="0063404D" w:rsidP="0063404D">
      <w:pPr>
        <w:pStyle w:val="SingleTxtG"/>
      </w:pPr>
      <w:r>
        <w:t>9.2.4.5.2</w:t>
      </w:r>
      <w:r>
        <w:tab/>
        <w:t>Транспортные средства на водородных топливных элементах должны соответствовать Правилам № 134 ООН с поправками серии 02. В случае транспортных средств, использующих жидкий водород, применяются технические требования Глобальных технических правил №</w:t>
      </w:r>
      <w:r w:rsidR="00B104F8">
        <w:t> </w:t>
      </w:r>
      <w:r>
        <w:t>13 ООН, этап 2.</w:t>
      </w:r>
    </w:p>
    <w:p w14:paraId="3F0E5B20" w14:textId="77777777" w:rsidR="0063404D" w:rsidRPr="00CE26DF" w:rsidRDefault="0063404D" w:rsidP="0063404D">
      <w:pPr>
        <w:pStyle w:val="SingleTxtG"/>
      </w:pPr>
      <w:r>
        <w:t>9.2.4.5.3</w:t>
      </w:r>
      <w:r>
        <w:tab/>
        <w:t>Запорные устройства резервуаров для водорода должны закрываться автоматически:</w:t>
      </w:r>
    </w:p>
    <w:p w14:paraId="24CAA5A1" w14:textId="77777777" w:rsidR="0063404D" w:rsidRPr="00CE26DF" w:rsidRDefault="0063404D" w:rsidP="0063404D">
      <w:pPr>
        <w:pStyle w:val="Bullet1G"/>
        <w:numPr>
          <w:ilvl w:val="0"/>
          <w:numId w:val="22"/>
        </w:numPr>
        <w:suppressAutoHyphens w:val="0"/>
      </w:pPr>
      <w:r>
        <w:t>если транспортное средство больше не находится в режиме движения;</w:t>
      </w:r>
    </w:p>
    <w:p w14:paraId="0D40E483" w14:textId="6E86DC39" w:rsidR="0063404D" w:rsidRPr="00CE26DF" w:rsidRDefault="0063404D" w:rsidP="0063404D">
      <w:pPr>
        <w:pStyle w:val="Bullet1G"/>
        <w:numPr>
          <w:ilvl w:val="0"/>
          <w:numId w:val="22"/>
        </w:numPr>
        <w:suppressAutoHyphens w:val="0"/>
      </w:pPr>
      <w:r>
        <w:t>при величине перегрузки 1,5</w:t>
      </w:r>
      <w:r w:rsidR="00B104F8">
        <w:t> </w:t>
      </w:r>
      <w:r>
        <w:t>g против направления движения;</w:t>
      </w:r>
    </w:p>
    <w:p w14:paraId="0D8B32F6" w14:textId="77777777" w:rsidR="0063404D" w:rsidRPr="00CE26DF" w:rsidRDefault="0063404D" w:rsidP="0063404D">
      <w:pPr>
        <w:pStyle w:val="Bullet1G"/>
        <w:numPr>
          <w:ilvl w:val="0"/>
          <w:numId w:val="22"/>
        </w:numPr>
        <w:suppressAutoHyphens w:val="0"/>
      </w:pPr>
      <w:r>
        <w:t>в случае опрокидывания на бок под углом более 23°.</w:t>
      </w:r>
    </w:p>
    <w:p w14:paraId="302EB1C7" w14:textId="76AFC74D" w:rsidR="0063404D" w:rsidRPr="00CE26DF" w:rsidRDefault="0063404D" w:rsidP="0063404D">
      <w:pPr>
        <w:pStyle w:val="Bullet1G"/>
        <w:numPr>
          <w:ilvl w:val="0"/>
          <w:numId w:val="0"/>
        </w:numPr>
        <w:ind w:left="1531"/>
      </w:pPr>
      <w:r>
        <w:t>Запорные устройства могут быть вновь открыты намеренным действием водителя</w:t>
      </w:r>
      <w:r w:rsidR="00B104F8">
        <w:t>»</w:t>
      </w:r>
      <w:r>
        <w:t>.</w:t>
      </w:r>
    </w:p>
    <w:p w14:paraId="0A66F1CB" w14:textId="77777777" w:rsidR="0063404D" w:rsidRPr="00E85085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18</w:t>
      </w:r>
    </w:p>
    <w:p w14:paraId="2A56ABB3" w14:textId="6873A5EF" w:rsidR="0063404D" w:rsidRPr="007767BA" w:rsidRDefault="0063404D" w:rsidP="0063404D">
      <w:pPr>
        <w:pStyle w:val="SingleTxtG"/>
      </w:pPr>
      <w:r>
        <w:t>21.</w:t>
      </w:r>
      <w:r>
        <w:tab/>
        <w:t>Исключить пункт 9.2.4.7 (соответствующее положение заменено пунктом</w:t>
      </w:r>
      <w:r w:rsidR="002E7951">
        <w:t> </w:t>
      </w:r>
      <w:r>
        <w:t>9.2.3.3).</w:t>
      </w:r>
    </w:p>
    <w:p w14:paraId="5A05B948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19</w:t>
      </w:r>
    </w:p>
    <w:p w14:paraId="28A1F565" w14:textId="22CCE894" w:rsidR="0063404D" w:rsidRPr="007767BA" w:rsidRDefault="0063404D" w:rsidP="0063404D">
      <w:pPr>
        <w:pStyle w:val="SingleTxtG"/>
      </w:pPr>
      <w:r>
        <w:t>22.</w:t>
      </w:r>
      <w:r>
        <w:tab/>
        <w:t>Изменить нумерацию пунктов 9.2.4.8</w:t>
      </w:r>
      <w:r w:rsidR="002E7951">
        <w:t>–</w:t>
      </w:r>
      <w:r>
        <w:t>9.2.4.8.6 на 9.2.5</w:t>
      </w:r>
      <w:r w:rsidR="002E7951">
        <w:t>–</w:t>
      </w:r>
      <w:r>
        <w:t>9.2.5.6 соответственно.</w:t>
      </w:r>
    </w:p>
    <w:p w14:paraId="684FEF4B" w14:textId="77777777" w:rsidR="0063404D" w:rsidRPr="002D45F3" w:rsidRDefault="0063404D" w:rsidP="0063404D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 20</w:t>
      </w:r>
      <w:r>
        <w:t xml:space="preserve"> </w:t>
      </w:r>
    </w:p>
    <w:p w14:paraId="5D9BF4A6" w14:textId="77777777" w:rsidR="0063404D" w:rsidRPr="007767BA" w:rsidRDefault="0063404D" w:rsidP="0063404D">
      <w:pPr>
        <w:pStyle w:val="SingleTxtG"/>
        <w:rPr>
          <w:b/>
          <w:bCs/>
          <w:sz w:val="24"/>
          <w:szCs w:val="24"/>
        </w:rPr>
      </w:pPr>
      <w:r>
        <w:t>23.</w:t>
      </w:r>
      <w:r>
        <w:tab/>
        <w:t xml:space="preserve">Изменить нумерацию пунктов 9.2.5 и 9.2.6 на 9.2.6 и 9.2.7 соответственно. </w:t>
      </w:r>
    </w:p>
    <w:p w14:paraId="43056D6E" w14:textId="77777777" w:rsidR="0063404D" w:rsidRPr="002D45F3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21</w:t>
      </w:r>
    </w:p>
    <w:p w14:paraId="4243E8BB" w14:textId="77777777" w:rsidR="0063404D" w:rsidRPr="007767BA" w:rsidRDefault="0063404D" w:rsidP="0063404D">
      <w:pPr>
        <w:pStyle w:val="SingleTxtG"/>
      </w:pPr>
      <w:r>
        <w:t>24.</w:t>
      </w:r>
      <w:r>
        <w:tab/>
        <w:t xml:space="preserve">Изменить нумерацию пункта 9.2.7 на 9.2.8 и изложить его в следующей редакции (новая формулировка </w:t>
      </w:r>
      <w:r>
        <w:rPr>
          <w:i/>
          <w:iCs/>
          <w:u w:val="single"/>
        </w:rPr>
        <w:t>подчеркнута и выделена курсивом</w:t>
      </w:r>
      <w:r>
        <w:t>).</w:t>
      </w:r>
    </w:p>
    <w:p w14:paraId="42442A9F" w14:textId="0874C1CE" w:rsidR="0063404D" w:rsidRPr="00D62BAD" w:rsidRDefault="002E7951" w:rsidP="002E7951">
      <w:pPr>
        <w:pStyle w:val="SingleTxtG"/>
        <w:tabs>
          <w:tab w:val="clear" w:pos="1701"/>
          <w:tab w:val="left" w:pos="1843"/>
        </w:tabs>
        <w:rPr>
          <w:i/>
          <w:iCs/>
        </w:rPr>
      </w:pPr>
      <w:r w:rsidRPr="002E7951">
        <w:t>«</w:t>
      </w:r>
      <w:r w:rsidR="0063404D">
        <w:rPr>
          <w:b/>
          <w:bCs/>
        </w:rPr>
        <w:t>9.2.8</w:t>
      </w:r>
      <w:r>
        <w:rPr>
          <w:b/>
          <w:bCs/>
        </w:rPr>
        <w:tab/>
      </w:r>
      <w:r w:rsidR="0063404D">
        <w:tab/>
      </w:r>
      <w:r w:rsidR="0063404D">
        <w:rPr>
          <w:b/>
          <w:bCs/>
        </w:rPr>
        <w:t>Предупреждение других рисков, связанных с топливом</w:t>
      </w:r>
    </w:p>
    <w:p w14:paraId="4C23E3B0" w14:textId="4A9037B0" w:rsidR="0063404D" w:rsidRPr="00A857EA" w:rsidRDefault="0063404D" w:rsidP="0063404D">
      <w:pPr>
        <w:pStyle w:val="SingleTxtG"/>
        <w:rPr>
          <w:i/>
          <w:iCs/>
        </w:rPr>
      </w:pPr>
      <w:r>
        <w:t>9.2.8.1</w:t>
      </w:r>
      <w:r>
        <w:tab/>
      </w:r>
      <w:r>
        <w:tab/>
        <w:t xml:space="preserve">Топливные системы двигателей, работающих на СПГ </w:t>
      </w:r>
      <w:r>
        <w:rPr>
          <w:i/>
          <w:iCs/>
          <w:u w:val="single"/>
        </w:rPr>
        <w:t>и жидком водороде</w:t>
      </w:r>
      <w:r>
        <w:t>, должны быть оборудованы и расположены таким образом, чтобы груз не подвергался какой-либо опасности в результате охлаждения газа</w:t>
      </w:r>
      <w:r w:rsidR="00EC5E65" w:rsidRPr="00EC5E65">
        <w:t>»</w:t>
      </w:r>
      <w:r>
        <w:t>.</w:t>
      </w:r>
    </w:p>
    <w:p w14:paraId="17E2AD2F" w14:textId="77777777" w:rsidR="0063404D" w:rsidRDefault="0063404D" w:rsidP="0063404D">
      <w:pPr>
        <w:pStyle w:val="HChG"/>
      </w:pPr>
      <w:r>
        <w:tab/>
      </w:r>
      <w:r>
        <w:tab/>
      </w:r>
      <w:r>
        <w:rPr>
          <w:bCs/>
        </w:rPr>
        <w:t>Предложение 22</w:t>
      </w:r>
    </w:p>
    <w:p w14:paraId="6E1A9A2C" w14:textId="2C1A5447" w:rsidR="0063404D" w:rsidRPr="003B404F" w:rsidRDefault="0063404D" w:rsidP="0063404D">
      <w:pPr>
        <w:pStyle w:val="SingleTxtG"/>
      </w:pPr>
      <w:r>
        <w:t>25.</w:t>
      </w:r>
      <w:r>
        <w:tab/>
        <w:t xml:space="preserve">Включить новое переходное положение 1.6.5.xy </w:t>
      </w:r>
      <w:r w:rsidR="002E7951">
        <w:t xml:space="preserve">— </w:t>
      </w:r>
      <w:r>
        <w:t xml:space="preserve">в случае удаления квадратных скобок в таблице 9.2.11 для AT </w:t>
      </w:r>
      <w:r w:rsidR="002E7951">
        <w:t>—</w:t>
      </w:r>
      <w:r>
        <w:t xml:space="preserve"> в строках для 9.2.4.2 и 9.2.4.4.2 в следующей редакции: </w:t>
      </w:r>
    </w:p>
    <w:p w14:paraId="0D99695F" w14:textId="11998CD7" w:rsidR="0063404D" w:rsidRPr="00171ECF" w:rsidRDefault="002E7951" w:rsidP="0063404D">
      <w:pPr>
        <w:pStyle w:val="SingleTxtG"/>
      </w:pPr>
      <w:r>
        <w:t>«</w:t>
      </w:r>
      <w:r w:rsidR="0063404D">
        <w:t>1.6.5</w:t>
      </w:r>
      <w:r w:rsidR="00EC5E65" w:rsidRPr="00EC5E65">
        <w:t>.</w:t>
      </w:r>
      <w:r w:rsidR="0063404D">
        <w:t>[23]</w:t>
      </w:r>
      <w:r w:rsidR="0063404D">
        <w:tab/>
        <w:t>Транспортные средства, впервые зарегистрированные (или, если регистрация не является обязательной, впервые введенные в эксплуатацию) до 1</w:t>
      </w:r>
      <w:r>
        <w:rPr>
          <w:lang w:val="fr-CH"/>
        </w:rPr>
        <w:t> </w:t>
      </w:r>
      <w:r w:rsidR="0063404D">
        <w:t>апреля 2026 года, официально утвержденные в качестве транспортных средств АТ, не соответствующие положениям пунктов 9.2.4.2 в отношении топливных баков и 9.2.4.4.2 в отношении оценки ПСАЭЭ, могут по-прежнему эксплуатироваться</w:t>
      </w:r>
      <w:r w:rsidRPr="002E7951">
        <w:t>»</w:t>
      </w:r>
      <w:r w:rsidR="0063404D">
        <w:t>.</w:t>
      </w:r>
    </w:p>
    <w:p w14:paraId="516C1DD4" w14:textId="77777777" w:rsidR="0063404D" w:rsidRDefault="0063404D" w:rsidP="0063404D">
      <w:pPr>
        <w:pStyle w:val="HChG"/>
        <w:rPr>
          <w:sz w:val="22"/>
          <w:szCs w:val="22"/>
        </w:rPr>
      </w:pPr>
      <w:r>
        <w:tab/>
      </w:r>
      <w:r>
        <w:tab/>
      </w:r>
      <w:r>
        <w:rPr>
          <w:bCs/>
        </w:rPr>
        <w:t>Обоснование</w:t>
      </w:r>
    </w:p>
    <w:p w14:paraId="3BC13052" w14:textId="77777777" w:rsidR="0063404D" w:rsidRDefault="0063404D" w:rsidP="0063404D">
      <w:pPr>
        <w:pStyle w:val="SingleTxtG"/>
        <w:rPr>
          <w:u w:val="single"/>
        </w:rPr>
      </w:pPr>
      <w:r>
        <w:t>26.</w:t>
      </w:r>
      <w:r>
        <w:tab/>
        <w:t>Обоснование поправок, представленных в настоящем документе, будет приведено в докладе неофициальной рабочей группы по электромобилям.</w:t>
      </w:r>
    </w:p>
    <w:p w14:paraId="7D679F9D" w14:textId="77777777" w:rsidR="0063404D" w:rsidRPr="00486466" w:rsidRDefault="0063404D" w:rsidP="0063404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14BC9E" w14:textId="77777777" w:rsidR="00E12C5F" w:rsidRPr="004423DD" w:rsidRDefault="00E12C5F" w:rsidP="00D9145B">
      <w:pPr>
        <w:rPr>
          <w:lang w:val="en-US"/>
        </w:rPr>
      </w:pPr>
    </w:p>
    <w:sectPr w:rsidR="00E12C5F" w:rsidRPr="004423DD" w:rsidSect="0063404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3D33" w14:textId="77777777" w:rsidR="003A4047" w:rsidRPr="00A312BC" w:rsidRDefault="003A4047" w:rsidP="00A312BC"/>
  </w:endnote>
  <w:endnote w:type="continuationSeparator" w:id="0">
    <w:p w14:paraId="4AF105B8" w14:textId="77777777" w:rsidR="003A4047" w:rsidRPr="00A312BC" w:rsidRDefault="003A40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C315" w14:textId="08425468" w:rsidR="0063404D" w:rsidRPr="0063404D" w:rsidRDefault="0063404D">
    <w:pPr>
      <w:pStyle w:val="a8"/>
    </w:pPr>
    <w:r w:rsidRPr="0063404D">
      <w:rPr>
        <w:b/>
        <w:sz w:val="18"/>
      </w:rPr>
      <w:fldChar w:fldCharType="begin"/>
    </w:r>
    <w:r w:rsidRPr="0063404D">
      <w:rPr>
        <w:b/>
        <w:sz w:val="18"/>
      </w:rPr>
      <w:instrText xml:space="preserve"> PAGE  \* MERGEFORMAT </w:instrText>
    </w:r>
    <w:r w:rsidRPr="0063404D">
      <w:rPr>
        <w:b/>
        <w:sz w:val="18"/>
      </w:rPr>
      <w:fldChar w:fldCharType="separate"/>
    </w:r>
    <w:r w:rsidRPr="0063404D">
      <w:rPr>
        <w:b/>
        <w:noProof/>
        <w:sz w:val="18"/>
      </w:rPr>
      <w:t>2</w:t>
    </w:r>
    <w:r w:rsidRPr="0063404D">
      <w:rPr>
        <w:b/>
        <w:sz w:val="18"/>
      </w:rPr>
      <w:fldChar w:fldCharType="end"/>
    </w:r>
    <w:r>
      <w:rPr>
        <w:b/>
        <w:sz w:val="18"/>
      </w:rPr>
      <w:tab/>
    </w:r>
    <w:r>
      <w:t>GE.23-15891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EB4F" w14:textId="71504C61" w:rsidR="0063404D" w:rsidRPr="0063404D" w:rsidRDefault="0063404D" w:rsidP="0063404D">
    <w:pPr>
      <w:pStyle w:val="a8"/>
      <w:tabs>
        <w:tab w:val="clear" w:pos="9639"/>
        <w:tab w:val="right" w:pos="9638"/>
      </w:tabs>
      <w:rPr>
        <w:b/>
        <w:sz w:val="18"/>
      </w:rPr>
    </w:pPr>
    <w:r>
      <w:t>GE.23-15891</w:t>
    </w:r>
    <w:r>
      <w:tab/>
    </w:r>
    <w:r w:rsidRPr="0063404D">
      <w:rPr>
        <w:b/>
        <w:sz w:val="18"/>
      </w:rPr>
      <w:fldChar w:fldCharType="begin"/>
    </w:r>
    <w:r w:rsidRPr="0063404D">
      <w:rPr>
        <w:b/>
        <w:sz w:val="18"/>
      </w:rPr>
      <w:instrText xml:space="preserve"> PAGE  \* MERGEFORMAT </w:instrText>
    </w:r>
    <w:r w:rsidRPr="0063404D">
      <w:rPr>
        <w:b/>
        <w:sz w:val="18"/>
      </w:rPr>
      <w:fldChar w:fldCharType="separate"/>
    </w:r>
    <w:r w:rsidRPr="0063404D">
      <w:rPr>
        <w:b/>
        <w:noProof/>
        <w:sz w:val="18"/>
      </w:rPr>
      <w:t>3</w:t>
    </w:r>
    <w:r w:rsidRPr="006340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E55" w14:textId="62CFF876" w:rsidR="00042B72" w:rsidRPr="0063404D" w:rsidRDefault="0063404D" w:rsidP="0063404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3E54A9" wp14:editId="22F6B6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23-15891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878DE1" wp14:editId="2987E6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120923  140923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3230" w14:textId="77777777" w:rsidR="003A4047" w:rsidRPr="001075E9" w:rsidRDefault="003A40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2C4CC4" w14:textId="77777777" w:rsidR="003A4047" w:rsidRDefault="003A40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634479" w14:textId="77777777" w:rsidR="0063404D" w:rsidRPr="00763EB1" w:rsidRDefault="0063404D" w:rsidP="0063404D">
      <w:pPr>
        <w:pStyle w:val="ad"/>
      </w:pPr>
      <w:r>
        <w:tab/>
        <w:t>*</w:t>
      </w:r>
      <w:r>
        <w:tab/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C886" w14:textId="54AD7666" w:rsidR="0063404D" w:rsidRPr="0063404D" w:rsidRDefault="0063404D">
    <w:pPr>
      <w:pStyle w:val="a5"/>
    </w:pPr>
    <w:fldSimple w:instr=" TITLE  \* MERGEFORMAT ">
      <w:r w:rsidR="00996821">
        <w:t>ECE/TRANS/WP.15/2023/14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B7BB" w14:textId="395590C2" w:rsidR="0063404D" w:rsidRPr="0063404D" w:rsidRDefault="0063404D" w:rsidP="0063404D">
    <w:pPr>
      <w:pStyle w:val="a5"/>
      <w:jc w:val="right"/>
    </w:pPr>
    <w:fldSimple w:instr=" TITLE  \* MERGEFORMAT ">
      <w:r w:rsidR="00996821">
        <w:t>ECE/TRANS/WP.15/2023/14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1826387521">
    <w:abstractNumId w:val="16"/>
  </w:num>
  <w:num w:numId="23" w16cid:durableId="211636538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7"/>
    <w:rsid w:val="000226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68DA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7951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047"/>
    <w:rsid w:val="003A48CE"/>
    <w:rsid w:val="003B00E5"/>
    <w:rsid w:val="003E0B46"/>
    <w:rsid w:val="00407B78"/>
    <w:rsid w:val="00414230"/>
    <w:rsid w:val="00424203"/>
    <w:rsid w:val="004423DD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0F98"/>
    <w:rsid w:val="00617A43"/>
    <w:rsid w:val="0063404D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682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4F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06DE"/>
    <w:rsid w:val="00DD78D1"/>
    <w:rsid w:val="00DE32CD"/>
    <w:rsid w:val="00DF5767"/>
    <w:rsid w:val="00DF71B9"/>
    <w:rsid w:val="00E12C5F"/>
    <w:rsid w:val="00E73F76"/>
    <w:rsid w:val="00EA2C9F"/>
    <w:rsid w:val="00EA420E"/>
    <w:rsid w:val="00EC5E65"/>
    <w:rsid w:val="00ED0BDA"/>
    <w:rsid w:val="00EE142A"/>
    <w:rsid w:val="00EF1360"/>
    <w:rsid w:val="00EF3220"/>
    <w:rsid w:val="00F2523A"/>
    <w:rsid w:val="00F43903"/>
    <w:rsid w:val="00F56572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AA147"/>
  <w15:docId w15:val="{500F0231-6A80-4C4C-BCAA-6AEAE38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3404D"/>
    <w:rPr>
      <w:lang w:val="ru-RU" w:eastAsia="en-US"/>
    </w:rPr>
  </w:style>
  <w:style w:type="paragraph" w:customStyle="1" w:styleId="ParNoG">
    <w:name w:val="_ParNo_G"/>
    <w:basedOn w:val="a"/>
    <w:qFormat/>
    <w:rsid w:val="0063404D"/>
    <w:pPr>
      <w:numPr>
        <w:numId w:val="23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rsid w:val="0063404D"/>
    <w:rPr>
      <w:b/>
      <w:sz w:val="28"/>
      <w:lang w:val="ru-RU" w:eastAsia="ru-RU"/>
    </w:rPr>
  </w:style>
  <w:style w:type="paragraph" w:customStyle="1" w:styleId="ADR">
    <w:name w:val="ADR"/>
    <w:basedOn w:val="a"/>
    <w:link w:val="ADRChar"/>
    <w:qFormat/>
    <w:rsid w:val="0063404D"/>
    <w:pPr>
      <w:suppressAutoHyphens w:val="0"/>
      <w:spacing w:after="200" w:line="240" w:lineRule="auto"/>
      <w:ind w:left="1418" w:hanging="1418"/>
      <w:jc w:val="both"/>
    </w:pPr>
    <w:rPr>
      <w:rFonts w:eastAsia="Times New Roman" w:cs="Times New Roman"/>
      <w:szCs w:val="20"/>
      <w:lang w:val="en-GB"/>
    </w:rPr>
  </w:style>
  <w:style w:type="character" w:customStyle="1" w:styleId="ADRChar">
    <w:name w:val="ADR Char"/>
    <w:basedOn w:val="a0"/>
    <w:link w:val="ADR"/>
    <w:rsid w:val="0063404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B084B-89AD-44BB-B12F-F08B89C00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D9E16-BC85-4122-BAF5-074021E96913}"/>
</file>

<file path=customXml/itemProps3.xml><?xml version="1.0" encoding="utf-8"?>
<ds:datastoreItem xmlns:ds="http://schemas.openxmlformats.org/officeDocument/2006/customXml" ds:itemID="{DD9855DF-DCE4-4858-9DF0-88B91D53A5D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2108</Words>
  <Characters>14718</Characters>
  <Application>Microsoft Office Word</Application>
  <DocSecurity>0</DocSecurity>
  <Lines>1338</Lines>
  <Paragraphs>560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ECE/TRANS/WP.15/2023/14</vt:lpstr>
      <vt:lpstr>A/</vt:lpstr>
      <vt:lpstr>A/</vt:lpstr>
    </vt:vector>
  </TitlesOfParts>
  <Company>DCM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ECE/TRANS/WP.15/2023/14</dc:title>
  <dc:subject/>
  <dc:creator>Elena IZOTOVA</dc:creator>
  <cp:keywords/>
  <cp:lastModifiedBy>Elena Izotova</cp:lastModifiedBy>
  <cp:revision>3</cp:revision>
  <cp:lastPrinted>2023-09-14T07:47:00Z</cp:lastPrinted>
  <dcterms:created xsi:type="dcterms:W3CDTF">2023-09-14T07:47:00Z</dcterms:created>
  <dcterms:modified xsi:type="dcterms:W3CDTF">2023-09-14T07:47:00Z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