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40F4BE" w14:textId="77777777" w:rsidTr="00C97039">
        <w:trPr>
          <w:trHeight w:hRule="exact" w:val="851"/>
        </w:trPr>
        <w:tc>
          <w:tcPr>
            <w:tcW w:w="1276" w:type="dxa"/>
            <w:tcBorders>
              <w:bottom w:val="single" w:sz="4" w:space="0" w:color="auto"/>
            </w:tcBorders>
          </w:tcPr>
          <w:p w14:paraId="4D25A548" w14:textId="77777777" w:rsidR="00F35BAF" w:rsidRPr="00DB58B5" w:rsidRDefault="00F35BAF" w:rsidP="00E14B46"/>
        </w:tc>
        <w:tc>
          <w:tcPr>
            <w:tcW w:w="2268" w:type="dxa"/>
            <w:tcBorders>
              <w:bottom w:val="single" w:sz="4" w:space="0" w:color="auto"/>
            </w:tcBorders>
            <w:vAlign w:val="bottom"/>
          </w:tcPr>
          <w:p w14:paraId="3842ABD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C784DD" w14:textId="369FCC20" w:rsidR="00F35BAF" w:rsidRPr="00DB58B5" w:rsidRDefault="00E14B46" w:rsidP="00E14B46">
            <w:pPr>
              <w:jc w:val="right"/>
            </w:pPr>
            <w:r w:rsidRPr="00E14B46">
              <w:rPr>
                <w:sz w:val="40"/>
              </w:rPr>
              <w:t>ECE</w:t>
            </w:r>
            <w:r>
              <w:t>/TRANS/WP.15/2023/14</w:t>
            </w:r>
          </w:p>
        </w:tc>
      </w:tr>
      <w:tr w:rsidR="00F35BAF" w:rsidRPr="00DB58B5" w14:paraId="0A2F54AB" w14:textId="77777777" w:rsidTr="00C97039">
        <w:trPr>
          <w:trHeight w:hRule="exact" w:val="2835"/>
        </w:trPr>
        <w:tc>
          <w:tcPr>
            <w:tcW w:w="1276" w:type="dxa"/>
            <w:tcBorders>
              <w:top w:val="single" w:sz="4" w:space="0" w:color="auto"/>
              <w:bottom w:val="single" w:sz="12" w:space="0" w:color="auto"/>
            </w:tcBorders>
          </w:tcPr>
          <w:p w14:paraId="23F9EA94" w14:textId="77777777" w:rsidR="00F35BAF" w:rsidRPr="00DB58B5" w:rsidRDefault="00F35BAF" w:rsidP="00C97039">
            <w:pPr>
              <w:spacing w:before="120"/>
              <w:jc w:val="center"/>
            </w:pPr>
            <w:r>
              <w:rPr>
                <w:noProof/>
                <w:lang w:eastAsia="fr-CH"/>
              </w:rPr>
              <w:drawing>
                <wp:inline distT="0" distB="0" distL="0" distR="0" wp14:anchorId="2E14D926" wp14:editId="70DB46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A8E32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474E4D" w14:textId="77777777" w:rsidR="00F35BAF" w:rsidRDefault="00E14B46" w:rsidP="00C97039">
            <w:pPr>
              <w:spacing w:before="240"/>
            </w:pPr>
            <w:r>
              <w:t>Distr. générale</w:t>
            </w:r>
          </w:p>
          <w:p w14:paraId="7BA32EAE" w14:textId="77777777" w:rsidR="00E14B46" w:rsidRDefault="00E14B46" w:rsidP="00E14B46">
            <w:pPr>
              <w:spacing w:line="240" w:lineRule="exact"/>
            </w:pPr>
            <w:r>
              <w:t>17 août 2023</w:t>
            </w:r>
          </w:p>
          <w:p w14:paraId="68D18181" w14:textId="77777777" w:rsidR="00E14B46" w:rsidRDefault="00E14B46" w:rsidP="00E14B46">
            <w:pPr>
              <w:spacing w:line="240" w:lineRule="exact"/>
            </w:pPr>
            <w:r>
              <w:t>Français</w:t>
            </w:r>
          </w:p>
          <w:p w14:paraId="7B1FB352" w14:textId="74DAC4E3" w:rsidR="00E14B46" w:rsidRPr="00DB58B5" w:rsidRDefault="00E14B46" w:rsidP="00E14B46">
            <w:pPr>
              <w:spacing w:line="240" w:lineRule="exact"/>
            </w:pPr>
            <w:r>
              <w:t>Original : anglais</w:t>
            </w:r>
          </w:p>
        </w:tc>
      </w:tr>
    </w:tbl>
    <w:p w14:paraId="54CFCB9B" w14:textId="77777777" w:rsidR="007F20FA" w:rsidRPr="000312C0" w:rsidRDefault="007F20FA" w:rsidP="007F20FA">
      <w:pPr>
        <w:spacing w:before="120"/>
        <w:rPr>
          <w:b/>
          <w:sz w:val="28"/>
          <w:szCs w:val="28"/>
        </w:rPr>
      </w:pPr>
      <w:r w:rsidRPr="000312C0">
        <w:rPr>
          <w:b/>
          <w:sz w:val="28"/>
          <w:szCs w:val="28"/>
        </w:rPr>
        <w:t>Commission économique pour l’Europe</w:t>
      </w:r>
    </w:p>
    <w:p w14:paraId="42C2EEF2" w14:textId="77777777" w:rsidR="007F20FA" w:rsidRDefault="007F20FA" w:rsidP="007F20FA">
      <w:pPr>
        <w:spacing w:before="120"/>
        <w:rPr>
          <w:sz w:val="28"/>
          <w:szCs w:val="28"/>
        </w:rPr>
      </w:pPr>
      <w:r w:rsidRPr="00685843">
        <w:rPr>
          <w:sz w:val="28"/>
          <w:szCs w:val="28"/>
        </w:rPr>
        <w:t>Comité des transports intérieurs</w:t>
      </w:r>
    </w:p>
    <w:p w14:paraId="48A91590" w14:textId="77777777" w:rsidR="00E14B46" w:rsidRPr="00CB07E5" w:rsidRDefault="00E14B46" w:rsidP="00E14B46">
      <w:pPr>
        <w:spacing w:before="120"/>
        <w:rPr>
          <w:b/>
          <w:sz w:val="24"/>
          <w:szCs w:val="24"/>
          <w:lang w:val="fr-FR"/>
        </w:rPr>
      </w:pPr>
      <w:r w:rsidRPr="00CB07E5">
        <w:rPr>
          <w:b/>
          <w:bCs/>
          <w:sz w:val="24"/>
          <w:szCs w:val="24"/>
          <w:lang w:val="fr-FR"/>
        </w:rPr>
        <w:t>Groupe de travail des transports de marchandises dangereuses</w:t>
      </w:r>
    </w:p>
    <w:p w14:paraId="19AD130D" w14:textId="4639BA32" w:rsidR="00E14B46" w:rsidRPr="00CB07E5" w:rsidRDefault="00E14B46" w:rsidP="00E14B46">
      <w:pPr>
        <w:spacing w:before="120"/>
        <w:rPr>
          <w:rFonts w:eastAsia="SimSun"/>
          <w:b/>
          <w:lang w:val="fr-FR"/>
        </w:rPr>
      </w:pPr>
      <w:r>
        <w:rPr>
          <w:b/>
          <w:bCs/>
          <w:lang w:val="fr-FR"/>
        </w:rPr>
        <w:t>114</w:t>
      </w:r>
      <w:r w:rsidRPr="00093724">
        <w:rPr>
          <w:b/>
          <w:bCs/>
          <w:vertAlign w:val="superscript"/>
          <w:lang w:val="fr-FR"/>
        </w:rPr>
        <w:t>e</w:t>
      </w:r>
      <w:r w:rsidR="0062292E">
        <w:rPr>
          <w:b/>
          <w:bCs/>
          <w:lang w:val="fr-FR"/>
        </w:rPr>
        <w:t> </w:t>
      </w:r>
      <w:r>
        <w:rPr>
          <w:b/>
          <w:bCs/>
          <w:lang w:val="fr-FR"/>
        </w:rPr>
        <w:t>session</w:t>
      </w:r>
      <w:r>
        <w:rPr>
          <w:lang w:val="fr-FR"/>
        </w:rPr>
        <w:t xml:space="preserve"> </w:t>
      </w:r>
    </w:p>
    <w:p w14:paraId="1FC0961E" w14:textId="77777777" w:rsidR="00E14B46" w:rsidRPr="00CB07E5" w:rsidRDefault="00E14B46" w:rsidP="00E14B46">
      <w:pPr>
        <w:rPr>
          <w:rFonts w:eastAsia="SimSun"/>
          <w:lang w:val="fr-FR"/>
        </w:rPr>
      </w:pPr>
      <w:r>
        <w:rPr>
          <w:lang w:val="fr-FR"/>
        </w:rPr>
        <w:t>Genève, 6-10 novembre 2023</w:t>
      </w:r>
    </w:p>
    <w:p w14:paraId="3A4BBFCF" w14:textId="77777777" w:rsidR="00E14B46" w:rsidRPr="00CB07E5" w:rsidRDefault="00E14B46" w:rsidP="00E14B46">
      <w:pPr>
        <w:rPr>
          <w:lang w:val="fr-FR"/>
        </w:rPr>
      </w:pPr>
      <w:r>
        <w:rPr>
          <w:lang w:val="fr-FR"/>
        </w:rPr>
        <w:t>Point 5 a) de l’ordre du jour provisoire</w:t>
      </w:r>
    </w:p>
    <w:p w14:paraId="070A49E9" w14:textId="77777777" w:rsidR="00E14B46" w:rsidRDefault="00E14B46" w:rsidP="00E14B46">
      <w:pPr>
        <w:rPr>
          <w:b/>
          <w:bCs/>
          <w:lang w:val="fr-FR"/>
        </w:rPr>
      </w:pPr>
      <w:r w:rsidRPr="00A2368D">
        <w:rPr>
          <w:b/>
          <w:bCs/>
          <w:lang w:val="fr-FR"/>
        </w:rPr>
        <w:t>Propositions d’amendements aux annexes A et B de l’ADR</w:t>
      </w:r>
      <w:r>
        <w:rPr>
          <w:b/>
          <w:bCs/>
          <w:lang w:val="fr-FR"/>
        </w:rPr>
        <w:t> :</w:t>
      </w:r>
    </w:p>
    <w:p w14:paraId="3D833B16" w14:textId="3B26DAA4" w:rsidR="00E14B46" w:rsidRPr="00CB07E5" w:rsidRDefault="00E14B46" w:rsidP="00E14B46">
      <w:pPr>
        <w:rPr>
          <w:b/>
          <w:bCs/>
          <w:lang w:val="fr-FR"/>
        </w:rPr>
      </w:pPr>
      <w:r>
        <w:rPr>
          <w:b/>
          <w:bCs/>
          <w:lang w:val="fr-FR"/>
        </w:rPr>
        <w:t>Construction et agrément des véhicules</w:t>
      </w:r>
    </w:p>
    <w:p w14:paraId="6E7E949B" w14:textId="77777777" w:rsidR="00E14B46" w:rsidRPr="00CB07E5" w:rsidRDefault="00E14B46" w:rsidP="00E14B46">
      <w:pPr>
        <w:pStyle w:val="HChG"/>
        <w:rPr>
          <w:bCs/>
          <w:sz w:val="24"/>
          <w:szCs w:val="24"/>
          <w:lang w:val="fr-FR"/>
        </w:rPr>
      </w:pPr>
      <w:r w:rsidRPr="00CB07E5">
        <w:rPr>
          <w:sz w:val="24"/>
          <w:szCs w:val="24"/>
          <w:lang w:val="fr-FR"/>
        </w:rPr>
        <w:tab/>
      </w:r>
      <w:r w:rsidRPr="00CB07E5">
        <w:rPr>
          <w:sz w:val="24"/>
          <w:szCs w:val="24"/>
          <w:lang w:val="fr-FR"/>
        </w:rPr>
        <w:tab/>
      </w:r>
      <w:r w:rsidRPr="00CB07E5">
        <w:rPr>
          <w:bCs/>
          <w:sz w:val="24"/>
          <w:szCs w:val="24"/>
          <w:lang w:val="fr-FR"/>
        </w:rPr>
        <w:t>Véhicules électriques à batterie et véhicules alimentés à l</w:t>
      </w:r>
      <w:r>
        <w:rPr>
          <w:bCs/>
          <w:sz w:val="24"/>
          <w:szCs w:val="24"/>
          <w:lang w:val="fr-FR"/>
        </w:rPr>
        <w:t>’</w:t>
      </w:r>
      <w:r w:rsidRPr="00CB07E5">
        <w:rPr>
          <w:bCs/>
          <w:sz w:val="24"/>
          <w:szCs w:val="24"/>
          <w:lang w:val="fr-FR"/>
        </w:rPr>
        <w:t>hydrogène</w:t>
      </w:r>
    </w:p>
    <w:p w14:paraId="0917E171" w14:textId="7035CF49" w:rsidR="00E14B46" w:rsidRPr="00CB07E5" w:rsidRDefault="00E14B46" w:rsidP="00E14B46">
      <w:pPr>
        <w:pStyle w:val="H1G"/>
        <w:rPr>
          <w:szCs w:val="24"/>
          <w:lang w:val="fr-FR"/>
        </w:rPr>
      </w:pPr>
      <w:r w:rsidRPr="00CB07E5">
        <w:rPr>
          <w:szCs w:val="24"/>
          <w:lang w:val="fr-FR"/>
        </w:rPr>
        <w:tab/>
      </w:r>
      <w:r w:rsidRPr="00CB07E5">
        <w:rPr>
          <w:szCs w:val="24"/>
          <w:lang w:val="fr-FR"/>
        </w:rPr>
        <w:tab/>
      </w:r>
      <w:r w:rsidRPr="00CB07E5">
        <w:rPr>
          <w:bCs/>
          <w:szCs w:val="24"/>
          <w:lang w:val="fr-FR"/>
        </w:rPr>
        <w:t>Communication du Gouvernement néerlandais au nom du groupe de</w:t>
      </w:r>
      <w:r w:rsidR="0062292E">
        <w:rPr>
          <w:bCs/>
          <w:szCs w:val="24"/>
          <w:lang w:val="fr-FR"/>
        </w:rPr>
        <w:t> </w:t>
      </w:r>
      <w:r w:rsidRPr="00CB07E5">
        <w:rPr>
          <w:bCs/>
          <w:szCs w:val="24"/>
          <w:lang w:val="fr-FR"/>
        </w:rPr>
        <w:t>travail informel des véhicules électriques</w:t>
      </w:r>
      <w:r w:rsidRPr="00E14B46">
        <w:rPr>
          <w:rStyle w:val="Appelnotedebasdep"/>
          <w:b w:val="0"/>
          <w:sz w:val="20"/>
          <w:szCs w:val="24"/>
          <w:vertAlign w:val="baseline"/>
        </w:rPr>
        <w:footnoteReference w:customMarkFollows="1" w:id="2"/>
        <w:t>*</w:t>
      </w:r>
    </w:p>
    <w:p w14:paraId="74306B83" w14:textId="77777777" w:rsidR="00E14B46" w:rsidRPr="00CB07E5" w:rsidRDefault="00E14B46" w:rsidP="00E14B46">
      <w:pPr>
        <w:pStyle w:val="HChG"/>
        <w:rPr>
          <w:lang w:val="fr-FR"/>
        </w:rPr>
      </w:pPr>
      <w:r>
        <w:rPr>
          <w:lang w:val="fr-FR"/>
        </w:rPr>
        <w:tab/>
      </w:r>
      <w:r>
        <w:rPr>
          <w:lang w:val="fr-FR"/>
        </w:rPr>
        <w:tab/>
      </w:r>
      <w:r>
        <w:rPr>
          <w:bCs/>
          <w:lang w:val="fr-FR"/>
        </w:rPr>
        <w:t>Introduction</w:t>
      </w:r>
    </w:p>
    <w:p w14:paraId="00997B07" w14:textId="77777777" w:rsidR="00E14B46" w:rsidRPr="00CB07E5" w:rsidRDefault="00E14B46" w:rsidP="00E14B46">
      <w:pPr>
        <w:pStyle w:val="SingleTxtG"/>
        <w:rPr>
          <w:lang w:val="fr-FR"/>
        </w:rPr>
      </w:pPr>
      <w:r>
        <w:rPr>
          <w:lang w:val="fr-FR"/>
        </w:rPr>
        <w:t>1.</w:t>
      </w:r>
      <w:r>
        <w:rPr>
          <w:lang w:val="fr-FR"/>
        </w:rPr>
        <w:tab/>
        <w:t xml:space="preserve">Le présent document contient des propositions du groupe de travail informel des véhicules électriques. Il vise à ajouter, dans l’édition 2023 de l’ADR, les véhicules électriques à batterie à la catégorie des véhicules FL en plus de la catégorie des véhicules AT, les véhicules à pile à combustible à hydrogène aux catégories AT et FL, et les véhicules équipés d’un moteur à combustion interne utilisant </w:t>
      </w:r>
      <w:r w:rsidRPr="00230094">
        <w:rPr>
          <w:lang w:val="fr-FR"/>
        </w:rPr>
        <w:t xml:space="preserve">l’hydrogène comme carburant </w:t>
      </w:r>
      <w:r>
        <w:rPr>
          <w:lang w:val="fr-FR"/>
        </w:rPr>
        <w:t xml:space="preserve">aux catégories AT et FL. </w:t>
      </w:r>
    </w:p>
    <w:p w14:paraId="1B116787" w14:textId="47355263" w:rsidR="00E14B46" w:rsidRPr="00CB07E5" w:rsidRDefault="00E14B46" w:rsidP="00E14B46">
      <w:pPr>
        <w:pStyle w:val="SingleTxtG"/>
        <w:rPr>
          <w:lang w:val="fr-FR"/>
        </w:rPr>
      </w:pPr>
      <w:r>
        <w:rPr>
          <w:lang w:val="fr-FR"/>
        </w:rPr>
        <w:t>2.</w:t>
      </w:r>
      <w:r>
        <w:rPr>
          <w:lang w:val="fr-FR"/>
        </w:rPr>
        <w:tab/>
        <w:t>Les technologies des véhicules et les règlements relatifs à la sécurité continuent d’évoluer, une évolution qui ne devrait pas être entravée par les dispositions de l’ADR. Ces</w:t>
      </w:r>
      <w:r w:rsidR="00AA498D">
        <w:rPr>
          <w:lang w:val="fr-FR"/>
        </w:rPr>
        <w:t> </w:t>
      </w:r>
      <w:r>
        <w:rPr>
          <w:lang w:val="fr-FR"/>
        </w:rPr>
        <w:t>dernières sont neutres sur le plan de la conception et garantissent que les véhicules présentent un niveau de sécurité suffisant pour le transport des marchandises dangereuses ; il</w:t>
      </w:r>
      <w:r w:rsidR="00AA498D">
        <w:rPr>
          <w:lang w:val="fr-FR"/>
        </w:rPr>
        <w:t> </w:t>
      </w:r>
      <w:r>
        <w:rPr>
          <w:lang w:val="fr-FR"/>
        </w:rPr>
        <w:t>est donc nécessaire de trouver un juste équilibre dans leur formulation. Par conséquent, certaines propositions de libellé figurent encore entre crochets, d’autres ajustements pouvant être nécessaires. Il a toutefois été décidé de présenter ce document à la 114</w:t>
      </w:r>
      <w:r>
        <w:rPr>
          <w:vertAlign w:val="superscript"/>
          <w:lang w:val="fr-FR"/>
        </w:rPr>
        <w:t>e</w:t>
      </w:r>
      <w:r>
        <w:rPr>
          <w:lang w:val="fr-FR"/>
        </w:rPr>
        <w:t xml:space="preserve"> session du WP.15 afin qu’une discussion puisse être tenue en temps utile et que les modifications nécessaires puissent être apportées en vue de la prise en compte de ces propositions dans le cadre de l’édition 2025 de l’ADR.</w:t>
      </w:r>
    </w:p>
    <w:p w14:paraId="05BD716D" w14:textId="77777777" w:rsidR="00E14B46" w:rsidRPr="00CB07E5" w:rsidRDefault="00E14B46" w:rsidP="00E14B46">
      <w:pPr>
        <w:pStyle w:val="SingleTxtG"/>
        <w:rPr>
          <w:lang w:val="fr-FR"/>
        </w:rPr>
      </w:pPr>
      <w:r>
        <w:rPr>
          <w:lang w:val="fr-FR"/>
        </w:rPr>
        <w:t>3.</w:t>
      </w:r>
      <w:r>
        <w:rPr>
          <w:lang w:val="fr-FR"/>
        </w:rPr>
        <w:tab/>
        <w:t xml:space="preserve">Pour faciliter la discussion, une version de synthèse du chapitre 9.2 de l’ADR sera fournie sous la forme d’un document informel (document informel INF.3). Un rapport du groupe de travail informel suivra en temps voulu. </w:t>
      </w:r>
    </w:p>
    <w:p w14:paraId="4FB5173C" w14:textId="77777777" w:rsidR="00E14B46" w:rsidRPr="00A2368D" w:rsidRDefault="00E14B46" w:rsidP="00E14B46">
      <w:pPr>
        <w:pStyle w:val="HChG"/>
        <w:rPr>
          <w:lang w:val="fr-FR"/>
        </w:rPr>
      </w:pPr>
      <w:r w:rsidRPr="00CB07E5">
        <w:rPr>
          <w:lang w:val="fr-FR"/>
        </w:rPr>
        <w:lastRenderedPageBreak/>
        <w:tab/>
      </w:r>
      <w:r w:rsidRPr="00CB07E5">
        <w:rPr>
          <w:lang w:val="fr-FR"/>
        </w:rPr>
        <w:tab/>
      </w:r>
      <w:r w:rsidRPr="00A2368D">
        <w:rPr>
          <w:lang w:val="fr-FR"/>
        </w:rPr>
        <w:t>Proposition 1</w:t>
      </w:r>
    </w:p>
    <w:p w14:paraId="71493691" w14:textId="77777777" w:rsidR="00E14B46" w:rsidRPr="00CB07E5" w:rsidRDefault="00E14B46" w:rsidP="00E14B46">
      <w:pPr>
        <w:pStyle w:val="SingleTxtG"/>
        <w:rPr>
          <w:lang w:val="fr-029"/>
        </w:rPr>
      </w:pPr>
      <w:r w:rsidRPr="00CB07E5">
        <w:rPr>
          <w:lang w:val="fr-FR"/>
        </w:rPr>
        <w:t>4.</w:t>
      </w:r>
      <w:r w:rsidRPr="00CB07E5">
        <w:rPr>
          <w:lang w:val="fr-FR"/>
        </w:rPr>
        <w:tab/>
        <w:t xml:space="preserve">Modifier les lignes </w:t>
      </w:r>
      <w:r>
        <w:rPr>
          <w:lang w:val="fr-FR"/>
        </w:rPr>
        <w:t>ci-après</w:t>
      </w:r>
      <w:r w:rsidRPr="00CB07E5">
        <w:rPr>
          <w:lang w:val="fr-FR"/>
        </w:rPr>
        <w:t xml:space="preserve"> du tableau </w:t>
      </w:r>
      <w:r>
        <w:rPr>
          <w:lang w:val="fr-FR"/>
        </w:rPr>
        <w:t xml:space="preserve">du </w:t>
      </w:r>
      <w:r w:rsidRPr="00CB07E5">
        <w:rPr>
          <w:lang w:val="fr-FR"/>
        </w:rPr>
        <w:t>9.2.1.1 (édition 2023 de l’ADR) (le</w:t>
      </w:r>
      <w:r>
        <w:rPr>
          <w:lang w:val="fr-FR"/>
        </w:rPr>
        <w:t xml:space="preserve">s modifications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CB07E5">
        <w:rPr>
          <w:lang w:val="fr-029"/>
        </w:rPr>
        <w:t>)</w:t>
      </w:r>
      <w:r>
        <w:rPr>
          <w:lang w:val="fr-029"/>
        </w:rPr>
        <w:t> :</w:t>
      </w:r>
    </w:p>
    <w:p w14:paraId="20BF5210" w14:textId="7E339A56" w:rsidR="00E14B46" w:rsidRPr="00303D8A" w:rsidRDefault="00E14B46" w:rsidP="00E14B46">
      <w:pPr>
        <w:pStyle w:val="SingleTxtG"/>
        <w:rPr>
          <w:lang w:val="fr-FR"/>
        </w:rPr>
      </w:pPr>
      <w:r>
        <w:rPr>
          <w:lang w:val="fr-029"/>
        </w:rPr>
        <w:t>Ligne 9.2.4, r</w:t>
      </w:r>
      <w:r>
        <w:rPr>
          <w:lang w:val="fr-FR"/>
        </w:rPr>
        <w:t>emplacer « PRÉVENTION DES RISQUES D’INCENDIE » par « SYSTÈME DE PROPULSION DU VÉHICULE »</w:t>
      </w:r>
      <w:r w:rsidR="00EC59FE">
        <w:rPr>
          <w:lang w:val="fr-FR"/>
        </w:rPr>
        <w:t> </w:t>
      </w:r>
      <w:r>
        <w:rPr>
          <w:lang w:val="fr-FR"/>
        </w:rPr>
        <w:t>:</w:t>
      </w:r>
      <w:r w:rsidRPr="00D55534">
        <w:rPr>
          <w:lang w:val="fr-029"/>
        </w:rPr>
        <w:t xml:space="preserve"> </w:t>
      </w:r>
    </w:p>
    <w:tbl>
      <w:tblPr>
        <w:tblStyle w:val="Grilledutableau"/>
        <w:tblW w:w="7705" w:type="dxa"/>
        <w:tblInd w:w="1129" w:type="dxa"/>
        <w:tblLayout w:type="fixed"/>
        <w:tblLook w:val="04A0" w:firstRow="1" w:lastRow="0" w:firstColumn="1" w:lastColumn="0" w:noHBand="0" w:noVBand="1"/>
      </w:tblPr>
      <w:tblGrid>
        <w:gridCol w:w="993"/>
        <w:gridCol w:w="3117"/>
        <w:gridCol w:w="480"/>
        <w:gridCol w:w="480"/>
        <w:gridCol w:w="480"/>
        <w:gridCol w:w="480"/>
        <w:gridCol w:w="1675"/>
      </w:tblGrid>
      <w:tr w:rsidR="00E14B46" w:rsidRPr="001A7A5D" w14:paraId="7592DDD3" w14:textId="77777777" w:rsidTr="00395A0C">
        <w:tc>
          <w:tcPr>
            <w:tcW w:w="993" w:type="dxa"/>
          </w:tcPr>
          <w:p w14:paraId="66BBED2D" w14:textId="77777777" w:rsidR="00E14B46" w:rsidRPr="00086D99" w:rsidRDefault="00E14B46" w:rsidP="00395A0C">
            <w:pPr>
              <w:ind w:left="284"/>
              <w:rPr>
                <w:i/>
                <w:iCs/>
                <w:sz w:val="18"/>
                <w:szCs w:val="18"/>
                <w:lang w:val="fr-029"/>
              </w:rPr>
            </w:pPr>
            <w:bookmarkStart w:id="0" w:name="_Hlk142657784"/>
            <w:r w:rsidRPr="00086D99">
              <w:rPr>
                <w:i/>
                <w:iCs/>
                <w:sz w:val="18"/>
                <w:szCs w:val="18"/>
                <w:lang w:val="fr-029"/>
              </w:rPr>
              <w:t>9.2.4</w:t>
            </w:r>
          </w:p>
        </w:tc>
        <w:tc>
          <w:tcPr>
            <w:tcW w:w="3117" w:type="dxa"/>
          </w:tcPr>
          <w:p w14:paraId="5286CE7C" w14:textId="77777777" w:rsidR="00E14B46" w:rsidRPr="00086D99" w:rsidRDefault="00E14B46" w:rsidP="00395A0C">
            <w:pPr>
              <w:ind w:left="138"/>
              <w:rPr>
                <w:i/>
                <w:iCs/>
                <w:sz w:val="18"/>
                <w:szCs w:val="18"/>
                <w:lang w:val="fr-029"/>
              </w:rPr>
            </w:pPr>
            <w:r w:rsidRPr="00086D99">
              <w:rPr>
                <w:b/>
                <w:bCs/>
                <w:caps/>
                <w:strike/>
                <w:sz w:val="18"/>
                <w:szCs w:val="18"/>
                <w:lang w:val="fr-029"/>
              </w:rPr>
              <w:t>PRÉVENTION DES RISQUES D’INCENDIE</w:t>
            </w:r>
            <w:r w:rsidRPr="00086D99">
              <w:rPr>
                <w:caps/>
                <w:sz w:val="18"/>
                <w:szCs w:val="18"/>
                <w:lang w:val="fr-029"/>
              </w:rPr>
              <w:t xml:space="preserve"> </w:t>
            </w:r>
            <w:r w:rsidRPr="0066511D">
              <w:rPr>
                <w:b/>
                <w:bCs/>
                <w:i/>
                <w:iCs/>
                <w:caps/>
                <w:sz w:val="18"/>
                <w:szCs w:val="18"/>
                <w:u w:val="single"/>
                <w:lang w:val="fr-029"/>
              </w:rPr>
              <w:t>SYSTÈME DE PROPULSION DU VÉHICULE</w:t>
            </w:r>
          </w:p>
        </w:tc>
        <w:tc>
          <w:tcPr>
            <w:tcW w:w="480" w:type="dxa"/>
          </w:tcPr>
          <w:p w14:paraId="18AC3D8C" w14:textId="77777777" w:rsidR="00E14B46" w:rsidRPr="00086D99" w:rsidRDefault="00E14B46" w:rsidP="00395A0C">
            <w:pPr>
              <w:ind w:left="1134"/>
              <w:rPr>
                <w:i/>
                <w:iCs/>
                <w:sz w:val="18"/>
                <w:szCs w:val="18"/>
                <w:lang w:val="fr-029"/>
              </w:rPr>
            </w:pPr>
          </w:p>
        </w:tc>
        <w:tc>
          <w:tcPr>
            <w:tcW w:w="480" w:type="dxa"/>
          </w:tcPr>
          <w:p w14:paraId="22C1D6D0" w14:textId="77777777" w:rsidR="00E14B46" w:rsidRPr="00086D99" w:rsidRDefault="00E14B46" w:rsidP="00395A0C">
            <w:pPr>
              <w:ind w:left="1134"/>
              <w:rPr>
                <w:i/>
                <w:iCs/>
                <w:sz w:val="18"/>
                <w:szCs w:val="18"/>
                <w:lang w:val="fr-029"/>
              </w:rPr>
            </w:pPr>
          </w:p>
        </w:tc>
        <w:tc>
          <w:tcPr>
            <w:tcW w:w="480" w:type="dxa"/>
          </w:tcPr>
          <w:p w14:paraId="015AB0D3" w14:textId="77777777" w:rsidR="00E14B46" w:rsidRPr="00086D99" w:rsidRDefault="00E14B46" w:rsidP="00395A0C">
            <w:pPr>
              <w:ind w:left="1134"/>
              <w:rPr>
                <w:i/>
                <w:iCs/>
                <w:sz w:val="18"/>
                <w:szCs w:val="18"/>
                <w:lang w:val="fr-029"/>
              </w:rPr>
            </w:pPr>
          </w:p>
        </w:tc>
        <w:tc>
          <w:tcPr>
            <w:tcW w:w="480" w:type="dxa"/>
          </w:tcPr>
          <w:p w14:paraId="0F3E382A" w14:textId="77777777" w:rsidR="00E14B46" w:rsidRPr="00086D99" w:rsidRDefault="00E14B46" w:rsidP="00395A0C">
            <w:pPr>
              <w:ind w:left="1134"/>
              <w:rPr>
                <w:i/>
                <w:iCs/>
                <w:sz w:val="18"/>
                <w:szCs w:val="18"/>
                <w:lang w:val="fr-029"/>
              </w:rPr>
            </w:pPr>
          </w:p>
        </w:tc>
        <w:tc>
          <w:tcPr>
            <w:tcW w:w="1675" w:type="dxa"/>
          </w:tcPr>
          <w:p w14:paraId="60FD6EDC" w14:textId="77777777" w:rsidR="00E14B46" w:rsidRPr="00086D99" w:rsidRDefault="00E14B46" w:rsidP="00395A0C">
            <w:pPr>
              <w:ind w:left="1134"/>
              <w:rPr>
                <w:i/>
                <w:iCs/>
                <w:sz w:val="18"/>
                <w:szCs w:val="18"/>
                <w:lang w:val="fr-029"/>
              </w:rPr>
            </w:pPr>
          </w:p>
        </w:tc>
      </w:tr>
    </w:tbl>
    <w:bookmarkEnd w:id="0"/>
    <w:p w14:paraId="1E54DF64" w14:textId="1CB4DC0A" w:rsidR="00E14B46" w:rsidRPr="00D55534" w:rsidRDefault="00E14B46" w:rsidP="00E14B46">
      <w:pPr>
        <w:pStyle w:val="SingleTxtG"/>
        <w:spacing w:before="120"/>
        <w:rPr>
          <w:i/>
          <w:iCs/>
          <w:lang w:val="fr-029"/>
        </w:rPr>
      </w:pPr>
      <w:r w:rsidRPr="00BD21D7">
        <w:rPr>
          <w:lang w:val="fr-029"/>
        </w:rPr>
        <w:t>La</w:t>
      </w:r>
      <w:r>
        <w:rPr>
          <w:lang w:val="fr-029"/>
        </w:rPr>
        <w:t xml:space="preserve"> ligne </w:t>
      </w:r>
      <w:r w:rsidRPr="00BD21D7">
        <w:rPr>
          <w:lang w:val="fr-029"/>
        </w:rPr>
        <w:t xml:space="preserve">9.2.4.3 </w:t>
      </w:r>
      <w:r>
        <w:rPr>
          <w:lang w:val="fr-029"/>
        </w:rPr>
        <w:t>(</w:t>
      </w:r>
      <w:r w:rsidRPr="00BD21D7">
        <w:rPr>
          <w:lang w:val="fr-029"/>
        </w:rPr>
        <w:t>« </w:t>
      </w:r>
      <w:r w:rsidRPr="00BD21D7">
        <w:rPr>
          <w:lang w:val="fr-FR"/>
        </w:rPr>
        <w:t>Réservoirs et bouteilles de carburant »</w:t>
      </w:r>
      <w:r>
        <w:rPr>
          <w:lang w:val="fr-FR"/>
        </w:rPr>
        <w:t>)</w:t>
      </w:r>
      <w:r>
        <w:rPr>
          <w:sz w:val="18"/>
          <w:szCs w:val="18"/>
          <w:lang w:val="fr-FR"/>
        </w:rPr>
        <w:t xml:space="preserve"> </w:t>
      </w:r>
      <w:r>
        <w:rPr>
          <w:lang w:val="fr-029"/>
        </w:rPr>
        <w:t>devient la ligne</w:t>
      </w:r>
      <w:r w:rsidRPr="00D55534">
        <w:rPr>
          <w:lang w:val="fr-029"/>
        </w:rPr>
        <w:t xml:space="preserve"> 9.2.4.2</w:t>
      </w:r>
      <w:r>
        <w:rPr>
          <w:lang w:val="fr-029"/>
        </w:rPr>
        <w:t>. A</w:t>
      </w:r>
      <w:r w:rsidRPr="00D55534">
        <w:rPr>
          <w:lang w:val="fr-029"/>
        </w:rPr>
        <w:t>jouter</w:t>
      </w:r>
      <w:r>
        <w:rPr>
          <w:lang w:val="fr-029"/>
        </w:rPr>
        <w:t xml:space="preserve"> </w:t>
      </w:r>
      <w:r w:rsidRPr="00D55534">
        <w:rPr>
          <w:lang w:val="fr-029"/>
        </w:rPr>
        <w:t>[</w:t>
      </w:r>
      <w:r>
        <w:rPr>
          <w:lang w:val="fr-029"/>
        </w:rPr>
        <w:t>« </w:t>
      </w:r>
      <w:r w:rsidRPr="00EA4034">
        <w:rPr>
          <w:i/>
          <w:iCs/>
          <w:lang w:val="fr-029"/>
        </w:rPr>
        <w:t>X</w:t>
      </w:r>
      <w:r w:rsidRPr="00EA4034">
        <w:rPr>
          <w:i/>
          <w:iCs/>
          <w:vertAlign w:val="superscript"/>
          <w:lang w:val="fr-029"/>
        </w:rPr>
        <w:t>k</w:t>
      </w:r>
      <w:r>
        <w:rPr>
          <w:lang w:val="fr-029"/>
        </w:rPr>
        <w:t> »</w:t>
      </w:r>
      <w:r w:rsidRPr="00D55534">
        <w:rPr>
          <w:lang w:val="fr-029"/>
        </w:rPr>
        <w:t>]</w:t>
      </w:r>
      <w:r>
        <w:rPr>
          <w:lang w:val="fr-029"/>
        </w:rPr>
        <w:t xml:space="preserve"> dans la colonne</w:t>
      </w:r>
      <w:r w:rsidRPr="00D55534">
        <w:rPr>
          <w:lang w:val="fr-029"/>
        </w:rPr>
        <w:t xml:space="preserve"> </w:t>
      </w:r>
      <w:r>
        <w:rPr>
          <w:lang w:val="fr-029"/>
        </w:rPr>
        <w:t>« </w:t>
      </w:r>
      <w:r w:rsidRPr="00D55534">
        <w:rPr>
          <w:lang w:val="fr-029"/>
        </w:rPr>
        <w:t>AT</w:t>
      </w:r>
      <w:r>
        <w:rPr>
          <w:lang w:val="fr-029"/>
        </w:rPr>
        <w:t xml:space="preserve"> » et </w:t>
      </w:r>
      <w:r w:rsidRPr="00D55534">
        <w:rPr>
          <w:lang w:val="fr-029"/>
        </w:rPr>
        <w:t>[</w:t>
      </w:r>
      <w:r>
        <w:rPr>
          <w:lang w:val="fr-029"/>
        </w:rPr>
        <w:t>« </w:t>
      </w:r>
      <w:r w:rsidRPr="00D51585">
        <w:rPr>
          <w:i/>
          <w:iCs/>
          <w:vertAlign w:val="superscript"/>
          <w:lang w:val="fr-029"/>
        </w:rPr>
        <w:t xml:space="preserve">k </w:t>
      </w:r>
      <w:r w:rsidRPr="00D51585">
        <w:rPr>
          <w:i/>
          <w:iCs/>
          <w:lang w:val="fr-029"/>
        </w:rPr>
        <w:t>Applicable aux véhicules à moteur immatriculés pour la première fois après le 31 mars 2026</w:t>
      </w:r>
      <w:r w:rsidRPr="00D51585">
        <w:rPr>
          <w:rStyle w:val="Marquedecommentaire"/>
          <w:i/>
          <w:iCs/>
        </w:rPr>
        <w:t/>
      </w:r>
      <w:r>
        <w:rPr>
          <w:lang w:val="fr-029"/>
        </w:rPr>
        <w:t>. »</w:t>
      </w:r>
      <w:r w:rsidRPr="00D55534">
        <w:rPr>
          <w:lang w:val="fr-029"/>
        </w:rPr>
        <w:t>]</w:t>
      </w:r>
      <w:r>
        <w:rPr>
          <w:lang w:val="fr-029"/>
        </w:rPr>
        <w:t xml:space="preserve"> dans la colonne « REMARQUES </w:t>
      </w:r>
      <w:r>
        <w:rPr>
          <w:rStyle w:val="Marquedecommentaire"/>
        </w:rPr>
        <w:t/>
      </w:r>
      <w:r>
        <w:rPr>
          <w:lang w:val="fr-029"/>
        </w:rPr>
        <w:t>» :</w:t>
      </w:r>
    </w:p>
    <w:tbl>
      <w:tblPr>
        <w:tblStyle w:val="Grilledutableau"/>
        <w:tblW w:w="8081" w:type="dxa"/>
        <w:tblInd w:w="1129" w:type="dxa"/>
        <w:tblLayout w:type="fixed"/>
        <w:tblLook w:val="04A0" w:firstRow="1" w:lastRow="0" w:firstColumn="1" w:lastColumn="0" w:noHBand="0" w:noVBand="1"/>
      </w:tblPr>
      <w:tblGrid>
        <w:gridCol w:w="851"/>
        <w:gridCol w:w="1878"/>
        <w:gridCol w:w="532"/>
        <w:gridCol w:w="567"/>
        <w:gridCol w:w="709"/>
        <w:gridCol w:w="567"/>
        <w:gridCol w:w="2977"/>
      </w:tblGrid>
      <w:tr w:rsidR="00E14B46" w:rsidRPr="001A7A5D" w14:paraId="2A015F64" w14:textId="77777777" w:rsidTr="00395A0C">
        <w:tc>
          <w:tcPr>
            <w:tcW w:w="851" w:type="dxa"/>
          </w:tcPr>
          <w:p w14:paraId="390ABCFF" w14:textId="77777777" w:rsidR="00E14B46" w:rsidRPr="00720435" w:rsidRDefault="00E14B46" w:rsidP="00395A0C">
            <w:pPr>
              <w:ind w:left="142" w:right="-11"/>
              <w:rPr>
                <w:i/>
                <w:iCs/>
                <w:strike/>
                <w:sz w:val="18"/>
                <w:szCs w:val="18"/>
              </w:rPr>
            </w:pPr>
            <w:bookmarkStart w:id="1" w:name="_Hlk142716978"/>
            <w:r w:rsidRPr="00720435">
              <w:rPr>
                <w:i/>
                <w:iCs/>
                <w:strike/>
                <w:sz w:val="18"/>
                <w:szCs w:val="18"/>
                <w:lang w:val="fr-FR"/>
              </w:rPr>
              <w:t>9.2.4.3</w:t>
            </w:r>
          </w:p>
          <w:p w14:paraId="6C0148EB" w14:textId="77777777" w:rsidR="00E14B46" w:rsidRPr="0066511D" w:rsidRDefault="00E14B46" w:rsidP="00395A0C">
            <w:pPr>
              <w:ind w:left="142" w:right="-11"/>
              <w:rPr>
                <w:i/>
                <w:iCs/>
                <w:sz w:val="18"/>
                <w:szCs w:val="18"/>
                <w:u w:val="single"/>
              </w:rPr>
            </w:pPr>
            <w:r w:rsidRPr="0066511D">
              <w:rPr>
                <w:i/>
                <w:iCs/>
                <w:sz w:val="18"/>
                <w:szCs w:val="18"/>
                <w:u w:val="single"/>
                <w:lang w:val="fr-FR"/>
              </w:rPr>
              <w:t>9.2.4.2</w:t>
            </w:r>
          </w:p>
        </w:tc>
        <w:tc>
          <w:tcPr>
            <w:tcW w:w="1878" w:type="dxa"/>
          </w:tcPr>
          <w:p w14:paraId="085747C0" w14:textId="77777777" w:rsidR="00E14B46" w:rsidRPr="00A00348" w:rsidRDefault="00E14B46" w:rsidP="00395A0C">
            <w:pPr>
              <w:ind w:left="142" w:right="-11"/>
              <w:rPr>
                <w:i/>
                <w:iCs/>
                <w:sz w:val="18"/>
                <w:szCs w:val="18"/>
                <w:lang w:val="fr-FR"/>
              </w:rPr>
            </w:pPr>
            <w:r w:rsidRPr="00A00348">
              <w:rPr>
                <w:sz w:val="18"/>
                <w:szCs w:val="18"/>
                <w:lang w:val="fr-FR"/>
              </w:rPr>
              <w:t>Réservoirs et bouteilles de carburant</w:t>
            </w:r>
          </w:p>
        </w:tc>
        <w:tc>
          <w:tcPr>
            <w:tcW w:w="532" w:type="dxa"/>
          </w:tcPr>
          <w:p w14:paraId="17684547" w14:textId="77777777" w:rsidR="00E14B46" w:rsidRPr="00720435" w:rsidRDefault="00E14B46" w:rsidP="00395A0C">
            <w:pPr>
              <w:ind w:left="246" w:right="-11"/>
              <w:rPr>
                <w:sz w:val="18"/>
                <w:szCs w:val="18"/>
              </w:rPr>
            </w:pPr>
            <w:r w:rsidRPr="00720435">
              <w:rPr>
                <w:sz w:val="18"/>
                <w:szCs w:val="18"/>
              </w:rPr>
              <w:t>X</w:t>
            </w:r>
          </w:p>
        </w:tc>
        <w:tc>
          <w:tcPr>
            <w:tcW w:w="567" w:type="dxa"/>
          </w:tcPr>
          <w:p w14:paraId="163674EF" w14:textId="77777777" w:rsidR="00E14B46" w:rsidRPr="00720435" w:rsidRDefault="00E14B46" w:rsidP="00395A0C">
            <w:pPr>
              <w:ind w:left="286" w:right="-11"/>
              <w:rPr>
                <w:sz w:val="18"/>
                <w:szCs w:val="18"/>
              </w:rPr>
            </w:pPr>
            <w:r w:rsidRPr="00720435">
              <w:rPr>
                <w:sz w:val="18"/>
                <w:szCs w:val="18"/>
              </w:rPr>
              <w:t>X</w:t>
            </w:r>
          </w:p>
        </w:tc>
        <w:tc>
          <w:tcPr>
            <w:tcW w:w="709" w:type="dxa"/>
          </w:tcPr>
          <w:p w14:paraId="4230BAE2" w14:textId="77777777" w:rsidR="00E14B46" w:rsidRPr="00720435" w:rsidRDefault="00E14B46" w:rsidP="00395A0C">
            <w:pPr>
              <w:ind w:left="144" w:right="-11"/>
              <w:rPr>
                <w:sz w:val="18"/>
                <w:szCs w:val="18"/>
              </w:rPr>
            </w:pPr>
            <w:r w:rsidRPr="00720435">
              <w:rPr>
                <w:sz w:val="18"/>
                <w:szCs w:val="18"/>
              </w:rPr>
              <w:t>[</w:t>
            </w:r>
            <w:r w:rsidRPr="00A40CF5">
              <w:rPr>
                <w:i/>
                <w:iCs/>
                <w:sz w:val="18"/>
                <w:szCs w:val="18"/>
                <w:u w:val="single"/>
              </w:rPr>
              <w:t>X</w:t>
            </w:r>
            <w:r w:rsidRPr="00A40CF5">
              <w:rPr>
                <w:i/>
                <w:iCs/>
                <w:sz w:val="18"/>
                <w:szCs w:val="18"/>
                <w:u w:val="single"/>
                <w:vertAlign w:val="superscript"/>
              </w:rPr>
              <w:t>k</w:t>
            </w:r>
            <w:r w:rsidRPr="00720435">
              <w:rPr>
                <w:sz w:val="18"/>
                <w:szCs w:val="18"/>
              </w:rPr>
              <w:t>]</w:t>
            </w:r>
          </w:p>
        </w:tc>
        <w:tc>
          <w:tcPr>
            <w:tcW w:w="567" w:type="dxa"/>
          </w:tcPr>
          <w:p w14:paraId="627E4392" w14:textId="77777777" w:rsidR="00E14B46" w:rsidRPr="00720435" w:rsidRDefault="00E14B46" w:rsidP="00395A0C">
            <w:pPr>
              <w:ind w:left="141" w:right="-11"/>
              <w:rPr>
                <w:sz w:val="18"/>
                <w:szCs w:val="18"/>
              </w:rPr>
            </w:pPr>
            <w:r w:rsidRPr="00720435">
              <w:rPr>
                <w:sz w:val="18"/>
                <w:szCs w:val="18"/>
              </w:rPr>
              <w:t>X</w:t>
            </w:r>
          </w:p>
        </w:tc>
        <w:tc>
          <w:tcPr>
            <w:tcW w:w="2977" w:type="dxa"/>
          </w:tcPr>
          <w:p w14:paraId="20F31F38" w14:textId="77777777" w:rsidR="00E14B46" w:rsidRPr="00720435" w:rsidRDefault="00E14B46" w:rsidP="00395A0C">
            <w:pPr>
              <w:ind w:left="141" w:right="-11"/>
              <w:rPr>
                <w:sz w:val="18"/>
                <w:szCs w:val="18"/>
                <w:lang w:val="fr-FR"/>
              </w:rPr>
            </w:pPr>
            <w:r w:rsidRPr="00720435">
              <w:rPr>
                <w:sz w:val="18"/>
                <w:szCs w:val="18"/>
                <w:lang w:val="fr-FR"/>
              </w:rPr>
              <w:t>[</w:t>
            </w:r>
            <w:r w:rsidRPr="0066511D">
              <w:rPr>
                <w:i/>
                <w:iCs/>
                <w:sz w:val="18"/>
                <w:szCs w:val="18"/>
                <w:u w:val="single"/>
                <w:vertAlign w:val="superscript"/>
                <w:lang w:val="fr-FR"/>
              </w:rPr>
              <w:t xml:space="preserve">k </w:t>
            </w:r>
            <w:r w:rsidRPr="00A40CF5">
              <w:rPr>
                <w:i/>
                <w:iCs/>
                <w:sz w:val="18"/>
                <w:szCs w:val="18"/>
                <w:u w:val="single"/>
                <w:lang w:val="fr-029"/>
              </w:rPr>
              <w:t>Applicable aux véhicules à moteur immatriculés pour la première fois après le 31 mars 2026</w:t>
            </w:r>
            <w:r>
              <w:rPr>
                <w:sz w:val="18"/>
                <w:szCs w:val="18"/>
                <w:lang w:val="fr-029"/>
              </w:rPr>
              <w:t>.</w:t>
            </w:r>
            <w:r w:rsidRPr="00720435">
              <w:rPr>
                <w:sz w:val="18"/>
                <w:szCs w:val="18"/>
                <w:lang w:val="fr-FR"/>
              </w:rPr>
              <w:t>]</w:t>
            </w:r>
          </w:p>
        </w:tc>
      </w:tr>
    </w:tbl>
    <w:bookmarkEnd w:id="1"/>
    <w:p w14:paraId="11B55413" w14:textId="77777777" w:rsidR="00E14B46" w:rsidRPr="00720435" w:rsidRDefault="00E14B46" w:rsidP="00E14B46">
      <w:pPr>
        <w:pStyle w:val="SingleTxtG"/>
        <w:spacing w:before="120"/>
        <w:rPr>
          <w:lang w:val="fr-FR"/>
        </w:rPr>
      </w:pPr>
      <w:r>
        <w:rPr>
          <w:lang w:val="fr-FR"/>
        </w:rPr>
        <w:t xml:space="preserve">La ligne </w:t>
      </w:r>
      <w:r w:rsidRPr="00720435">
        <w:rPr>
          <w:lang w:val="fr-FR"/>
        </w:rPr>
        <w:t xml:space="preserve">9.2.4.4 </w:t>
      </w:r>
      <w:r>
        <w:rPr>
          <w:lang w:val="fr-FR"/>
        </w:rPr>
        <w:t>devient</w:t>
      </w:r>
      <w:r w:rsidRPr="00720435">
        <w:rPr>
          <w:lang w:val="fr-FR"/>
        </w:rPr>
        <w:t xml:space="preserve"> </w:t>
      </w:r>
      <w:r>
        <w:rPr>
          <w:lang w:val="fr-FR"/>
        </w:rPr>
        <w:t xml:space="preserve">la ligne </w:t>
      </w:r>
      <w:r w:rsidRPr="00720435">
        <w:rPr>
          <w:lang w:val="fr-FR"/>
        </w:rPr>
        <w:t>9.2.4.3</w:t>
      </w:r>
      <w:r>
        <w:rPr>
          <w:lang w:val="fr-FR"/>
        </w:rPr>
        <w:t>. Remplacer</w:t>
      </w:r>
      <w:r w:rsidRPr="00720435">
        <w:rPr>
          <w:lang w:val="fr-FR"/>
        </w:rPr>
        <w:t xml:space="preserve"> </w:t>
      </w:r>
      <w:r>
        <w:rPr>
          <w:lang w:val="fr-FR"/>
        </w:rPr>
        <w:t>« Moteur » par « M</w:t>
      </w:r>
      <w:r w:rsidRPr="00720435">
        <w:rPr>
          <w:lang w:val="fr-FR"/>
        </w:rPr>
        <w:t>oteur à combustion interne</w:t>
      </w:r>
      <w:r>
        <w:rPr>
          <w:lang w:val="fr-FR"/>
        </w:rPr>
        <w:t> » :</w:t>
      </w:r>
    </w:p>
    <w:tbl>
      <w:tblPr>
        <w:tblStyle w:val="Grilledutableau"/>
        <w:tblW w:w="8080" w:type="dxa"/>
        <w:tblInd w:w="1129" w:type="dxa"/>
        <w:tblLayout w:type="fixed"/>
        <w:tblLook w:val="04A0" w:firstRow="1" w:lastRow="0" w:firstColumn="1" w:lastColumn="0" w:noHBand="0" w:noVBand="1"/>
      </w:tblPr>
      <w:tblGrid>
        <w:gridCol w:w="851"/>
        <w:gridCol w:w="1843"/>
        <w:gridCol w:w="567"/>
        <w:gridCol w:w="567"/>
        <w:gridCol w:w="567"/>
        <w:gridCol w:w="567"/>
        <w:gridCol w:w="3118"/>
      </w:tblGrid>
      <w:tr w:rsidR="00E14B46" w:rsidRPr="00720435" w14:paraId="3D67D680" w14:textId="77777777" w:rsidTr="00395A0C">
        <w:tc>
          <w:tcPr>
            <w:tcW w:w="851" w:type="dxa"/>
          </w:tcPr>
          <w:p w14:paraId="74672116" w14:textId="77777777" w:rsidR="00E14B46" w:rsidRPr="00720435" w:rsidRDefault="00E14B46" w:rsidP="00395A0C">
            <w:pPr>
              <w:ind w:left="139"/>
              <w:rPr>
                <w:i/>
                <w:iCs/>
                <w:strike/>
                <w:sz w:val="18"/>
                <w:szCs w:val="18"/>
              </w:rPr>
            </w:pPr>
            <w:r w:rsidRPr="00720435">
              <w:rPr>
                <w:i/>
                <w:iCs/>
                <w:strike/>
                <w:sz w:val="18"/>
                <w:szCs w:val="18"/>
                <w:lang w:val="fr-FR"/>
              </w:rPr>
              <w:t>9.2.4.4</w:t>
            </w:r>
          </w:p>
          <w:p w14:paraId="336D2E12" w14:textId="77777777" w:rsidR="00E14B46" w:rsidRPr="0066511D" w:rsidRDefault="00E14B46" w:rsidP="00395A0C">
            <w:pPr>
              <w:ind w:left="139"/>
              <w:rPr>
                <w:i/>
                <w:iCs/>
                <w:sz w:val="18"/>
                <w:szCs w:val="18"/>
                <w:u w:val="single"/>
              </w:rPr>
            </w:pPr>
            <w:r w:rsidRPr="0066511D">
              <w:rPr>
                <w:i/>
                <w:iCs/>
                <w:sz w:val="18"/>
                <w:szCs w:val="18"/>
                <w:u w:val="single"/>
                <w:lang w:val="fr-FR"/>
              </w:rPr>
              <w:t>9.2.4.3</w:t>
            </w:r>
          </w:p>
        </w:tc>
        <w:tc>
          <w:tcPr>
            <w:tcW w:w="1843" w:type="dxa"/>
          </w:tcPr>
          <w:p w14:paraId="7E8D43B9" w14:textId="77777777" w:rsidR="00E14B46" w:rsidRPr="00720435" w:rsidRDefault="00E14B46" w:rsidP="00395A0C">
            <w:pPr>
              <w:ind w:left="139"/>
              <w:rPr>
                <w:i/>
                <w:iCs/>
                <w:sz w:val="18"/>
                <w:szCs w:val="18"/>
                <w:lang w:val="fr-FR"/>
              </w:rPr>
            </w:pPr>
            <w:r w:rsidRPr="00720435">
              <w:rPr>
                <w:i/>
                <w:iCs/>
                <w:strike/>
                <w:sz w:val="18"/>
                <w:szCs w:val="18"/>
                <w:lang w:val="fr-FR"/>
              </w:rPr>
              <w:t>Moteur</w:t>
            </w:r>
            <w:r>
              <w:rPr>
                <w:i/>
                <w:iCs/>
                <w:sz w:val="18"/>
                <w:szCs w:val="18"/>
                <w:lang w:val="fr-FR"/>
              </w:rPr>
              <w:t xml:space="preserve"> </w:t>
            </w:r>
            <w:r w:rsidRPr="0066511D">
              <w:rPr>
                <w:i/>
                <w:iCs/>
                <w:sz w:val="18"/>
                <w:szCs w:val="18"/>
                <w:u w:val="single"/>
                <w:lang w:val="fr-FR"/>
              </w:rPr>
              <w:t>Moteur à combustion interne</w:t>
            </w:r>
          </w:p>
        </w:tc>
        <w:tc>
          <w:tcPr>
            <w:tcW w:w="567" w:type="dxa"/>
          </w:tcPr>
          <w:p w14:paraId="0C6C1296" w14:textId="77777777" w:rsidR="00E14B46" w:rsidRPr="00720435" w:rsidRDefault="00E14B46" w:rsidP="00395A0C">
            <w:pPr>
              <w:ind w:left="139"/>
              <w:rPr>
                <w:sz w:val="18"/>
                <w:szCs w:val="18"/>
              </w:rPr>
            </w:pPr>
            <w:r w:rsidRPr="00720435">
              <w:rPr>
                <w:sz w:val="18"/>
                <w:szCs w:val="18"/>
              </w:rPr>
              <w:t>X</w:t>
            </w:r>
          </w:p>
        </w:tc>
        <w:tc>
          <w:tcPr>
            <w:tcW w:w="567" w:type="dxa"/>
          </w:tcPr>
          <w:p w14:paraId="2911BA11" w14:textId="77777777" w:rsidR="00E14B46" w:rsidRPr="00720435" w:rsidRDefault="00E14B46" w:rsidP="00395A0C">
            <w:pPr>
              <w:ind w:left="139"/>
              <w:rPr>
                <w:sz w:val="18"/>
                <w:szCs w:val="18"/>
              </w:rPr>
            </w:pPr>
            <w:r w:rsidRPr="00720435">
              <w:rPr>
                <w:sz w:val="18"/>
                <w:szCs w:val="18"/>
              </w:rPr>
              <w:t>X</w:t>
            </w:r>
          </w:p>
        </w:tc>
        <w:tc>
          <w:tcPr>
            <w:tcW w:w="567" w:type="dxa"/>
          </w:tcPr>
          <w:p w14:paraId="281BF325" w14:textId="77777777" w:rsidR="00E14B46" w:rsidRPr="00720435" w:rsidRDefault="00E14B46" w:rsidP="00395A0C">
            <w:pPr>
              <w:ind w:left="139"/>
              <w:rPr>
                <w:sz w:val="18"/>
                <w:szCs w:val="18"/>
              </w:rPr>
            </w:pPr>
          </w:p>
        </w:tc>
        <w:tc>
          <w:tcPr>
            <w:tcW w:w="567" w:type="dxa"/>
          </w:tcPr>
          <w:p w14:paraId="534BAB88" w14:textId="77777777" w:rsidR="00E14B46" w:rsidRPr="00720435" w:rsidRDefault="00E14B46" w:rsidP="00395A0C">
            <w:pPr>
              <w:ind w:left="139"/>
              <w:rPr>
                <w:sz w:val="18"/>
                <w:szCs w:val="18"/>
              </w:rPr>
            </w:pPr>
            <w:r w:rsidRPr="00720435">
              <w:rPr>
                <w:sz w:val="18"/>
                <w:szCs w:val="18"/>
              </w:rPr>
              <w:t>X</w:t>
            </w:r>
          </w:p>
        </w:tc>
        <w:tc>
          <w:tcPr>
            <w:tcW w:w="3118" w:type="dxa"/>
          </w:tcPr>
          <w:p w14:paraId="19005920" w14:textId="77777777" w:rsidR="00E14B46" w:rsidRPr="00720435" w:rsidRDefault="00E14B46" w:rsidP="00395A0C">
            <w:pPr>
              <w:ind w:left="139"/>
              <w:rPr>
                <w:i/>
                <w:iCs/>
                <w:sz w:val="18"/>
                <w:szCs w:val="18"/>
              </w:rPr>
            </w:pPr>
          </w:p>
        </w:tc>
      </w:tr>
    </w:tbl>
    <w:p w14:paraId="539CB6FA" w14:textId="77777777" w:rsidR="00E14B46" w:rsidRPr="00EA4034" w:rsidRDefault="00E14B46" w:rsidP="00E14B46">
      <w:pPr>
        <w:pStyle w:val="SingleTxtG"/>
        <w:spacing w:before="120"/>
        <w:rPr>
          <w:lang w:val="fr-FR"/>
        </w:rPr>
      </w:pPr>
      <w:r w:rsidRPr="00AA498D">
        <w:rPr>
          <w:lang w:val="fr-FR"/>
        </w:rPr>
        <w:t>Ligne 9.2.4.5, supprimer.</w:t>
      </w:r>
    </w:p>
    <w:tbl>
      <w:tblPr>
        <w:tblStyle w:val="Grilledutableau"/>
        <w:tblW w:w="8080" w:type="dxa"/>
        <w:tblInd w:w="1129" w:type="dxa"/>
        <w:tblLayout w:type="fixed"/>
        <w:tblLook w:val="04A0" w:firstRow="1" w:lastRow="0" w:firstColumn="1" w:lastColumn="0" w:noHBand="0" w:noVBand="1"/>
      </w:tblPr>
      <w:tblGrid>
        <w:gridCol w:w="851"/>
        <w:gridCol w:w="1843"/>
        <w:gridCol w:w="567"/>
        <w:gridCol w:w="567"/>
        <w:gridCol w:w="567"/>
        <w:gridCol w:w="567"/>
        <w:gridCol w:w="3118"/>
      </w:tblGrid>
      <w:tr w:rsidR="00E14B46" w:rsidRPr="00EA4034" w14:paraId="45D7E496" w14:textId="77777777" w:rsidTr="00395A0C">
        <w:tc>
          <w:tcPr>
            <w:tcW w:w="851" w:type="dxa"/>
          </w:tcPr>
          <w:p w14:paraId="3E2483CA" w14:textId="77777777" w:rsidR="00E14B46" w:rsidRPr="00EA4034" w:rsidRDefault="00E14B46" w:rsidP="00395A0C">
            <w:pPr>
              <w:ind w:left="136"/>
              <w:rPr>
                <w:i/>
                <w:iCs/>
                <w:strike/>
                <w:sz w:val="18"/>
                <w:szCs w:val="18"/>
                <w:lang w:val="fr-FR"/>
              </w:rPr>
            </w:pPr>
            <w:r w:rsidRPr="00EA4034">
              <w:rPr>
                <w:i/>
                <w:iCs/>
                <w:strike/>
                <w:sz w:val="18"/>
                <w:szCs w:val="18"/>
                <w:lang w:val="fr-FR"/>
              </w:rPr>
              <w:t>9.2.4.5</w:t>
            </w:r>
          </w:p>
        </w:tc>
        <w:tc>
          <w:tcPr>
            <w:tcW w:w="1843" w:type="dxa"/>
          </w:tcPr>
          <w:p w14:paraId="19E0B699" w14:textId="77777777" w:rsidR="00E14B46" w:rsidRPr="00EA4034" w:rsidRDefault="00E14B46" w:rsidP="00395A0C">
            <w:pPr>
              <w:ind w:left="142"/>
              <w:rPr>
                <w:i/>
                <w:iCs/>
                <w:strike/>
                <w:sz w:val="18"/>
                <w:szCs w:val="18"/>
                <w:lang w:val="fr-FR"/>
              </w:rPr>
            </w:pPr>
            <w:r w:rsidRPr="00EA4034">
              <w:rPr>
                <w:i/>
                <w:iCs/>
                <w:strike/>
                <w:sz w:val="18"/>
                <w:szCs w:val="18"/>
                <w:lang w:val="fr-FR"/>
              </w:rPr>
              <w:t>Dispositif d</w:t>
            </w:r>
            <w:r>
              <w:rPr>
                <w:i/>
                <w:iCs/>
                <w:strike/>
                <w:sz w:val="18"/>
                <w:szCs w:val="18"/>
                <w:lang w:val="fr-FR"/>
              </w:rPr>
              <w:t>’</w:t>
            </w:r>
            <w:r w:rsidRPr="00EA4034">
              <w:rPr>
                <w:i/>
                <w:iCs/>
                <w:strike/>
                <w:sz w:val="18"/>
                <w:szCs w:val="18"/>
                <w:lang w:val="fr-FR"/>
              </w:rPr>
              <w:t>échappement</w:t>
            </w:r>
          </w:p>
        </w:tc>
        <w:tc>
          <w:tcPr>
            <w:tcW w:w="567" w:type="dxa"/>
          </w:tcPr>
          <w:p w14:paraId="5CC9D9BB" w14:textId="77777777" w:rsidR="00E14B46" w:rsidRPr="00EA4034" w:rsidRDefault="00E14B46" w:rsidP="00395A0C">
            <w:pPr>
              <w:ind w:left="138"/>
              <w:rPr>
                <w:strike/>
                <w:sz w:val="18"/>
                <w:szCs w:val="18"/>
                <w:lang w:val="fr-FR"/>
              </w:rPr>
            </w:pPr>
            <w:r w:rsidRPr="00EA4034">
              <w:rPr>
                <w:strike/>
                <w:sz w:val="18"/>
                <w:szCs w:val="18"/>
                <w:lang w:val="fr-FR"/>
              </w:rPr>
              <w:t>X</w:t>
            </w:r>
          </w:p>
        </w:tc>
        <w:tc>
          <w:tcPr>
            <w:tcW w:w="567" w:type="dxa"/>
          </w:tcPr>
          <w:p w14:paraId="46B2C615" w14:textId="77777777" w:rsidR="00E14B46" w:rsidRPr="00EA4034" w:rsidRDefault="00E14B46" w:rsidP="00395A0C">
            <w:pPr>
              <w:ind w:left="286"/>
              <w:rPr>
                <w:strike/>
                <w:sz w:val="18"/>
                <w:szCs w:val="18"/>
                <w:lang w:val="fr-FR"/>
              </w:rPr>
            </w:pPr>
            <w:r w:rsidRPr="00EA4034">
              <w:rPr>
                <w:strike/>
                <w:sz w:val="18"/>
                <w:szCs w:val="18"/>
                <w:lang w:val="fr-FR"/>
              </w:rPr>
              <w:t>X</w:t>
            </w:r>
          </w:p>
        </w:tc>
        <w:tc>
          <w:tcPr>
            <w:tcW w:w="567" w:type="dxa"/>
          </w:tcPr>
          <w:p w14:paraId="5365E3BA" w14:textId="77777777" w:rsidR="00E14B46" w:rsidRPr="00EA4034" w:rsidRDefault="00E14B46" w:rsidP="00395A0C">
            <w:pPr>
              <w:ind w:left="1134"/>
              <w:rPr>
                <w:strike/>
                <w:sz w:val="18"/>
                <w:szCs w:val="18"/>
                <w:lang w:val="fr-FR"/>
              </w:rPr>
            </w:pPr>
          </w:p>
        </w:tc>
        <w:tc>
          <w:tcPr>
            <w:tcW w:w="567" w:type="dxa"/>
          </w:tcPr>
          <w:p w14:paraId="06DE3715" w14:textId="77777777" w:rsidR="00E14B46" w:rsidRPr="00EA4034" w:rsidRDefault="00E14B46" w:rsidP="00395A0C">
            <w:pPr>
              <w:ind w:left="144"/>
              <w:rPr>
                <w:strike/>
                <w:sz w:val="18"/>
                <w:szCs w:val="18"/>
                <w:lang w:val="fr-FR"/>
              </w:rPr>
            </w:pPr>
            <w:r w:rsidRPr="00EA4034">
              <w:rPr>
                <w:strike/>
                <w:sz w:val="18"/>
                <w:szCs w:val="18"/>
                <w:lang w:val="fr-FR"/>
              </w:rPr>
              <w:t>X</w:t>
            </w:r>
          </w:p>
        </w:tc>
        <w:tc>
          <w:tcPr>
            <w:tcW w:w="3118" w:type="dxa"/>
          </w:tcPr>
          <w:p w14:paraId="15F3D24F" w14:textId="77777777" w:rsidR="00E14B46" w:rsidRPr="00EA4034" w:rsidRDefault="00E14B46" w:rsidP="00395A0C">
            <w:pPr>
              <w:ind w:left="1134"/>
              <w:rPr>
                <w:i/>
                <w:iCs/>
                <w:strike/>
                <w:sz w:val="18"/>
                <w:szCs w:val="18"/>
                <w:lang w:val="fr-FR"/>
              </w:rPr>
            </w:pPr>
          </w:p>
        </w:tc>
      </w:tr>
    </w:tbl>
    <w:p w14:paraId="066917B3" w14:textId="77777777" w:rsidR="00E14B46" w:rsidRPr="00EA4034" w:rsidRDefault="00E14B46" w:rsidP="00E14B46">
      <w:pPr>
        <w:pStyle w:val="SingleTxtG"/>
        <w:spacing w:before="120"/>
        <w:rPr>
          <w:lang w:val="fr-FR"/>
        </w:rPr>
      </w:pPr>
      <w:r>
        <w:rPr>
          <w:lang w:val="fr-FR"/>
        </w:rPr>
        <w:t>La</w:t>
      </w:r>
      <w:r w:rsidRPr="00EA4034">
        <w:rPr>
          <w:lang w:val="fr-FR"/>
        </w:rPr>
        <w:t xml:space="preserve"> </w:t>
      </w:r>
      <w:r>
        <w:rPr>
          <w:lang w:val="fr-FR"/>
        </w:rPr>
        <w:t xml:space="preserve">ligne </w:t>
      </w:r>
      <w:r w:rsidRPr="00EA4034">
        <w:rPr>
          <w:lang w:val="fr-FR"/>
        </w:rPr>
        <w:t xml:space="preserve">9.2.4.6 </w:t>
      </w:r>
      <w:r>
        <w:rPr>
          <w:lang w:val="fr-FR"/>
        </w:rPr>
        <w:t xml:space="preserve">devient la ligne </w:t>
      </w:r>
      <w:r w:rsidRPr="00EA4034">
        <w:rPr>
          <w:lang w:val="fr-FR"/>
        </w:rPr>
        <w:t>9.2.4.4 :</w:t>
      </w:r>
    </w:p>
    <w:tbl>
      <w:tblPr>
        <w:tblStyle w:val="Grilledutableau"/>
        <w:tblW w:w="8080" w:type="dxa"/>
        <w:tblInd w:w="1129" w:type="dxa"/>
        <w:tblLayout w:type="fixed"/>
        <w:tblLook w:val="04A0" w:firstRow="1" w:lastRow="0" w:firstColumn="1" w:lastColumn="0" w:noHBand="0" w:noVBand="1"/>
      </w:tblPr>
      <w:tblGrid>
        <w:gridCol w:w="988"/>
        <w:gridCol w:w="1706"/>
        <w:gridCol w:w="567"/>
        <w:gridCol w:w="567"/>
        <w:gridCol w:w="567"/>
        <w:gridCol w:w="567"/>
        <w:gridCol w:w="3118"/>
      </w:tblGrid>
      <w:tr w:rsidR="00E14B46" w:rsidRPr="00EA4034" w14:paraId="637EE2F7" w14:textId="77777777" w:rsidTr="00395A0C">
        <w:tc>
          <w:tcPr>
            <w:tcW w:w="988" w:type="dxa"/>
          </w:tcPr>
          <w:p w14:paraId="08BEF344" w14:textId="77777777" w:rsidR="00E14B46" w:rsidRPr="00EA4034" w:rsidRDefault="00E14B46" w:rsidP="00395A0C">
            <w:pPr>
              <w:ind w:left="136"/>
              <w:rPr>
                <w:i/>
                <w:iCs/>
                <w:sz w:val="18"/>
                <w:szCs w:val="18"/>
                <w:lang w:val="fr-FR"/>
              </w:rPr>
            </w:pPr>
            <w:r w:rsidRPr="00EA4034">
              <w:rPr>
                <w:i/>
                <w:iCs/>
                <w:sz w:val="18"/>
                <w:szCs w:val="18"/>
                <w:lang w:val="fr-FR"/>
              </w:rPr>
              <w:t>9.2.4.4</w:t>
            </w:r>
          </w:p>
        </w:tc>
        <w:tc>
          <w:tcPr>
            <w:tcW w:w="1706" w:type="dxa"/>
          </w:tcPr>
          <w:p w14:paraId="208724E3" w14:textId="77777777" w:rsidR="00E14B46" w:rsidRPr="00EA4034" w:rsidRDefault="00E14B46" w:rsidP="00395A0C">
            <w:pPr>
              <w:ind w:left="86"/>
              <w:rPr>
                <w:i/>
                <w:iCs/>
                <w:sz w:val="18"/>
                <w:szCs w:val="18"/>
                <w:lang w:val="fr-FR"/>
              </w:rPr>
            </w:pPr>
            <w:r w:rsidRPr="00EA4034">
              <w:rPr>
                <w:i/>
                <w:iCs/>
                <w:sz w:val="18"/>
                <w:szCs w:val="18"/>
                <w:lang w:val="fr-FR"/>
              </w:rPr>
              <w:t>Chaîne de traction électrique</w:t>
            </w:r>
          </w:p>
        </w:tc>
        <w:tc>
          <w:tcPr>
            <w:tcW w:w="567" w:type="dxa"/>
          </w:tcPr>
          <w:p w14:paraId="7B9EE03E" w14:textId="77777777" w:rsidR="00E14B46" w:rsidRPr="00EA4034" w:rsidRDefault="00E14B46" w:rsidP="00395A0C">
            <w:pPr>
              <w:ind w:left="1134"/>
              <w:rPr>
                <w:i/>
                <w:iCs/>
                <w:sz w:val="18"/>
                <w:szCs w:val="18"/>
                <w:lang w:val="fr-FR"/>
              </w:rPr>
            </w:pPr>
          </w:p>
        </w:tc>
        <w:tc>
          <w:tcPr>
            <w:tcW w:w="567" w:type="dxa"/>
          </w:tcPr>
          <w:p w14:paraId="190DAB2E" w14:textId="77777777" w:rsidR="00E14B46" w:rsidRPr="00EA4034" w:rsidRDefault="00E14B46" w:rsidP="00395A0C">
            <w:pPr>
              <w:ind w:left="1134"/>
              <w:rPr>
                <w:i/>
                <w:iCs/>
                <w:sz w:val="18"/>
                <w:szCs w:val="18"/>
                <w:lang w:val="fr-FR"/>
              </w:rPr>
            </w:pPr>
          </w:p>
        </w:tc>
        <w:tc>
          <w:tcPr>
            <w:tcW w:w="567" w:type="dxa"/>
          </w:tcPr>
          <w:p w14:paraId="3C6CB28B" w14:textId="77777777" w:rsidR="00E14B46" w:rsidRPr="00EA4034" w:rsidRDefault="00E14B46" w:rsidP="00395A0C">
            <w:pPr>
              <w:ind w:left="118"/>
              <w:rPr>
                <w:sz w:val="18"/>
                <w:szCs w:val="18"/>
                <w:lang w:val="fr-FR"/>
              </w:rPr>
            </w:pPr>
          </w:p>
        </w:tc>
        <w:tc>
          <w:tcPr>
            <w:tcW w:w="567" w:type="dxa"/>
          </w:tcPr>
          <w:p w14:paraId="310A4621" w14:textId="77777777" w:rsidR="00E14B46" w:rsidRPr="00EA4034" w:rsidRDefault="00E14B46" w:rsidP="00395A0C">
            <w:pPr>
              <w:ind w:left="143"/>
              <w:rPr>
                <w:sz w:val="18"/>
                <w:szCs w:val="18"/>
                <w:lang w:val="fr-FR"/>
              </w:rPr>
            </w:pPr>
          </w:p>
        </w:tc>
        <w:tc>
          <w:tcPr>
            <w:tcW w:w="3118" w:type="dxa"/>
          </w:tcPr>
          <w:p w14:paraId="72312C56" w14:textId="77777777" w:rsidR="00E14B46" w:rsidRPr="00EA4034" w:rsidRDefault="00E14B46" w:rsidP="00395A0C">
            <w:pPr>
              <w:ind w:left="1134"/>
              <w:rPr>
                <w:i/>
                <w:iCs/>
                <w:sz w:val="18"/>
                <w:szCs w:val="18"/>
                <w:lang w:val="fr-FR"/>
              </w:rPr>
            </w:pPr>
          </w:p>
        </w:tc>
      </w:tr>
    </w:tbl>
    <w:p w14:paraId="15D60429" w14:textId="77777777" w:rsidR="00E14B46" w:rsidRPr="00EA4034" w:rsidRDefault="00E14B46" w:rsidP="00E14B46">
      <w:pPr>
        <w:pStyle w:val="SingleTxtG"/>
        <w:spacing w:before="120"/>
        <w:rPr>
          <w:lang w:val="fr-FR"/>
        </w:rPr>
      </w:pPr>
      <w:r w:rsidRPr="00EA4034">
        <w:rPr>
          <w:lang w:val="fr-FR"/>
        </w:rPr>
        <w:t xml:space="preserve">Ajouter </w:t>
      </w:r>
      <w:r>
        <w:rPr>
          <w:lang w:val="fr-FR"/>
        </w:rPr>
        <w:t>la</w:t>
      </w:r>
      <w:r w:rsidRPr="00EA4034">
        <w:rPr>
          <w:lang w:val="fr-FR"/>
        </w:rPr>
        <w:t xml:space="preserve"> nouvelle </w:t>
      </w:r>
      <w:r>
        <w:rPr>
          <w:lang w:val="fr-FR"/>
        </w:rPr>
        <w:t xml:space="preserve">ligne </w:t>
      </w:r>
      <w:r w:rsidRPr="00EA4034">
        <w:rPr>
          <w:lang w:val="fr-FR"/>
        </w:rPr>
        <w:t>9.2.4.4.1, libellée comme suit :</w:t>
      </w:r>
    </w:p>
    <w:tbl>
      <w:tblPr>
        <w:tblStyle w:val="Grilledutableau"/>
        <w:tblW w:w="8080" w:type="dxa"/>
        <w:tblInd w:w="1129" w:type="dxa"/>
        <w:tblLayout w:type="fixed"/>
        <w:tblLook w:val="04A0" w:firstRow="1" w:lastRow="0" w:firstColumn="1" w:lastColumn="0" w:noHBand="0" w:noVBand="1"/>
      </w:tblPr>
      <w:tblGrid>
        <w:gridCol w:w="988"/>
        <w:gridCol w:w="1706"/>
        <w:gridCol w:w="567"/>
        <w:gridCol w:w="567"/>
        <w:gridCol w:w="567"/>
        <w:gridCol w:w="567"/>
        <w:gridCol w:w="3118"/>
      </w:tblGrid>
      <w:tr w:rsidR="00E14B46" w:rsidRPr="006A4716" w14:paraId="7283C57B" w14:textId="77777777" w:rsidTr="00395A0C">
        <w:tc>
          <w:tcPr>
            <w:tcW w:w="988" w:type="dxa"/>
          </w:tcPr>
          <w:p w14:paraId="4E6A57FC" w14:textId="77777777" w:rsidR="00E14B46" w:rsidRPr="006A4716" w:rsidRDefault="00E14B46" w:rsidP="00395A0C">
            <w:pPr>
              <w:ind w:left="136"/>
              <w:rPr>
                <w:i/>
                <w:iCs/>
                <w:sz w:val="18"/>
                <w:szCs w:val="18"/>
                <w:u w:val="single"/>
                <w:lang w:val="fr-FR"/>
              </w:rPr>
            </w:pPr>
            <w:r w:rsidRPr="006A4716">
              <w:rPr>
                <w:i/>
                <w:iCs/>
                <w:sz w:val="18"/>
                <w:szCs w:val="18"/>
                <w:u w:val="single"/>
                <w:lang w:val="fr-FR"/>
              </w:rPr>
              <w:t>9.2.4.4.1</w:t>
            </w:r>
          </w:p>
        </w:tc>
        <w:tc>
          <w:tcPr>
            <w:tcW w:w="1706" w:type="dxa"/>
          </w:tcPr>
          <w:p w14:paraId="60BE3623" w14:textId="77777777" w:rsidR="00E14B46" w:rsidRPr="006A4716" w:rsidRDefault="00E14B46" w:rsidP="00395A0C">
            <w:pPr>
              <w:ind w:left="194"/>
              <w:rPr>
                <w:i/>
                <w:iCs/>
                <w:sz w:val="18"/>
                <w:szCs w:val="18"/>
                <w:u w:val="single"/>
                <w:lang w:val="fr-FR"/>
              </w:rPr>
            </w:pPr>
            <w:r w:rsidRPr="006A4716">
              <w:rPr>
                <w:i/>
                <w:iCs/>
                <w:sz w:val="18"/>
                <w:szCs w:val="18"/>
                <w:u w:val="single"/>
                <w:lang w:val="fr-FR"/>
              </w:rPr>
              <w:t>Dispositions générales</w:t>
            </w:r>
          </w:p>
        </w:tc>
        <w:tc>
          <w:tcPr>
            <w:tcW w:w="567" w:type="dxa"/>
          </w:tcPr>
          <w:p w14:paraId="7C2FC383" w14:textId="77777777" w:rsidR="00E14B46" w:rsidRPr="006A4716" w:rsidRDefault="00E14B46" w:rsidP="00395A0C">
            <w:pPr>
              <w:ind w:left="1134"/>
              <w:rPr>
                <w:i/>
                <w:iCs/>
                <w:sz w:val="18"/>
                <w:szCs w:val="18"/>
                <w:u w:val="single"/>
                <w:lang w:val="fr-FR"/>
              </w:rPr>
            </w:pPr>
          </w:p>
        </w:tc>
        <w:tc>
          <w:tcPr>
            <w:tcW w:w="567" w:type="dxa"/>
          </w:tcPr>
          <w:p w14:paraId="4F6C80E2" w14:textId="77777777" w:rsidR="00E14B46" w:rsidRPr="006A4716" w:rsidRDefault="00E14B46" w:rsidP="00395A0C">
            <w:pPr>
              <w:ind w:left="1134"/>
              <w:rPr>
                <w:i/>
                <w:iCs/>
                <w:sz w:val="18"/>
                <w:szCs w:val="18"/>
                <w:u w:val="single"/>
                <w:lang w:val="fr-FR"/>
              </w:rPr>
            </w:pPr>
          </w:p>
        </w:tc>
        <w:tc>
          <w:tcPr>
            <w:tcW w:w="567" w:type="dxa"/>
          </w:tcPr>
          <w:p w14:paraId="10994787" w14:textId="77777777" w:rsidR="00E14B46" w:rsidRPr="006A4716" w:rsidRDefault="00E14B46" w:rsidP="00395A0C">
            <w:pPr>
              <w:ind w:left="96"/>
              <w:rPr>
                <w:i/>
                <w:iCs/>
                <w:sz w:val="18"/>
                <w:szCs w:val="18"/>
                <w:u w:val="single"/>
                <w:lang w:val="fr-FR"/>
              </w:rPr>
            </w:pPr>
            <w:r w:rsidRPr="006A4716">
              <w:rPr>
                <w:i/>
                <w:iCs/>
                <w:sz w:val="18"/>
                <w:szCs w:val="18"/>
                <w:u w:val="single"/>
                <w:lang w:val="fr-FR"/>
              </w:rPr>
              <w:t>X</w:t>
            </w:r>
          </w:p>
        </w:tc>
        <w:tc>
          <w:tcPr>
            <w:tcW w:w="567" w:type="dxa"/>
          </w:tcPr>
          <w:p w14:paraId="6359CF52" w14:textId="77777777" w:rsidR="00E14B46" w:rsidRPr="006A4716" w:rsidRDefault="00E14B46" w:rsidP="00395A0C">
            <w:pPr>
              <w:ind w:left="132"/>
              <w:rPr>
                <w:i/>
                <w:iCs/>
                <w:sz w:val="18"/>
                <w:szCs w:val="18"/>
                <w:u w:val="single"/>
                <w:lang w:val="fr-FR"/>
              </w:rPr>
            </w:pPr>
            <w:r w:rsidRPr="006A4716">
              <w:rPr>
                <w:i/>
                <w:iCs/>
                <w:sz w:val="18"/>
                <w:szCs w:val="18"/>
                <w:u w:val="single"/>
                <w:lang w:val="fr-FR"/>
              </w:rPr>
              <w:t>X</w:t>
            </w:r>
          </w:p>
        </w:tc>
        <w:tc>
          <w:tcPr>
            <w:tcW w:w="3118" w:type="dxa"/>
          </w:tcPr>
          <w:p w14:paraId="07736F5C" w14:textId="77777777" w:rsidR="00E14B46" w:rsidRPr="006A4716" w:rsidRDefault="00E14B46" w:rsidP="00395A0C">
            <w:pPr>
              <w:ind w:left="1134"/>
              <w:rPr>
                <w:i/>
                <w:iCs/>
                <w:sz w:val="18"/>
                <w:szCs w:val="18"/>
                <w:u w:val="single"/>
                <w:lang w:val="fr-FR"/>
              </w:rPr>
            </w:pPr>
          </w:p>
        </w:tc>
      </w:tr>
    </w:tbl>
    <w:p w14:paraId="443BEE34" w14:textId="77777777" w:rsidR="00E14B46" w:rsidRPr="00720435" w:rsidRDefault="00E14B46" w:rsidP="00E14B46">
      <w:pPr>
        <w:pStyle w:val="SingleTxtG"/>
        <w:spacing w:before="120"/>
        <w:rPr>
          <w:lang w:val="fr-FR"/>
        </w:rPr>
      </w:pPr>
      <w:r w:rsidRPr="00EA4034">
        <w:rPr>
          <w:lang w:val="fr-FR"/>
        </w:rPr>
        <w:t xml:space="preserve">Ajouter </w:t>
      </w:r>
      <w:r>
        <w:rPr>
          <w:lang w:val="fr-FR"/>
        </w:rPr>
        <w:t>la</w:t>
      </w:r>
      <w:r w:rsidRPr="00EA4034">
        <w:rPr>
          <w:lang w:val="fr-FR"/>
        </w:rPr>
        <w:t xml:space="preserve"> nouvelle</w:t>
      </w:r>
      <w:r w:rsidRPr="00720435">
        <w:rPr>
          <w:lang w:val="fr-FR"/>
        </w:rPr>
        <w:t xml:space="preserve"> </w:t>
      </w:r>
      <w:r>
        <w:rPr>
          <w:lang w:val="fr-FR"/>
        </w:rPr>
        <w:t xml:space="preserve">ligne </w:t>
      </w:r>
      <w:r w:rsidRPr="00720435">
        <w:rPr>
          <w:lang w:val="fr-FR"/>
        </w:rPr>
        <w:t>9.2.4.4.</w:t>
      </w:r>
      <w:r>
        <w:rPr>
          <w:lang w:val="fr-FR"/>
        </w:rPr>
        <w:t>2</w:t>
      </w:r>
      <w:r w:rsidRPr="00720435">
        <w:rPr>
          <w:lang w:val="fr-FR"/>
        </w:rPr>
        <w:t xml:space="preserve">, libellée comme </w:t>
      </w:r>
      <w:r>
        <w:rPr>
          <w:lang w:val="fr-FR"/>
        </w:rPr>
        <w:t>suit :</w:t>
      </w:r>
    </w:p>
    <w:tbl>
      <w:tblPr>
        <w:tblStyle w:val="Grilledutableau"/>
        <w:tblW w:w="8080" w:type="dxa"/>
        <w:tblInd w:w="1129" w:type="dxa"/>
        <w:tblLayout w:type="fixed"/>
        <w:tblLook w:val="04A0" w:firstRow="1" w:lastRow="0" w:firstColumn="1" w:lastColumn="0" w:noHBand="0" w:noVBand="1"/>
      </w:tblPr>
      <w:tblGrid>
        <w:gridCol w:w="988"/>
        <w:gridCol w:w="1706"/>
        <w:gridCol w:w="567"/>
        <w:gridCol w:w="708"/>
        <w:gridCol w:w="426"/>
        <w:gridCol w:w="567"/>
        <w:gridCol w:w="3118"/>
      </w:tblGrid>
      <w:tr w:rsidR="00E14B46" w:rsidRPr="001A7A5D" w14:paraId="400ACE90" w14:textId="77777777" w:rsidTr="00395A0C">
        <w:tc>
          <w:tcPr>
            <w:tcW w:w="988" w:type="dxa"/>
          </w:tcPr>
          <w:p w14:paraId="4A2E17BB" w14:textId="77777777" w:rsidR="00E14B46" w:rsidRPr="006A4716" w:rsidRDefault="00E14B46" w:rsidP="00395A0C">
            <w:pPr>
              <w:ind w:left="136"/>
              <w:rPr>
                <w:i/>
                <w:iCs/>
                <w:sz w:val="18"/>
                <w:szCs w:val="18"/>
                <w:u w:val="single"/>
              </w:rPr>
            </w:pPr>
            <w:r w:rsidRPr="006A4716">
              <w:rPr>
                <w:i/>
                <w:iCs/>
                <w:sz w:val="18"/>
                <w:szCs w:val="18"/>
                <w:u w:val="single"/>
                <w:lang w:val="fr-FR"/>
              </w:rPr>
              <w:t>9.2.4.4.2</w:t>
            </w:r>
          </w:p>
        </w:tc>
        <w:tc>
          <w:tcPr>
            <w:tcW w:w="1706" w:type="dxa"/>
          </w:tcPr>
          <w:p w14:paraId="65514EC7" w14:textId="77777777" w:rsidR="00E14B46" w:rsidRPr="006A4716" w:rsidRDefault="00E14B46" w:rsidP="00395A0C">
            <w:pPr>
              <w:ind w:left="166"/>
              <w:rPr>
                <w:i/>
                <w:iCs/>
                <w:sz w:val="18"/>
                <w:szCs w:val="18"/>
                <w:u w:val="single"/>
                <w:lang w:val="fr-FR"/>
              </w:rPr>
            </w:pPr>
            <w:r w:rsidRPr="006A4716">
              <w:rPr>
                <w:i/>
                <w:iCs/>
                <w:sz w:val="18"/>
                <w:szCs w:val="18"/>
                <w:u w:val="single"/>
                <w:lang w:val="fr-FR"/>
              </w:rPr>
              <w:t>Système rechargeable de stockage de l’énergie électrique</w:t>
            </w:r>
          </w:p>
        </w:tc>
        <w:tc>
          <w:tcPr>
            <w:tcW w:w="567" w:type="dxa"/>
          </w:tcPr>
          <w:p w14:paraId="7B480D11" w14:textId="77777777" w:rsidR="00E14B46" w:rsidRPr="006A4716" w:rsidRDefault="00E14B46" w:rsidP="00395A0C">
            <w:pPr>
              <w:ind w:left="1134"/>
              <w:rPr>
                <w:i/>
                <w:iCs/>
                <w:sz w:val="18"/>
                <w:szCs w:val="18"/>
                <w:u w:val="single"/>
                <w:lang w:val="fr-FR"/>
              </w:rPr>
            </w:pPr>
          </w:p>
        </w:tc>
        <w:tc>
          <w:tcPr>
            <w:tcW w:w="708" w:type="dxa"/>
          </w:tcPr>
          <w:p w14:paraId="162A5125" w14:textId="77777777" w:rsidR="00E14B46" w:rsidRPr="006A4716" w:rsidRDefault="00E14B46" w:rsidP="00395A0C">
            <w:pPr>
              <w:ind w:left="1134"/>
              <w:rPr>
                <w:i/>
                <w:iCs/>
                <w:sz w:val="18"/>
                <w:szCs w:val="18"/>
                <w:u w:val="single"/>
                <w:lang w:val="fr-FR"/>
              </w:rPr>
            </w:pPr>
          </w:p>
        </w:tc>
        <w:tc>
          <w:tcPr>
            <w:tcW w:w="426" w:type="dxa"/>
          </w:tcPr>
          <w:p w14:paraId="7077B79A" w14:textId="77777777" w:rsidR="00E14B46" w:rsidRPr="006A4716" w:rsidRDefault="00E14B46" w:rsidP="00395A0C">
            <w:pPr>
              <w:ind w:left="3"/>
              <w:rPr>
                <w:i/>
                <w:iCs/>
                <w:sz w:val="18"/>
                <w:szCs w:val="18"/>
                <w:u w:val="single"/>
              </w:rPr>
            </w:pPr>
            <w:r w:rsidRPr="006A4716">
              <w:rPr>
                <w:i/>
                <w:iCs/>
                <w:sz w:val="18"/>
                <w:szCs w:val="18"/>
                <w:u w:val="single"/>
              </w:rPr>
              <w:t>[X</w:t>
            </w:r>
            <w:r w:rsidRPr="006A4716">
              <w:rPr>
                <w:i/>
                <w:iCs/>
                <w:sz w:val="18"/>
                <w:szCs w:val="18"/>
                <w:u w:val="single"/>
                <w:vertAlign w:val="superscript"/>
              </w:rPr>
              <w:t>k</w:t>
            </w:r>
            <w:r w:rsidRPr="006A4716">
              <w:rPr>
                <w:i/>
                <w:iCs/>
                <w:sz w:val="18"/>
                <w:szCs w:val="18"/>
                <w:u w:val="single"/>
              </w:rPr>
              <w:t>]</w:t>
            </w:r>
          </w:p>
        </w:tc>
        <w:tc>
          <w:tcPr>
            <w:tcW w:w="567" w:type="dxa"/>
          </w:tcPr>
          <w:p w14:paraId="3BCB93DE" w14:textId="77777777" w:rsidR="00E14B46" w:rsidRPr="006A4716" w:rsidRDefault="00E14B46" w:rsidP="00395A0C">
            <w:pPr>
              <w:ind w:left="126"/>
              <w:rPr>
                <w:i/>
                <w:iCs/>
                <w:sz w:val="18"/>
                <w:szCs w:val="18"/>
                <w:u w:val="single"/>
              </w:rPr>
            </w:pPr>
            <w:r w:rsidRPr="006A4716">
              <w:rPr>
                <w:i/>
                <w:iCs/>
                <w:sz w:val="18"/>
                <w:szCs w:val="18"/>
                <w:u w:val="single"/>
              </w:rPr>
              <w:t>X</w:t>
            </w:r>
          </w:p>
        </w:tc>
        <w:tc>
          <w:tcPr>
            <w:tcW w:w="3118" w:type="dxa"/>
          </w:tcPr>
          <w:p w14:paraId="0BF48E7B" w14:textId="77777777" w:rsidR="00E14B46" w:rsidRPr="006A4716" w:rsidRDefault="00E14B46" w:rsidP="00395A0C">
            <w:pPr>
              <w:ind w:left="139"/>
              <w:rPr>
                <w:i/>
                <w:iCs/>
                <w:sz w:val="18"/>
                <w:szCs w:val="18"/>
                <w:lang w:val="fr-FR"/>
              </w:rPr>
            </w:pPr>
            <w:r w:rsidRPr="006A4716">
              <w:rPr>
                <w:sz w:val="18"/>
                <w:szCs w:val="18"/>
                <w:lang w:val="fr-FR"/>
              </w:rPr>
              <w:t>[</w:t>
            </w:r>
            <w:r w:rsidRPr="006A4716">
              <w:rPr>
                <w:i/>
                <w:iCs/>
                <w:sz w:val="18"/>
                <w:szCs w:val="18"/>
                <w:u w:val="single"/>
                <w:vertAlign w:val="superscript"/>
                <w:lang w:val="fr-FR"/>
              </w:rPr>
              <w:t xml:space="preserve">k </w:t>
            </w:r>
            <w:r w:rsidRPr="006A4716">
              <w:rPr>
                <w:i/>
                <w:iCs/>
                <w:sz w:val="18"/>
                <w:szCs w:val="18"/>
                <w:u w:val="single"/>
                <w:lang w:val="fr-029"/>
              </w:rPr>
              <w:t>Applicable aux véhicules à moteur immatriculés pour la première fois après le 31 mars 2026</w:t>
            </w:r>
            <w:r w:rsidRPr="006A4716">
              <w:rPr>
                <w:sz w:val="18"/>
                <w:szCs w:val="18"/>
                <w:lang w:val="fr-FR"/>
              </w:rPr>
              <w:t>]</w:t>
            </w:r>
          </w:p>
        </w:tc>
      </w:tr>
    </w:tbl>
    <w:p w14:paraId="79A347E5" w14:textId="77777777" w:rsidR="00E14B46" w:rsidRPr="00720435" w:rsidRDefault="00E14B46" w:rsidP="00E14B46">
      <w:pPr>
        <w:pStyle w:val="SingleTxtG"/>
        <w:spacing w:before="120"/>
        <w:rPr>
          <w:lang w:val="fr-FR"/>
        </w:rPr>
      </w:pPr>
      <w:r w:rsidRPr="00720435">
        <w:rPr>
          <w:lang w:val="fr-FR"/>
        </w:rPr>
        <w:t xml:space="preserve">Ajouter </w:t>
      </w:r>
      <w:r>
        <w:rPr>
          <w:lang w:val="fr-FR"/>
        </w:rPr>
        <w:t>la</w:t>
      </w:r>
      <w:r w:rsidRPr="00720435">
        <w:rPr>
          <w:lang w:val="fr-FR"/>
        </w:rPr>
        <w:t xml:space="preserve"> nouvelle </w:t>
      </w:r>
      <w:r>
        <w:rPr>
          <w:lang w:val="fr-FR"/>
        </w:rPr>
        <w:t xml:space="preserve">ligne </w:t>
      </w:r>
      <w:r w:rsidRPr="00720435">
        <w:rPr>
          <w:lang w:val="fr-FR"/>
        </w:rPr>
        <w:t>9.2.4.4.</w:t>
      </w:r>
      <w:r>
        <w:rPr>
          <w:lang w:val="fr-FR"/>
        </w:rPr>
        <w:t>3</w:t>
      </w:r>
      <w:r w:rsidRPr="00720435">
        <w:rPr>
          <w:lang w:val="fr-FR"/>
        </w:rPr>
        <w:t xml:space="preserve">, libellée comme </w:t>
      </w:r>
      <w:r>
        <w:rPr>
          <w:lang w:val="fr-FR"/>
        </w:rPr>
        <w:t>suit :</w:t>
      </w:r>
    </w:p>
    <w:tbl>
      <w:tblPr>
        <w:tblStyle w:val="Grilledutableau"/>
        <w:tblW w:w="8080" w:type="dxa"/>
        <w:tblInd w:w="1129" w:type="dxa"/>
        <w:tblLayout w:type="fixed"/>
        <w:tblLook w:val="04A0" w:firstRow="1" w:lastRow="0" w:firstColumn="1" w:lastColumn="0" w:noHBand="0" w:noVBand="1"/>
      </w:tblPr>
      <w:tblGrid>
        <w:gridCol w:w="988"/>
        <w:gridCol w:w="1706"/>
        <w:gridCol w:w="567"/>
        <w:gridCol w:w="567"/>
        <w:gridCol w:w="567"/>
        <w:gridCol w:w="567"/>
        <w:gridCol w:w="3118"/>
      </w:tblGrid>
      <w:tr w:rsidR="00E14B46" w:rsidRPr="00086D99" w14:paraId="5BED6AD7" w14:textId="77777777" w:rsidTr="00395A0C">
        <w:tc>
          <w:tcPr>
            <w:tcW w:w="988" w:type="dxa"/>
          </w:tcPr>
          <w:p w14:paraId="080A1761" w14:textId="77777777" w:rsidR="00E14B46" w:rsidRPr="006A4716" w:rsidRDefault="00E14B46" w:rsidP="00395A0C">
            <w:pPr>
              <w:ind w:left="136"/>
              <w:rPr>
                <w:i/>
                <w:iCs/>
                <w:sz w:val="18"/>
                <w:szCs w:val="18"/>
                <w:u w:val="single"/>
              </w:rPr>
            </w:pPr>
            <w:r w:rsidRPr="006A4716">
              <w:rPr>
                <w:i/>
                <w:iCs/>
                <w:sz w:val="18"/>
                <w:szCs w:val="18"/>
                <w:u w:val="single"/>
                <w:lang w:val="fr-FR"/>
              </w:rPr>
              <w:t>9.2.4.4.3</w:t>
            </w:r>
          </w:p>
        </w:tc>
        <w:tc>
          <w:tcPr>
            <w:tcW w:w="1706" w:type="dxa"/>
          </w:tcPr>
          <w:p w14:paraId="062F8908" w14:textId="77777777" w:rsidR="00E14B46" w:rsidRPr="006A4716" w:rsidRDefault="00E14B46" w:rsidP="00395A0C">
            <w:pPr>
              <w:ind w:left="138"/>
              <w:rPr>
                <w:i/>
                <w:iCs/>
                <w:sz w:val="18"/>
                <w:szCs w:val="18"/>
                <w:u w:val="single"/>
                <w:lang w:val="fr-FR"/>
              </w:rPr>
            </w:pPr>
            <w:r w:rsidRPr="006A4716">
              <w:rPr>
                <w:i/>
                <w:iCs/>
                <w:sz w:val="18"/>
                <w:szCs w:val="18"/>
                <w:u w:val="single"/>
                <w:lang w:val="fr-FR"/>
              </w:rPr>
              <w:t>Mesures de lutte contre la propagation thermique</w:t>
            </w:r>
          </w:p>
        </w:tc>
        <w:tc>
          <w:tcPr>
            <w:tcW w:w="567" w:type="dxa"/>
          </w:tcPr>
          <w:p w14:paraId="68A8B27F" w14:textId="77777777" w:rsidR="00E14B46" w:rsidRPr="006A4716" w:rsidRDefault="00E14B46" w:rsidP="00395A0C">
            <w:pPr>
              <w:ind w:left="1134"/>
              <w:rPr>
                <w:i/>
                <w:iCs/>
                <w:sz w:val="18"/>
                <w:szCs w:val="18"/>
                <w:u w:val="single"/>
                <w:lang w:val="fr-FR"/>
              </w:rPr>
            </w:pPr>
          </w:p>
        </w:tc>
        <w:tc>
          <w:tcPr>
            <w:tcW w:w="567" w:type="dxa"/>
          </w:tcPr>
          <w:p w14:paraId="2AD4B3FD" w14:textId="77777777" w:rsidR="00E14B46" w:rsidRPr="006A4716" w:rsidRDefault="00E14B46" w:rsidP="00395A0C">
            <w:pPr>
              <w:ind w:left="1134"/>
              <w:rPr>
                <w:i/>
                <w:iCs/>
                <w:sz w:val="18"/>
                <w:szCs w:val="18"/>
                <w:u w:val="single"/>
                <w:lang w:val="fr-FR"/>
              </w:rPr>
            </w:pPr>
          </w:p>
        </w:tc>
        <w:tc>
          <w:tcPr>
            <w:tcW w:w="567" w:type="dxa"/>
          </w:tcPr>
          <w:p w14:paraId="3D09C26F" w14:textId="77777777" w:rsidR="00E14B46" w:rsidRPr="006A4716" w:rsidRDefault="00E14B46" w:rsidP="00395A0C">
            <w:pPr>
              <w:ind w:left="118"/>
              <w:rPr>
                <w:i/>
                <w:iCs/>
                <w:sz w:val="18"/>
                <w:szCs w:val="18"/>
                <w:u w:val="single"/>
                <w:lang w:val="fr-FR"/>
              </w:rPr>
            </w:pPr>
          </w:p>
        </w:tc>
        <w:tc>
          <w:tcPr>
            <w:tcW w:w="567" w:type="dxa"/>
          </w:tcPr>
          <w:p w14:paraId="3A74E7C7" w14:textId="77777777" w:rsidR="00E14B46" w:rsidRPr="006A4716" w:rsidRDefault="00E14B46" w:rsidP="00395A0C">
            <w:pPr>
              <w:ind w:left="108"/>
              <w:rPr>
                <w:i/>
                <w:iCs/>
                <w:sz w:val="18"/>
                <w:szCs w:val="18"/>
                <w:u w:val="single"/>
              </w:rPr>
            </w:pPr>
            <w:r w:rsidRPr="006A4716">
              <w:rPr>
                <w:i/>
                <w:iCs/>
                <w:sz w:val="18"/>
                <w:szCs w:val="18"/>
                <w:u w:val="single"/>
              </w:rPr>
              <w:t>X</w:t>
            </w:r>
          </w:p>
        </w:tc>
        <w:tc>
          <w:tcPr>
            <w:tcW w:w="3118" w:type="dxa"/>
          </w:tcPr>
          <w:p w14:paraId="31EC93C3" w14:textId="77777777" w:rsidR="00E14B46" w:rsidRPr="00086D99" w:rsidRDefault="00E14B46" w:rsidP="00395A0C">
            <w:pPr>
              <w:ind w:left="1134"/>
              <w:rPr>
                <w:i/>
                <w:iCs/>
                <w:sz w:val="18"/>
                <w:szCs w:val="18"/>
              </w:rPr>
            </w:pPr>
          </w:p>
        </w:tc>
      </w:tr>
    </w:tbl>
    <w:p w14:paraId="3E28B37D" w14:textId="77777777" w:rsidR="00E14B46" w:rsidRPr="00086D99" w:rsidRDefault="00E14B46" w:rsidP="00E14B46">
      <w:pPr>
        <w:pStyle w:val="SingleTxtG"/>
        <w:spacing w:before="120"/>
        <w:rPr>
          <w:lang w:val="fr-FR"/>
        </w:rPr>
      </w:pPr>
      <w:r>
        <w:rPr>
          <w:lang w:val="fr-FR"/>
        </w:rPr>
        <w:t xml:space="preserve">Ligne </w:t>
      </w:r>
      <w:r w:rsidRPr="00086D99">
        <w:rPr>
          <w:lang w:val="fr-FR"/>
        </w:rPr>
        <w:t>9.2.4.7</w:t>
      </w:r>
      <w:r>
        <w:rPr>
          <w:lang w:val="fr-FR"/>
        </w:rPr>
        <w:t>, supprimer</w:t>
      </w:r>
      <w:r w:rsidRPr="00086D99">
        <w:rPr>
          <w:lang w:val="fr-FR"/>
        </w:rPr>
        <w:t>.</w:t>
      </w:r>
    </w:p>
    <w:tbl>
      <w:tblPr>
        <w:tblStyle w:val="Grilledutableau"/>
        <w:tblW w:w="8080" w:type="dxa"/>
        <w:tblInd w:w="1129" w:type="dxa"/>
        <w:tblLayout w:type="fixed"/>
        <w:tblLook w:val="04A0" w:firstRow="1" w:lastRow="0" w:firstColumn="1" w:lastColumn="0" w:noHBand="0" w:noVBand="1"/>
      </w:tblPr>
      <w:tblGrid>
        <w:gridCol w:w="993"/>
        <w:gridCol w:w="1701"/>
        <w:gridCol w:w="567"/>
        <w:gridCol w:w="567"/>
        <w:gridCol w:w="567"/>
        <w:gridCol w:w="567"/>
        <w:gridCol w:w="3118"/>
      </w:tblGrid>
      <w:tr w:rsidR="00E14B46" w:rsidRPr="001A7A5D" w14:paraId="104BE882" w14:textId="77777777" w:rsidTr="00395A0C">
        <w:tc>
          <w:tcPr>
            <w:tcW w:w="993" w:type="dxa"/>
          </w:tcPr>
          <w:p w14:paraId="3A7AA624" w14:textId="77777777" w:rsidR="00E14B46" w:rsidRPr="00086D99" w:rsidRDefault="00E14B46" w:rsidP="00395A0C">
            <w:pPr>
              <w:ind w:left="136"/>
              <w:rPr>
                <w:i/>
                <w:iCs/>
                <w:strike/>
                <w:sz w:val="18"/>
                <w:szCs w:val="18"/>
              </w:rPr>
            </w:pPr>
            <w:r w:rsidRPr="00086D99">
              <w:rPr>
                <w:i/>
                <w:iCs/>
                <w:strike/>
                <w:sz w:val="18"/>
                <w:szCs w:val="18"/>
                <w:lang w:val="fr-FR"/>
              </w:rPr>
              <w:t>9.2.4.7</w:t>
            </w:r>
          </w:p>
        </w:tc>
        <w:tc>
          <w:tcPr>
            <w:tcW w:w="1701" w:type="dxa"/>
          </w:tcPr>
          <w:p w14:paraId="0E4483DB" w14:textId="77777777" w:rsidR="00E14B46" w:rsidRPr="00086D99" w:rsidRDefault="00E14B46" w:rsidP="00395A0C">
            <w:pPr>
              <w:ind w:left="64"/>
              <w:rPr>
                <w:i/>
                <w:iCs/>
                <w:strike/>
                <w:sz w:val="18"/>
                <w:szCs w:val="18"/>
              </w:rPr>
            </w:pPr>
            <w:r w:rsidRPr="00086D99">
              <w:rPr>
                <w:i/>
                <w:iCs/>
                <w:strike/>
                <w:sz w:val="18"/>
                <w:szCs w:val="18"/>
              </w:rPr>
              <w:t>Frein d’endurance du véhicule</w:t>
            </w:r>
          </w:p>
        </w:tc>
        <w:tc>
          <w:tcPr>
            <w:tcW w:w="567" w:type="dxa"/>
          </w:tcPr>
          <w:p w14:paraId="758314B0" w14:textId="77777777" w:rsidR="00E14B46" w:rsidRPr="00086D99" w:rsidRDefault="00E14B46" w:rsidP="00395A0C">
            <w:pPr>
              <w:ind w:left="86"/>
              <w:rPr>
                <w:i/>
                <w:iCs/>
                <w:strike/>
                <w:sz w:val="18"/>
                <w:szCs w:val="18"/>
              </w:rPr>
            </w:pPr>
            <w:r w:rsidRPr="00086D99">
              <w:rPr>
                <w:i/>
                <w:iCs/>
                <w:strike/>
                <w:sz w:val="18"/>
                <w:szCs w:val="18"/>
              </w:rPr>
              <w:t>X</w:t>
            </w:r>
            <w:r w:rsidRPr="00086D99">
              <w:rPr>
                <w:i/>
                <w:iCs/>
                <w:strike/>
                <w:sz w:val="18"/>
                <w:szCs w:val="18"/>
                <w:vertAlign w:val="superscript"/>
              </w:rPr>
              <w:t>f</w:t>
            </w:r>
          </w:p>
        </w:tc>
        <w:tc>
          <w:tcPr>
            <w:tcW w:w="567" w:type="dxa"/>
          </w:tcPr>
          <w:p w14:paraId="40BDA39E" w14:textId="77777777" w:rsidR="00E14B46" w:rsidRPr="00086D99" w:rsidRDefault="00E14B46" w:rsidP="00395A0C">
            <w:pPr>
              <w:ind w:left="219"/>
              <w:rPr>
                <w:i/>
                <w:iCs/>
                <w:strike/>
                <w:sz w:val="18"/>
                <w:szCs w:val="18"/>
              </w:rPr>
            </w:pPr>
            <w:r w:rsidRPr="00086D99">
              <w:rPr>
                <w:i/>
                <w:iCs/>
                <w:strike/>
                <w:sz w:val="18"/>
                <w:szCs w:val="18"/>
              </w:rPr>
              <w:t>X</w:t>
            </w:r>
          </w:p>
        </w:tc>
        <w:tc>
          <w:tcPr>
            <w:tcW w:w="567" w:type="dxa"/>
          </w:tcPr>
          <w:p w14:paraId="463AABA8" w14:textId="77777777" w:rsidR="00E14B46" w:rsidRPr="00086D99" w:rsidRDefault="00E14B46" w:rsidP="00395A0C">
            <w:pPr>
              <w:ind w:left="97"/>
              <w:rPr>
                <w:i/>
                <w:iCs/>
                <w:strike/>
                <w:sz w:val="18"/>
                <w:szCs w:val="18"/>
              </w:rPr>
            </w:pPr>
            <w:r w:rsidRPr="00086D99">
              <w:rPr>
                <w:i/>
                <w:iCs/>
                <w:strike/>
                <w:sz w:val="18"/>
                <w:szCs w:val="18"/>
              </w:rPr>
              <w:t>X</w:t>
            </w:r>
          </w:p>
        </w:tc>
        <w:tc>
          <w:tcPr>
            <w:tcW w:w="567" w:type="dxa"/>
          </w:tcPr>
          <w:p w14:paraId="53D81BE7" w14:textId="77777777" w:rsidR="00E14B46" w:rsidRPr="00086D99" w:rsidRDefault="00E14B46" w:rsidP="00395A0C">
            <w:pPr>
              <w:ind w:left="121"/>
              <w:rPr>
                <w:strike/>
                <w:sz w:val="18"/>
                <w:szCs w:val="18"/>
              </w:rPr>
            </w:pPr>
            <w:r w:rsidRPr="00086D99">
              <w:rPr>
                <w:strike/>
                <w:sz w:val="18"/>
                <w:szCs w:val="18"/>
              </w:rPr>
              <w:t>X</w:t>
            </w:r>
          </w:p>
        </w:tc>
        <w:tc>
          <w:tcPr>
            <w:tcW w:w="3118" w:type="dxa"/>
          </w:tcPr>
          <w:p w14:paraId="24B35EE3" w14:textId="77777777" w:rsidR="00E14B46" w:rsidRPr="00086D99" w:rsidRDefault="00E14B46" w:rsidP="00395A0C">
            <w:pPr>
              <w:ind w:left="118"/>
              <w:rPr>
                <w:i/>
                <w:iCs/>
                <w:strike/>
                <w:sz w:val="18"/>
                <w:szCs w:val="18"/>
                <w:lang w:val="fr-FR"/>
              </w:rPr>
            </w:pPr>
            <w:r w:rsidRPr="00086D99">
              <w:rPr>
                <w:i/>
                <w:iCs/>
                <w:strike/>
                <w:sz w:val="18"/>
                <w:szCs w:val="18"/>
                <w:vertAlign w:val="superscript"/>
                <w:lang w:val="fr-FR"/>
              </w:rPr>
              <w:t>f</w:t>
            </w:r>
            <w:r w:rsidRPr="00086D99">
              <w:rPr>
                <w:i/>
                <w:iCs/>
                <w:strike/>
                <w:sz w:val="18"/>
                <w:szCs w:val="18"/>
                <w:lang w:val="fr-FR"/>
              </w:rPr>
              <w:t xml:space="preserve"> Applicable aux véhicules à moteur … doit être du type IIA.</w:t>
            </w:r>
          </w:p>
        </w:tc>
      </w:tr>
    </w:tbl>
    <w:p w14:paraId="4B2385FD" w14:textId="77777777" w:rsidR="00E14B46" w:rsidRPr="00086D99" w:rsidRDefault="00E14B46" w:rsidP="00E14B46">
      <w:pPr>
        <w:pStyle w:val="SingleTxtG"/>
        <w:spacing w:before="120"/>
        <w:rPr>
          <w:lang w:val="fr-FR"/>
        </w:rPr>
      </w:pPr>
      <w:r w:rsidRPr="00086D99">
        <w:rPr>
          <w:lang w:val="fr-FR"/>
        </w:rPr>
        <w:t xml:space="preserve">Ajouter </w:t>
      </w:r>
      <w:r>
        <w:rPr>
          <w:lang w:val="fr-FR"/>
        </w:rPr>
        <w:t>la</w:t>
      </w:r>
      <w:r w:rsidRPr="00086D99">
        <w:rPr>
          <w:lang w:val="fr-FR"/>
        </w:rPr>
        <w:t xml:space="preserve"> nouvelle </w:t>
      </w:r>
      <w:r>
        <w:rPr>
          <w:lang w:val="fr-FR"/>
        </w:rPr>
        <w:t xml:space="preserve">ligne </w:t>
      </w:r>
      <w:r w:rsidRPr="00086D99">
        <w:rPr>
          <w:lang w:val="fr-FR"/>
        </w:rPr>
        <w:t xml:space="preserve">9.2.4.5, </w:t>
      </w:r>
      <w:r>
        <w:rPr>
          <w:lang w:val="fr-FR"/>
        </w:rPr>
        <w:t>libellée comme suit :</w:t>
      </w:r>
    </w:p>
    <w:tbl>
      <w:tblPr>
        <w:tblStyle w:val="Grilledutableau"/>
        <w:tblW w:w="8080" w:type="dxa"/>
        <w:tblInd w:w="1129" w:type="dxa"/>
        <w:tblLayout w:type="fixed"/>
        <w:tblLook w:val="04A0" w:firstRow="1" w:lastRow="0" w:firstColumn="1" w:lastColumn="0" w:noHBand="0" w:noVBand="1"/>
      </w:tblPr>
      <w:tblGrid>
        <w:gridCol w:w="988"/>
        <w:gridCol w:w="1706"/>
        <w:gridCol w:w="567"/>
        <w:gridCol w:w="567"/>
        <w:gridCol w:w="567"/>
        <w:gridCol w:w="567"/>
        <w:gridCol w:w="3118"/>
      </w:tblGrid>
      <w:tr w:rsidR="00E14B46" w:rsidRPr="00086D99" w14:paraId="161B6A64" w14:textId="77777777" w:rsidTr="00395A0C">
        <w:trPr>
          <w:trHeight w:val="385"/>
        </w:trPr>
        <w:tc>
          <w:tcPr>
            <w:tcW w:w="988" w:type="dxa"/>
          </w:tcPr>
          <w:p w14:paraId="2CD80EAE" w14:textId="77777777" w:rsidR="00E14B46" w:rsidRPr="006A4716" w:rsidRDefault="00E14B46" w:rsidP="00395A0C">
            <w:pPr>
              <w:ind w:left="136"/>
              <w:rPr>
                <w:i/>
                <w:iCs/>
                <w:sz w:val="18"/>
                <w:szCs w:val="18"/>
                <w:u w:val="single"/>
              </w:rPr>
            </w:pPr>
            <w:r w:rsidRPr="006A4716">
              <w:rPr>
                <w:i/>
                <w:iCs/>
                <w:sz w:val="18"/>
                <w:szCs w:val="18"/>
                <w:u w:val="single"/>
                <w:lang w:val="fr-FR"/>
              </w:rPr>
              <w:t>9.2.4.5</w:t>
            </w:r>
          </w:p>
        </w:tc>
        <w:tc>
          <w:tcPr>
            <w:tcW w:w="1706" w:type="dxa"/>
          </w:tcPr>
          <w:p w14:paraId="77B805E5" w14:textId="77777777" w:rsidR="00E14B46" w:rsidRPr="001A7A5D" w:rsidRDefault="00E14B46" w:rsidP="00395A0C">
            <w:pPr>
              <w:ind w:left="109"/>
              <w:rPr>
                <w:i/>
                <w:iCs/>
                <w:sz w:val="18"/>
                <w:szCs w:val="18"/>
                <w:u w:val="single"/>
              </w:rPr>
            </w:pPr>
            <w:r w:rsidRPr="001A7A5D">
              <w:rPr>
                <w:i/>
                <w:iCs/>
                <w:sz w:val="18"/>
                <w:szCs w:val="18"/>
                <w:u w:val="single"/>
              </w:rPr>
              <w:t>Pile à combustible à hydrogène</w:t>
            </w:r>
          </w:p>
        </w:tc>
        <w:tc>
          <w:tcPr>
            <w:tcW w:w="567" w:type="dxa"/>
          </w:tcPr>
          <w:p w14:paraId="69C7167A" w14:textId="77777777" w:rsidR="00E14B46" w:rsidRPr="001A7A5D" w:rsidRDefault="00E14B46" w:rsidP="00395A0C">
            <w:pPr>
              <w:ind w:left="1134"/>
              <w:rPr>
                <w:i/>
                <w:iCs/>
                <w:sz w:val="18"/>
                <w:szCs w:val="18"/>
                <w:u w:val="single"/>
              </w:rPr>
            </w:pPr>
          </w:p>
        </w:tc>
        <w:tc>
          <w:tcPr>
            <w:tcW w:w="567" w:type="dxa"/>
          </w:tcPr>
          <w:p w14:paraId="15B642EE" w14:textId="77777777" w:rsidR="00E14B46" w:rsidRPr="001A7A5D" w:rsidRDefault="00E14B46" w:rsidP="00395A0C">
            <w:pPr>
              <w:ind w:left="1134"/>
              <w:rPr>
                <w:i/>
                <w:iCs/>
                <w:sz w:val="18"/>
                <w:szCs w:val="18"/>
                <w:u w:val="single"/>
              </w:rPr>
            </w:pPr>
          </w:p>
        </w:tc>
        <w:tc>
          <w:tcPr>
            <w:tcW w:w="567" w:type="dxa"/>
          </w:tcPr>
          <w:p w14:paraId="0C325A90" w14:textId="77777777" w:rsidR="00E14B46" w:rsidRPr="006A4716" w:rsidRDefault="00E14B46" w:rsidP="00395A0C">
            <w:pPr>
              <w:ind w:left="177"/>
              <w:rPr>
                <w:i/>
                <w:iCs/>
                <w:sz w:val="18"/>
                <w:szCs w:val="18"/>
                <w:u w:val="single"/>
              </w:rPr>
            </w:pPr>
            <w:r w:rsidRPr="006A4716">
              <w:rPr>
                <w:i/>
                <w:iCs/>
                <w:sz w:val="18"/>
                <w:szCs w:val="18"/>
                <w:u w:val="single"/>
              </w:rPr>
              <w:t>X</w:t>
            </w:r>
          </w:p>
        </w:tc>
        <w:tc>
          <w:tcPr>
            <w:tcW w:w="567" w:type="dxa"/>
          </w:tcPr>
          <w:p w14:paraId="02C8FF56" w14:textId="77777777" w:rsidR="00E14B46" w:rsidRPr="006A4716" w:rsidRDefault="00E14B46" w:rsidP="00395A0C">
            <w:pPr>
              <w:ind w:left="188"/>
              <w:rPr>
                <w:i/>
                <w:iCs/>
                <w:sz w:val="18"/>
                <w:szCs w:val="18"/>
                <w:u w:val="single"/>
              </w:rPr>
            </w:pPr>
            <w:r w:rsidRPr="006A4716">
              <w:rPr>
                <w:i/>
                <w:iCs/>
                <w:sz w:val="18"/>
                <w:szCs w:val="18"/>
                <w:u w:val="single"/>
              </w:rPr>
              <w:t>X</w:t>
            </w:r>
          </w:p>
        </w:tc>
        <w:tc>
          <w:tcPr>
            <w:tcW w:w="3118" w:type="dxa"/>
          </w:tcPr>
          <w:p w14:paraId="73F8427B" w14:textId="77777777" w:rsidR="00E14B46" w:rsidRPr="00086D99" w:rsidRDefault="00E14B46" w:rsidP="00395A0C">
            <w:pPr>
              <w:ind w:left="1134"/>
              <w:rPr>
                <w:i/>
                <w:iCs/>
                <w:sz w:val="18"/>
                <w:szCs w:val="18"/>
              </w:rPr>
            </w:pPr>
          </w:p>
        </w:tc>
      </w:tr>
    </w:tbl>
    <w:p w14:paraId="34CD328E" w14:textId="77777777" w:rsidR="00E14B46" w:rsidRPr="00A00348" w:rsidRDefault="00E14B46" w:rsidP="00E14B46">
      <w:pPr>
        <w:pStyle w:val="SingleTxtG"/>
        <w:spacing w:before="120"/>
        <w:rPr>
          <w:lang w:val="fr-FR"/>
        </w:rPr>
      </w:pPr>
      <w:r>
        <w:rPr>
          <w:lang w:val="fr-FR"/>
        </w:rPr>
        <w:t>Les</w:t>
      </w:r>
      <w:r w:rsidRPr="00A00348">
        <w:rPr>
          <w:lang w:val="fr-FR"/>
        </w:rPr>
        <w:t xml:space="preserve"> </w:t>
      </w:r>
      <w:r>
        <w:rPr>
          <w:lang w:val="fr-FR"/>
        </w:rPr>
        <w:t xml:space="preserve">lignes </w:t>
      </w:r>
      <w:r w:rsidRPr="00A00348">
        <w:rPr>
          <w:lang w:val="fr-FR"/>
        </w:rPr>
        <w:t xml:space="preserve">9.2.4.8 à 9.2.4.8.6 (Chauffage à </w:t>
      </w:r>
      <w:r>
        <w:rPr>
          <w:lang w:val="fr-FR"/>
        </w:rPr>
        <w:t>combustion</w:t>
      </w:r>
      <w:r w:rsidRPr="00A00348">
        <w:rPr>
          <w:lang w:val="fr-FR"/>
        </w:rPr>
        <w:t xml:space="preserve">) </w:t>
      </w:r>
      <w:r>
        <w:rPr>
          <w:lang w:val="fr-FR"/>
        </w:rPr>
        <w:t xml:space="preserve">deviennent les lignes </w:t>
      </w:r>
      <w:r w:rsidRPr="00A00348">
        <w:rPr>
          <w:lang w:val="fr-FR"/>
        </w:rPr>
        <w:t xml:space="preserve">9.2.5 </w:t>
      </w:r>
      <w:r>
        <w:rPr>
          <w:lang w:val="fr-FR"/>
        </w:rPr>
        <w:t>à</w:t>
      </w:r>
      <w:r w:rsidRPr="00A00348">
        <w:rPr>
          <w:lang w:val="fr-FR"/>
        </w:rPr>
        <w:t xml:space="preserve"> 9.2.5.6</w:t>
      </w:r>
      <w:r>
        <w:rPr>
          <w:lang w:val="fr-FR"/>
        </w:rPr>
        <w:t>, respectivement</w:t>
      </w:r>
      <w:r w:rsidRPr="00A00348">
        <w:rPr>
          <w:lang w:val="fr-FR"/>
        </w:rPr>
        <w:t>.</w:t>
      </w:r>
    </w:p>
    <w:p w14:paraId="3F193C37" w14:textId="77777777" w:rsidR="00E14B46" w:rsidRPr="00C50C51" w:rsidRDefault="00E14B46" w:rsidP="00E14B46">
      <w:pPr>
        <w:pStyle w:val="SingleTxtG"/>
        <w:rPr>
          <w:lang w:val="fr-FR"/>
        </w:rPr>
      </w:pPr>
      <w:r>
        <w:rPr>
          <w:lang w:val="fr-FR"/>
        </w:rPr>
        <w:lastRenderedPageBreak/>
        <w:t>La</w:t>
      </w:r>
      <w:r w:rsidRPr="00A00348">
        <w:rPr>
          <w:lang w:val="fr-FR"/>
        </w:rPr>
        <w:t xml:space="preserve"> </w:t>
      </w:r>
      <w:r>
        <w:rPr>
          <w:lang w:val="fr-FR"/>
        </w:rPr>
        <w:t xml:space="preserve">ligne </w:t>
      </w:r>
      <w:r w:rsidRPr="00A00348">
        <w:rPr>
          <w:lang w:val="fr-FR"/>
        </w:rPr>
        <w:t>9.2.5 (Dispositif de limitation de</w:t>
      </w:r>
      <w:r>
        <w:rPr>
          <w:lang w:val="fr-FR"/>
        </w:rPr>
        <w:t xml:space="preserve"> vitesse</w:t>
      </w:r>
      <w:r w:rsidRPr="00A00348">
        <w:rPr>
          <w:lang w:val="fr-FR"/>
        </w:rPr>
        <w:t xml:space="preserve">) </w:t>
      </w:r>
      <w:r>
        <w:rPr>
          <w:lang w:val="fr-FR"/>
        </w:rPr>
        <w:t xml:space="preserve">devient la ligne </w:t>
      </w:r>
      <w:r w:rsidRPr="00A00348">
        <w:rPr>
          <w:lang w:val="fr-FR"/>
        </w:rPr>
        <w:t>9.2.6</w:t>
      </w:r>
      <w:r>
        <w:rPr>
          <w:lang w:val="fr-FR"/>
        </w:rPr>
        <w:t> </w:t>
      </w:r>
      <w:r w:rsidRPr="00A00348">
        <w:rPr>
          <w:lang w:val="fr-FR"/>
        </w:rPr>
        <w:t xml:space="preserve">; </w:t>
      </w:r>
      <w:r>
        <w:rPr>
          <w:lang w:val="fr-FR"/>
        </w:rPr>
        <w:t>la</w:t>
      </w:r>
      <w:r w:rsidRPr="00A00348">
        <w:rPr>
          <w:lang w:val="fr-FR"/>
        </w:rPr>
        <w:t xml:space="preserve"> </w:t>
      </w:r>
      <w:r>
        <w:rPr>
          <w:lang w:val="fr-FR"/>
        </w:rPr>
        <w:t xml:space="preserve">ligne </w:t>
      </w:r>
      <w:r w:rsidRPr="00A00348">
        <w:rPr>
          <w:lang w:val="fr-FR"/>
        </w:rPr>
        <w:t>9.2.6 (</w:t>
      </w:r>
      <w:r>
        <w:rPr>
          <w:lang w:val="fr-FR"/>
        </w:rPr>
        <w:t>Dispositifs d’attelage…</w:t>
      </w:r>
      <w:r w:rsidRPr="00A00348">
        <w:rPr>
          <w:lang w:val="fr-FR"/>
        </w:rPr>
        <w:t xml:space="preserve">) </w:t>
      </w:r>
      <w:r>
        <w:rPr>
          <w:lang w:val="fr-FR"/>
        </w:rPr>
        <w:t xml:space="preserve">devient la ligne </w:t>
      </w:r>
      <w:r w:rsidRPr="00A00348">
        <w:rPr>
          <w:lang w:val="fr-FR"/>
        </w:rPr>
        <w:t>9.2.7</w:t>
      </w:r>
      <w:r>
        <w:rPr>
          <w:lang w:val="fr-FR"/>
        </w:rPr>
        <w:t> </w:t>
      </w:r>
      <w:r w:rsidRPr="00A00348">
        <w:rPr>
          <w:lang w:val="fr-FR"/>
        </w:rPr>
        <w:t xml:space="preserve">; </w:t>
      </w:r>
      <w:r>
        <w:rPr>
          <w:lang w:val="fr-FR"/>
        </w:rPr>
        <w:t xml:space="preserve">la ligne </w:t>
      </w:r>
      <w:r w:rsidRPr="00A00348">
        <w:rPr>
          <w:lang w:val="fr-FR"/>
        </w:rPr>
        <w:t>9.2.7 (</w:t>
      </w:r>
      <w:r>
        <w:rPr>
          <w:lang w:val="fr-FR"/>
        </w:rPr>
        <w:t>Prévention des autres risques…</w:t>
      </w:r>
      <w:r w:rsidRPr="00A00348">
        <w:rPr>
          <w:lang w:val="fr-FR"/>
        </w:rPr>
        <w:t xml:space="preserve">) </w:t>
      </w:r>
      <w:r>
        <w:rPr>
          <w:lang w:val="fr-FR"/>
        </w:rPr>
        <w:t xml:space="preserve">devient la ligne </w:t>
      </w:r>
      <w:r w:rsidRPr="00C50C51">
        <w:rPr>
          <w:lang w:val="fr-FR"/>
        </w:rPr>
        <w:t>9.2.8.</w:t>
      </w:r>
    </w:p>
    <w:p w14:paraId="4627E086" w14:textId="77777777" w:rsidR="00E14B46" w:rsidRPr="00A2368D" w:rsidRDefault="00E14B46" w:rsidP="00E14B46">
      <w:pPr>
        <w:pStyle w:val="HChG"/>
        <w:rPr>
          <w:lang w:val="fr-FR"/>
        </w:rPr>
      </w:pPr>
      <w:r w:rsidRPr="00C50C51">
        <w:rPr>
          <w:lang w:val="fr-FR"/>
        </w:rPr>
        <w:tab/>
      </w:r>
      <w:r w:rsidRPr="00C50C51">
        <w:rPr>
          <w:lang w:val="fr-FR"/>
        </w:rPr>
        <w:tab/>
      </w:r>
      <w:r w:rsidRPr="00A2368D">
        <w:rPr>
          <w:lang w:val="fr-FR"/>
        </w:rPr>
        <w:t>Proposition 2</w:t>
      </w:r>
    </w:p>
    <w:p w14:paraId="02DD46A8" w14:textId="77777777" w:rsidR="00E14B46" w:rsidRPr="00C50C51" w:rsidRDefault="00E14B46" w:rsidP="00E14B46">
      <w:pPr>
        <w:pStyle w:val="SingleTxtG"/>
        <w:rPr>
          <w:lang w:val="fr-FR"/>
        </w:rPr>
      </w:pPr>
      <w:r w:rsidRPr="00C50C51">
        <w:rPr>
          <w:lang w:val="fr-FR"/>
        </w:rPr>
        <w:t>5.</w:t>
      </w:r>
      <w:r w:rsidRPr="00C50C51">
        <w:rPr>
          <w:lang w:val="fr-FR"/>
        </w:rPr>
        <w:tab/>
        <w:t>9.2.2.1</w:t>
      </w:r>
      <w:r>
        <w:rPr>
          <w:lang w:val="fr-FR"/>
        </w:rPr>
        <w:t xml:space="preserve">, lire </w:t>
      </w:r>
      <w:r w:rsidRPr="00C50C51">
        <w:rPr>
          <w:lang w:val="fr-FR"/>
        </w:rPr>
        <w:t>(</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C50C51">
        <w:rPr>
          <w:lang w:val="fr-FR"/>
        </w:rPr>
        <w:t>)</w:t>
      </w:r>
      <w:r>
        <w:rPr>
          <w:lang w:val="fr-FR"/>
        </w:rPr>
        <w:t> :</w:t>
      </w:r>
    </w:p>
    <w:p w14:paraId="7DEC4390" w14:textId="77777777" w:rsidR="00E14B46" w:rsidRPr="00A2368D" w:rsidRDefault="00E14B46" w:rsidP="00E14B46">
      <w:pPr>
        <w:pStyle w:val="SingleTxtG"/>
        <w:rPr>
          <w:lang w:val="fr-FR"/>
        </w:rPr>
      </w:pPr>
      <w:r w:rsidRPr="00C50C51">
        <w:rPr>
          <w:lang w:val="fr-029"/>
        </w:rPr>
        <w:t>«</w:t>
      </w:r>
      <w:r>
        <w:rPr>
          <w:b/>
          <w:bCs/>
          <w:lang w:val="fr-029"/>
        </w:rPr>
        <w:t> </w:t>
      </w:r>
      <w:r w:rsidRPr="006D2E7D">
        <w:rPr>
          <w:b/>
          <w:bCs/>
          <w:lang w:val="fr-FR"/>
        </w:rPr>
        <w:t>9.2.2.1</w:t>
      </w:r>
      <w:r w:rsidRPr="00A2368D">
        <w:rPr>
          <w:lang w:val="fr-FR"/>
        </w:rPr>
        <w:tab/>
      </w:r>
      <w:r w:rsidRPr="00A2368D">
        <w:rPr>
          <w:b/>
          <w:bCs/>
          <w:i/>
          <w:iCs/>
          <w:lang w:val="fr-FR"/>
        </w:rPr>
        <w:t>Dispositions générales</w:t>
      </w:r>
    </w:p>
    <w:p w14:paraId="6BE8F5C8" w14:textId="77777777" w:rsidR="00E14B46" w:rsidRDefault="00E14B46" w:rsidP="00332CB0">
      <w:pPr>
        <w:pStyle w:val="SingleTxtG"/>
        <w:ind w:left="2268"/>
        <w:rPr>
          <w:lang w:val="fr-FR"/>
        </w:rPr>
      </w:pPr>
      <w:r w:rsidRPr="00C50C51">
        <w:rPr>
          <w:lang w:val="fr-FR"/>
        </w:rPr>
        <w:t xml:space="preserve">L’installation doit être conçue, réalisée et protégée de façon à ne pouvoir provoquer ni inflammation, </w:t>
      </w:r>
      <w:r>
        <w:rPr>
          <w:lang w:val="fr-FR"/>
        </w:rPr>
        <w:t>[</w:t>
      </w:r>
      <w:r w:rsidRPr="00C50C51">
        <w:rPr>
          <w:i/>
          <w:iCs/>
          <w:u w:val="single"/>
          <w:lang w:val="fr-FR"/>
        </w:rPr>
        <w:t>ni incendie,</w:t>
      </w:r>
      <w:r>
        <w:rPr>
          <w:lang w:val="fr-FR"/>
        </w:rPr>
        <w:t xml:space="preserve">] </w:t>
      </w:r>
      <w:r w:rsidRPr="00C50C51">
        <w:rPr>
          <w:lang w:val="fr-FR"/>
        </w:rPr>
        <w:t>ni un court-circuit, dans des conditions normales d’utilisation des véhicules.</w:t>
      </w:r>
    </w:p>
    <w:p w14:paraId="6329DDFC" w14:textId="77777777" w:rsidR="00E14B46" w:rsidRDefault="00E14B46" w:rsidP="00332CB0">
      <w:pPr>
        <w:pStyle w:val="SingleTxtG"/>
        <w:ind w:left="2268"/>
        <w:rPr>
          <w:lang w:val="fr-FR"/>
        </w:rPr>
      </w:pPr>
      <w:r w:rsidRPr="00C50C51">
        <w:rPr>
          <w:lang w:val="fr-FR"/>
        </w:rPr>
        <w:t>L’installation électrique</w:t>
      </w:r>
      <w:r w:rsidRPr="00C50C51">
        <w:rPr>
          <w:strike/>
          <w:lang w:val="fr-FR"/>
        </w:rPr>
        <w:t>, à l’exception de la chaîne de traction électrique conforme aux prescriptions techniques du Règlement ONU No 100, tel que modifié au minimum par la série 03 d’amendements,</w:t>
      </w:r>
      <w:r w:rsidRPr="00C50C51">
        <w:rPr>
          <w:lang w:val="fr-FR"/>
        </w:rPr>
        <w:t xml:space="preserve"> doit satisfaire aux dispositions des 9.2.2.2 à 9.2.2.9, conformément au tableau du 9.2.1</w:t>
      </w:r>
      <w:r>
        <w:rPr>
          <w:lang w:val="fr-FR"/>
        </w:rPr>
        <w:t>.</w:t>
      </w:r>
    </w:p>
    <w:p w14:paraId="5835EEC7" w14:textId="77777777" w:rsidR="00E14B46" w:rsidRPr="009C2D55" w:rsidRDefault="00E14B46" w:rsidP="00332CB0">
      <w:pPr>
        <w:pStyle w:val="SingleTxtG"/>
        <w:ind w:left="2268"/>
        <w:rPr>
          <w:i/>
          <w:iCs/>
          <w:u w:val="single"/>
          <w:lang w:val="fr-FR"/>
        </w:rPr>
      </w:pPr>
      <w:r>
        <w:rPr>
          <w:i/>
          <w:iCs/>
          <w:u w:val="single"/>
          <w:lang w:val="fr-FR"/>
        </w:rPr>
        <w:t>Il n’est pas nécessaire que l</w:t>
      </w:r>
      <w:r w:rsidRPr="009C2D55">
        <w:rPr>
          <w:i/>
          <w:iCs/>
          <w:u w:val="single"/>
          <w:lang w:val="fr-FR"/>
        </w:rPr>
        <w:t xml:space="preserve">a </w:t>
      </w:r>
      <w:r w:rsidRPr="009C2D55">
        <w:rPr>
          <w:rStyle w:val="preferred"/>
          <w:i/>
          <w:iCs/>
          <w:u w:val="single"/>
          <w:lang w:val="fr-FR"/>
        </w:rPr>
        <w:t xml:space="preserve">chaîne de traction électrique et les pièces reliées galvaniquement conformes aux prescriptions techniques du Règlement ONU No 100, tel que modifié au minimum par la série 03 d’amendements, </w:t>
      </w:r>
      <w:r>
        <w:rPr>
          <w:rStyle w:val="preferred"/>
          <w:i/>
          <w:iCs/>
          <w:u w:val="single"/>
          <w:lang w:val="fr-FR"/>
        </w:rPr>
        <w:t>satisfassent</w:t>
      </w:r>
      <w:r w:rsidRPr="009C2D55">
        <w:rPr>
          <w:rStyle w:val="preferred"/>
          <w:i/>
          <w:iCs/>
          <w:u w:val="single"/>
          <w:lang w:val="fr-FR"/>
        </w:rPr>
        <w:t xml:space="preserve"> aux dispositions des 9.2.2.2 à 9.2.2.7.</w:t>
      </w:r>
      <w:r w:rsidRPr="009C2D55">
        <w:rPr>
          <w:rStyle w:val="preferred"/>
          <w:lang w:val="fr-FR"/>
        </w:rPr>
        <w:t> »</w:t>
      </w:r>
      <w:r>
        <w:rPr>
          <w:rStyle w:val="preferred"/>
          <w:lang w:val="fr-FR"/>
        </w:rPr>
        <w:t>.</w:t>
      </w:r>
    </w:p>
    <w:p w14:paraId="28162727" w14:textId="77777777" w:rsidR="00E14B46" w:rsidRPr="00A2368D" w:rsidRDefault="00E14B46" w:rsidP="00E14B46">
      <w:pPr>
        <w:pStyle w:val="HChG"/>
        <w:rPr>
          <w:lang w:val="fr-FR"/>
        </w:rPr>
      </w:pPr>
      <w:r w:rsidRPr="00A2368D">
        <w:rPr>
          <w:lang w:val="fr-FR"/>
        </w:rPr>
        <w:tab/>
      </w:r>
      <w:r w:rsidRPr="00A2368D">
        <w:rPr>
          <w:lang w:val="fr-FR"/>
        </w:rPr>
        <w:tab/>
        <w:t>Proposition 3</w:t>
      </w:r>
    </w:p>
    <w:p w14:paraId="74E8DB5B" w14:textId="77777777" w:rsidR="00E14B46" w:rsidRPr="00E815A4" w:rsidRDefault="00E14B46" w:rsidP="00E14B46">
      <w:pPr>
        <w:pStyle w:val="SingleTxtG"/>
        <w:rPr>
          <w:lang w:val="fr-FR"/>
        </w:rPr>
      </w:pPr>
      <w:r w:rsidRPr="00E815A4">
        <w:rPr>
          <w:lang w:val="fr-FR"/>
        </w:rPr>
        <w:t>6.</w:t>
      </w:r>
      <w:r w:rsidRPr="00E815A4">
        <w:rPr>
          <w:lang w:val="fr-FR"/>
        </w:rPr>
        <w:tab/>
      </w:r>
      <w:r>
        <w:rPr>
          <w:lang w:val="fr-FR"/>
        </w:rPr>
        <w:t>Au 9.2.3.1.1, après le paragraphe, a</w:t>
      </w:r>
      <w:r w:rsidRPr="00E815A4">
        <w:rPr>
          <w:lang w:val="fr-FR"/>
        </w:rPr>
        <w:t xml:space="preserve">jouter </w:t>
      </w:r>
      <w:r>
        <w:rPr>
          <w:lang w:val="fr-FR"/>
        </w:rPr>
        <w:t>un</w:t>
      </w:r>
      <w:r w:rsidRPr="00E815A4">
        <w:rPr>
          <w:lang w:val="fr-FR"/>
        </w:rPr>
        <w:t xml:space="preserve"> nouve</w:t>
      </w:r>
      <w:r>
        <w:rPr>
          <w:lang w:val="fr-FR"/>
        </w:rPr>
        <w:t>au nota, libellé comme suit </w:t>
      </w:r>
      <w:r w:rsidRPr="00E815A4">
        <w:rPr>
          <w:lang w:val="fr-FR"/>
        </w:rPr>
        <w:t>:</w:t>
      </w:r>
    </w:p>
    <w:p w14:paraId="24342A3F" w14:textId="77777777" w:rsidR="00E14B46" w:rsidRPr="00E815A4" w:rsidRDefault="00E14B46" w:rsidP="00332CB0">
      <w:pPr>
        <w:pStyle w:val="SingleTxtG"/>
        <w:ind w:left="2268"/>
        <w:rPr>
          <w:i/>
          <w:iCs/>
          <w:lang w:val="fr-FR"/>
        </w:rPr>
      </w:pPr>
      <w:r w:rsidRPr="00E815A4">
        <w:rPr>
          <w:i/>
          <w:iCs/>
          <w:lang w:val="fr-FR"/>
        </w:rPr>
        <w:t>« </w:t>
      </w:r>
      <w:r w:rsidRPr="00E815A4">
        <w:rPr>
          <w:b/>
          <w:bCs/>
          <w:i/>
          <w:iCs/>
          <w:lang w:val="fr-FR"/>
        </w:rPr>
        <w:t>NOT</w:t>
      </w:r>
      <w:r>
        <w:rPr>
          <w:b/>
          <w:bCs/>
          <w:i/>
          <w:iCs/>
          <w:lang w:val="fr-FR"/>
        </w:rPr>
        <w:t>A</w:t>
      </w:r>
      <w:r w:rsidRPr="00E815A4">
        <w:rPr>
          <w:b/>
          <w:bCs/>
          <w:i/>
          <w:iCs/>
          <w:lang w:val="fr-FR"/>
        </w:rPr>
        <w:t> </w:t>
      </w:r>
      <w:r w:rsidRPr="00E815A4">
        <w:rPr>
          <w:b/>
          <w:i/>
          <w:iCs/>
          <w:lang w:val="fr-FR"/>
        </w:rPr>
        <w:t>:</w:t>
      </w:r>
      <w:r w:rsidRPr="00E815A4">
        <w:rPr>
          <w:lang w:val="fr-FR"/>
        </w:rPr>
        <w:t xml:space="preserve"> </w:t>
      </w:r>
      <w:bookmarkStart w:id="2" w:name="_Hlk144484245"/>
      <w:r w:rsidRPr="00076D0A">
        <w:rPr>
          <w:i/>
          <w:iCs/>
          <w:lang w:val="fr-FR"/>
        </w:rPr>
        <w:t xml:space="preserve">Les remorques </w:t>
      </w:r>
      <w:r>
        <w:rPr>
          <w:i/>
          <w:iCs/>
          <w:lang w:val="fr-FR"/>
        </w:rPr>
        <w:t xml:space="preserve">équipées d’un système de </w:t>
      </w:r>
      <w:r w:rsidRPr="00076D0A">
        <w:rPr>
          <w:i/>
          <w:iCs/>
          <w:lang w:val="fr-FR"/>
        </w:rPr>
        <w:t>freinage régénératif</w:t>
      </w:r>
      <w:r>
        <w:rPr>
          <w:i/>
          <w:iCs/>
          <w:lang w:val="fr-FR"/>
        </w:rPr>
        <w:t xml:space="preserve"> </w:t>
      </w:r>
      <w:r w:rsidRPr="00076D0A">
        <w:rPr>
          <w:i/>
          <w:iCs/>
          <w:lang w:val="fr-FR"/>
        </w:rPr>
        <w:t xml:space="preserve">ou </w:t>
      </w:r>
      <w:r>
        <w:rPr>
          <w:i/>
          <w:iCs/>
          <w:lang w:val="fr-FR"/>
        </w:rPr>
        <w:t>d’une</w:t>
      </w:r>
      <w:r w:rsidRPr="00076D0A">
        <w:rPr>
          <w:i/>
          <w:iCs/>
          <w:lang w:val="fr-FR"/>
        </w:rPr>
        <w:t xml:space="preserve"> chaîne de traction électrique ne sont pas autorisées</w:t>
      </w:r>
      <w:r>
        <w:rPr>
          <w:lang w:val="fr-FR"/>
        </w:rPr>
        <w:t>. »</w:t>
      </w:r>
      <w:bookmarkEnd w:id="2"/>
      <w:r>
        <w:rPr>
          <w:lang w:val="fr-FR"/>
        </w:rPr>
        <w:t>.</w:t>
      </w:r>
    </w:p>
    <w:p w14:paraId="004573DB" w14:textId="77777777" w:rsidR="00E14B46" w:rsidRPr="00A2368D" w:rsidRDefault="00E14B46" w:rsidP="00E14B46">
      <w:pPr>
        <w:pStyle w:val="HChG"/>
        <w:rPr>
          <w:lang w:val="fr-FR"/>
        </w:rPr>
      </w:pPr>
      <w:r w:rsidRPr="00E815A4">
        <w:rPr>
          <w:lang w:val="fr-FR"/>
        </w:rPr>
        <w:tab/>
      </w:r>
      <w:r w:rsidRPr="00E815A4">
        <w:rPr>
          <w:lang w:val="fr-FR"/>
        </w:rPr>
        <w:tab/>
      </w:r>
      <w:r w:rsidRPr="00A2368D">
        <w:rPr>
          <w:lang w:val="fr-FR"/>
        </w:rPr>
        <w:t>Proposition 4</w:t>
      </w:r>
    </w:p>
    <w:p w14:paraId="037A382F" w14:textId="77777777" w:rsidR="00E14B46" w:rsidRPr="00076D0A" w:rsidRDefault="00E14B46" w:rsidP="00E14B46">
      <w:pPr>
        <w:pStyle w:val="SingleTxtG"/>
        <w:rPr>
          <w:lang w:val="fr-FR"/>
        </w:rPr>
      </w:pPr>
      <w:r w:rsidRPr="00076D0A">
        <w:rPr>
          <w:lang w:val="fr-FR"/>
        </w:rPr>
        <w:t>7.</w:t>
      </w:r>
      <w:r w:rsidRPr="00076D0A">
        <w:rPr>
          <w:lang w:val="fr-FR"/>
        </w:rPr>
        <w:tab/>
        <w:t xml:space="preserve">Ajouter </w:t>
      </w:r>
      <w:r>
        <w:rPr>
          <w:lang w:val="fr-FR"/>
        </w:rPr>
        <w:t>le</w:t>
      </w:r>
      <w:r w:rsidRPr="00076D0A">
        <w:rPr>
          <w:lang w:val="fr-FR"/>
        </w:rPr>
        <w:t xml:space="preserve"> nouveau 9.2.3.3</w:t>
      </w:r>
      <w:r>
        <w:rPr>
          <w:lang w:val="fr-FR"/>
        </w:rPr>
        <w:t>, reprenant le</w:t>
      </w:r>
      <w:r w:rsidRPr="00076D0A">
        <w:rPr>
          <w:lang w:val="fr-FR"/>
        </w:rPr>
        <w:t xml:space="preserve"> 9.2.4.7 (</w:t>
      </w:r>
      <w:r>
        <w:rPr>
          <w:lang w:val="fr-FR"/>
        </w:rPr>
        <w:t>édition</w:t>
      </w:r>
      <w:r w:rsidRPr="00076D0A">
        <w:rPr>
          <w:lang w:val="fr-FR"/>
        </w:rPr>
        <w:t xml:space="preserve"> 2023</w:t>
      </w:r>
      <w:r>
        <w:rPr>
          <w:lang w:val="fr-FR"/>
        </w:rPr>
        <w:t xml:space="preserve"> de l’ADR</w:t>
      </w:r>
      <w:r w:rsidRPr="00076D0A">
        <w:rPr>
          <w:lang w:val="fr-FR"/>
        </w:rPr>
        <w:t>)</w:t>
      </w:r>
      <w:r>
        <w:rPr>
          <w:lang w:val="fr-FR"/>
        </w:rPr>
        <w:t>, libellé comme suit </w:t>
      </w:r>
      <w:r w:rsidRPr="00076D0A">
        <w:rPr>
          <w:lang w:val="fr-FR"/>
        </w:rPr>
        <w:t>:</w:t>
      </w:r>
    </w:p>
    <w:p w14:paraId="02CA0938" w14:textId="77777777" w:rsidR="00E14B46" w:rsidRDefault="00E14B46" w:rsidP="00332CB0">
      <w:pPr>
        <w:pStyle w:val="SingleTxtG"/>
        <w:ind w:left="2268" w:hanging="1134"/>
        <w:rPr>
          <w:rFonts w:eastAsia="SimSun"/>
          <w:iCs/>
          <w:lang w:val="fr-FR"/>
        </w:rPr>
      </w:pPr>
      <w:r>
        <w:rPr>
          <w:iCs/>
          <w:lang w:val="fr-FR"/>
        </w:rPr>
        <w:t>« </w:t>
      </w:r>
      <w:r w:rsidRPr="00076D0A">
        <w:rPr>
          <w:bCs/>
          <w:iCs/>
          <w:lang w:val="fr-FR"/>
        </w:rPr>
        <w:t>9.2.3.3</w:t>
      </w:r>
      <w:r w:rsidRPr="00076D0A">
        <w:rPr>
          <w:iCs/>
          <w:lang w:val="fr-FR"/>
        </w:rPr>
        <w:tab/>
        <w:t>Les véhicules équipés d</w:t>
      </w:r>
      <w:r>
        <w:rPr>
          <w:iCs/>
          <w:lang w:val="fr-FR"/>
        </w:rPr>
        <w:t>’</w:t>
      </w:r>
      <w:r w:rsidRPr="00076D0A">
        <w:rPr>
          <w:iCs/>
          <w:lang w:val="fr-FR"/>
        </w:rPr>
        <w:t>un dispositif de freinage d</w:t>
      </w:r>
      <w:r>
        <w:rPr>
          <w:iCs/>
          <w:lang w:val="fr-FR"/>
        </w:rPr>
        <w:t>’</w:t>
      </w:r>
      <w:r w:rsidRPr="00076D0A">
        <w:rPr>
          <w:iCs/>
          <w:lang w:val="fr-FR"/>
        </w:rPr>
        <w:t>endurance émettant un rayonnement thermique important, placé derrière la paroi arrière de la cabine, doivent être munis d</w:t>
      </w:r>
      <w:r>
        <w:rPr>
          <w:iCs/>
          <w:lang w:val="fr-FR"/>
        </w:rPr>
        <w:t>’</w:t>
      </w:r>
      <w:r w:rsidRPr="00076D0A">
        <w:rPr>
          <w:iCs/>
          <w:lang w:val="fr-FR"/>
        </w:rPr>
        <w:t>un écran thermique entre cet appareil et la citerne ou le chargement, solidement fixé et disposé de telle sorte qu</w:t>
      </w:r>
      <w:r>
        <w:rPr>
          <w:iCs/>
          <w:lang w:val="fr-FR"/>
        </w:rPr>
        <w:t>’</w:t>
      </w:r>
      <w:r w:rsidRPr="00076D0A">
        <w:rPr>
          <w:iCs/>
          <w:lang w:val="fr-FR"/>
        </w:rPr>
        <w:t>il permette d</w:t>
      </w:r>
      <w:r>
        <w:rPr>
          <w:iCs/>
          <w:lang w:val="fr-FR"/>
        </w:rPr>
        <w:t>’</w:t>
      </w:r>
      <w:r w:rsidRPr="00076D0A">
        <w:rPr>
          <w:iCs/>
          <w:lang w:val="fr-FR"/>
        </w:rPr>
        <w:t>éviter tout échauffement, même localisé, de la paroi de la citerne ou du chargement.</w:t>
      </w:r>
      <w:r w:rsidRPr="00076D0A">
        <w:rPr>
          <w:rFonts w:eastAsia="SimSun"/>
          <w:iCs/>
          <w:lang w:val="fr-FR"/>
        </w:rPr>
        <w:t xml:space="preserve"> </w:t>
      </w:r>
    </w:p>
    <w:p w14:paraId="1BD0564A" w14:textId="7FB557D0" w:rsidR="00E14B46" w:rsidRPr="00076D0A" w:rsidRDefault="00E14B46" w:rsidP="00332CB0">
      <w:pPr>
        <w:pStyle w:val="SingleTxtG"/>
        <w:ind w:left="2268"/>
        <w:rPr>
          <w:rFonts w:eastAsia="SimSun"/>
          <w:iCs/>
          <w:lang w:val="fr-FR"/>
        </w:rPr>
      </w:pPr>
      <w:r>
        <w:rPr>
          <w:rFonts w:eastAsia="SimSun"/>
          <w:iCs/>
          <w:lang w:val="fr-FR"/>
        </w:rPr>
        <w:tab/>
      </w:r>
      <w:r w:rsidRPr="00076D0A">
        <w:rPr>
          <w:rFonts w:eastAsia="SimSun"/>
          <w:iCs/>
          <w:lang w:val="fr-FR"/>
        </w:rPr>
        <w:t>De plus, cet écran thermique doit protéger l</w:t>
      </w:r>
      <w:r>
        <w:rPr>
          <w:rFonts w:eastAsia="SimSun"/>
          <w:iCs/>
          <w:lang w:val="fr-FR"/>
        </w:rPr>
        <w:t>’</w:t>
      </w:r>
      <w:r w:rsidRPr="00076D0A">
        <w:rPr>
          <w:rFonts w:eastAsia="SimSun"/>
          <w:iCs/>
          <w:lang w:val="fr-FR"/>
        </w:rPr>
        <w:t>appareil contre les fuites ou écoulements, même accidentels, du chargement. Sera considérée comme satisfaisante une protection comportant, par exemple, un capotage à double paroi.</w:t>
      </w:r>
      <w:r>
        <w:rPr>
          <w:rFonts w:eastAsia="SimSun"/>
          <w:iCs/>
          <w:lang w:val="fr-FR"/>
        </w:rPr>
        <w:t> ».</w:t>
      </w:r>
    </w:p>
    <w:p w14:paraId="228B173E" w14:textId="77777777" w:rsidR="00E14B46" w:rsidRPr="00A2368D" w:rsidRDefault="00E14B46" w:rsidP="00E14B46">
      <w:pPr>
        <w:pStyle w:val="HChG"/>
        <w:rPr>
          <w:lang w:val="fr-FR"/>
        </w:rPr>
      </w:pPr>
      <w:r w:rsidRPr="00076D0A">
        <w:rPr>
          <w:lang w:val="fr-FR"/>
        </w:rPr>
        <w:tab/>
      </w:r>
      <w:r w:rsidRPr="00076D0A">
        <w:rPr>
          <w:lang w:val="fr-FR"/>
        </w:rPr>
        <w:tab/>
      </w:r>
      <w:r w:rsidRPr="00A2368D">
        <w:rPr>
          <w:lang w:val="fr-FR"/>
        </w:rPr>
        <w:t>Proposition 5</w:t>
      </w:r>
    </w:p>
    <w:p w14:paraId="4D075E65" w14:textId="77777777" w:rsidR="00E14B46" w:rsidRPr="00076D0A" w:rsidRDefault="00E14B46" w:rsidP="00E14B46">
      <w:pPr>
        <w:pStyle w:val="SingleTxtG"/>
        <w:rPr>
          <w:lang w:val="fr-FR"/>
        </w:rPr>
      </w:pPr>
      <w:r w:rsidRPr="00076D0A">
        <w:rPr>
          <w:lang w:val="fr-FR"/>
        </w:rPr>
        <w:t>8.</w:t>
      </w:r>
      <w:r w:rsidRPr="00076D0A">
        <w:rPr>
          <w:lang w:val="fr-FR"/>
        </w:rPr>
        <w:tab/>
        <w:t>9.2.4</w:t>
      </w:r>
      <w:r>
        <w:rPr>
          <w:lang w:val="fr-FR"/>
        </w:rPr>
        <w:t>, lire (</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 </w:t>
      </w:r>
      <w:r w:rsidRPr="00076D0A">
        <w:rPr>
          <w:lang w:val="fr-FR"/>
        </w:rPr>
        <w:t>:</w:t>
      </w:r>
    </w:p>
    <w:p w14:paraId="2EBD1D5D" w14:textId="77777777" w:rsidR="00E14B46" w:rsidRPr="00076D0A" w:rsidRDefault="00E14B46" w:rsidP="00332CB0">
      <w:pPr>
        <w:pStyle w:val="SingleTxtG"/>
        <w:tabs>
          <w:tab w:val="left" w:pos="2268"/>
        </w:tabs>
        <w:rPr>
          <w:strike/>
          <w:lang w:val="fr-FR"/>
        </w:rPr>
      </w:pPr>
      <w:r w:rsidRPr="00332CB0">
        <w:rPr>
          <w:lang w:val="fr-FR"/>
        </w:rPr>
        <w:t>«</w:t>
      </w:r>
      <w:r>
        <w:rPr>
          <w:b/>
          <w:bCs/>
          <w:lang w:val="fr-FR"/>
        </w:rPr>
        <w:t> </w:t>
      </w:r>
      <w:r w:rsidRPr="006D2E7D">
        <w:rPr>
          <w:b/>
          <w:bCs/>
          <w:lang w:val="fr-FR"/>
        </w:rPr>
        <w:t>9.2.4</w:t>
      </w:r>
      <w:r w:rsidRPr="006D2E7D">
        <w:rPr>
          <w:b/>
          <w:bCs/>
          <w:lang w:val="fr-FR"/>
        </w:rPr>
        <w:tab/>
      </w:r>
      <w:r w:rsidRPr="00076D0A">
        <w:rPr>
          <w:b/>
          <w:bCs/>
          <w:i/>
          <w:iCs/>
          <w:u w:val="single"/>
          <w:lang w:val="fr-FR"/>
        </w:rPr>
        <w:t>Système</w:t>
      </w:r>
      <w:r w:rsidRPr="00076D0A">
        <w:rPr>
          <w:b/>
          <w:bCs/>
          <w:i/>
          <w:iCs/>
          <w:u w:val="single"/>
          <w:lang w:val="fr-029"/>
        </w:rPr>
        <w:t xml:space="preserve"> de propulsion du véhicule</w:t>
      </w:r>
      <w:r w:rsidRPr="00076D0A">
        <w:rPr>
          <w:lang w:val="fr-FR"/>
        </w:rPr>
        <w:t xml:space="preserve"> </w:t>
      </w:r>
      <w:r w:rsidRPr="00076D0A">
        <w:rPr>
          <w:strike/>
          <w:lang w:val="fr-FR"/>
        </w:rPr>
        <w:t>P</w:t>
      </w:r>
      <w:r w:rsidRPr="00076D0A">
        <w:rPr>
          <w:strike/>
          <w:lang w:val="fr-029"/>
        </w:rPr>
        <w:t>révention des risques d’incendie</w:t>
      </w:r>
      <w:r>
        <w:rPr>
          <w:strike/>
          <w:lang w:val="fr-029"/>
        </w:rPr>
        <w:t> </w:t>
      </w:r>
      <w:r w:rsidRPr="001A7A5D">
        <w:rPr>
          <w:lang w:val="fr-029"/>
        </w:rPr>
        <w:t>».</w:t>
      </w:r>
    </w:p>
    <w:p w14:paraId="281C3601" w14:textId="77777777" w:rsidR="00E14B46" w:rsidRPr="00A2368D" w:rsidRDefault="00E14B46" w:rsidP="00332CB0">
      <w:pPr>
        <w:pStyle w:val="HChG"/>
        <w:rPr>
          <w:lang w:val="fr-FR"/>
        </w:rPr>
      </w:pPr>
      <w:r w:rsidRPr="00076D0A">
        <w:rPr>
          <w:lang w:val="fr-FR"/>
        </w:rPr>
        <w:lastRenderedPageBreak/>
        <w:tab/>
      </w:r>
      <w:r w:rsidRPr="00076D0A">
        <w:rPr>
          <w:lang w:val="fr-FR"/>
        </w:rPr>
        <w:tab/>
      </w:r>
      <w:r w:rsidRPr="00A2368D">
        <w:rPr>
          <w:lang w:val="fr-FR"/>
        </w:rPr>
        <w:t>Proposition 6</w:t>
      </w:r>
    </w:p>
    <w:p w14:paraId="5D508733" w14:textId="77777777" w:rsidR="00E14B46" w:rsidRPr="00076D0A" w:rsidRDefault="00E14B46" w:rsidP="00332CB0">
      <w:pPr>
        <w:pStyle w:val="SingleTxtG"/>
        <w:keepNext/>
        <w:rPr>
          <w:lang w:val="fr-FR"/>
        </w:rPr>
      </w:pPr>
      <w:r w:rsidRPr="00076D0A">
        <w:rPr>
          <w:lang w:val="fr-FR"/>
        </w:rPr>
        <w:t>9.</w:t>
      </w:r>
      <w:r w:rsidRPr="00076D0A">
        <w:rPr>
          <w:lang w:val="fr-FR"/>
        </w:rPr>
        <w:tab/>
      </w:r>
      <w:r>
        <w:rPr>
          <w:lang w:val="fr-FR"/>
        </w:rPr>
        <w:t>À la fin du 9.2.4.1, a</w:t>
      </w:r>
      <w:r w:rsidRPr="00076D0A">
        <w:rPr>
          <w:lang w:val="fr-FR"/>
        </w:rPr>
        <w:t>jouter un nouveau paragraphe</w:t>
      </w:r>
      <w:r>
        <w:rPr>
          <w:lang w:val="fr-FR"/>
        </w:rPr>
        <w:t>, libellé comme suit </w:t>
      </w:r>
      <w:r w:rsidRPr="00076D0A">
        <w:rPr>
          <w:lang w:val="fr-FR"/>
        </w:rPr>
        <w:t>:</w:t>
      </w:r>
    </w:p>
    <w:p w14:paraId="755F8A43" w14:textId="77777777" w:rsidR="00E14B46" w:rsidRPr="00076D0A" w:rsidRDefault="00E14B46" w:rsidP="00332CB0">
      <w:pPr>
        <w:pStyle w:val="SingleTxtG"/>
        <w:keepNext/>
        <w:ind w:left="2268"/>
        <w:rPr>
          <w:sz w:val="22"/>
          <w:szCs w:val="22"/>
          <w:lang w:val="fr-FR"/>
        </w:rPr>
      </w:pPr>
      <w:r>
        <w:rPr>
          <w:lang w:val="fr-FR"/>
        </w:rPr>
        <w:t>« </w:t>
      </w:r>
      <w:r w:rsidRPr="00076D0A">
        <w:rPr>
          <w:lang w:val="fr-FR"/>
        </w:rPr>
        <w:t>Les véhicules hybrid</w:t>
      </w:r>
      <w:r>
        <w:rPr>
          <w:lang w:val="fr-FR"/>
        </w:rPr>
        <w:t>e</w:t>
      </w:r>
      <w:r w:rsidRPr="00076D0A">
        <w:rPr>
          <w:lang w:val="fr-FR"/>
        </w:rPr>
        <w:t xml:space="preserve">s </w:t>
      </w:r>
      <w:r>
        <w:rPr>
          <w:lang w:val="fr-FR"/>
        </w:rPr>
        <w:t>équipés</w:t>
      </w:r>
      <w:r w:rsidRPr="00076D0A">
        <w:rPr>
          <w:lang w:val="fr-FR"/>
        </w:rPr>
        <w:t xml:space="preserve"> d’un moteur à combustion interne et d’une chaîne de traction électriqu</w:t>
      </w:r>
      <w:r>
        <w:rPr>
          <w:lang w:val="fr-FR"/>
        </w:rPr>
        <w:t>e doivent satisfaire aux prescriptions du 9.2.4.2 au 9.2.4.4 et du 9.2.4.5. ».</w:t>
      </w:r>
    </w:p>
    <w:p w14:paraId="6D482B44" w14:textId="77777777" w:rsidR="00E14B46" w:rsidRPr="00A2368D" w:rsidRDefault="00E14B46" w:rsidP="00E14B46">
      <w:pPr>
        <w:pStyle w:val="HChG"/>
        <w:rPr>
          <w:lang w:val="fr-FR"/>
        </w:rPr>
      </w:pPr>
      <w:r w:rsidRPr="00076D0A">
        <w:rPr>
          <w:lang w:val="fr-FR"/>
        </w:rPr>
        <w:tab/>
      </w:r>
      <w:r w:rsidRPr="00076D0A">
        <w:rPr>
          <w:lang w:val="fr-FR"/>
        </w:rPr>
        <w:tab/>
      </w:r>
      <w:r w:rsidRPr="00A2368D">
        <w:rPr>
          <w:lang w:val="fr-FR"/>
        </w:rPr>
        <w:t>Proposition 7</w:t>
      </w:r>
    </w:p>
    <w:p w14:paraId="04B0C485" w14:textId="77777777" w:rsidR="00E14B46" w:rsidRPr="00A127C8" w:rsidRDefault="00E14B46" w:rsidP="00E14B46">
      <w:pPr>
        <w:pStyle w:val="SingleTxtG"/>
        <w:rPr>
          <w:lang w:val="fr-FR"/>
        </w:rPr>
      </w:pPr>
      <w:r w:rsidRPr="00A127C8">
        <w:rPr>
          <w:lang w:val="fr-FR"/>
        </w:rPr>
        <w:t>10.</w:t>
      </w:r>
      <w:r w:rsidRPr="00A127C8">
        <w:rPr>
          <w:lang w:val="fr-FR"/>
        </w:rPr>
        <w:tab/>
        <w:t>9.2.4.2</w:t>
      </w:r>
      <w:r>
        <w:rPr>
          <w:lang w:val="fr-FR"/>
        </w:rPr>
        <w:t xml:space="preserve">, supprimer </w:t>
      </w:r>
      <w:r w:rsidRPr="00A127C8">
        <w:rPr>
          <w:lang w:val="fr-FR"/>
        </w:rPr>
        <w:t xml:space="preserve">(actuellement signalé </w:t>
      </w:r>
      <w:r>
        <w:rPr>
          <w:lang w:val="fr-FR"/>
        </w:rPr>
        <w:t>comme « </w:t>
      </w:r>
      <w:r w:rsidRPr="009B0B9A">
        <w:rPr>
          <w:i/>
          <w:iCs/>
          <w:lang w:val="fr-FR"/>
        </w:rPr>
        <w:t>Supprimé</w:t>
      </w:r>
      <w:r>
        <w:rPr>
          <w:lang w:val="fr-FR"/>
        </w:rPr>
        <w:t> »</w:t>
      </w:r>
      <w:r w:rsidRPr="00A127C8">
        <w:rPr>
          <w:lang w:val="fr-FR"/>
        </w:rPr>
        <w:t>).</w:t>
      </w:r>
    </w:p>
    <w:p w14:paraId="0C6FDCB0" w14:textId="77777777" w:rsidR="00E14B46" w:rsidRPr="00A2368D" w:rsidRDefault="00E14B46" w:rsidP="00E14B46">
      <w:pPr>
        <w:pStyle w:val="HChG"/>
        <w:rPr>
          <w:lang w:val="fr-FR"/>
        </w:rPr>
      </w:pPr>
      <w:r w:rsidRPr="00A127C8">
        <w:rPr>
          <w:lang w:val="fr-FR"/>
        </w:rPr>
        <w:tab/>
      </w:r>
      <w:r w:rsidRPr="00A127C8">
        <w:rPr>
          <w:lang w:val="fr-FR"/>
        </w:rPr>
        <w:tab/>
      </w:r>
      <w:r w:rsidRPr="00A2368D">
        <w:rPr>
          <w:lang w:val="fr-FR"/>
        </w:rPr>
        <w:t>Proposition 8</w:t>
      </w:r>
    </w:p>
    <w:p w14:paraId="3A721285" w14:textId="77777777" w:rsidR="00E14B46" w:rsidRPr="00A127C8" w:rsidRDefault="00E14B46" w:rsidP="00E14B46">
      <w:pPr>
        <w:pStyle w:val="SingleTxtG"/>
        <w:rPr>
          <w:lang w:val="fr-FR"/>
        </w:rPr>
      </w:pPr>
      <w:r w:rsidRPr="00A127C8">
        <w:rPr>
          <w:lang w:val="fr-FR"/>
        </w:rPr>
        <w:t>11.</w:t>
      </w:r>
      <w:r w:rsidRPr="00A127C8">
        <w:rPr>
          <w:lang w:val="fr-FR"/>
        </w:rPr>
        <w:tab/>
      </w:r>
      <w:r>
        <w:rPr>
          <w:lang w:val="fr-FR"/>
        </w:rPr>
        <w:t xml:space="preserve">Le </w:t>
      </w:r>
      <w:r w:rsidRPr="00A127C8">
        <w:rPr>
          <w:lang w:val="fr-FR"/>
        </w:rPr>
        <w:t xml:space="preserve">9.2.4.3 </w:t>
      </w:r>
      <w:r>
        <w:rPr>
          <w:lang w:val="fr-FR"/>
        </w:rPr>
        <w:t>devient le</w:t>
      </w:r>
      <w:r w:rsidRPr="00A127C8">
        <w:rPr>
          <w:lang w:val="fr-FR"/>
        </w:rPr>
        <w:t xml:space="preserve"> 9.2.4.2 et </w:t>
      </w:r>
      <w:r>
        <w:rPr>
          <w:lang w:val="fr-FR"/>
        </w:rPr>
        <w:t>se lit</w:t>
      </w:r>
      <w:r w:rsidRPr="00A127C8">
        <w:rPr>
          <w:lang w:val="fr-FR"/>
        </w:rPr>
        <w:t xml:space="preserve"> comme suit (</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A127C8">
        <w:rPr>
          <w:lang w:val="fr-FR"/>
        </w:rPr>
        <w:t>)</w:t>
      </w:r>
      <w:r>
        <w:rPr>
          <w:lang w:val="fr-FR"/>
        </w:rPr>
        <w:t> :</w:t>
      </w:r>
    </w:p>
    <w:p w14:paraId="453D5634" w14:textId="77777777" w:rsidR="00E14B46" w:rsidRPr="00A127C8" w:rsidRDefault="00E14B46" w:rsidP="00E14B46">
      <w:pPr>
        <w:pStyle w:val="SingleTxtG"/>
        <w:rPr>
          <w:i/>
          <w:iCs/>
          <w:lang w:val="fr-FR"/>
        </w:rPr>
      </w:pPr>
      <w:r w:rsidRPr="00A127C8">
        <w:rPr>
          <w:lang w:val="fr-029"/>
        </w:rPr>
        <w:t>«</w:t>
      </w:r>
      <w:r>
        <w:rPr>
          <w:b/>
          <w:bCs/>
          <w:lang w:val="fr-029"/>
        </w:rPr>
        <w:t> </w:t>
      </w:r>
      <w:r w:rsidRPr="006D2E7D">
        <w:rPr>
          <w:b/>
          <w:bCs/>
          <w:lang w:val="fr-FR"/>
        </w:rPr>
        <w:t>9.2.4.</w:t>
      </w:r>
      <w:r w:rsidRPr="006D2E7D">
        <w:rPr>
          <w:b/>
          <w:bCs/>
          <w:strike/>
          <w:lang w:val="fr-FR"/>
        </w:rPr>
        <w:t>3</w:t>
      </w:r>
      <w:r w:rsidRPr="006D2E7D">
        <w:rPr>
          <w:b/>
          <w:bCs/>
          <w:lang w:val="fr-FR"/>
        </w:rPr>
        <w:t>.</w:t>
      </w:r>
      <w:r w:rsidRPr="006D2E7D">
        <w:rPr>
          <w:b/>
          <w:bCs/>
          <w:i/>
          <w:iCs/>
          <w:u w:val="single"/>
          <w:lang w:val="fr-FR"/>
        </w:rPr>
        <w:t>2</w:t>
      </w:r>
      <w:r w:rsidRPr="00A127C8">
        <w:rPr>
          <w:lang w:val="fr-FR"/>
        </w:rPr>
        <w:t xml:space="preserve"> </w:t>
      </w:r>
      <w:r w:rsidRPr="00A127C8">
        <w:rPr>
          <w:lang w:val="fr-FR"/>
        </w:rPr>
        <w:tab/>
      </w:r>
      <w:r w:rsidRPr="00A127C8">
        <w:rPr>
          <w:b/>
          <w:bCs/>
          <w:i/>
          <w:iCs/>
          <w:lang w:val="fr-FR"/>
        </w:rPr>
        <w:t>Réservoirs et bouteilles de c</w:t>
      </w:r>
      <w:r>
        <w:rPr>
          <w:b/>
          <w:bCs/>
          <w:i/>
          <w:iCs/>
          <w:lang w:val="fr-FR"/>
        </w:rPr>
        <w:t>arburant</w:t>
      </w:r>
    </w:p>
    <w:p w14:paraId="5D20D338" w14:textId="616A3CC7" w:rsidR="00E14B46" w:rsidRDefault="00E14B46" w:rsidP="00332CB0">
      <w:pPr>
        <w:pStyle w:val="SingleTxtG"/>
        <w:ind w:left="2268"/>
        <w:rPr>
          <w:i/>
          <w:iCs/>
          <w:strike/>
          <w:lang w:val="fr-FR"/>
        </w:rPr>
      </w:pPr>
      <w:r w:rsidRPr="00A127C8">
        <w:rPr>
          <w:b/>
          <w:bCs/>
          <w:i/>
          <w:iCs/>
          <w:strike/>
          <w:lang w:val="fr-FR"/>
        </w:rPr>
        <w:t>NOTA : </w:t>
      </w:r>
      <w:r w:rsidRPr="00A127C8">
        <w:rPr>
          <w:i/>
          <w:iCs/>
          <w:strike/>
          <w:lang w:val="fr-FR"/>
        </w:rPr>
        <w:t>Le 9.2.4.3 s’applique également aux réservoirs et bouteilles de carburant utilisés pour les véhicules hybrides comprenant une chaîne de traction électrique associée à la transmission mécanique du moteur à combustion interne, ou qui utilisent un moteur à combustion interne pour entraîner un générateur afin d’alimenter la chaîne de traction électrique</w:t>
      </w:r>
      <w:r>
        <w:rPr>
          <w:i/>
          <w:iCs/>
          <w:strike/>
          <w:lang w:val="fr-FR"/>
        </w:rPr>
        <w:t>.</w:t>
      </w:r>
    </w:p>
    <w:p w14:paraId="4F53EC60" w14:textId="01EE7291" w:rsidR="00E14B46" w:rsidRPr="00A127C8" w:rsidRDefault="00E14B46" w:rsidP="00332CB0">
      <w:pPr>
        <w:pStyle w:val="SingleTxtG"/>
        <w:ind w:left="2268"/>
        <w:rPr>
          <w:lang w:val="fr-FR"/>
        </w:rPr>
      </w:pPr>
      <w:r w:rsidRPr="00A127C8">
        <w:rPr>
          <w:lang w:val="fr-FR"/>
        </w:rPr>
        <w:t xml:space="preserve">Les réservoirs et bouteilles de carburant pour l’alimentation du moteur </w:t>
      </w:r>
      <w:r w:rsidRPr="00A127C8">
        <w:rPr>
          <w:i/>
          <w:iCs/>
          <w:u w:val="single"/>
          <w:lang w:val="fr-FR"/>
        </w:rPr>
        <w:t xml:space="preserve">ou les </w:t>
      </w:r>
      <w:r w:rsidRPr="00A127C8">
        <w:rPr>
          <w:rStyle w:val="preferred"/>
          <w:i/>
          <w:iCs/>
          <w:u w:val="single"/>
          <w:lang w:val="fr-FR"/>
        </w:rPr>
        <w:t>piles à combustible</w:t>
      </w:r>
      <w:r>
        <w:rPr>
          <w:rStyle w:val="preferred"/>
          <w:i/>
          <w:iCs/>
          <w:u w:val="single"/>
          <w:lang w:val="fr-FR"/>
        </w:rPr>
        <w:t xml:space="preserve"> </w:t>
      </w:r>
      <w:r w:rsidRPr="00A127C8">
        <w:rPr>
          <w:lang w:val="fr-FR"/>
        </w:rPr>
        <w:t>du véhicule doivent répondre aux prescriptions suivantes</w:t>
      </w:r>
      <w:r w:rsidR="00EC59FE">
        <w:rPr>
          <w:lang w:val="fr-FR"/>
        </w:rPr>
        <w:t> </w:t>
      </w:r>
      <w:r w:rsidRPr="00A127C8">
        <w:rPr>
          <w:lang w:val="fr-FR"/>
        </w:rPr>
        <w:t>:</w:t>
      </w:r>
    </w:p>
    <w:p w14:paraId="61A00154" w14:textId="545BD1B9" w:rsidR="00E14B46" w:rsidRPr="00A127C8" w:rsidRDefault="00E14B46" w:rsidP="00332CB0">
      <w:pPr>
        <w:pStyle w:val="SingleTxtG"/>
        <w:ind w:left="2835" w:hanging="567"/>
        <w:rPr>
          <w:lang w:val="fr-FR"/>
        </w:rPr>
      </w:pPr>
      <w:r w:rsidRPr="00A127C8">
        <w:rPr>
          <w:lang w:val="fr-FR"/>
        </w:rPr>
        <w:t>a)</w:t>
      </w:r>
      <w:r w:rsidRPr="00A127C8">
        <w:rPr>
          <w:lang w:val="fr-FR"/>
        </w:rPr>
        <w:tab/>
        <w:t>En cas de fuite survenant dans des conditions normales de transport, le carburant liquide ou la phase liquide d’un carburant gazeux doit s’écouler sur le sol et ne doit pas venir au contact du chargement ni de parties chaudes du véhicule</w:t>
      </w:r>
      <w:r w:rsidR="00EC59FE">
        <w:rPr>
          <w:lang w:val="fr-FR"/>
        </w:rPr>
        <w:t> </w:t>
      </w:r>
      <w:r w:rsidRPr="00A127C8">
        <w:rPr>
          <w:lang w:val="fr-FR"/>
        </w:rPr>
        <w:t xml:space="preserve">; </w:t>
      </w:r>
    </w:p>
    <w:p w14:paraId="525FE747" w14:textId="35F8A344" w:rsidR="00E14B46" w:rsidRPr="00A127C8" w:rsidRDefault="00E14B46" w:rsidP="00332CB0">
      <w:pPr>
        <w:pStyle w:val="SingleTxtG"/>
        <w:ind w:left="2835" w:hanging="567"/>
        <w:rPr>
          <w:lang w:val="fr-FR"/>
        </w:rPr>
      </w:pPr>
      <w:r w:rsidRPr="00A127C8">
        <w:rPr>
          <w:lang w:val="fr-FR"/>
        </w:rPr>
        <w:t>b)</w:t>
      </w:r>
      <w:r w:rsidRPr="00A127C8">
        <w:rPr>
          <w:lang w:val="fr-FR"/>
        </w:rPr>
        <w:tab/>
        <w:t>Les réservoirs de carburant pour les combustibles liquides doivent être conformes aux dispositions du Règlement ONU No 34</w:t>
      </w:r>
      <w:r w:rsidR="00EC59FE">
        <w:rPr>
          <w:lang w:val="fr-FR"/>
        </w:rPr>
        <w:t> </w:t>
      </w:r>
      <w:r w:rsidRPr="00A127C8">
        <w:rPr>
          <w:lang w:val="fr-FR"/>
        </w:rPr>
        <w:t>; les réservoirs contenant de l’essence doivent être équipés d’un dispositif coupe-flammes efficace s’adaptant à l’orifice de remplissage ou d’un dispositif permettant de maintenir l’orifice de remplissage hermétiquement fermé</w:t>
      </w:r>
      <w:r w:rsidRPr="00A127C8">
        <w:rPr>
          <w:strike/>
          <w:lang w:val="fr-FR"/>
        </w:rPr>
        <w:t>. Les réservoirs de GPL et les bouteilles de GNC doivent satisfaire aux prescriptions pertinentes du Règlement ONU No 110. Les réservoirs de GPL doivent satisfaire aux prescriptions pertinentes du Règlement ONU No 67</w:t>
      </w:r>
      <w:r w:rsidR="00EC59FE">
        <w:rPr>
          <w:lang w:val="fr-FR"/>
        </w:rPr>
        <w:t> </w:t>
      </w:r>
      <w:r w:rsidRPr="00A127C8">
        <w:rPr>
          <w:lang w:val="fr-FR"/>
        </w:rPr>
        <w:t>;</w:t>
      </w:r>
    </w:p>
    <w:p w14:paraId="443880FC" w14:textId="77777777" w:rsidR="00E14B46" w:rsidRPr="00A127C8" w:rsidRDefault="00E14B46" w:rsidP="00332CB0">
      <w:pPr>
        <w:pStyle w:val="SingleTxtG"/>
        <w:ind w:left="2835" w:hanging="567"/>
        <w:rPr>
          <w:i/>
          <w:iCs/>
          <w:u w:val="single"/>
          <w:lang w:val="fr-FR"/>
        </w:rPr>
      </w:pPr>
      <w:r w:rsidRPr="00A127C8">
        <w:rPr>
          <w:i/>
          <w:iCs/>
          <w:u w:val="single"/>
          <w:lang w:val="fr-FR"/>
        </w:rPr>
        <w:t>c)</w:t>
      </w:r>
      <w:r w:rsidRPr="00A127C8">
        <w:rPr>
          <w:i/>
          <w:iCs/>
          <w:u w:val="single"/>
          <w:lang w:val="fr-FR"/>
        </w:rPr>
        <w:tab/>
        <w:t>Les réservoirs de GPL et les bouteilles de GNC doivent satisfaire aux prescriptions pertinentes du Règlement ONU No 110</w:t>
      </w:r>
      <w:r>
        <w:rPr>
          <w:i/>
          <w:iCs/>
          <w:u w:val="single"/>
          <w:lang w:val="fr-FR"/>
        </w:rPr>
        <w:t> ;</w:t>
      </w:r>
    </w:p>
    <w:p w14:paraId="46B9167E" w14:textId="77777777" w:rsidR="00E14B46" w:rsidRDefault="00E14B46" w:rsidP="00332CB0">
      <w:pPr>
        <w:pStyle w:val="SingleTxtG"/>
        <w:ind w:left="2835" w:hanging="567"/>
        <w:rPr>
          <w:i/>
          <w:iCs/>
          <w:u w:val="single"/>
          <w:lang w:val="fr-FR"/>
        </w:rPr>
      </w:pPr>
      <w:r w:rsidRPr="00A127C8">
        <w:rPr>
          <w:i/>
          <w:iCs/>
          <w:u w:val="single"/>
          <w:lang w:val="fr-FR"/>
        </w:rPr>
        <w:t>d)</w:t>
      </w:r>
      <w:r w:rsidRPr="00A127C8">
        <w:rPr>
          <w:i/>
          <w:iCs/>
          <w:u w:val="single"/>
          <w:lang w:val="fr-FR"/>
        </w:rPr>
        <w:tab/>
        <w:t>Les réservoirs de GPL doivent satisfaire aux prescriptions pertinentes du Règlement ONU No 67</w:t>
      </w:r>
      <w:r>
        <w:rPr>
          <w:i/>
          <w:iCs/>
          <w:u w:val="single"/>
          <w:lang w:val="fr-FR"/>
        </w:rPr>
        <w:t> ;</w:t>
      </w:r>
    </w:p>
    <w:p w14:paraId="45A0BC89" w14:textId="77777777" w:rsidR="00E14B46" w:rsidRPr="00DC2BBD" w:rsidRDefault="00E14B46" w:rsidP="00332CB0">
      <w:pPr>
        <w:pStyle w:val="SingleTxtG"/>
        <w:ind w:left="2835" w:hanging="567"/>
        <w:rPr>
          <w:i/>
          <w:iCs/>
          <w:u w:val="single"/>
          <w:lang w:val="fr-FR"/>
        </w:rPr>
      </w:pPr>
      <w:r w:rsidRPr="00A127C8">
        <w:rPr>
          <w:i/>
          <w:iCs/>
          <w:u w:val="single"/>
          <w:lang w:val="fr-FR"/>
        </w:rPr>
        <w:t>e)</w:t>
      </w:r>
      <w:r w:rsidRPr="00A127C8">
        <w:rPr>
          <w:i/>
          <w:iCs/>
          <w:u w:val="single"/>
          <w:lang w:val="fr-FR"/>
        </w:rPr>
        <w:tab/>
        <w:t xml:space="preserve">Les réservoirs et les bouteilles d’hydrogène doivent satisfaire aux prescriptions </w:t>
      </w:r>
      <w:r>
        <w:rPr>
          <w:i/>
          <w:iCs/>
          <w:u w:val="single"/>
          <w:lang w:val="fr-FR"/>
        </w:rPr>
        <w:t xml:space="preserve">pertinentes du Règlement ONU No 134, tel que modifié </w:t>
      </w:r>
      <w:r w:rsidRPr="009C2D55">
        <w:rPr>
          <w:rStyle w:val="preferred"/>
          <w:i/>
          <w:iCs/>
          <w:u w:val="single"/>
          <w:lang w:val="fr-FR"/>
        </w:rPr>
        <w:t>au minimum</w:t>
      </w:r>
      <w:r>
        <w:rPr>
          <w:rStyle w:val="preferred"/>
          <w:i/>
          <w:iCs/>
          <w:u w:val="single"/>
          <w:lang w:val="fr-FR"/>
        </w:rPr>
        <w:t xml:space="preserve"> par</w:t>
      </w:r>
      <w:r w:rsidRPr="009C2D55">
        <w:rPr>
          <w:rStyle w:val="preferred"/>
          <w:i/>
          <w:iCs/>
          <w:u w:val="single"/>
          <w:lang w:val="fr-FR"/>
        </w:rPr>
        <w:t xml:space="preserve"> la série 0</w:t>
      </w:r>
      <w:r>
        <w:rPr>
          <w:rStyle w:val="preferred"/>
          <w:i/>
          <w:iCs/>
          <w:u w:val="single"/>
          <w:lang w:val="fr-FR"/>
        </w:rPr>
        <w:t>2</w:t>
      </w:r>
      <w:r w:rsidRPr="009C2D55">
        <w:rPr>
          <w:rStyle w:val="preferred"/>
          <w:i/>
          <w:iCs/>
          <w:u w:val="single"/>
          <w:lang w:val="fr-FR"/>
        </w:rPr>
        <w:t xml:space="preserve"> d’amendements</w:t>
      </w:r>
      <w:r>
        <w:rPr>
          <w:rStyle w:val="preferred"/>
          <w:i/>
          <w:iCs/>
          <w:u w:val="single"/>
          <w:lang w:val="fr-FR"/>
        </w:rPr>
        <w:t xml:space="preserve"> ; les réservoirs d’hydrogène liquide doivent satisfaire aux prescriptions techniques de la partie 7 de la phase 2 du </w:t>
      </w:r>
      <w:r w:rsidRPr="008763C3">
        <w:rPr>
          <w:rStyle w:val="preferred"/>
          <w:i/>
          <w:iCs/>
          <w:u w:val="single"/>
          <w:lang w:val="fr-FR"/>
        </w:rPr>
        <w:t xml:space="preserve">RTM </w:t>
      </w:r>
      <w:r>
        <w:rPr>
          <w:rStyle w:val="preferred"/>
          <w:i/>
          <w:iCs/>
          <w:u w:val="single"/>
          <w:lang w:val="fr-FR"/>
        </w:rPr>
        <w:t xml:space="preserve">ONU </w:t>
      </w:r>
      <w:r w:rsidRPr="008763C3">
        <w:rPr>
          <w:rStyle w:val="preferred"/>
          <w:i/>
          <w:iCs/>
          <w:u w:val="single"/>
          <w:lang w:val="fr-FR"/>
        </w:rPr>
        <w:t>n</w:t>
      </w:r>
      <w:r w:rsidRPr="008763C3">
        <w:rPr>
          <w:rStyle w:val="preferred"/>
          <w:i/>
          <w:iCs/>
          <w:u w:val="single"/>
          <w:vertAlign w:val="superscript"/>
          <w:lang w:val="fr-FR"/>
        </w:rPr>
        <w:t>o</w:t>
      </w:r>
      <w:r w:rsidRPr="008763C3">
        <w:rPr>
          <w:rStyle w:val="preferred"/>
          <w:i/>
          <w:iCs/>
          <w:u w:val="single"/>
          <w:lang w:val="fr-FR"/>
        </w:rPr>
        <w:t xml:space="preserve"> 13</w:t>
      </w:r>
      <w:r>
        <w:rPr>
          <w:rStyle w:val="preferred"/>
          <w:i/>
          <w:iCs/>
          <w:u w:val="single"/>
          <w:lang w:val="fr-FR"/>
        </w:rPr>
        <w:t> ;</w:t>
      </w:r>
    </w:p>
    <w:p w14:paraId="426DA8AA" w14:textId="77777777" w:rsidR="00E14B46" w:rsidRPr="00A127C8" w:rsidRDefault="00E14B46" w:rsidP="00332CB0">
      <w:pPr>
        <w:pStyle w:val="SingleTxtG"/>
        <w:ind w:left="2835" w:hanging="567"/>
        <w:rPr>
          <w:lang w:val="fr-FR"/>
        </w:rPr>
      </w:pPr>
      <w:r w:rsidRPr="00A127C8">
        <w:rPr>
          <w:i/>
          <w:iCs/>
          <w:u w:val="single"/>
          <w:lang w:val="fr-FR"/>
        </w:rPr>
        <w:t>f)</w:t>
      </w:r>
      <w:r w:rsidRPr="00A127C8">
        <w:rPr>
          <w:lang w:val="fr-FR"/>
        </w:rPr>
        <w:tab/>
        <w:t xml:space="preserve">Les ouvertures de vidange des dispositifs de décompression ou des soupapes des réservoirs de carburant contenant des combustibles gazeux doivent être orientées dans une direction autre que celle des prises d’air, des réservoirs de carburant, du chargement ou des parties chaudes du véhicule et ne doivent pas affecter les surfaces fermées, les autres véhicules, les systèmes montés à l’extérieur avec une prise d’air </w:t>
      </w:r>
      <w:r w:rsidRPr="00A127C8">
        <w:rPr>
          <w:lang w:val="fr-FR"/>
        </w:rPr>
        <w:lastRenderedPageBreak/>
        <w:t xml:space="preserve">(par exemple les systèmes de climatisation), l’admission du moteur, </w:t>
      </w:r>
      <w:r w:rsidRPr="00A127C8">
        <w:rPr>
          <w:i/>
          <w:iCs/>
          <w:u w:val="single"/>
          <w:lang w:val="fr-FR"/>
        </w:rPr>
        <w:t>les systèmes de stockage électrique</w:t>
      </w:r>
      <w:r>
        <w:rPr>
          <w:i/>
          <w:iCs/>
          <w:u w:val="single"/>
          <w:lang w:val="fr-FR"/>
        </w:rPr>
        <w:t xml:space="preserve"> ou</w:t>
      </w:r>
      <w:r>
        <w:rPr>
          <w:lang w:val="fr-FR"/>
        </w:rPr>
        <w:t xml:space="preserve"> </w:t>
      </w:r>
      <w:r w:rsidRPr="00A127C8">
        <w:rPr>
          <w:lang w:val="fr-FR"/>
        </w:rPr>
        <w:t>l’échappement du moteur. Les tuyaux du circuit d’alimentation ne doivent pas être fixés sur le réservoir contenant le chargement.</w:t>
      </w:r>
      <w:r>
        <w:rPr>
          <w:lang w:val="fr-FR"/>
        </w:rPr>
        <w:t> ».</w:t>
      </w:r>
    </w:p>
    <w:p w14:paraId="03EC53E2" w14:textId="77777777" w:rsidR="00E14B46" w:rsidRPr="00A2368D" w:rsidRDefault="00E14B46" w:rsidP="00E14B46">
      <w:pPr>
        <w:pStyle w:val="HChG"/>
        <w:rPr>
          <w:lang w:val="fr-FR"/>
        </w:rPr>
      </w:pPr>
      <w:r w:rsidRPr="00A127C8">
        <w:rPr>
          <w:lang w:val="fr-FR"/>
        </w:rPr>
        <w:tab/>
      </w:r>
      <w:r w:rsidRPr="00A127C8">
        <w:rPr>
          <w:lang w:val="fr-FR"/>
        </w:rPr>
        <w:tab/>
      </w:r>
      <w:r w:rsidRPr="00A2368D">
        <w:rPr>
          <w:lang w:val="fr-FR"/>
        </w:rPr>
        <w:t>Proposition 9</w:t>
      </w:r>
    </w:p>
    <w:p w14:paraId="1C5ABB94" w14:textId="4299D54F" w:rsidR="00E14B46" w:rsidRPr="00DC2BBD" w:rsidRDefault="00E14B46" w:rsidP="00E14B46">
      <w:pPr>
        <w:pStyle w:val="SingleTxtG"/>
        <w:rPr>
          <w:lang w:val="fr-FR"/>
        </w:rPr>
      </w:pPr>
      <w:r w:rsidRPr="00DC2BBD">
        <w:rPr>
          <w:lang w:val="fr-FR"/>
        </w:rPr>
        <w:t>12.</w:t>
      </w:r>
      <w:r w:rsidRPr="00DC2BBD">
        <w:rPr>
          <w:lang w:val="fr-FR"/>
        </w:rPr>
        <w:tab/>
      </w:r>
      <w:r>
        <w:rPr>
          <w:lang w:val="fr-FR"/>
        </w:rPr>
        <w:t>Le</w:t>
      </w:r>
      <w:r w:rsidRPr="00DC2BBD">
        <w:rPr>
          <w:lang w:val="fr-FR"/>
        </w:rPr>
        <w:t xml:space="preserve"> 9.2.4.4 </w:t>
      </w:r>
      <w:r>
        <w:rPr>
          <w:lang w:val="fr-FR"/>
        </w:rPr>
        <w:t>devient le</w:t>
      </w:r>
      <w:r w:rsidRPr="00DC2BBD">
        <w:rPr>
          <w:lang w:val="fr-FR"/>
        </w:rPr>
        <w:t xml:space="preserve"> 9.2.4.3</w:t>
      </w:r>
      <w:r>
        <w:rPr>
          <w:lang w:val="fr-FR"/>
        </w:rPr>
        <w:t>. Modifier son</w:t>
      </w:r>
      <w:r w:rsidRPr="00DC2BBD">
        <w:rPr>
          <w:lang w:val="fr-FR"/>
        </w:rPr>
        <w:t xml:space="preserve"> titre et </w:t>
      </w:r>
      <w:r>
        <w:rPr>
          <w:lang w:val="fr-FR"/>
        </w:rPr>
        <w:t>son</w:t>
      </w:r>
      <w:r w:rsidRPr="00DC2BBD">
        <w:rPr>
          <w:lang w:val="fr-FR"/>
        </w:rPr>
        <w:t xml:space="preserve"> no</w:t>
      </w:r>
      <w:r>
        <w:rPr>
          <w:lang w:val="fr-FR"/>
        </w:rPr>
        <w:t>ta</w:t>
      </w:r>
      <w:r w:rsidRPr="00DC2BBD">
        <w:rPr>
          <w:lang w:val="fr-FR"/>
        </w:rPr>
        <w:t xml:space="preserve"> comme suit</w:t>
      </w:r>
      <w:r w:rsidR="00332CB0">
        <w:rPr>
          <w:lang w:val="fr-FR"/>
        </w:rPr>
        <w:t xml:space="preserve"> </w:t>
      </w:r>
      <w:r w:rsidRPr="00DC2BBD">
        <w:rPr>
          <w:lang w:val="fr-FR"/>
        </w:rPr>
        <w:t>(</w:t>
      </w:r>
      <w:r w:rsidRPr="00CB07E5">
        <w:rPr>
          <w:lang w:val="fr-FR"/>
        </w:rPr>
        <w:t>le</w:t>
      </w:r>
      <w:r>
        <w:rPr>
          <w:lang w:val="fr-FR"/>
        </w:rPr>
        <w:t>s</w:t>
      </w:r>
      <w:r w:rsidR="00332CB0">
        <w:rPr>
          <w:lang w:val="fr-FR"/>
        </w:rPr>
        <w:t> </w:t>
      </w:r>
      <w:r>
        <w:rPr>
          <w:lang w:val="fr-FR"/>
        </w:rPr>
        <w:t xml:space="preserve">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A127C8">
        <w:rPr>
          <w:lang w:val="fr-FR"/>
        </w:rPr>
        <w:t>)</w:t>
      </w:r>
      <w:r>
        <w:rPr>
          <w:lang w:val="fr-FR"/>
        </w:rPr>
        <w:t> </w:t>
      </w:r>
      <w:r w:rsidRPr="00DC2BBD">
        <w:rPr>
          <w:lang w:val="fr-FR"/>
        </w:rPr>
        <w:t>:</w:t>
      </w:r>
    </w:p>
    <w:p w14:paraId="5FDAD243" w14:textId="77777777" w:rsidR="00E14B46" w:rsidRPr="00A2368D" w:rsidRDefault="00E14B46" w:rsidP="00E14B46">
      <w:pPr>
        <w:pStyle w:val="SingleTxtG"/>
        <w:rPr>
          <w:strike/>
          <w:lang w:val="fr-FR"/>
        </w:rPr>
      </w:pPr>
      <w:r w:rsidRPr="007B4F91">
        <w:rPr>
          <w:lang w:val="fr-FR"/>
        </w:rPr>
        <w:t>« </w:t>
      </w:r>
      <w:r w:rsidRPr="006D2E7D">
        <w:rPr>
          <w:b/>
          <w:bCs/>
          <w:lang w:val="fr-FR"/>
        </w:rPr>
        <w:t>9.2.4.</w:t>
      </w:r>
      <w:r w:rsidRPr="006D2E7D">
        <w:rPr>
          <w:b/>
          <w:bCs/>
          <w:i/>
          <w:iCs/>
          <w:u w:val="single"/>
          <w:lang w:val="fr-FR"/>
        </w:rPr>
        <w:t>3</w:t>
      </w:r>
      <w:r w:rsidRPr="006D2E7D">
        <w:rPr>
          <w:b/>
          <w:bCs/>
          <w:strike/>
          <w:lang w:val="fr-FR"/>
        </w:rPr>
        <w:t>4</w:t>
      </w:r>
      <w:r w:rsidRPr="00A2368D">
        <w:rPr>
          <w:lang w:val="fr-FR"/>
        </w:rPr>
        <w:tab/>
      </w:r>
      <w:r w:rsidRPr="00A2368D">
        <w:rPr>
          <w:b/>
          <w:bCs/>
          <w:i/>
          <w:iCs/>
          <w:u w:val="single"/>
          <w:lang w:val="fr-FR"/>
        </w:rPr>
        <w:t xml:space="preserve">Moteur à combustion interne </w:t>
      </w:r>
      <w:r w:rsidRPr="00A2368D">
        <w:rPr>
          <w:b/>
          <w:bCs/>
          <w:i/>
          <w:iCs/>
          <w:strike/>
          <w:u w:val="single"/>
          <w:lang w:val="fr-FR"/>
        </w:rPr>
        <w:t>Moteur</w:t>
      </w:r>
    </w:p>
    <w:p w14:paraId="68C148B4" w14:textId="1E9C3F5F" w:rsidR="00E14B46" w:rsidRPr="00DC2BBD" w:rsidRDefault="00E14B46" w:rsidP="00332CB0">
      <w:pPr>
        <w:pStyle w:val="SingleTxtG"/>
        <w:ind w:left="2268"/>
        <w:rPr>
          <w:i/>
          <w:iCs/>
          <w:strike/>
          <w:lang w:val="fr-FR"/>
        </w:rPr>
      </w:pPr>
      <w:r>
        <w:rPr>
          <w:lang w:val="fr-FR"/>
        </w:rPr>
        <w:t>« </w:t>
      </w:r>
      <w:r w:rsidRPr="00DC2BBD">
        <w:rPr>
          <w:b/>
          <w:bCs/>
          <w:i/>
          <w:iCs/>
          <w:strike/>
          <w:lang w:val="fr-FR"/>
        </w:rPr>
        <w:t>NOTA</w:t>
      </w:r>
      <w:r>
        <w:rPr>
          <w:b/>
          <w:bCs/>
          <w:i/>
          <w:iCs/>
          <w:strike/>
          <w:lang w:val="fr-FR"/>
        </w:rPr>
        <w:t> </w:t>
      </w:r>
      <w:r w:rsidRPr="00DC2BBD">
        <w:rPr>
          <w:b/>
          <w:bCs/>
          <w:i/>
          <w:iCs/>
          <w:strike/>
          <w:lang w:val="fr-FR"/>
        </w:rPr>
        <w:t>: </w:t>
      </w:r>
      <w:r w:rsidRPr="00DC2BBD">
        <w:rPr>
          <w:i/>
          <w:iCs/>
          <w:strike/>
          <w:lang w:val="fr-FR"/>
        </w:rPr>
        <w:t>Le 9.2.4.4 s’applique également aux véhicules hybrides comprenant une chaîne de traction électrique associée à la transmission mécanique du moteur à combustion interne, ou qui utilisent un moteur à combustion interne pour entraîner un générateur afin d’alimenter la chaîne de traction électrique.</w:t>
      </w:r>
      <w:r>
        <w:rPr>
          <w:i/>
          <w:iCs/>
          <w:lang w:val="fr-FR"/>
        </w:rPr>
        <w:t> </w:t>
      </w:r>
      <w:r w:rsidRPr="00332CB0">
        <w:rPr>
          <w:lang w:val="fr-FR"/>
        </w:rPr>
        <w:t>»</w:t>
      </w:r>
      <w:r>
        <w:rPr>
          <w:i/>
          <w:iCs/>
          <w:lang w:val="fr-FR"/>
        </w:rPr>
        <w:t>.</w:t>
      </w:r>
    </w:p>
    <w:p w14:paraId="5A0EFE9A" w14:textId="77777777" w:rsidR="00E14B46" w:rsidRPr="00DC2BBD" w:rsidRDefault="00E14B46" w:rsidP="00332CB0">
      <w:pPr>
        <w:pStyle w:val="SingleTxtG"/>
        <w:rPr>
          <w:lang w:val="fr-FR"/>
        </w:rPr>
      </w:pPr>
      <w:r w:rsidRPr="00DC2BBD">
        <w:rPr>
          <w:lang w:val="fr-FR"/>
        </w:rPr>
        <w:t xml:space="preserve">[Le reste du </w:t>
      </w:r>
      <w:r w:rsidRPr="00332CB0">
        <w:t>texte</w:t>
      </w:r>
      <w:r w:rsidRPr="00DC2BBD">
        <w:rPr>
          <w:lang w:val="fr-FR"/>
        </w:rPr>
        <w:t xml:space="preserve"> </w:t>
      </w:r>
      <w:r>
        <w:rPr>
          <w:lang w:val="fr-FR"/>
        </w:rPr>
        <w:t>demeure tel quel.</w:t>
      </w:r>
      <w:r w:rsidRPr="00DC2BBD">
        <w:rPr>
          <w:lang w:val="fr-FR"/>
        </w:rPr>
        <w:t>]</w:t>
      </w:r>
    </w:p>
    <w:p w14:paraId="0C4A324A" w14:textId="77777777" w:rsidR="00E14B46" w:rsidRPr="00A2368D" w:rsidRDefault="00E14B46" w:rsidP="00E14B46">
      <w:pPr>
        <w:pStyle w:val="HChG"/>
        <w:rPr>
          <w:i/>
          <w:iCs/>
          <w:lang w:val="fr-FR"/>
        </w:rPr>
      </w:pPr>
      <w:r w:rsidRPr="00DC2BBD">
        <w:rPr>
          <w:lang w:val="fr-FR"/>
        </w:rPr>
        <w:tab/>
      </w:r>
      <w:r w:rsidRPr="00DC2BBD">
        <w:rPr>
          <w:lang w:val="fr-FR"/>
        </w:rPr>
        <w:tab/>
      </w:r>
      <w:r w:rsidRPr="00A2368D">
        <w:rPr>
          <w:lang w:val="fr-FR"/>
        </w:rPr>
        <w:t>Proposition 10</w:t>
      </w:r>
    </w:p>
    <w:p w14:paraId="1577FA48" w14:textId="5AA2A32E" w:rsidR="00E14B46" w:rsidRPr="00B572E7" w:rsidRDefault="00E14B46" w:rsidP="00E14B46">
      <w:pPr>
        <w:pStyle w:val="SingleTxtG"/>
        <w:rPr>
          <w:i/>
          <w:iCs/>
          <w:lang w:val="fr-FR"/>
        </w:rPr>
      </w:pPr>
      <w:r w:rsidRPr="00B572E7">
        <w:rPr>
          <w:lang w:val="fr-FR"/>
        </w:rPr>
        <w:t>13.</w:t>
      </w:r>
      <w:r w:rsidRPr="00B572E7">
        <w:rPr>
          <w:lang w:val="fr-FR"/>
        </w:rPr>
        <w:tab/>
        <w:t xml:space="preserve">Ajouter </w:t>
      </w:r>
      <w:r>
        <w:rPr>
          <w:lang w:val="fr-FR"/>
        </w:rPr>
        <w:t>le</w:t>
      </w:r>
      <w:r w:rsidRPr="00B572E7">
        <w:rPr>
          <w:lang w:val="fr-FR"/>
        </w:rPr>
        <w:t xml:space="preserve"> nouveau 9.2.4.3.1</w:t>
      </w:r>
      <w:r>
        <w:rPr>
          <w:lang w:val="fr-FR"/>
        </w:rPr>
        <w:t>,</w:t>
      </w:r>
      <w:r w:rsidRPr="00B572E7">
        <w:rPr>
          <w:lang w:val="fr-FR"/>
        </w:rPr>
        <w:t xml:space="preserve"> </w:t>
      </w:r>
      <w:r>
        <w:rPr>
          <w:lang w:val="fr-FR"/>
        </w:rPr>
        <w:t>reprenant le 9.2.4.4 moyennant une restructuration (</w:t>
      </w:r>
      <w:r w:rsidRPr="00B572E7">
        <w:rPr>
          <w:lang w:val="fr-FR"/>
        </w:rPr>
        <w:t>édition 2023 de l’ADR</w:t>
      </w:r>
      <w:r>
        <w:rPr>
          <w:lang w:val="fr-FR"/>
        </w:rPr>
        <w:t xml:space="preserve">), libellé </w:t>
      </w:r>
      <w:r w:rsidRPr="00B572E7">
        <w:rPr>
          <w:lang w:val="fr-FR"/>
        </w:rPr>
        <w:t>comme suit (</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4627EF">
        <w:rPr>
          <w:lang w:val="fr-029"/>
        </w:rPr>
        <w:t>)</w:t>
      </w:r>
      <w:r w:rsidR="00EC59FE">
        <w:rPr>
          <w:lang w:val="fr-FR"/>
        </w:rPr>
        <w:t> </w:t>
      </w:r>
      <w:r w:rsidRPr="00B572E7">
        <w:rPr>
          <w:lang w:val="fr-FR"/>
        </w:rPr>
        <w:t xml:space="preserve">: </w:t>
      </w:r>
    </w:p>
    <w:p w14:paraId="36C954E1" w14:textId="77777777" w:rsidR="00E14B46" w:rsidRPr="004627EF" w:rsidRDefault="00E14B46" w:rsidP="00BF56BE">
      <w:pPr>
        <w:pStyle w:val="SingleTxtG"/>
        <w:ind w:left="2268" w:hanging="1134"/>
        <w:rPr>
          <w:i/>
          <w:iCs/>
          <w:u w:val="single"/>
          <w:lang w:val="fr-FR"/>
        </w:rPr>
      </w:pPr>
      <w:r>
        <w:rPr>
          <w:lang w:val="fr-029"/>
        </w:rPr>
        <w:t>« </w:t>
      </w:r>
      <w:r w:rsidRPr="00B572E7">
        <w:rPr>
          <w:lang w:val="fr-FR"/>
        </w:rPr>
        <w:t>9.2.4.3.1</w:t>
      </w:r>
      <w:r w:rsidRPr="00B572E7">
        <w:rPr>
          <w:lang w:val="fr-FR"/>
        </w:rPr>
        <w:tab/>
        <w:t>Les moteurs entraînant les véhicules doivent être équipés et placés de façon à éviter tout danger pour le chargement à la suite d’</w:t>
      </w:r>
      <w:r>
        <w:rPr>
          <w:lang w:val="fr-FR"/>
        </w:rPr>
        <w:t xml:space="preserve">un </w:t>
      </w:r>
      <w:r w:rsidRPr="00B572E7">
        <w:rPr>
          <w:lang w:val="fr-FR"/>
        </w:rPr>
        <w:t>échauffement ou d’</w:t>
      </w:r>
      <w:r>
        <w:rPr>
          <w:lang w:val="fr-FR"/>
        </w:rPr>
        <w:t xml:space="preserve">une </w:t>
      </w:r>
      <w:r w:rsidRPr="00B572E7">
        <w:rPr>
          <w:lang w:val="fr-FR"/>
        </w:rPr>
        <w:t xml:space="preserve">inflammation. </w:t>
      </w:r>
      <w:r w:rsidRPr="00B572E7">
        <w:rPr>
          <w:strike/>
          <w:lang w:val="fr-FR"/>
        </w:rPr>
        <w:t>L’utilisation de GNC ou GNL comme carburant ne doit être admise que si les organes spéciaux pour le GNC et le GNL sont homologués conformément au Règlement ONU No 110</w:t>
      </w:r>
      <w:r w:rsidRPr="00B572E7">
        <w:rPr>
          <w:strike/>
          <w:vertAlign w:val="superscript"/>
          <w:lang w:val="fr-FR"/>
        </w:rPr>
        <w:t>7</w:t>
      </w:r>
      <w:r w:rsidRPr="00B572E7">
        <w:rPr>
          <w:strike/>
          <w:lang w:val="fr-FR"/>
        </w:rPr>
        <w:t xml:space="preserve"> et satisfont aux prescriptions du 9.2.2. L’installation sur le véhicule doit être conforme aux prescriptions techniques du 9.2.2 et du Règlement ONU No 110</w:t>
      </w:r>
      <w:r w:rsidRPr="00B572E7">
        <w:rPr>
          <w:strike/>
          <w:vertAlign w:val="superscript"/>
          <w:lang w:val="fr-FR"/>
        </w:rPr>
        <w:t>7</w:t>
      </w:r>
      <w:r w:rsidRPr="00B572E7">
        <w:rPr>
          <w:strike/>
          <w:lang w:val="fr-FR"/>
        </w:rPr>
        <w:t>. L’utilisation de GPL comme carburant ne doit être admise que si les organes spéciaux pour le GPL sont homologués conformément au Règlement ONU No 67</w:t>
      </w:r>
      <w:r w:rsidRPr="00B572E7">
        <w:rPr>
          <w:strike/>
          <w:vertAlign w:val="superscript"/>
          <w:lang w:val="fr-FR"/>
        </w:rPr>
        <w:t>8</w:t>
      </w:r>
      <w:r w:rsidRPr="00B572E7">
        <w:rPr>
          <w:strike/>
          <w:lang w:val="fr-FR"/>
        </w:rPr>
        <w:t xml:space="preserve"> et satisfont aux prescriptions du 9.2.2. L’installation sur le véhicule doit être conforme aux prescriptions techniques du 9.2.2 et du Règlement ONU No 67</w:t>
      </w:r>
      <w:r w:rsidRPr="00B572E7">
        <w:rPr>
          <w:strike/>
          <w:vertAlign w:val="superscript"/>
          <w:lang w:val="fr-FR"/>
        </w:rPr>
        <w:t>8</w:t>
      </w:r>
      <w:r w:rsidRPr="00B572E7">
        <w:rPr>
          <w:lang w:val="fr-FR"/>
        </w:rPr>
        <w:t>.</w:t>
      </w:r>
      <w:r>
        <w:rPr>
          <w:lang w:val="fr-FR"/>
        </w:rPr>
        <w:t xml:space="preserve"> </w:t>
      </w:r>
      <w:r w:rsidRPr="004627EF">
        <w:rPr>
          <w:i/>
          <w:iCs/>
          <w:u w:val="single"/>
          <w:lang w:val="fr-FR"/>
        </w:rPr>
        <w:t>L’utilisation d’un carburant ne doit être admise que si les organes sont homologués et si l’installation satisfait aux prescriptions du 9</w:t>
      </w:r>
      <w:r>
        <w:rPr>
          <w:i/>
          <w:iCs/>
          <w:u w:val="single"/>
          <w:lang w:val="fr-FR"/>
        </w:rPr>
        <w:t>.</w:t>
      </w:r>
      <w:r w:rsidRPr="004627EF">
        <w:rPr>
          <w:i/>
          <w:iCs/>
          <w:u w:val="single"/>
          <w:lang w:val="fr-FR"/>
        </w:rPr>
        <w:t>2.2 et aux prescriptions techniques :</w:t>
      </w:r>
    </w:p>
    <w:p w14:paraId="64CA0278" w14:textId="66E2A997" w:rsidR="00E14B46" w:rsidRPr="004627EF" w:rsidRDefault="00BF56BE" w:rsidP="00BF56BE">
      <w:pPr>
        <w:pStyle w:val="SingleTxtG"/>
        <w:ind w:left="2835" w:hanging="567"/>
        <w:rPr>
          <w:i/>
          <w:iCs/>
          <w:u w:val="single"/>
          <w:lang w:val="fr-FR"/>
        </w:rPr>
      </w:pPr>
      <w:r>
        <w:rPr>
          <w:i/>
          <w:iCs/>
          <w:u w:val="single"/>
          <w:lang w:val="fr-FR"/>
        </w:rPr>
        <w:t>a)</w:t>
      </w:r>
      <w:r>
        <w:rPr>
          <w:i/>
          <w:iCs/>
          <w:u w:val="single"/>
          <w:lang w:val="fr-FR"/>
        </w:rPr>
        <w:tab/>
      </w:r>
      <w:r w:rsidR="00E14B46" w:rsidRPr="004627EF">
        <w:rPr>
          <w:i/>
          <w:iCs/>
          <w:u w:val="single"/>
          <w:lang w:val="fr-FR"/>
        </w:rPr>
        <w:t>Du Règlement ONU No 110 pour le GNC ou le GNL ;</w:t>
      </w:r>
    </w:p>
    <w:p w14:paraId="34CDA16B" w14:textId="09048128" w:rsidR="00E14B46" w:rsidRPr="004627EF" w:rsidRDefault="00BF56BE" w:rsidP="00BF56BE">
      <w:pPr>
        <w:pStyle w:val="SingleTxtG"/>
        <w:ind w:left="2835" w:hanging="567"/>
        <w:rPr>
          <w:i/>
          <w:iCs/>
          <w:u w:val="single"/>
          <w:lang w:val="fr-FR"/>
        </w:rPr>
      </w:pPr>
      <w:r>
        <w:rPr>
          <w:i/>
          <w:iCs/>
          <w:u w:val="single"/>
          <w:lang w:val="fr-FR"/>
        </w:rPr>
        <w:t>b)</w:t>
      </w:r>
      <w:r>
        <w:rPr>
          <w:i/>
          <w:iCs/>
          <w:u w:val="single"/>
          <w:lang w:val="fr-FR"/>
        </w:rPr>
        <w:tab/>
      </w:r>
      <w:r w:rsidR="00E14B46" w:rsidRPr="004627EF">
        <w:rPr>
          <w:i/>
          <w:iCs/>
          <w:u w:val="single"/>
          <w:lang w:val="fr-FR"/>
        </w:rPr>
        <w:t>Du Règlement ONU No 67 pour le GPL ;</w:t>
      </w:r>
    </w:p>
    <w:p w14:paraId="4FB647F5" w14:textId="4CCCC3C3" w:rsidR="00E14B46" w:rsidRPr="004627EF" w:rsidRDefault="00BF56BE" w:rsidP="00BF56BE">
      <w:pPr>
        <w:pStyle w:val="SingleTxtG"/>
        <w:ind w:left="2835" w:hanging="567"/>
        <w:rPr>
          <w:i/>
          <w:iCs/>
          <w:u w:val="single"/>
          <w:lang w:val="fr-FR"/>
        </w:rPr>
      </w:pPr>
      <w:r>
        <w:rPr>
          <w:i/>
          <w:iCs/>
          <w:u w:val="single"/>
          <w:lang w:val="fr-FR"/>
        </w:rPr>
        <w:t>c)</w:t>
      </w:r>
      <w:r>
        <w:rPr>
          <w:i/>
          <w:iCs/>
          <w:u w:val="single"/>
          <w:lang w:val="fr-FR"/>
        </w:rPr>
        <w:tab/>
      </w:r>
      <w:r w:rsidR="00E14B46" w:rsidRPr="004627EF">
        <w:rPr>
          <w:i/>
          <w:iCs/>
          <w:u w:val="single"/>
          <w:lang w:val="fr-FR"/>
        </w:rPr>
        <w:t>Du Règlement ONU No 134 pour l’hydrogène comprimé et</w:t>
      </w:r>
      <w:r w:rsidR="00E14B46">
        <w:rPr>
          <w:i/>
          <w:iCs/>
          <w:u w:val="single"/>
          <w:lang w:val="fr-FR"/>
        </w:rPr>
        <w:t xml:space="preserve">, </w:t>
      </w:r>
      <w:r w:rsidR="00E14B46" w:rsidRPr="000A7FA3">
        <w:rPr>
          <w:i/>
          <w:iCs/>
          <w:u w:val="single"/>
          <w:lang w:val="fr-FR"/>
        </w:rPr>
        <w:t>le cas échéant, de la phase 2 du RTM</w:t>
      </w:r>
      <w:r w:rsidR="00E14B46">
        <w:rPr>
          <w:i/>
          <w:iCs/>
          <w:u w:val="single"/>
          <w:lang w:val="fr-FR"/>
        </w:rPr>
        <w:t xml:space="preserve"> ONU</w:t>
      </w:r>
      <w:r w:rsidR="00E14B46" w:rsidRPr="000A7FA3">
        <w:rPr>
          <w:i/>
          <w:iCs/>
          <w:u w:val="single"/>
          <w:lang w:val="fr-FR"/>
        </w:rPr>
        <w:t xml:space="preserve"> no 13</w:t>
      </w:r>
      <w:r w:rsidR="00E14B46">
        <w:rPr>
          <w:i/>
          <w:iCs/>
          <w:u w:val="single"/>
          <w:lang w:val="fr-FR"/>
        </w:rPr>
        <w:t xml:space="preserve"> pour l’hydrogène liquide</w:t>
      </w:r>
      <w:r w:rsidR="00E14B46" w:rsidRPr="00100398">
        <w:rPr>
          <w:rStyle w:val="preferred"/>
          <w:i/>
          <w:iCs/>
          <w:u w:val="single"/>
          <w:lang w:val="fr-FR"/>
        </w:rPr>
        <w:t>.</w:t>
      </w:r>
    </w:p>
    <w:p w14:paraId="1EF363CA" w14:textId="77777777" w:rsidR="00E14B46" w:rsidRPr="00B572E7" w:rsidRDefault="00E14B46" w:rsidP="00BF56BE">
      <w:pPr>
        <w:pStyle w:val="SingleTxtG"/>
        <w:ind w:left="2268"/>
        <w:rPr>
          <w:lang w:val="fr-FR"/>
        </w:rPr>
      </w:pPr>
      <w:r w:rsidRPr="00B572E7">
        <w:rPr>
          <w:lang w:val="fr-FR"/>
        </w:rPr>
        <w:t>Dans le cas de véhicules EX/II et EX/III, le moteur doit être à allumage par compression et fonctionner uniquement avec des carburants liquides dont le point d’éclair est supérieur à 55 °C. Les gaz ne doivent pas être utilisés</w:t>
      </w:r>
      <w:r>
        <w:rPr>
          <w:lang w:val="fr-FR"/>
        </w:rPr>
        <w:t>. ».</w:t>
      </w:r>
    </w:p>
    <w:p w14:paraId="7A47F16E" w14:textId="77777777" w:rsidR="00E14B46" w:rsidRPr="004627EF" w:rsidRDefault="00E14B46" w:rsidP="00E14B46">
      <w:pPr>
        <w:pStyle w:val="HChG"/>
        <w:rPr>
          <w:lang w:val="fr-FR"/>
        </w:rPr>
      </w:pPr>
      <w:r w:rsidRPr="00A2368D">
        <w:rPr>
          <w:lang w:val="fr-FR"/>
        </w:rPr>
        <w:tab/>
      </w:r>
      <w:r w:rsidRPr="00A2368D">
        <w:rPr>
          <w:lang w:val="fr-FR"/>
        </w:rPr>
        <w:tab/>
      </w:r>
      <w:r w:rsidRPr="004627EF">
        <w:rPr>
          <w:lang w:val="fr-FR"/>
        </w:rPr>
        <w:t>Proposition 11</w:t>
      </w:r>
    </w:p>
    <w:p w14:paraId="3505F9E1" w14:textId="77777777" w:rsidR="00E14B46" w:rsidRPr="004627EF" w:rsidRDefault="00E14B46" w:rsidP="00E14B46">
      <w:pPr>
        <w:pStyle w:val="SingleTxtG"/>
        <w:rPr>
          <w:lang w:val="fr-FR"/>
        </w:rPr>
      </w:pPr>
      <w:r w:rsidRPr="004627EF">
        <w:rPr>
          <w:lang w:val="fr-FR"/>
        </w:rPr>
        <w:t>14.</w:t>
      </w:r>
      <w:r w:rsidRPr="004627EF">
        <w:rPr>
          <w:lang w:val="fr-FR"/>
        </w:rPr>
        <w:tab/>
      </w:r>
      <w:r>
        <w:rPr>
          <w:lang w:val="fr-FR"/>
        </w:rPr>
        <w:t>L</w:t>
      </w:r>
      <w:r w:rsidRPr="004627EF">
        <w:rPr>
          <w:lang w:val="fr-FR"/>
        </w:rPr>
        <w:t xml:space="preserve">e 9.2.4.5 </w:t>
      </w:r>
      <w:r>
        <w:rPr>
          <w:lang w:val="fr-FR"/>
        </w:rPr>
        <w:t>devient le 9</w:t>
      </w:r>
      <w:r w:rsidRPr="004627EF">
        <w:rPr>
          <w:lang w:val="fr-FR"/>
        </w:rPr>
        <w:t>.2.4.3.2.</w:t>
      </w:r>
    </w:p>
    <w:p w14:paraId="414FFC63" w14:textId="77777777" w:rsidR="00E14B46" w:rsidRPr="00A2368D" w:rsidRDefault="00E14B46" w:rsidP="00E14B46">
      <w:pPr>
        <w:pStyle w:val="HChG"/>
        <w:rPr>
          <w:lang w:val="fr-FR"/>
        </w:rPr>
      </w:pPr>
      <w:r w:rsidRPr="004627EF">
        <w:rPr>
          <w:lang w:val="fr-FR"/>
        </w:rPr>
        <w:lastRenderedPageBreak/>
        <w:tab/>
      </w:r>
      <w:r w:rsidRPr="004627EF">
        <w:rPr>
          <w:lang w:val="fr-FR"/>
        </w:rPr>
        <w:tab/>
      </w:r>
      <w:r w:rsidRPr="00A2368D">
        <w:rPr>
          <w:lang w:val="fr-FR"/>
        </w:rPr>
        <w:t>Proposition 12</w:t>
      </w:r>
    </w:p>
    <w:p w14:paraId="34923F07" w14:textId="77777777" w:rsidR="00E14B46" w:rsidRPr="004627EF" w:rsidRDefault="00E14B46" w:rsidP="00E14B46">
      <w:pPr>
        <w:pStyle w:val="SingleTxtG"/>
        <w:rPr>
          <w:lang w:val="fr-FR"/>
        </w:rPr>
      </w:pPr>
      <w:r w:rsidRPr="004627EF">
        <w:rPr>
          <w:lang w:val="fr-FR"/>
        </w:rPr>
        <w:t>15.</w:t>
      </w:r>
      <w:r w:rsidRPr="004627EF">
        <w:rPr>
          <w:lang w:val="fr-FR"/>
        </w:rPr>
        <w:tab/>
      </w:r>
      <w:r>
        <w:rPr>
          <w:lang w:val="fr-FR"/>
        </w:rPr>
        <w:t>Le</w:t>
      </w:r>
      <w:r w:rsidRPr="004627EF">
        <w:rPr>
          <w:lang w:val="fr-FR"/>
        </w:rPr>
        <w:t xml:space="preserve"> 9.2.4.6 </w:t>
      </w:r>
      <w:r>
        <w:rPr>
          <w:lang w:val="fr-FR"/>
        </w:rPr>
        <w:t>devient le</w:t>
      </w:r>
      <w:r w:rsidRPr="004627EF">
        <w:rPr>
          <w:lang w:val="fr-FR"/>
        </w:rPr>
        <w:t xml:space="preserve"> 9.2.4.4 et </w:t>
      </w:r>
      <w:r>
        <w:rPr>
          <w:lang w:val="fr-FR"/>
        </w:rPr>
        <w:t>se lit</w:t>
      </w:r>
      <w:r w:rsidRPr="004627EF">
        <w:rPr>
          <w:lang w:val="fr-FR"/>
        </w:rPr>
        <w:t xml:space="preserve"> comme suit </w:t>
      </w:r>
      <w:r w:rsidRPr="00B572E7">
        <w:rPr>
          <w:lang w:val="fr-FR"/>
        </w:rPr>
        <w:t>(</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et</w:t>
      </w:r>
      <w:r w:rsidRPr="00CB07E5">
        <w:rPr>
          <w:lang w:val="fr-029"/>
        </w:rPr>
        <w:t xml:space="preserve"> </w:t>
      </w:r>
      <w:r w:rsidRPr="002D1469">
        <w:rPr>
          <w:strike/>
          <w:lang w:val="fr-029"/>
        </w:rPr>
        <w:t>biffé</w:t>
      </w:r>
      <w:r>
        <w:rPr>
          <w:strike/>
          <w:lang w:val="fr-029"/>
        </w:rPr>
        <w:t>s</w:t>
      </w:r>
      <w:r>
        <w:rPr>
          <w:lang w:val="fr-029"/>
        </w:rPr>
        <w:t xml:space="preserve"> pour les suppressions</w:t>
      </w:r>
      <w:r w:rsidRPr="004627EF">
        <w:rPr>
          <w:lang w:val="fr-029"/>
        </w:rPr>
        <w:t>)</w:t>
      </w:r>
      <w:r>
        <w:rPr>
          <w:lang w:val="fr-029"/>
        </w:rPr>
        <w:t> </w:t>
      </w:r>
      <w:r w:rsidRPr="004627EF">
        <w:rPr>
          <w:lang w:val="fr-FR"/>
        </w:rPr>
        <w:t>:</w:t>
      </w:r>
    </w:p>
    <w:p w14:paraId="6988B9F2" w14:textId="77777777" w:rsidR="00E14B46" w:rsidRPr="004627EF" w:rsidRDefault="00E14B46" w:rsidP="00E14B46">
      <w:pPr>
        <w:pStyle w:val="SingleTxtG"/>
        <w:rPr>
          <w:b/>
          <w:bCs/>
          <w:i/>
          <w:iCs/>
          <w:lang w:val="fr-029"/>
        </w:rPr>
      </w:pPr>
      <w:r>
        <w:rPr>
          <w:lang w:val="fr-029"/>
        </w:rPr>
        <w:t>« </w:t>
      </w:r>
      <w:r w:rsidRPr="006D2E7D">
        <w:rPr>
          <w:b/>
          <w:bCs/>
          <w:lang w:val="fr-029"/>
        </w:rPr>
        <w:t>9.2.4.</w:t>
      </w:r>
      <w:r w:rsidRPr="006D2E7D">
        <w:rPr>
          <w:b/>
          <w:bCs/>
          <w:u w:val="single"/>
          <w:lang w:val="fr-029"/>
        </w:rPr>
        <w:t>4</w:t>
      </w:r>
      <w:r w:rsidRPr="006D2E7D">
        <w:rPr>
          <w:b/>
          <w:bCs/>
          <w:lang w:val="fr-029"/>
        </w:rPr>
        <w:t>.</w:t>
      </w:r>
      <w:r w:rsidRPr="006D2E7D">
        <w:rPr>
          <w:b/>
          <w:bCs/>
          <w:strike/>
          <w:lang w:val="fr-029"/>
        </w:rPr>
        <w:t>6</w:t>
      </w:r>
      <w:r w:rsidRPr="004627EF">
        <w:rPr>
          <w:lang w:val="fr-029"/>
        </w:rPr>
        <w:tab/>
      </w:r>
      <w:r w:rsidRPr="004627EF">
        <w:rPr>
          <w:b/>
          <w:bCs/>
          <w:i/>
          <w:iCs/>
          <w:lang w:val="fr-029"/>
        </w:rPr>
        <w:t>Chaîne de traction électrique</w:t>
      </w:r>
    </w:p>
    <w:p w14:paraId="3D5260EA" w14:textId="3AEC587A" w:rsidR="00E14B46" w:rsidRPr="004627EF" w:rsidRDefault="00E14B46" w:rsidP="00BF56BE">
      <w:pPr>
        <w:pStyle w:val="SingleTxtG"/>
        <w:ind w:left="2268"/>
        <w:rPr>
          <w:i/>
          <w:iCs/>
          <w:lang w:val="fr-FR"/>
        </w:rPr>
      </w:pPr>
      <w:r w:rsidRPr="004627EF">
        <w:rPr>
          <w:b/>
          <w:bCs/>
          <w:i/>
          <w:iCs/>
          <w:lang w:val="fr-FR"/>
        </w:rPr>
        <w:t>NOTA 1 :</w:t>
      </w:r>
      <w:r w:rsidRPr="004627EF">
        <w:rPr>
          <w:b/>
          <w:bCs/>
          <w:lang w:val="fr-FR"/>
        </w:rPr>
        <w:t> </w:t>
      </w:r>
      <w:r w:rsidRPr="004627EF">
        <w:rPr>
          <w:i/>
          <w:iCs/>
          <w:strike/>
          <w:lang w:val="fr-FR"/>
        </w:rPr>
        <w:t>Le 9.2.4.6 s’applique également aux véhicules hybrides comprenant une chaîne de traction électrique associée à la transmission mécanique d’un moteur à combustion interne.</w:t>
      </w:r>
      <w:r w:rsidRPr="004627EF">
        <w:rPr>
          <w:i/>
          <w:iCs/>
          <w:lang w:val="fr-FR"/>
        </w:rPr>
        <w:t xml:space="preserve"> Les chaînes de traction électriques ne doivent pas être utilisé</w:t>
      </w:r>
      <w:r>
        <w:rPr>
          <w:i/>
          <w:iCs/>
          <w:lang w:val="fr-FR"/>
        </w:rPr>
        <w:t>e</w:t>
      </w:r>
      <w:r w:rsidRPr="004627EF">
        <w:rPr>
          <w:i/>
          <w:iCs/>
          <w:lang w:val="fr-FR"/>
        </w:rPr>
        <w:t>s</w:t>
      </w:r>
      <w:r>
        <w:rPr>
          <w:i/>
          <w:iCs/>
          <w:lang w:val="fr-FR"/>
        </w:rPr>
        <w:t xml:space="preserve"> </w:t>
      </w:r>
      <w:r w:rsidRPr="004627EF">
        <w:rPr>
          <w:i/>
          <w:iCs/>
          <w:lang w:val="fr-FR"/>
        </w:rPr>
        <w:t>pour les véhicules EX</w:t>
      </w:r>
      <w:r w:rsidRPr="001A7A5D">
        <w:rPr>
          <w:i/>
          <w:iCs/>
          <w:strike/>
          <w:lang w:val="fr-FR"/>
        </w:rPr>
        <w:t xml:space="preserve"> </w:t>
      </w:r>
      <w:r w:rsidRPr="004627EF">
        <w:rPr>
          <w:i/>
          <w:iCs/>
          <w:strike/>
          <w:lang w:val="fr-FR"/>
        </w:rPr>
        <w:t>et FL</w:t>
      </w:r>
      <w:r w:rsidRPr="004627EF">
        <w:rPr>
          <w:i/>
          <w:iCs/>
          <w:lang w:val="fr-FR"/>
        </w:rPr>
        <w:t>.</w:t>
      </w:r>
    </w:p>
    <w:p w14:paraId="1C5CCF58" w14:textId="77777777" w:rsidR="00E14B46" w:rsidRPr="004627EF" w:rsidRDefault="00E14B46" w:rsidP="00BF56BE">
      <w:pPr>
        <w:pStyle w:val="SingleTxtG"/>
        <w:ind w:left="2268"/>
        <w:rPr>
          <w:i/>
          <w:iCs/>
          <w:u w:val="single"/>
          <w:lang w:val="fr-FR"/>
        </w:rPr>
      </w:pPr>
      <w:r w:rsidRPr="004627EF">
        <w:rPr>
          <w:b/>
          <w:bCs/>
          <w:i/>
          <w:iCs/>
          <w:u w:val="single"/>
          <w:lang w:val="fr-FR"/>
        </w:rPr>
        <w:t>NOTA 2 :</w:t>
      </w:r>
      <w:r w:rsidRPr="004627EF">
        <w:rPr>
          <w:i/>
          <w:iCs/>
          <w:u w:val="single"/>
          <w:lang w:val="fr-FR"/>
        </w:rPr>
        <w:t xml:space="preserve"> Les remorques </w:t>
      </w:r>
      <w:r>
        <w:rPr>
          <w:i/>
          <w:iCs/>
          <w:u w:val="single"/>
          <w:lang w:val="fr-FR"/>
        </w:rPr>
        <w:t xml:space="preserve">équipées d’un système de </w:t>
      </w:r>
      <w:r w:rsidRPr="004627EF">
        <w:rPr>
          <w:i/>
          <w:iCs/>
          <w:u w:val="single"/>
          <w:lang w:val="fr-FR"/>
        </w:rPr>
        <w:t xml:space="preserve">freinage régénératif ou </w:t>
      </w:r>
      <w:r>
        <w:rPr>
          <w:i/>
          <w:iCs/>
          <w:u w:val="single"/>
          <w:lang w:val="fr-FR"/>
        </w:rPr>
        <w:t>d’une</w:t>
      </w:r>
      <w:r w:rsidRPr="004627EF">
        <w:rPr>
          <w:i/>
          <w:iCs/>
          <w:u w:val="single"/>
          <w:lang w:val="fr-FR"/>
        </w:rPr>
        <w:t xml:space="preserve"> chaîne de traction électrique ne sont pas autorisées.</w:t>
      </w:r>
      <w:r>
        <w:rPr>
          <w:lang w:val="fr-FR"/>
        </w:rPr>
        <w:t xml:space="preserve"> ».</w:t>
      </w:r>
    </w:p>
    <w:p w14:paraId="2F8B30BF" w14:textId="77777777" w:rsidR="00E14B46" w:rsidRPr="00A2368D" w:rsidRDefault="00E14B46" w:rsidP="00E14B46">
      <w:pPr>
        <w:pStyle w:val="HChG"/>
        <w:rPr>
          <w:lang w:val="fr-FR"/>
        </w:rPr>
      </w:pPr>
      <w:r w:rsidRPr="004627EF">
        <w:rPr>
          <w:lang w:val="fr-FR"/>
        </w:rPr>
        <w:tab/>
      </w:r>
      <w:r w:rsidRPr="004627EF">
        <w:rPr>
          <w:lang w:val="fr-FR"/>
        </w:rPr>
        <w:tab/>
      </w:r>
      <w:r w:rsidRPr="00A2368D">
        <w:rPr>
          <w:lang w:val="fr-FR"/>
        </w:rPr>
        <w:t>Proposition 13</w:t>
      </w:r>
    </w:p>
    <w:p w14:paraId="09D9D7B2" w14:textId="77777777" w:rsidR="00E14B46" w:rsidRPr="004627EF" w:rsidRDefault="00E14B46" w:rsidP="00E14B46">
      <w:pPr>
        <w:pStyle w:val="SingleTxtG"/>
        <w:rPr>
          <w:lang w:val="fr-FR"/>
        </w:rPr>
      </w:pPr>
      <w:r w:rsidRPr="004627EF">
        <w:rPr>
          <w:lang w:val="fr-FR"/>
        </w:rPr>
        <w:t>16.</w:t>
      </w:r>
      <w:r w:rsidRPr="004627EF">
        <w:rPr>
          <w:lang w:val="fr-FR"/>
        </w:rPr>
        <w:tab/>
        <w:t xml:space="preserve">Ajouter </w:t>
      </w:r>
      <w:r>
        <w:rPr>
          <w:lang w:val="fr-FR"/>
        </w:rPr>
        <w:t>le</w:t>
      </w:r>
      <w:r w:rsidRPr="004627EF">
        <w:rPr>
          <w:lang w:val="fr-FR"/>
        </w:rPr>
        <w:t xml:space="preserve"> nouveau 9.2.4.4.1</w:t>
      </w:r>
      <w:r>
        <w:rPr>
          <w:lang w:val="fr-FR"/>
        </w:rPr>
        <w:t>,</w:t>
      </w:r>
      <w:r w:rsidRPr="004627EF">
        <w:rPr>
          <w:lang w:val="fr-FR"/>
        </w:rPr>
        <w:t xml:space="preserve"> </w:t>
      </w:r>
      <w:r>
        <w:rPr>
          <w:lang w:val="fr-FR"/>
        </w:rPr>
        <w:t>reprenant</w:t>
      </w:r>
      <w:r w:rsidRPr="004627EF">
        <w:rPr>
          <w:lang w:val="fr-FR"/>
        </w:rPr>
        <w:t xml:space="preserve"> le</w:t>
      </w:r>
      <w:r>
        <w:rPr>
          <w:lang w:val="fr-FR"/>
        </w:rPr>
        <w:t xml:space="preserve"> </w:t>
      </w:r>
      <w:r w:rsidRPr="004627EF">
        <w:rPr>
          <w:lang w:val="fr-FR"/>
        </w:rPr>
        <w:t>9.2.4.6 (éd</w:t>
      </w:r>
      <w:r>
        <w:rPr>
          <w:lang w:val="fr-FR"/>
        </w:rPr>
        <w:t>ition 2023 de l’</w:t>
      </w:r>
      <w:r w:rsidRPr="004627EF">
        <w:rPr>
          <w:lang w:val="fr-FR"/>
        </w:rPr>
        <w:t>ADR 2023)</w:t>
      </w:r>
      <w:r>
        <w:rPr>
          <w:lang w:val="fr-FR"/>
        </w:rPr>
        <w:t>, libellé comme suit </w:t>
      </w:r>
      <w:r w:rsidRPr="00B572E7">
        <w:rPr>
          <w:lang w:val="fr-FR"/>
        </w:rPr>
        <w:t>(</w:t>
      </w:r>
      <w:r w:rsidRPr="00CB07E5">
        <w:rPr>
          <w:lang w:val="fr-FR"/>
        </w:rPr>
        <w:t>le</w:t>
      </w:r>
      <w:r>
        <w:rPr>
          <w:lang w:val="fr-FR"/>
        </w:rPr>
        <w:t xml:space="preserve">s modifications qu’il est proposé d’apporter figurent en caractères </w:t>
      </w:r>
      <w:r w:rsidRPr="002D1469">
        <w:rPr>
          <w:strike/>
          <w:lang w:val="fr-029"/>
        </w:rPr>
        <w:t>biffé</w:t>
      </w:r>
      <w:r>
        <w:rPr>
          <w:strike/>
          <w:lang w:val="fr-029"/>
        </w:rPr>
        <w:t>s</w:t>
      </w:r>
      <w:r>
        <w:rPr>
          <w:lang w:val="fr-029"/>
        </w:rPr>
        <w:t xml:space="preserve"> pour les suppressions</w:t>
      </w:r>
      <w:r w:rsidRPr="004627EF">
        <w:rPr>
          <w:lang w:val="fr-FR"/>
        </w:rPr>
        <w:t>)</w:t>
      </w:r>
      <w:r>
        <w:rPr>
          <w:lang w:val="fr-FR"/>
        </w:rPr>
        <w:t> </w:t>
      </w:r>
      <w:r w:rsidRPr="004627EF">
        <w:rPr>
          <w:lang w:val="fr-FR"/>
        </w:rPr>
        <w:t>:</w:t>
      </w:r>
    </w:p>
    <w:p w14:paraId="05348602" w14:textId="77777777" w:rsidR="00E14B46" w:rsidRPr="004627EF" w:rsidRDefault="00E14B46" w:rsidP="00E14B46">
      <w:pPr>
        <w:pStyle w:val="SingleTxtG"/>
        <w:rPr>
          <w:i/>
          <w:iCs/>
          <w:lang w:val="fr-029"/>
        </w:rPr>
      </w:pPr>
      <w:r>
        <w:rPr>
          <w:lang w:val="fr-029"/>
        </w:rPr>
        <w:t>« </w:t>
      </w:r>
      <w:r w:rsidRPr="004627EF">
        <w:rPr>
          <w:lang w:val="fr-029"/>
        </w:rPr>
        <w:t>9.2.4.4.1</w:t>
      </w:r>
      <w:r w:rsidRPr="004627EF">
        <w:rPr>
          <w:lang w:val="fr-029"/>
        </w:rPr>
        <w:tab/>
      </w:r>
      <w:r>
        <w:rPr>
          <w:i/>
          <w:iCs/>
          <w:lang w:val="fr-029"/>
        </w:rPr>
        <w:t>Dispositions générales</w:t>
      </w:r>
    </w:p>
    <w:p w14:paraId="4B05B2FF" w14:textId="77777777" w:rsidR="00E14B46" w:rsidRDefault="00E14B46" w:rsidP="00BF56BE">
      <w:pPr>
        <w:pStyle w:val="SingleTxtG"/>
        <w:ind w:left="2268"/>
        <w:rPr>
          <w:lang w:val="fr-FR"/>
        </w:rPr>
      </w:pPr>
      <w:r w:rsidRPr="004627EF">
        <w:rPr>
          <w:lang w:val="fr-FR"/>
        </w:rPr>
        <w:t>La chaîne de traction électrique doit satisfaire aux prescriptions énoncées dans le Règlement ONU No 100, tel que modifié au minimum par la série 03 d</w:t>
      </w:r>
      <w:r>
        <w:rPr>
          <w:lang w:val="fr-FR"/>
        </w:rPr>
        <w:t>’</w:t>
      </w:r>
      <w:r w:rsidRPr="004627EF">
        <w:rPr>
          <w:lang w:val="fr-FR"/>
        </w:rPr>
        <w:t xml:space="preserve">amendements. </w:t>
      </w:r>
      <w:r w:rsidRPr="004627EF">
        <w:rPr>
          <w:strike/>
          <w:lang w:val="fr-FR"/>
        </w:rPr>
        <w:t>Des mesures doivent être prises pour éviter tout danger pour le chargement à la suite d’un échauffement ou d’une inflammation</w:t>
      </w:r>
      <w:r>
        <w:rPr>
          <w:lang w:val="fr-FR"/>
        </w:rPr>
        <w:t>. ».</w:t>
      </w:r>
    </w:p>
    <w:p w14:paraId="34B0CA49" w14:textId="77777777" w:rsidR="00E14B46" w:rsidRPr="004627EF" w:rsidRDefault="00E14B46" w:rsidP="00E14B46">
      <w:pPr>
        <w:pStyle w:val="HChG"/>
        <w:rPr>
          <w:lang w:val="fr-FR"/>
        </w:rPr>
      </w:pPr>
      <w:r w:rsidRPr="00A2368D">
        <w:rPr>
          <w:lang w:val="fr-FR"/>
        </w:rPr>
        <w:tab/>
      </w:r>
      <w:r w:rsidRPr="00A2368D">
        <w:rPr>
          <w:lang w:val="fr-FR"/>
        </w:rPr>
        <w:tab/>
      </w:r>
      <w:r w:rsidRPr="004627EF">
        <w:rPr>
          <w:lang w:val="fr-FR"/>
        </w:rPr>
        <w:t>Proposition 14</w:t>
      </w:r>
    </w:p>
    <w:p w14:paraId="7D4D30B3" w14:textId="77777777" w:rsidR="00E14B46" w:rsidRPr="004627EF" w:rsidRDefault="00E14B46" w:rsidP="00E14B46">
      <w:pPr>
        <w:pStyle w:val="SingleTxtG"/>
        <w:rPr>
          <w:lang w:val="fr-FR"/>
        </w:rPr>
      </w:pPr>
      <w:r w:rsidRPr="004627EF">
        <w:rPr>
          <w:lang w:val="fr-FR"/>
        </w:rPr>
        <w:t>17.</w:t>
      </w:r>
      <w:r w:rsidRPr="004627EF">
        <w:rPr>
          <w:lang w:val="fr-FR"/>
        </w:rPr>
        <w:tab/>
        <w:t xml:space="preserve">Ajouter </w:t>
      </w:r>
      <w:r>
        <w:rPr>
          <w:lang w:val="fr-FR"/>
        </w:rPr>
        <w:t xml:space="preserve">les </w:t>
      </w:r>
      <w:r w:rsidRPr="004627EF">
        <w:rPr>
          <w:lang w:val="fr-FR"/>
        </w:rPr>
        <w:t>nouveau</w:t>
      </w:r>
      <w:r>
        <w:rPr>
          <w:lang w:val="fr-FR"/>
        </w:rPr>
        <w:t>x</w:t>
      </w:r>
      <w:r w:rsidRPr="004627EF">
        <w:rPr>
          <w:lang w:val="fr-FR"/>
        </w:rPr>
        <w:t xml:space="preserve"> 9.2.4.4.1.1 </w:t>
      </w:r>
      <w:r>
        <w:rPr>
          <w:lang w:val="fr-FR"/>
        </w:rPr>
        <w:t>et</w:t>
      </w:r>
      <w:r w:rsidRPr="004627EF">
        <w:rPr>
          <w:lang w:val="fr-FR"/>
        </w:rPr>
        <w:t xml:space="preserve"> 9.2.4.4.1.2</w:t>
      </w:r>
      <w:r>
        <w:rPr>
          <w:lang w:val="fr-FR"/>
        </w:rPr>
        <w:t>, libellés comme suit </w:t>
      </w:r>
      <w:r w:rsidRPr="004627EF">
        <w:rPr>
          <w:lang w:val="fr-FR"/>
        </w:rPr>
        <w:t>:</w:t>
      </w:r>
    </w:p>
    <w:p w14:paraId="15524F99" w14:textId="77777777" w:rsidR="00E14B46" w:rsidRPr="007A4276" w:rsidRDefault="00E14B46" w:rsidP="00BF56BE">
      <w:pPr>
        <w:pStyle w:val="SingleTxtG"/>
        <w:ind w:left="2268" w:hanging="1134"/>
        <w:rPr>
          <w:lang w:val="fr-FR"/>
        </w:rPr>
      </w:pPr>
      <w:r>
        <w:rPr>
          <w:lang w:val="fr-FR"/>
        </w:rPr>
        <w:t>« </w:t>
      </w:r>
      <w:r w:rsidRPr="004627EF">
        <w:rPr>
          <w:lang w:val="fr-FR"/>
        </w:rPr>
        <w:t>9.2.4.4.1.1</w:t>
      </w:r>
      <w:r w:rsidRPr="004627EF">
        <w:rPr>
          <w:lang w:val="fr-FR"/>
        </w:rPr>
        <w:tab/>
        <w:t>Les véhicules</w:t>
      </w:r>
      <w:r>
        <w:rPr>
          <w:lang w:val="fr-FR"/>
        </w:rPr>
        <w:t xml:space="preserve"> à</w:t>
      </w:r>
      <w:r w:rsidRPr="004627EF">
        <w:rPr>
          <w:lang w:val="fr-FR"/>
        </w:rPr>
        <w:t xml:space="preserve"> chaîne </w:t>
      </w:r>
      <w:r>
        <w:rPr>
          <w:lang w:val="fr-FR"/>
        </w:rPr>
        <w:t>de</w:t>
      </w:r>
      <w:r w:rsidRPr="004627EF">
        <w:rPr>
          <w:lang w:val="fr-FR"/>
        </w:rPr>
        <w:t xml:space="preserve"> traction électrique </w:t>
      </w:r>
      <w:r>
        <w:rPr>
          <w:lang w:val="fr-FR"/>
        </w:rPr>
        <w:t>doivent être</w:t>
      </w:r>
      <w:r w:rsidRPr="004627EF">
        <w:rPr>
          <w:lang w:val="fr-FR"/>
        </w:rPr>
        <w:t xml:space="preserve"> équi</w:t>
      </w:r>
      <w:r>
        <w:rPr>
          <w:lang w:val="fr-FR"/>
        </w:rPr>
        <w:t xml:space="preserve">pés d’un </w:t>
      </w:r>
      <w:r w:rsidRPr="004627EF">
        <w:rPr>
          <w:rStyle w:val="preferred"/>
          <w:lang w:val="fr-FR"/>
        </w:rPr>
        <w:t>système de surveillance de la résistance d</w:t>
      </w:r>
      <w:r>
        <w:rPr>
          <w:rStyle w:val="preferred"/>
          <w:lang w:val="fr-FR"/>
        </w:rPr>
        <w:t>’</w:t>
      </w:r>
      <w:r w:rsidRPr="004627EF">
        <w:rPr>
          <w:rStyle w:val="preferred"/>
          <w:lang w:val="fr-FR"/>
        </w:rPr>
        <w:t>isolement</w:t>
      </w:r>
      <w:r>
        <w:rPr>
          <w:rStyle w:val="preferred"/>
          <w:lang w:val="fr-FR"/>
        </w:rPr>
        <w:t>.</w:t>
      </w:r>
      <w:r w:rsidRPr="004627EF">
        <w:rPr>
          <w:rStyle w:val="preferred"/>
          <w:lang w:val="fr-FR"/>
        </w:rPr>
        <w:t xml:space="preserve"> </w:t>
      </w:r>
    </w:p>
    <w:p w14:paraId="11C44AC5" w14:textId="77777777" w:rsidR="00E14B46" w:rsidRPr="00EC7F73" w:rsidRDefault="00E14B46" w:rsidP="00BF56BE">
      <w:pPr>
        <w:pStyle w:val="SingleTxtG"/>
        <w:ind w:left="2268" w:hanging="1134"/>
        <w:rPr>
          <w:lang w:val="fr-FR"/>
        </w:rPr>
      </w:pPr>
      <w:r w:rsidRPr="00EC7F73">
        <w:rPr>
          <w:lang w:val="fr-FR"/>
        </w:rPr>
        <w:t>9.2.4.4.1.2</w:t>
      </w:r>
      <w:r w:rsidRPr="00EC7F73">
        <w:rPr>
          <w:lang w:val="fr-FR"/>
        </w:rPr>
        <w:tab/>
        <w:t xml:space="preserve">Le véhicule doit émettre des signaux extérieurs à l’arrêt, en plus de l’avertissement </w:t>
      </w:r>
      <w:r>
        <w:rPr>
          <w:lang w:val="fr-FR"/>
        </w:rPr>
        <w:t>reçu par le</w:t>
      </w:r>
      <w:r w:rsidRPr="00EC7F73">
        <w:rPr>
          <w:lang w:val="fr-FR"/>
        </w:rPr>
        <w:t xml:space="preserve"> conducteur dans la </w:t>
      </w:r>
      <w:r w:rsidRPr="00BF56BE">
        <w:rPr>
          <w:rStyle w:val="preferred"/>
        </w:rPr>
        <w:t>cabine</w:t>
      </w:r>
      <w:r w:rsidRPr="00EC7F73">
        <w:rPr>
          <w:lang w:val="fr-FR"/>
        </w:rPr>
        <w:t xml:space="preserve"> de conduit</w:t>
      </w:r>
      <w:r>
        <w:rPr>
          <w:lang w:val="fr-FR"/>
        </w:rPr>
        <w:t>e</w:t>
      </w:r>
      <w:r w:rsidRPr="00EC7F73">
        <w:rPr>
          <w:lang w:val="fr-FR"/>
        </w:rPr>
        <w:t>, conformément aux prescriptions du</w:t>
      </w:r>
      <w:r>
        <w:rPr>
          <w:lang w:val="fr-FR"/>
        </w:rPr>
        <w:t xml:space="preserve"> 6.15.1 du Règlement ONU No 100. ».</w:t>
      </w:r>
    </w:p>
    <w:p w14:paraId="32752529" w14:textId="77777777" w:rsidR="00E14B46" w:rsidRPr="00A2368D" w:rsidRDefault="00E14B46" w:rsidP="00E14B46">
      <w:pPr>
        <w:pStyle w:val="HChG"/>
        <w:rPr>
          <w:lang w:val="fr-FR"/>
        </w:rPr>
      </w:pPr>
      <w:r w:rsidRPr="00EC7F73">
        <w:rPr>
          <w:lang w:val="fr-FR"/>
        </w:rPr>
        <w:tab/>
      </w:r>
      <w:r w:rsidRPr="00EC7F73">
        <w:rPr>
          <w:lang w:val="fr-FR"/>
        </w:rPr>
        <w:tab/>
      </w:r>
      <w:r w:rsidRPr="00A2368D">
        <w:rPr>
          <w:lang w:val="fr-FR"/>
        </w:rPr>
        <w:t>Proposition 15</w:t>
      </w:r>
    </w:p>
    <w:p w14:paraId="531F5535" w14:textId="77777777" w:rsidR="00E14B46" w:rsidRPr="007A4276" w:rsidRDefault="00E14B46" w:rsidP="00E14B46">
      <w:pPr>
        <w:pStyle w:val="SingleTxtG"/>
        <w:rPr>
          <w:lang w:val="fr-FR"/>
        </w:rPr>
      </w:pPr>
      <w:r w:rsidRPr="007A4276">
        <w:rPr>
          <w:lang w:val="fr-FR"/>
        </w:rPr>
        <w:t>18.</w:t>
      </w:r>
      <w:r w:rsidRPr="007A4276">
        <w:rPr>
          <w:lang w:val="fr-FR"/>
        </w:rPr>
        <w:tab/>
        <w:t xml:space="preserve">Ajouter </w:t>
      </w:r>
      <w:r>
        <w:rPr>
          <w:lang w:val="fr-FR"/>
        </w:rPr>
        <w:t>le</w:t>
      </w:r>
      <w:r w:rsidRPr="007A4276">
        <w:rPr>
          <w:lang w:val="fr-FR"/>
        </w:rPr>
        <w:t xml:space="preserve"> nouveau 9.2.4.4.2, libellé comme s</w:t>
      </w:r>
      <w:r>
        <w:rPr>
          <w:lang w:val="fr-FR"/>
        </w:rPr>
        <w:t>uit :</w:t>
      </w:r>
    </w:p>
    <w:p w14:paraId="7414BEBF" w14:textId="77777777" w:rsidR="00E14B46" w:rsidRPr="007A4276" w:rsidRDefault="00E14B46" w:rsidP="00E14B46">
      <w:pPr>
        <w:pStyle w:val="SingleTxtG"/>
        <w:rPr>
          <w:lang w:val="fr-029"/>
        </w:rPr>
      </w:pPr>
      <w:r>
        <w:rPr>
          <w:lang w:val="fr-029"/>
        </w:rPr>
        <w:t>« </w:t>
      </w:r>
      <w:r w:rsidRPr="007A4276">
        <w:rPr>
          <w:lang w:val="fr-029"/>
        </w:rPr>
        <w:t>9.2.4.4.2</w:t>
      </w:r>
      <w:r w:rsidRPr="007A4276">
        <w:rPr>
          <w:lang w:val="fr-029"/>
        </w:rPr>
        <w:tab/>
      </w:r>
      <w:bookmarkStart w:id="3" w:name="_Hlk142650461"/>
      <w:r w:rsidRPr="007A4276">
        <w:rPr>
          <w:i/>
          <w:iCs/>
          <w:lang w:val="fr-029"/>
        </w:rPr>
        <w:t>S</w:t>
      </w:r>
      <w:r w:rsidRPr="00A2368D">
        <w:rPr>
          <w:rStyle w:val="preferred"/>
          <w:i/>
          <w:iCs/>
          <w:lang w:val="fr-FR"/>
        </w:rPr>
        <w:t xml:space="preserve">ystème </w:t>
      </w:r>
      <w:r w:rsidRPr="00A2368D">
        <w:rPr>
          <w:rStyle w:val="Accentuation"/>
          <w:lang w:val="fr-FR"/>
        </w:rPr>
        <w:t>rechargeable</w:t>
      </w:r>
      <w:r w:rsidRPr="00A2368D">
        <w:rPr>
          <w:rStyle w:val="preferred"/>
          <w:i/>
          <w:iCs/>
          <w:lang w:val="fr-FR"/>
        </w:rPr>
        <w:t xml:space="preserve"> de stockage de l</w:t>
      </w:r>
      <w:r>
        <w:rPr>
          <w:rStyle w:val="preferred"/>
          <w:i/>
          <w:iCs/>
          <w:lang w:val="fr-FR"/>
        </w:rPr>
        <w:t>’</w:t>
      </w:r>
      <w:r w:rsidRPr="00A2368D">
        <w:rPr>
          <w:rStyle w:val="preferred"/>
          <w:i/>
          <w:iCs/>
          <w:lang w:val="fr-FR"/>
        </w:rPr>
        <w:t>énergie électrique (</w:t>
      </w:r>
      <w:r w:rsidRPr="00A2368D">
        <w:rPr>
          <w:rStyle w:val="acronym"/>
          <w:i/>
          <w:iCs/>
          <w:lang w:val="fr-FR"/>
        </w:rPr>
        <w:t>SRSEE</w:t>
      </w:r>
      <w:r w:rsidRPr="00A2368D">
        <w:rPr>
          <w:rStyle w:val="frresult"/>
          <w:i/>
          <w:iCs/>
          <w:lang w:val="fr-FR"/>
        </w:rPr>
        <w:t>)</w:t>
      </w:r>
      <w:bookmarkEnd w:id="3"/>
    </w:p>
    <w:p w14:paraId="5AE6A630" w14:textId="77777777" w:rsidR="00E14B46" w:rsidRPr="007A4276" w:rsidRDefault="00E14B46" w:rsidP="00E14B46">
      <w:pPr>
        <w:pStyle w:val="SingleTxtG"/>
        <w:ind w:left="2268"/>
        <w:rPr>
          <w:i/>
          <w:iCs/>
          <w:lang w:val="fr-029"/>
        </w:rPr>
      </w:pPr>
      <w:r w:rsidRPr="007A4276">
        <w:rPr>
          <w:b/>
          <w:bCs/>
          <w:i/>
          <w:iCs/>
          <w:lang w:val="fr-029"/>
        </w:rPr>
        <w:t>NOTA </w:t>
      </w:r>
      <w:r w:rsidRPr="007A4276">
        <w:rPr>
          <w:b/>
          <w:i/>
          <w:iCs/>
          <w:lang w:val="fr-029"/>
        </w:rPr>
        <w:t>:</w:t>
      </w:r>
      <w:r w:rsidRPr="007A4276">
        <w:rPr>
          <w:i/>
          <w:iCs/>
          <w:lang w:val="fr-029"/>
        </w:rPr>
        <w:t xml:space="preserve"> </w:t>
      </w:r>
      <w:r w:rsidRPr="004B1FEB">
        <w:rPr>
          <w:i/>
          <w:iCs/>
          <w:lang w:val="fr-029"/>
        </w:rPr>
        <w:t xml:space="preserve">D’autres abréviations sont parfois utilisées dans </w:t>
      </w:r>
      <w:r>
        <w:rPr>
          <w:i/>
          <w:iCs/>
          <w:lang w:val="fr-029"/>
        </w:rPr>
        <w:t>des</w:t>
      </w:r>
      <w:r w:rsidRPr="004B1FEB">
        <w:rPr>
          <w:i/>
          <w:iCs/>
          <w:lang w:val="fr-029"/>
        </w:rPr>
        <w:t xml:space="preserve"> documents portant sur des systèmes semblable</w:t>
      </w:r>
      <w:r>
        <w:rPr>
          <w:i/>
          <w:iCs/>
          <w:lang w:val="fr-029"/>
        </w:rPr>
        <w:t>s (par exemple, SRSE).</w:t>
      </w:r>
    </w:p>
    <w:p w14:paraId="5D826291" w14:textId="77777777" w:rsidR="00E14B46" w:rsidRPr="007A4276" w:rsidRDefault="00E14B46" w:rsidP="00E14B46">
      <w:pPr>
        <w:pStyle w:val="SingleTxtG"/>
        <w:ind w:left="2268"/>
        <w:rPr>
          <w:lang w:val="fr-FR"/>
        </w:rPr>
      </w:pPr>
      <w:r w:rsidRPr="007A4276">
        <w:rPr>
          <w:lang w:val="fr-FR"/>
        </w:rPr>
        <w:t>L</w:t>
      </w:r>
      <w:r>
        <w:rPr>
          <w:lang w:val="fr-FR"/>
        </w:rPr>
        <w:t xml:space="preserve">a conception et la construction du </w:t>
      </w:r>
      <w:r w:rsidRPr="007A4276">
        <w:rPr>
          <w:lang w:val="fr-FR"/>
        </w:rPr>
        <w:t xml:space="preserve">SRSEE des véhicules </w:t>
      </w:r>
      <w:r>
        <w:rPr>
          <w:lang w:val="fr-FR"/>
        </w:rPr>
        <w:t xml:space="preserve">dotés d’une chaîne de traction électrique doivent comprendre une évaluation des risques menée conformément à la norme </w:t>
      </w:r>
      <w:r w:rsidRPr="007A4276">
        <w:rPr>
          <w:lang w:val="fr-FR"/>
        </w:rPr>
        <w:t>ISO 6469-1:2019/Amd 1:2022</w:t>
      </w:r>
      <w:r>
        <w:rPr>
          <w:lang w:val="fr-FR"/>
        </w:rPr>
        <w:t xml:space="preserve"> afin que la sécurité soit assurée </w:t>
      </w:r>
      <w:r w:rsidRPr="007A4276">
        <w:rPr>
          <w:lang w:val="fr-FR"/>
        </w:rPr>
        <w:t xml:space="preserve">dans des conditions normales </w:t>
      </w:r>
      <w:r>
        <w:rPr>
          <w:lang w:val="fr-FR"/>
        </w:rPr>
        <w:t>de fonctionnement</w:t>
      </w:r>
      <w:r w:rsidRPr="007A4276">
        <w:rPr>
          <w:lang w:val="fr-FR"/>
        </w:rPr>
        <w:t>. Un examen doit être effectué par un service technique (par exemple, service technique chargé de l</w:t>
      </w:r>
      <w:r>
        <w:rPr>
          <w:lang w:val="fr-FR"/>
        </w:rPr>
        <w:t>’</w:t>
      </w:r>
      <w:r w:rsidRPr="007A4276">
        <w:rPr>
          <w:lang w:val="fr-FR"/>
        </w:rPr>
        <w:t xml:space="preserve">homologation des véhicules conformément au règlement </w:t>
      </w:r>
      <w:r>
        <w:rPr>
          <w:lang w:val="fr-FR"/>
        </w:rPr>
        <w:t>ONU No 100</w:t>
      </w:r>
      <w:r w:rsidRPr="007A4276">
        <w:rPr>
          <w:lang w:val="fr-FR"/>
        </w:rPr>
        <w:t>).</w:t>
      </w:r>
    </w:p>
    <w:p w14:paraId="6E0C3A6D" w14:textId="77777777" w:rsidR="00E14B46" w:rsidRPr="007A4276" w:rsidRDefault="00E14B46" w:rsidP="00BF56BE">
      <w:pPr>
        <w:pStyle w:val="SingleTxtG"/>
        <w:ind w:left="2268"/>
        <w:rPr>
          <w:lang w:val="fr-FR"/>
        </w:rPr>
      </w:pPr>
      <w:r w:rsidRPr="007A4276">
        <w:rPr>
          <w:b/>
          <w:bCs/>
          <w:i/>
          <w:iCs/>
          <w:lang w:val="fr-FR"/>
        </w:rPr>
        <w:t>NOTA </w:t>
      </w:r>
      <w:r w:rsidRPr="007A4276">
        <w:rPr>
          <w:b/>
          <w:i/>
          <w:iCs/>
          <w:lang w:val="fr-FR"/>
        </w:rPr>
        <w:t>:</w:t>
      </w:r>
      <w:r w:rsidRPr="007A4276">
        <w:rPr>
          <w:i/>
          <w:iCs/>
          <w:lang w:val="fr-FR"/>
        </w:rPr>
        <w:t xml:space="preserve"> Les conditions norm</w:t>
      </w:r>
      <w:r>
        <w:rPr>
          <w:i/>
          <w:iCs/>
          <w:lang w:val="fr-FR"/>
        </w:rPr>
        <w:t>ale</w:t>
      </w:r>
      <w:r w:rsidRPr="007A4276">
        <w:rPr>
          <w:i/>
          <w:iCs/>
          <w:lang w:val="fr-FR"/>
        </w:rPr>
        <w:t xml:space="preserve">s </w:t>
      </w:r>
      <w:r>
        <w:rPr>
          <w:i/>
          <w:iCs/>
          <w:lang w:val="fr-FR"/>
        </w:rPr>
        <w:t xml:space="preserve">de </w:t>
      </w:r>
      <w:r w:rsidRPr="00BF56BE">
        <w:rPr>
          <w:i/>
          <w:iCs/>
          <w:lang w:val="fr-029"/>
        </w:rPr>
        <w:t>fonctionnement</w:t>
      </w:r>
      <w:r w:rsidRPr="007A4276">
        <w:rPr>
          <w:i/>
          <w:iCs/>
          <w:lang w:val="fr-FR"/>
        </w:rPr>
        <w:t xml:space="preserve"> désignent les situations de fonctionnement normal, de dysfonctionnement et d</w:t>
      </w:r>
      <w:r>
        <w:rPr>
          <w:i/>
          <w:iCs/>
          <w:lang w:val="fr-FR"/>
        </w:rPr>
        <w:t>’</w:t>
      </w:r>
      <w:r w:rsidRPr="007A4276">
        <w:rPr>
          <w:i/>
          <w:iCs/>
          <w:lang w:val="fr-FR"/>
        </w:rPr>
        <w:t>accident raisonnablement prévisible</w:t>
      </w:r>
      <w:r>
        <w:rPr>
          <w:i/>
          <w:iCs/>
          <w:lang w:val="fr-FR"/>
        </w:rPr>
        <w:t>s. ».</w:t>
      </w:r>
    </w:p>
    <w:p w14:paraId="662A5B0F" w14:textId="77777777" w:rsidR="00E14B46" w:rsidRPr="00A2368D" w:rsidRDefault="00E14B46" w:rsidP="00E14B46">
      <w:pPr>
        <w:pStyle w:val="HChG"/>
        <w:rPr>
          <w:lang w:val="fr-FR"/>
        </w:rPr>
      </w:pPr>
      <w:r w:rsidRPr="007A4276">
        <w:rPr>
          <w:lang w:val="fr-FR"/>
        </w:rPr>
        <w:lastRenderedPageBreak/>
        <w:tab/>
      </w:r>
      <w:r w:rsidRPr="007A4276">
        <w:rPr>
          <w:lang w:val="fr-FR"/>
        </w:rPr>
        <w:tab/>
      </w:r>
      <w:r w:rsidRPr="00A2368D">
        <w:rPr>
          <w:lang w:val="fr-FR"/>
        </w:rPr>
        <w:t>Proposition 16</w:t>
      </w:r>
    </w:p>
    <w:p w14:paraId="01F44B35" w14:textId="77777777" w:rsidR="00E14B46" w:rsidRPr="007A4276" w:rsidRDefault="00E14B46" w:rsidP="00E14B46">
      <w:pPr>
        <w:pStyle w:val="SingleTxtG"/>
        <w:rPr>
          <w:lang w:val="fr-FR"/>
        </w:rPr>
      </w:pPr>
      <w:r w:rsidRPr="007A4276">
        <w:rPr>
          <w:lang w:val="fr-FR"/>
        </w:rPr>
        <w:t>19.</w:t>
      </w:r>
      <w:r w:rsidRPr="007A4276">
        <w:rPr>
          <w:lang w:val="fr-FR"/>
        </w:rPr>
        <w:tab/>
        <w:t xml:space="preserve">Ajouter </w:t>
      </w:r>
      <w:r>
        <w:rPr>
          <w:lang w:val="fr-FR"/>
        </w:rPr>
        <w:t>le</w:t>
      </w:r>
      <w:r w:rsidRPr="007A4276">
        <w:rPr>
          <w:lang w:val="fr-FR"/>
        </w:rPr>
        <w:t xml:space="preserve"> nouveau 9.2.4.4.3, libellé comme s</w:t>
      </w:r>
      <w:r>
        <w:rPr>
          <w:lang w:val="fr-FR"/>
        </w:rPr>
        <w:t>uit </w:t>
      </w:r>
      <w:r w:rsidRPr="007A4276">
        <w:rPr>
          <w:lang w:val="fr-FR"/>
        </w:rPr>
        <w:t>:</w:t>
      </w:r>
    </w:p>
    <w:p w14:paraId="13F5F44B" w14:textId="77777777" w:rsidR="00E14B46" w:rsidRPr="00A87671" w:rsidRDefault="00E14B46" w:rsidP="00E14B46">
      <w:pPr>
        <w:pStyle w:val="SingleTxtG"/>
        <w:rPr>
          <w:lang w:val="fr-029"/>
        </w:rPr>
      </w:pPr>
      <w:r>
        <w:rPr>
          <w:lang w:val="fr-029"/>
        </w:rPr>
        <w:t>« </w:t>
      </w:r>
      <w:r w:rsidRPr="00A87671">
        <w:rPr>
          <w:lang w:val="fr-029"/>
        </w:rPr>
        <w:t>9.2.4.4.3</w:t>
      </w:r>
      <w:r w:rsidRPr="00A87671">
        <w:rPr>
          <w:i/>
          <w:iCs/>
          <w:lang w:val="fr-029"/>
        </w:rPr>
        <w:tab/>
      </w:r>
      <w:r w:rsidRPr="00A87671">
        <w:rPr>
          <w:i/>
          <w:iCs/>
          <w:lang w:val="fr-FR"/>
        </w:rPr>
        <w:t xml:space="preserve">Mesures </w:t>
      </w:r>
      <w:r>
        <w:rPr>
          <w:i/>
          <w:iCs/>
          <w:lang w:val="fr-FR"/>
        </w:rPr>
        <w:t>de lutte contre</w:t>
      </w:r>
      <w:r w:rsidRPr="00A87671">
        <w:rPr>
          <w:i/>
          <w:iCs/>
          <w:lang w:val="fr-FR"/>
        </w:rPr>
        <w:t xml:space="preserve"> la propagation thermique</w:t>
      </w:r>
    </w:p>
    <w:p w14:paraId="5DA99206" w14:textId="77777777" w:rsidR="00E14B46" w:rsidRPr="00D36C28" w:rsidRDefault="00E14B46" w:rsidP="00BF56BE">
      <w:pPr>
        <w:pStyle w:val="SingleTxtG"/>
        <w:ind w:left="2268"/>
        <w:rPr>
          <w:lang w:val="fr-FR"/>
        </w:rPr>
      </w:pPr>
      <w:r>
        <w:rPr>
          <w:lang w:val="fr-FR"/>
        </w:rPr>
        <w:t>En ce qui concerne l</w:t>
      </w:r>
      <w:r w:rsidRPr="00A87671">
        <w:rPr>
          <w:lang w:val="fr-FR"/>
        </w:rPr>
        <w:t>e</w:t>
      </w:r>
      <w:r>
        <w:rPr>
          <w:lang w:val="fr-FR"/>
        </w:rPr>
        <w:t>s</w:t>
      </w:r>
      <w:r w:rsidRPr="00A87671">
        <w:rPr>
          <w:lang w:val="fr-FR"/>
        </w:rPr>
        <w:t xml:space="preserve"> SRSEE </w:t>
      </w:r>
      <w:r>
        <w:rPr>
          <w:lang w:val="fr-FR"/>
        </w:rPr>
        <w:t>comprenant</w:t>
      </w:r>
      <w:r w:rsidRPr="00A87671">
        <w:rPr>
          <w:lang w:val="fr-FR"/>
        </w:rPr>
        <w:t xml:space="preserve"> des piles pour lesquelles il n</w:t>
      </w:r>
      <w:r>
        <w:rPr>
          <w:lang w:val="fr-FR"/>
        </w:rPr>
        <w:t>’</w:t>
      </w:r>
      <w:r w:rsidRPr="00A87671">
        <w:rPr>
          <w:lang w:val="fr-FR"/>
        </w:rPr>
        <w:t xml:space="preserve">est pas possible de garantir que la propagation thermique soit </w:t>
      </w:r>
      <w:r>
        <w:rPr>
          <w:lang w:val="fr-FR"/>
        </w:rPr>
        <w:t>limitée au système</w:t>
      </w:r>
      <w:r w:rsidRPr="00A87671">
        <w:rPr>
          <w:lang w:val="fr-FR"/>
        </w:rPr>
        <w:t xml:space="preserve">, </w:t>
      </w:r>
      <w:r>
        <w:rPr>
          <w:lang w:val="fr-FR"/>
        </w:rPr>
        <w:t>d</w:t>
      </w:r>
      <w:r w:rsidRPr="00D36C28">
        <w:rPr>
          <w:lang w:val="fr-FR"/>
        </w:rPr>
        <w:t>es mesures doivent être prises pour éviter tout danger pour le chargement à la suite d’un échauffement ou d’une inflammation</w:t>
      </w:r>
      <w:r w:rsidRPr="00EE4F14">
        <w:rPr>
          <w:lang w:val="fr-FR"/>
        </w:rPr>
        <w:t>.</w:t>
      </w:r>
      <w:r>
        <w:rPr>
          <w:lang w:val="fr-FR"/>
        </w:rPr>
        <w:t xml:space="preserve"> </w:t>
      </w:r>
      <w:r w:rsidRPr="00D36C28">
        <w:rPr>
          <w:lang w:val="fr-FR"/>
        </w:rPr>
        <w:t>[La conception doit tenir compte de la nécessité de faciliter l</w:t>
      </w:r>
      <w:r>
        <w:rPr>
          <w:lang w:val="fr-FR"/>
        </w:rPr>
        <w:t>’</w:t>
      </w:r>
      <w:r w:rsidRPr="00D36C28">
        <w:rPr>
          <w:lang w:val="fr-FR"/>
        </w:rPr>
        <w:t>intervention des services d</w:t>
      </w:r>
      <w:r>
        <w:rPr>
          <w:lang w:val="fr-FR"/>
        </w:rPr>
        <w:t>’</w:t>
      </w:r>
      <w:r w:rsidRPr="00D36C28">
        <w:rPr>
          <w:lang w:val="fr-FR"/>
        </w:rPr>
        <w:t xml:space="preserve">urgence pour </w:t>
      </w:r>
      <w:r>
        <w:rPr>
          <w:lang w:val="fr-FR"/>
        </w:rPr>
        <w:t>limiter</w:t>
      </w:r>
      <w:r w:rsidRPr="00D36C28">
        <w:rPr>
          <w:lang w:val="fr-FR"/>
        </w:rPr>
        <w:t xml:space="preserve"> les effets d</w:t>
      </w:r>
      <w:r>
        <w:rPr>
          <w:lang w:val="fr-FR"/>
        </w:rPr>
        <w:t>’</w:t>
      </w:r>
      <w:r w:rsidRPr="00D36C28">
        <w:rPr>
          <w:lang w:val="fr-FR"/>
        </w:rPr>
        <w:t>une propagation thermique.]</w:t>
      </w:r>
      <w:r>
        <w:rPr>
          <w:lang w:val="fr-FR"/>
        </w:rPr>
        <w:t> ».</w:t>
      </w:r>
    </w:p>
    <w:p w14:paraId="4D53EA89" w14:textId="77777777" w:rsidR="00E14B46" w:rsidRPr="009B5BA5" w:rsidRDefault="00E14B46" w:rsidP="00E14B46">
      <w:pPr>
        <w:pStyle w:val="HChG"/>
        <w:rPr>
          <w:lang w:val="fr-FR"/>
        </w:rPr>
      </w:pPr>
      <w:r w:rsidRPr="00D36C28">
        <w:rPr>
          <w:lang w:val="fr-FR"/>
        </w:rPr>
        <w:tab/>
      </w:r>
      <w:r w:rsidRPr="00D36C28">
        <w:rPr>
          <w:lang w:val="fr-FR"/>
        </w:rPr>
        <w:tab/>
      </w:r>
      <w:r w:rsidRPr="009B5BA5">
        <w:rPr>
          <w:lang w:val="fr-FR"/>
        </w:rPr>
        <w:t>Proposition 17</w:t>
      </w:r>
    </w:p>
    <w:p w14:paraId="27597B5D" w14:textId="77777777" w:rsidR="00E14B46" w:rsidRPr="009B5BA5" w:rsidRDefault="00E14B46" w:rsidP="00E14B46">
      <w:pPr>
        <w:pStyle w:val="SingleTxtG"/>
        <w:rPr>
          <w:b/>
          <w:bCs/>
          <w:sz w:val="24"/>
          <w:szCs w:val="24"/>
          <w:lang w:val="fr-FR"/>
        </w:rPr>
      </w:pPr>
      <w:r w:rsidRPr="009B5BA5">
        <w:rPr>
          <w:lang w:val="fr-FR"/>
        </w:rPr>
        <w:t>20.</w:t>
      </w:r>
      <w:r w:rsidRPr="009B5BA5">
        <w:rPr>
          <w:lang w:val="fr-FR"/>
        </w:rPr>
        <w:tab/>
        <w:t xml:space="preserve">Ajouter </w:t>
      </w:r>
      <w:r>
        <w:rPr>
          <w:lang w:val="fr-FR"/>
        </w:rPr>
        <w:t>les</w:t>
      </w:r>
      <w:r w:rsidRPr="009B5BA5">
        <w:rPr>
          <w:lang w:val="fr-FR"/>
        </w:rPr>
        <w:t xml:space="preserve"> nouveau</w:t>
      </w:r>
      <w:r>
        <w:rPr>
          <w:lang w:val="fr-FR"/>
        </w:rPr>
        <w:t>x</w:t>
      </w:r>
      <w:r w:rsidRPr="009B5BA5">
        <w:rPr>
          <w:lang w:val="fr-FR"/>
        </w:rPr>
        <w:t xml:space="preserve"> 9.2.4.5 </w:t>
      </w:r>
      <w:r>
        <w:rPr>
          <w:lang w:val="fr-FR"/>
        </w:rPr>
        <w:t>à</w:t>
      </w:r>
      <w:r w:rsidRPr="009B5BA5">
        <w:rPr>
          <w:lang w:val="fr-FR"/>
        </w:rPr>
        <w:t xml:space="preserve"> 9.2.4.5.3</w:t>
      </w:r>
      <w:r>
        <w:rPr>
          <w:lang w:val="fr-FR"/>
        </w:rPr>
        <w:t>, libellés comme suit </w:t>
      </w:r>
      <w:r w:rsidRPr="009B5BA5">
        <w:rPr>
          <w:lang w:val="fr-FR"/>
        </w:rPr>
        <w:t>:</w:t>
      </w:r>
    </w:p>
    <w:p w14:paraId="2EDE6059" w14:textId="77777777" w:rsidR="00E14B46" w:rsidRPr="009B5BA5" w:rsidRDefault="00E14B46" w:rsidP="00E14B46">
      <w:pPr>
        <w:pStyle w:val="SingleTxtG"/>
        <w:rPr>
          <w:lang w:val="fr-FR"/>
        </w:rPr>
      </w:pPr>
      <w:r w:rsidRPr="006D2E7D">
        <w:rPr>
          <w:lang w:val="fr-FR"/>
        </w:rPr>
        <w:t>« </w:t>
      </w:r>
      <w:r w:rsidRPr="006D2E7D">
        <w:rPr>
          <w:b/>
          <w:bCs/>
          <w:lang w:val="fr-FR"/>
        </w:rPr>
        <w:t>9.2.4.5</w:t>
      </w:r>
      <w:r w:rsidRPr="009B5BA5">
        <w:rPr>
          <w:lang w:val="fr-FR"/>
        </w:rPr>
        <w:tab/>
      </w:r>
      <w:r w:rsidRPr="009B5BA5">
        <w:rPr>
          <w:b/>
          <w:bCs/>
          <w:i/>
          <w:iCs/>
          <w:lang w:val="fr-FR"/>
        </w:rPr>
        <w:t>Véhicules à pile à combustible à hydrogène</w:t>
      </w:r>
      <w:r w:rsidRPr="009B5BA5">
        <w:rPr>
          <w:lang w:val="fr-FR"/>
        </w:rPr>
        <w:t xml:space="preserve"> </w:t>
      </w:r>
    </w:p>
    <w:p w14:paraId="24230DB3" w14:textId="77777777" w:rsidR="00E14B46" w:rsidRPr="009B5BA5" w:rsidRDefault="00E14B46" w:rsidP="00BF56BE">
      <w:pPr>
        <w:pStyle w:val="SingleTxtG"/>
        <w:ind w:left="2268" w:hanging="1134"/>
        <w:rPr>
          <w:lang w:val="fr-FR"/>
        </w:rPr>
      </w:pPr>
      <w:r w:rsidRPr="009B5BA5">
        <w:rPr>
          <w:lang w:val="fr-FR"/>
        </w:rPr>
        <w:t>9.2.4.5.1</w:t>
      </w:r>
      <w:r w:rsidRPr="009B5BA5">
        <w:rPr>
          <w:lang w:val="fr-FR"/>
        </w:rPr>
        <w:tab/>
        <w:t xml:space="preserve">Les </w:t>
      </w:r>
      <w:r>
        <w:rPr>
          <w:lang w:val="fr-FR"/>
        </w:rPr>
        <w:t>v</w:t>
      </w:r>
      <w:r w:rsidRPr="009B5BA5">
        <w:rPr>
          <w:lang w:val="fr-FR"/>
        </w:rPr>
        <w:t>éhicules à pile à combustible à hydrogène</w:t>
      </w:r>
      <w:r>
        <w:rPr>
          <w:lang w:val="fr-FR"/>
        </w:rPr>
        <w:t xml:space="preserve"> doivent satisfaire aux prescriptions</w:t>
      </w:r>
      <w:r w:rsidRPr="00AC45EB">
        <w:rPr>
          <w:lang w:val="fr-FR"/>
        </w:rPr>
        <w:t xml:space="preserve"> </w:t>
      </w:r>
      <w:r>
        <w:rPr>
          <w:lang w:val="fr-FR"/>
        </w:rPr>
        <w:t>du 9.2.4.4, relatives à la chaîne de traction électrique.</w:t>
      </w:r>
    </w:p>
    <w:p w14:paraId="6FD15DEC" w14:textId="77777777" w:rsidR="00E14B46" w:rsidRPr="009B5BA5" w:rsidRDefault="00E14B46" w:rsidP="00BF56BE">
      <w:pPr>
        <w:pStyle w:val="SingleTxtG"/>
        <w:ind w:left="2268" w:hanging="1134"/>
        <w:rPr>
          <w:lang w:val="fr-FR"/>
        </w:rPr>
      </w:pPr>
      <w:r w:rsidRPr="009B5BA5">
        <w:rPr>
          <w:lang w:val="fr-FR"/>
        </w:rPr>
        <w:t>9.2.4.5.2</w:t>
      </w:r>
      <w:r w:rsidRPr="009B5BA5">
        <w:rPr>
          <w:lang w:val="fr-FR"/>
        </w:rPr>
        <w:tab/>
        <w:t xml:space="preserve">Les </w:t>
      </w:r>
      <w:r>
        <w:rPr>
          <w:lang w:val="fr-FR"/>
        </w:rPr>
        <w:t>v</w:t>
      </w:r>
      <w:r w:rsidRPr="009B5BA5">
        <w:rPr>
          <w:lang w:val="fr-FR"/>
        </w:rPr>
        <w:t>éhicules à pile à combustible à hydrogène</w:t>
      </w:r>
      <w:r>
        <w:rPr>
          <w:lang w:val="fr-FR"/>
        </w:rPr>
        <w:t xml:space="preserve"> doivent satisfaire à la série 02 d’amendements du Règlement ONU No 134. </w:t>
      </w:r>
      <w:r w:rsidRPr="009B5BA5">
        <w:rPr>
          <w:lang w:val="fr-FR"/>
        </w:rPr>
        <w:t>Pour les véhicules utilisant de l’hydrogène liquid</w:t>
      </w:r>
      <w:r>
        <w:rPr>
          <w:lang w:val="fr-FR"/>
        </w:rPr>
        <w:t>e</w:t>
      </w:r>
      <w:r w:rsidRPr="009B5BA5">
        <w:rPr>
          <w:lang w:val="fr-FR"/>
        </w:rPr>
        <w:t>, les prescriptions t</w:t>
      </w:r>
      <w:r>
        <w:rPr>
          <w:lang w:val="fr-FR"/>
        </w:rPr>
        <w:t>echniques de la phase 2 d</w:t>
      </w:r>
      <w:r w:rsidRPr="000024A3">
        <w:rPr>
          <w:lang w:val="fr-FR"/>
        </w:rPr>
        <w:t xml:space="preserve">u </w:t>
      </w:r>
      <w:r w:rsidRPr="000024A3">
        <w:rPr>
          <w:rStyle w:val="preferred"/>
          <w:lang w:val="fr-FR"/>
        </w:rPr>
        <w:t xml:space="preserve">RTM </w:t>
      </w:r>
      <w:r>
        <w:rPr>
          <w:rStyle w:val="preferred"/>
          <w:lang w:val="fr-FR"/>
        </w:rPr>
        <w:t xml:space="preserve">ONU </w:t>
      </w:r>
      <w:r w:rsidRPr="000024A3">
        <w:rPr>
          <w:rStyle w:val="preferred"/>
          <w:lang w:val="fr-FR"/>
        </w:rPr>
        <w:t>n</w:t>
      </w:r>
      <w:r w:rsidRPr="000024A3">
        <w:rPr>
          <w:rStyle w:val="preferred"/>
          <w:vertAlign w:val="superscript"/>
          <w:lang w:val="fr-FR"/>
        </w:rPr>
        <w:t>o</w:t>
      </w:r>
      <w:r w:rsidRPr="000024A3">
        <w:rPr>
          <w:rStyle w:val="preferred"/>
          <w:lang w:val="fr-FR"/>
        </w:rPr>
        <w:t xml:space="preserve"> 13</w:t>
      </w:r>
      <w:r>
        <w:rPr>
          <w:rStyle w:val="preferred"/>
          <w:lang w:val="fr-FR"/>
        </w:rPr>
        <w:t xml:space="preserve"> </w:t>
      </w:r>
      <w:r w:rsidRPr="009B5BA5">
        <w:rPr>
          <w:rStyle w:val="preferred"/>
          <w:lang w:val="fr-FR"/>
        </w:rPr>
        <w:t>s’appliquent.</w:t>
      </w:r>
    </w:p>
    <w:p w14:paraId="4E0D1507" w14:textId="77777777" w:rsidR="00E14B46" w:rsidRPr="009B5BA5" w:rsidRDefault="00E14B46" w:rsidP="00BF56BE">
      <w:pPr>
        <w:pStyle w:val="SingleTxtG"/>
        <w:ind w:left="2268" w:hanging="1134"/>
        <w:rPr>
          <w:lang w:val="fr-FR"/>
        </w:rPr>
      </w:pPr>
      <w:r w:rsidRPr="009B5BA5">
        <w:rPr>
          <w:lang w:val="fr-FR"/>
        </w:rPr>
        <w:t>9.2.4.5.3</w:t>
      </w:r>
      <w:r w:rsidRPr="009B5BA5">
        <w:rPr>
          <w:lang w:val="fr-FR"/>
        </w:rPr>
        <w:tab/>
        <w:t>Les dispositifs de fermeture des réservoir</w:t>
      </w:r>
      <w:r>
        <w:rPr>
          <w:lang w:val="fr-FR"/>
        </w:rPr>
        <w:t>s d’hydrogène doivent s’enclencher automatiquement :</w:t>
      </w:r>
    </w:p>
    <w:p w14:paraId="66EC95C4" w14:textId="77777777" w:rsidR="00E14B46" w:rsidRPr="00A2368D" w:rsidRDefault="00E14B46" w:rsidP="00BF56BE">
      <w:pPr>
        <w:pStyle w:val="Bullet1G"/>
        <w:numPr>
          <w:ilvl w:val="0"/>
          <w:numId w:val="17"/>
        </w:numPr>
        <w:tabs>
          <w:tab w:val="clear" w:pos="1701"/>
        </w:tabs>
        <w:suppressAutoHyphens w:val="0"/>
        <w:kinsoku/>
        <w:overflowPunct/>
        <w:autoSpaceDE/>
        <w:autoSpaceDN/>
        <w:adjustRightInd/>
        <w:snapToGrid/>
        <w:ind w:left="2608"/>
        <w:rPr>
          <w:lang w:val="fr-FR"/>
        </w:rPr>
      </w:pPr>
      <w:r w:rsidRPr="00A2368D">
        <w:rPr>
          <w:lang w:val="fr-FR"/>
        </w:rPr>
        <w:t xml:space="preserve">Lorsque le véhicule </w:t>
      </w:r>
      <w:r>
        <w:rPr>
          <w:lang w:val="fr-FR"/>
        </w:rPr>
        <w:t>n’</w:t>
      </w:r>
      <w:r w:rsidRPr="003628A8">
        <w:rPr>
          <w:lang w:val="fr-FR"/>
        </w:rPr>
        <w:t>est plus en mode marche</w:t>
      </w:r>
      <w:r w:rsidRPr="00A2368D">
        <w:rPr>
          <w:lang w:val="fr-FR"/>
        </w:rPr>
        <w:t> ;</w:t>
      </w:r>
    </w:p>
    <w:p w14:paraId="1D3A7372" w14:textId="77777777" w:rsidR="00E14B46" w:rsidRPr="00656472" w:rsidRDefault="00E14B46" w:rsidP="00BF56BE">
      <w:pPr>
        <w:pStyle w:val="Bullet1G"/>
        <w:numPr>
          <w:ilvl w:val="0"/>
          <w:numId w:val="17"/>
        </w:numPr>
        <w:tabs>
          <w:tab w:val="clear" w:pos="1701"/>
        </w:tabs>
        <w:suppressAutoHyphens w:val="0"/>
        <w:kinsoku/>
        <w:overflowPunct/>
        <w:autoSpaceDE/>
        <w:autoSpaceDN/>
        <w:adjustRightInd/>
        <w:snapToGrid/>
        <w:ind w:left="2608"/>
        <w:rPr>
          <w:lang w:val="fr-FR"/>
        </w:rPr>
      </w:pPr>
      <w:r w:rsidRPr="00656472">
        <w:rPr>
          <w:lang w:val="fr-FR"/>
        </w:rPr>
        <w:t xml:space="preserve">Lors d’un choc à 1,5 g </w:t>
      </w:r>
      <w:r w:rsidRPr="005553A7">
        <w:rPr>
          <w:lang w:val="fr-FR"/>
        </w:rPr>
        <w:t>dans le sens opposé au déplacement ;</w:t>
      </w:r>
    </w:p>
    <w:p w14:paraId="666B9DD3" w14:textId="77777777" w:rsidR="00E14B46" w:rsidRPr="00024C5E" w:rsidRDefault="00E14B46" w:rsidP="00BF56BE">
      <w:pPr>
        <w:pStyle w:val="Bullet1G"/>
        <w:numPr>
          <w:ilvl w:val="0"/>
          <w:numId w:val="17"/>
        </w:numPr>
        <w:tabs>
          <w:tab w:val="clear" w:pos="1701"/>
        </w:tabs>
        <w:suppressAutoHyphens w:val="0"/>
        <w:kinsoku/>
        <w:overflowPunct/>
        <w:autoSpaceDE/>
        <w:autoSpaceDN/>
        <w:adjustRightInd/>
        <w:snapToGrid/>
        <w:ind w:left="2608"/>
        <w:rPr>
          <w:lang w:val="fr-FR"/>
        </w:rPr>
      </w:pPr>
      <w:r w:rsidRPr="00024C5E">
        <w:rPr>
          <w:lang w:val="fr-FR"/>
        </w:rPr>
        <w:t>En cas de renversement latéral au</w:t>
      </w:r>
      <w:r>
        <w:rPr>
          <w:lang w:val="fr-FR"/>
        </w:rPr>
        <w:t>-delà</w:t>
      </w:r>
      <w:r w:rsidRPr="00024C5E">
        <w:rPr>
          <w:lang w:val="fr-FR"/>
        </w:rPr>
        <w:t xml:space="preserve"> d</w:t>
      </w:r>
      <w:r>
        <w:rPr>
          <w:lang w:val="fr-FR"/>
        </w:rPr>
        <w:t>’</w:t>
      </w:r>
      <w:r w:rsidRPr="00024C5E">
        <w:rPr>
          <w:lang w:val="fr-FR"/>
        </w:rPr>
        <w:t>un angle de 23°</w:t>
      </w:r>
      <w:r>
        <w:rPr>
          <w:lang w:val="fr-FR"/>
        </w:rPr>
        <w:t>.</w:t>
      </w:r>
    </w:p>
    <w:p w14:paraId="49929772" w14:textId="77777777" w:rsidR="00E14B46" w:rsidRPr="00024C5E" w:rsidRDefault="00E14B46" w:rsidP="00BF56BE">
      <w:pPr>
        <w:pStyle w:val="Bullet1G"/>
        <w:numPr>
          <w:ilvl w:val="0"/>
          <w:numId w:val="0"/>
        </w:numPr>
        <w:ind w:left="2268"/>
        <w:rPr>
          <w:lang w:val="fr-FR"/>
        </w:rPr>
      </w:pPr>
      <w:r w:rsidRPr="00024C5E">
        <w:rPr>
          <w:lang w:val="fr-FR"/>
        </w:rPr>
        <w:t>Les dispositifs de fermeture peuvent être rouverts</w:t>
      </w:r>
      <w:r>
        <w:rPr>
          <w:lang w:val="fr-FR"/>
        </w:rPr>
        <w:t xml:space="preserve"> de manière délibérée par le conducteur. ».</w:t>
      </w:r>
    </w:p>
    <w:p w14:paraId="17C8CA8E" w14:textId="77777777" w:rsidR="00E14B46" w:rsidRPr="00024C5E" w:rsidRDefault="00E14B46" w:rsidP="00E14B46">
      <w:pPr>
        <w:pStyle w:val="HChG"/>
        <w:rPr>
          <w:lang w:val="fr-FR"/>
        </w:rPr>
      </w:pPr>
      <w:r w:rsidRPr="00024C5E">
        <w:rPr>
          <w:lang w:val="fr-FR"/>
        </w:rPr>
        <w:tab/>
      </w:r>
      <w:r w:rsidRPr="00024C5E">
        <w:rPr>
          <w:lang w:val="fr-FR"/>
        </w:rPr>
        <w:tab/>
        <w:t>Proposition 18</w:t>
      </w:r>
    </w:p>
    <w:p w14:paraId="0D0F70C5" w14:textId="77777777" w:rsidR="00E14B46" w:rsidRPr="00024C5E" w:rsidRDefault="00E14B46" w:rsidP="00E14B46">
      <w:pPr>
        <w:pStyle w:val="SingleTxtG"/>
        <w:rPr>
          <w:lang w:val="fr-FR"/>
        </w:rPr>
      </w:pPr>
      <w:r w:rsidRPr="00024C5E">
        <w:rPr>
          <w:lang w:val="fr-FR"/>
        </w:rPr>
        <w:t>21.</w:t>
      </w:r>
      <w:r w:rsidRPr="00024C5E">
        <w:rPr>
          <w:lang w:val="fr-FR"/>
        </w:rPr>
        <w:tab/>
      </w:r>
      <w:r>
        <w:rPr>
          <w:lang w:val="fr-FR"/>
        </w:rPr>
        <w:t>9</w:t>
      </w:r>
      <w:r w:rsidRPr="00024C5E">
        <w:rPr>
          <w:lang w:val="fr-FR"/>
        </w:rPr>
        <w:t>.2.4.7</w:t>
      </w:r>
      <w:r>
        <w:rPr>
          <w:lang w:val="fr-FR"/>
        </w:rPr>
        <w:t>, supprimer</w:t>
      </w:r>
      <w:r w:rsidRPr="00024C5E">
        <w:rPr>
          <w:lang w:val="fr-FR"/>
        </w:rPr>
        <w:t xml:space="preserve"> (disposition remplacée</w:t>
      </w:r>
      <w:r>
        <w:rPr>
          <w:lang w:val="fr-FR"/>
        </w:rPr>
        <w:t xml:space="preserve"> par le</w:t>
      </w:r>
      <w:r w:rsidRPr="00024C5E">
        <w:rPr>
          <w:lang w:val="fr-FR"/>
        </w:rPr>
        <w:t xml:space="preserve"> 9.2.3.3).</w:t>
      </w:r>
    </w:p>
    <w:p w14:paraId="2465FE79" w14:textId="77777777" w:rsidR="00E14B46" w:rsidRPr="00A2368D" w:rsidRDefault="00E14B46" w:rsidP="00E14B46">
      <w:pPr>
        <w:pStyle w:val="HChG"/>
        <w:rPr>
          <w:lang w:val="fr-FR"/>
        </w:rPr>
      </w:pPr>
      <w:r w:rsidRPr="00024C5E">
        <w:rPr>
          <w:lang w:val="fr-FR"/>
        </w:rPr>
        <w:tab/>
      </w:r>
      <w:r w:rsidRPr="00024C5E">
        <w:rPr>
          <w:lang w:val="fr-FR"/>
        </w:rPr>
        <w:tab/>
      </w:r>
      <w:r w:rsidRPr="00A2368D">
        <w:rPr>
          <w:lang w:val="fr-FR"/>
        </w:rPr>
        <w:t>Proposition 19</w:t>
      </w:r>
    </w:p>
    <w:p w14:paraId="77E037AD" w14:textId="77777777" w:rsidR="00E14B46" w:rsidRPr="00024C5E" w:rsidRDefault="00E14B46" w:rsidP="00E14B46">
      <w:pPr>
        <w:pStyle w:val="SingleTxtG"/>
        <w:rPr>
          <w:lang w:val="fr-FR"/>
        </w:rPr>
      </w:pPr>
      <w:r w:rsidRPr="00024C5E">
        <w:rPr>
          <w:lang w:val="fr-FR"/>
        </w:rPr>
        <w:t>22.</w:t>
      </w:r>
      <w:r w:rsidRPr="00024C5E">
        <w:rPr>
          <w:lang w:val="fr-FR"/>
        </w:rPr>
        <w:tab/>
      </w:r>
      <w:r>
        <w:rPr>
          <w:lang w:val="fr-FR"/>
        </w:rPr>
        <w:t>L</w:t>
      </w:r>
      <w:r w:rsidRPr="00024C5E">
        <w:rPr>
          <w:lang w:val="fr-FR"/>
        </w:rPr>
        <w:t xml:space="preserve">es 9.2.4.8 </w:t>
      </w:r>
      <w:r>
        <w:rPr>
          <w:lang w:val="fr-FR"/>
        </w:rPr>
        <w:t>à</w:t>
      </w:r>
      <w:r w:rsidRPr="00024C5E">
        <w:rPr>
          <w:lang w:val="fr-FR"/>
        </w:rPr>
        <w:t xml:space="preserve"> 9.2.4.8.6 </w:t>
      </w:r>
      <w:r>
        <w:rPr>
          <w:lang w:val="fr-FR"/>
        </w:rPr>
        <w:t>deviennent les</w:t>
      </w:r>
      <w:r w:rsidRPr="00024C5E">
        <w:rPr>
          <w:lang w:val="fr-FR"/>
        </w:rPr>
        <w:t xml:space="preserve"> 9.2.5 </w:t>
      </w:r>
      <w:r>
        <w:rPr>
          <w:lang w:val="fr-FR"/>
        </w:rPr>
        <w:t>à</w:t>
      </w:r>
      <w:r w:rsidRPr="00024C5E">
        <w:rPr>
          <w:lang w:val="fr-FR"/>
        </w:rPr>
        <w:t xml:space="preserve"> 9.2.5.6</w:t>
      </w:r>
      <w:r>
        <w:rPr>
          <w:lang w:val="fr-FR"/>
        </w:rPr>
        <w:t>, respectivement</w:t>
      </w:r>
      <w:r w:rsidRPr="00024C5E">
        <w:rPr>
          <w:lang w:val="fr-FR"/>
        </w:rPr>
        <w:t>.</w:t>
      </w:r>
    </w:p>
    <w:p w14:paraId="6FC4F23D" w14:textId="77777777" w:rsidR="00E14B46" w:rsidRPr="00A2368D" w:rsidRDefault="00E14B46" w:rsidP="00E14B46">
      <w:pPr>
        <w:pStyle w:val="HChG"/>
        <w:rPr>
          <w:lang w:val="fr-FR"/>
        </w:rPr>
      </w:pPr>
      <w:r w:rsidRPr="00024C5E">
        <w:rPr>
          <w:lang w:val="fr-FR"/>
        </w:rPr>
        <w:tab/>
      </w:r>
      <w:r w:rsidRPr="00024C5E">
        <w:rPr>
          <w:lang w:val="fr-FR"/>
        </w:rPr>
        <w:tab/>
      </w:r>
      <w:r w:rsidRPr="00A2368D">
        <w:rPr>
          <w:lang w:val="fr-FR"/>
        </w:rPr>
        <w:t xml:space="preserve">Proposition 20 </w:t>
      </w:r>
    </w:p>
    <w:p w14:paraId="718DFAE1" w14:textId="77777777" w:rsidR="00E14B46" w:rsidRPr="00024C5E" w:rsidRDefault="00E14B46" w:rsidP="00E14B46">
      <w:pPr>
        <w:pStyle w:val="SingleTxtG"/>
        <w:rPr>
          <w:b/>
          <w:bCs/>
          <w:sz w:val="24"/>
          <w:szCs w:val="24"/>
          <w:lang w:val="fr-FR"/>
        </w:rPr>
      </w:pPr>
      <w:r w:rsidRPr="00024C5E">
        <w:rPr>
          <w:lang w:val="fr-FR"/>
        </w:rPr>
        <w:t>23.</w:t>
      </w:r>
      <w:r w:rsidRPr="00024C5E">
        <w:rPr>
          <w:lang w:val="fr-FR"/>
        </w:rPr>
        <w:tab/>
      </w:r>
      <w:r>
        <w:rPr>
          <w:lang w:val="fr-FR"/>
        </w:rPr>
        <w:t>L</w:t>
      </w:r>
      <w:r w:rsidRPr="00024C5E">
        <w:rPr>
          <w:lang w:val="fr-FR"/>
        </w:rPr>
        <w:t xml:space="preserve">e 9.2.5 et le 9.2.6 </w:t>
      </w:r>
      <w:r>
        <w:rPr>
          <w:lang w:val="fr-FR"/>
        </w:rPr>
        <w:t xml:space="preserve">deviennent le </w:t>
      </w:r>
      <w:r w:rsidRPr="00024C5E">
        <w:rPr>
          <w:lang w:val="fr-FR"/>
        </w:rPr>
        <w:t xml:space="preserve">9.2.6 </w:t>
      </w:r>
      <w:r>
        <w:rPr>
          <w:lang w:val="fr-FR"/>
        </w:rPr>
        <w:t>et le</w:t>
      </w:r>
      <w:r w:rsidRPr="00024C5E">
        <w:rPr>
          <w:lang w:val="fr-FR"/>
        </w:rPr>
        <w:t xml:space="preserve"> 9.2.7</w:t>
      </w:r>
      <w:r>
        <w:rPr>
          <w:lang w:val="fr-FR"/>
        </w:rPr>
        <w:t>,</w:t>
      </w:r>
      <w:r w:rsidRPr="00024C5E">
        <w:rPr>
          <w:lang w:val="fr-FR"/>
        </w:rPr>
        <w:t xml:space="preserve"> </w:t>
      </w:r>
      <w:r>
        <w:rPr>
          <w:lang w:val="fr-FR"/>
        </w:rPr>
        <w:t>respectivement</w:t>
      </w:r>
      <w:r w:rsidRPr="00024C5E">
        <w:rPr>
          <w:lang w:val="fr-FR"/>
        </w:rPr>
        <w:t xml:space="preserve">. </w:t>
      </w:r>
    </w:p>
    <w:p w14:paraId="6EDE7927" w14:textId="77777777" w:rsidR="00E14B46" w:rsidRPr="00A2368D" w:rsidRDefault="00E14B46" w:rsidP="00E14B46">
      <w:pPr>
        <w:pStyle w:val="HChG"/>
        <w:rPr>
          <w:lang w:val="fr-FR"/>
        </w:rPr>
      </w:pPr>
      <w:r w:rsidRPr="00024C5E">
        <w:rPr>
          <w:lang w:val="fr-FR"/>
        </w:rPr>
        <w:tab/>
      </w:r>
      <w:r w:rsidRPr="00024C5E">
        <w:rPr>
          <w:lang w:val="fr-FR"/>
        </w:rPr>
        <w:tab/>
      </w:r>
      <w:r w:rsidRPr="00A2368D">
        <w:rPr>
          <w:lang w:val="fr-FR"/>
        </w:rPr>
        <w:t>Proposition 21</w:t>
      </w:r>
    </w:p>
    <w:p w14:paraId="67DAD144" w14:textId="77777777" w:rsidR="00E14B46" w:rsidRPr="004537B7" w:rsidRDefault="00E14B46" w:rsidP="00E14B46">
      <w:pPr>
        <w:pStyle w:val="SingleTxtG"/>
        <w:rPr>
          <w:lang w:val="fr-FR"/>
        </w:rPr>
      </w:pPr>
      <w:r w:rsidRPr="004537B7">
        <w:rPr>
          <w:lang w:val="fr-FR"/>
        </w:rPr>
        <w:t>24.</w:t>
      </w:r>
      <w:r w:rsidRPr="004537B7">
        <w:rPr>
          <w:lang w:val="fr-FR"/>
        </w:rPr>
        <w:tab/>
      </w:r>
      <w:r>
        <w:rPr>
          <w:lang w:val="fr-FR"/>
        </w:rPr>
        <w:t>L</w:t>
      </w:r>
      <w:r w:rsidRPr="004537B7">
        <w:rPr>
          <w:lang w:val="fr-FR"/>
        </w:rPr>
        <w:t xml:space="preserve">e 9.2.7 </w:t>
      </w:r>
      <w:r>
        <w:rPr>
          <w:lang w:val="fr-FR"/>
        </w:rPr>
        <w:t>devient le</w:t>
      </w:r>
      <w:r w:rsidRPr="004537B7">
        <w:rPr>
          <w:lang w:val="fr-FR"/>
        </w:rPr>
        <w:t xml:space="preserve"> 9.2.8 et </w:t>
      </w:r>
      <w:r>
        <w:rPr>
          <w:lang w:val="fr-FR"/>
        </w:rPr>
        <w:t xml:space="preserve">se lit </w:t>
      </w:r>
      <w:r w:rsidRPr="004537B7">
        <w:rPr>
          <w:lang w:val="fr-FR"/>
        </w:rPr>
        <w:t>comme suit (</w:t>
      </w:r>
      <w:r w:rsidRPr="00CB07E5">
        <w:rPr>
          <w:lang w:val="fr-FR"/>
        </w:rPr>
        <w:t>le</w:t>
      </w:r>
      <w:r>
        <w:rPr>
          <w:lang w:val="fr-FR"/>
        </w:rPr>
        <w:t xml:space="preserve">s modifications qu’il est proposé d’apporter figurent en caractères </w:t>
      </w:r>
      <w:r w:rsidRPr="00B2196D">
        <w:rPr>
          <w:i/>
          <w:iCs/>
          <w:u w:val="single"/>
          <w:lang w:val="fr-FR"/>
        </w:rPr>
        <w:t>italiques et soulignés</w:t>
      </w:r>
      <w:r>
        <w:rPr>
          <w:lang w:val="fr-FR"/>
        </w:rPr>
        <w:t xml:space="preserve"> pour les ajouts) :</w:t>
      </w:r>
    </w:p>
    <w:p w14:paraId="509B0088" w14:textId="4E9287A3" w:rsidR="00E14B46" w:rsidRPr="0019152D" w:rsidRDefault="00E14B46" w:rsidP="00BF56BE">
      <w:pPr>
        <w:pStyle w:val="SingleTxtG"/>
        <w:ind w:left="2268" w:hanging="1134"/>
        <w:rPr>
          <w:i/>
          <w:iCs/>
          <w:lang w:val="fr-FR"/>
        </w:rPr>
      </w:pPr>
      <w:r w:rsidRPr="00F65BE6">
        <w:rPr>
          <w:lang w:val="fr-FR"/>
        </w:rPr>
        <w:t>«</w:t>
      </w:r>
      <w:r>
        <w:rPr>
          <w:b/>
          <w:bCs/>
          <w:lang w:val="fr-FR"/>
        </w:rPr>
        <w:t> </w:t>
      </w:r>
      <w:r w:rsidRPr="0019152D">
        <w:rPr>
          <w:b/>
          <w:bCs/>
          <w:lang w:val="fr-FR"/>
        </w:rPr>
        <w:t>9.2.8</w:t>
      </w:r>
      <w:r w:rsidRPr="0019152D">
        <w:rPr>
          <w:b/>
          <w:bCs/>
          <w:lang w:val="fr-FR"/>
        </w:rPr>
        <w:tab/>
        <w:t>Prévention des autres risques dus aux carburants</w:t>
      </w:r>
    </w:p>
    <w:p w14:paraId="657051A6" w14:textId="77777777" w:rsidR="00E14B46" w:rsidRDefault="00E14B46" w:rsidP="00BF56BE">
      <w:pPr>
        <w:pStyle w:val="SingleTxtG"/>
        <w:ind w:left="2268" w:hanging="1134"/>
        <w:rPr>
          <w:lang w:val="fr-FR"/>
        </w:rPr>
      </w:pPr>
      <w:r w:rsidRPr="0019152D">
        <w:rPr>
          <w:lang w:val="fr-FR"/>
        </w:rPr>
        <w:t>9.2.8.1</w:t>
      </w:r>
      <w:r w:rsidRPr="0019152D">
        <w:rPr>
          <w:lang w:val="fr-FR"/>
        </w:rPr>
        <w:tab/>
      </w:r>
      <w:r w:rsidRPr="0019152D">
        <w:rPr>
          <w:lang w:val="fr-FR"/>
        </w:rPr>
        <w:tab/>
        <w:t xml:space="preserve">Les circuits de carburant de moteurs propulsés au GNL </w:t>
      </w:r>
      <w:r w:rsidRPr="0019152D">
        <w:rPr>
          <w:i/>
          <w:iCs/>
          <w:u w:val="single"/>
          <w:lang w:val="fr-FR"/>
        </w:rPr>
        <w:t>et à l’hydrogène liquide</w:t>
      </w:r>
      <w:r>
        <w:rPr>
          <w:lang w:val="fr-FR"/>
        </w:rPr>
        <w:t xml:space="preserve"> </w:t>
      </w:r>
      <w:r w:rsidRPr="0019152D">
        <w:rPr>
          <w:lang w:val="fr-FR"/>
        </w:rPr>
        <w:t xml:space="preserve">des véhicules doivent être équipés et placés de façon à éviter tout </w:t>
      </w:r>
      <w:r w:rsidRPr="0019152D">
        <w:rPr>
          <w:lang w:val="fr-FR"/>
        </w:rPr>
        <w:lastRenderedPageBreak/>
        <w:t>danger pour le chargement qui pourrait être causé par le fait que le gaz est réfrigéré.</w:t>
      </w:r>
      <w:r>
        <w:rPr>
          <w:lang w:val="fr-FR"/>
        </w:rPr>
        <w:t> ».</w:t>
      </w:r>
    </w:p>
    <w:p w14:paraId="20F92AE4" w14:textId="77777777" w:rsidR="00E14B46" w:rsidRPr="00A2368D" w:rsidRDefault="00E14B46" w:rsidP="00E14B46">
      <w:pPr>
        <w:pStyle w:val="HChG"/>
        <w:rPr>
          <w:lang w:val="fr-FR"/>
        </w:rPr>
      </w:pPr>
      <w:r w:rsidRPr="00A2368D">
        <w:rPr>
          <w:lang w:val="fr-FR"/>
        </w:rPr>
        <w:tab/>
      </w:r>
      <w:r w:rsidRPr="00A2368D">
        <w:rPr>
          <w:lang w:val="fr-FR"/>
        </w:rPr>
        <w:tab/>
        <w:t>Proposition 22</w:t>
      </w:r>
    </w:p>
    <w:p w14:paraId="11EF41A6" w14:textId="77777777" w:rsidR="00E14B46" w:rsidRPr="0019152D" w:rsidRDefault="00E14B46" w:rsidP="00E14B46">
      <w:pPr>
        <w:pStyle w:val="SingleTxtG"/>
        <w:rPr>
          <w:lang w:val="fr-FR"/>
        </w:rPr>
      </w:pPr>
      <w:r w:rsidRPr="0019152D">
        <w:rPr>
          <w:lang w:val="fr-FR"/>
        </w:rPr>
        <w:t>25.</w:t>
      </w:r>
      <w:r w:rsidRPr="0019152D">
        <w:rPr>
          <w:lang w:val="fr-FR"/>
        </w:rPr>
        <w:tab/>
      </w:r>
      <w:r>
        <w:rPr>
          <w:lang w:val="fr-FR"/>
        </w:rPr>
        <w:t>D</w:t>
      </w:r>
      <w:r w:rsidRPr="0019152D">
        <w:rPr>
          <w:lang w:val="fr-FR"/>
        </w:rPr>
        <w:t xml:space="preserve">ans le cas où les crochets </w:t>
      </w:r>
      <w:r w:rsidRPr="00310606">
        <w:rPr>
          <w:lang w:val="fr-FR"/>
        </w:rPr>
        <w:t>ajoutés aux lignes 9.2.4.2 et 9.2.4.4.2, dans la colonne AT du tableau du 9.2.11</w:t>
      </w:r>
      <w:r>
        <w:rPr>
          <w:lang w:val="fr-FR"/>
        </w:rPr>
        <w:t>,</w:t>
      </w:r>
      <w:r w:rsidRPr="00310606">
        <w:rPr>
          <w:lang w:val="fr-FR"/>
        </w:rPr>
        <w:t xml:space="preserve"> s</w:t>
      </w:r>
      <w:r>
        <w:rPr>
          <w:lang w:val="fr-FR"/>
        </w:rPr>
        <w:t>eraie</w:t>
      </w:r>
      <w:r w:rsidRPr="00310606">
        <w:rPr>
          <w:lang w:val="fr-FR"/>
        </w:rPr>
        <w:t xml:space="preserve">nt retirés, </w:t>
      </w:r>
      <w:r>
        <w:rPr>
          <w:lang w:val="fr-FR"/>
        </w:rPr>
        <w:t>a</w:t>
      </w:r>
      <w:r w:rsidRPr="0019152D">
        <w:rPr>
          <w:lang w:val="fr-FR"/>
        </w:rPr>
        <w:t xml:space="preserve">jouter </w:t>
      </w:r>
      <w:r>
        <w:rPr>
          <w:lang w:val="fr-FR"/>
        </w:rPr>
        <w:t>la</w:t>
      </w:r>
      <w:r w:rsidRPr="0019152D">
        <w:rPr>
          <w:lang w:val="fr-FR"/>
        </w:rPr>
        <w:t xml:space="preserve"> nouvelle disposition transitoire</w:t>
      </w:r>
      <w:r>
        <w:rPr>
          <w:lang w:val="fr-FR"/>
        </w:rPr>
        <w:t xml:space="preserve"> </w:t>
      </w:r>
      <w:r w:rsidRPr="00310606">
        <w:rPr>
          <w:lang w:val="fr-FR"/>
        </w:rPr>
        <w:t>1.6.5.xy</w:t>
      </w:r>
      <w:r>
        <w:rPr>
          <w:lang w:val="fr-FR"/>
        </w:rPr>
        <w:t xml:space="preserve">, </w:t>
      </w:r>
      <w:r w:rsidRPr="00310606">
        <w:rPr>
          <w:lang w:val="fr-FR"/>
        </w:rPr>
        <w:t>libellée comme suit :</w:t>
      </w:r>
    </w:p>
    <w:p w14:paraId="22B64876" w14:textId="77777777" w:rsidR="00E14B46" w:rsidRDefault="00E14B46" w:rsidP="00E14B46">
      <w:pPr>
        <w:pStyle w:val="SingleTxtG"/>
        <w:rPr>
          <w:lang w:val="fr-029"/>
        </w:rPr>
      </w:pPr>
      <w:r>
        <w:rPr>
          <w:lang w:val="fr-029"/>
        </w:rPr>
        <w:t>« </w:t>
      </w:r>
      <w:r w:rsidRPr="0019152D">
        <w:rPr>
          <w:lang w:val="fr-029"/>
        </w:rPr>
        <w:t>1.6.5.[23]</w:t>
      </w:r>
      <w:r w:rsidRPr="0019152D">
        <w:rPr>
          <w:lang w:val="fr-029"/>
        </w:rPr>
        <w:tab/>
        <w:t xml:space="preserve">Les véhicules immatriculés pour la première fois (ou </w:t>
      </w:r>
      <w:r>
        <w:rPr>
          <w:lang w:val="fr-029"/>
        </w:rPr>
        <w:t>mis en</w:t>
      </w:r>
      <w:r w:rsidRPr="0019152D">
        <w:rPr>
          <w:lang w:val="fr-029"/>
        </w:rPr>
        <w:t xml:space="preserve"> </w:t>
      </w:r>
      <w:r>
        <w:rPr>
          <w:lang w:val="fr-029"/>
        </w:rPr>
        <w:t>circulation</w:t>
      </w:r>
      <w:r w:rsidRPr="0019152D">
        <w:rPr>
          <w:lang w:val="fr-029"/>
        </w:rPr>
        <w:t xml:space="preserve">, </w:t>
      </w:r>
      <w:r>
        <w:rPr>
          <w:lang w:val="fr-029"/>
        </w:rPr>
        <w:t>si</w:t>
      </w:r>
      <w:r w:rsidRPr="0019152D">
        <w:rPr>
          <w:lang w:val="fr-029"/>
        </w:rPr>
        <w:t xml:space="preserve"> l’immatriculation n’est pas obligatoire) avant le 1</w:t>
      </w:r>
      <w:r w:rsidRPr="0019152D">
        <w:rPr>
          <w:vertAlign w:val="superscript"/>
          <w:lang w:val="fr-029"/>
        </w:rPr>
        <w:t>er</w:t>
      </w:r>
      <w:r w:rsidRPr="0019152D">
        <w:rPr>
          <w:lang w:val="fr-029"/>
        </w:rPr>
        <w:t xml:space="preserve"> avril 2026</w:t>
      </w:r>
      <w:r>
        <w:rPr>
          <w:lang w:val="fr-029"/>
        </w:rPr>
        <w:t>, homologués en tant que véhicules AT, qui ne sont pas conformes aux dispositions du 9.2.4.2, en ce qui concerne les réservoirs de carburant, et du 9.2.4.4.2, en ce qui concerne l’évaluation du SRSEE, peuvent continuer à être utilisés. ».</w:t>
      </w:r>
    </w:p>
    <w:p w14:paraId="46069176" w14:textId="77777777" w:rsidR="00E14B46" w:rsidRPr="00A2368D" w:rsidRDefault="00E14B46" w:rsidP="00E14B46">
      <w:pPr>
        <w:pStyle w:val="HChG"/>
        <w:rPr>
          <w:sz w:val="22"/>
          <w:szCs w:val="22"/>
          <w:lang w:val="fr-FR"/>
        </w:rPr>
      </w:pPr>
      <w:r w:rsidRPr="00A2368D">
        <w:rPr>
          <w:lang w:val="fr-FR"/>
        </w:rPr>
        <w:tab/>
      </w:r>
      <w:r w:rsidRPr="00A2368D">
        <w:rPr>
          <w:lang w:val="fr-FR"/>
        </w:rPr>
        <w:tab/>
        <w:t>Justification</w:t>
      </w:r>
    </w:p>
    <w:p w14:paraId="056E7E3E" w14:textId="0507375C" w:rsidR="00F9573C" w:rsidRDefault="00E14B46" w:rsidP="00E14B46">
      <w:pPr>
        <w:pStyle w:val="SingleTxtG"/>
        <w:rPr>
          <w:lang w:val="fr-FR"/>
        </w:rPr>
      </w:pPr>
      <w:r w:rsidRPr="0019152D">
        <w:rPr>
          <w:lang w:val="fr-FR"/>
        </w:rPr>
        <w:t>26.</w:t>
      </w:r>
      <w:r w:rsidRPr="0019152D">
        <w:rPr>
          <w:lang w:val="fr-FR"/>
        </w:rPr>
        <w:tab/>
        <w:t>L</w:t>
      </w:r>
      <w:r>
        <w:rPr>
          <w:lang w:val="fr-FR"/>
        </w:rPr>
        <w:t>a justification d</w:t>
      </w:r>
      <w:r w:rsidRPr="0019152D">
        <w:rPr>
          <w:lang w:val="fr-FR"/>
        </w:rPr>
        <w:t xml:space="preserve">es modifications </w:t>
      </w:r>
      <w:r>
        <w:rPr>
          <w:lang w:val="fr-FR"/>
        </w:rPr>
        <w:t>propos</w:t>
      </w:r>
      <w:r w:rsidRPr="0019152D">
        <w:rPr>
          <w:lang w:val="fr-FR"/>
        </w:rPr>
        <w:t xml:space="preserve">ées </w:t>
      </w:r>
      <w:r>
        <w:rPr>
          <w:lang w:val="fr-FR"/>
        </w:rPr>
        <w:t>dans le</w:t>
      </w:r>
      <w:r w:rsidRPr="0019152D">
        <w:rPr>
          <w:lang w:val="fr-FR"/>
        </w:rPr>
        <w:t xml:space="preserve"> présent document </w:t>
      </w:r>
      <w:r>
        <w:rPr>
          <w:lang w:val="fr-FR"/>
        </w:rPr>
        <w:t>sera apportée</w:t>
      </w:r>
      <w:r w:rsidRPr="0019152D">
        <w:rPr>
          <w:lang w:val="fr-FR"/>
        </w:rPr>
        <w:t xml:space="preserve"> dans le rapport du groupe de travail informel </w:t>
      </w:r>
      <w:r>
        <w:rPr>
          <w:lang w:val="fr-FR"/>
        </w:rPr>
        <w:t>d</w:t>
      </w:r>
      <w:r w:rsidRPr="0019152D">
        <w:rPr>
          <w:lang w:val="fr-FR"/>
        </w:rPr>
        <w:t xml:space="preserve">es véhicules </w:t>
      </w:r>
      <w:r>
        <w:rPr>
          <w:lang w:val="fr-FR"/>
        </w:rPr>
        <w:t>électriques</w:t>
      </w:r>
      <w:r w:rsidRPr="0019152D">
        <w:rPr>
          <w:lang w:val="fr-FR"/>
        </w:rPr>
        <w:t>.</w:t>
      </w:r>
    </w:p>
    <w:p w14:paraId="4318F6F7" w14:textId="06318526" w:rsidR="00BF56BE" w:rsidRPr="00BF56BE" w:rsidRDefault="00BF56BE" w:rsidP="00BF56BE">
      <w:pPr>
        <w:pStyle w:val="SingleTxtG"/>
        <w:spacing w:before="240" w:after="0"/>
        <w:jc w:val="center"/>
        <w:rPr>
          <w:u w:val="single"/>
        </w:rPr>
      </w:pPr>
      <w:r>
        <w:rPr>
          <w:u w:val="single"/>
        </w:rPr>
        <w:tab/>
      </w:r>
      <w:r>
        <w:rPr>
          <w:u w:val="single"/>
        </w:rPr>
        <w:tab/>
      </w:r>
      <w:r>
        <w:rPr>
          <w:u w:val="single"/>
        </w:rPr>
        <w:tab/>
      </w:r>
      <w:r>
        <w:rPr>
          <w:u w:val="single"/>
        </w:rPr>
        <w:tab/>
      </w:r>
    </w:p>
    <w:sectPr w:rsidR="00BF56BE" w:rsidRPr="00BF56BE" w:rsidSect="00E14B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7A84" w14:textId="77777777" w:rsidR="00C25887" w:rsidRDefault="00C25887" w:rsidP="00F95C08">
      <w:pPr>
        <w:spacing w:line="240" w:lineRule="auto"/>
      </w:pPr>
    </w:p>
  </w:endnote>
  <w:endnote w:type="continuationSeparator" w:id="0">
    <w:p w14:paraId="41CAE1A5" w14:textId="77777777" w:rsidR="00C25887" w:rsidRPr="00AC3823" w:rsidRDefault="00C25887" w:rsidP="00AC3823">
      <w:pPr>
        <w:pStyle w:val="Pieddepage"/>
      </w:pPr>
    </w:p>
  </w:endnote>
  <w:endnote w:type="continuationNotice" w:id="1">
    <w:p w14:paraId="5C91C8BD" w14:textId="77777777" w:rsidR="00C25887" w:rsidRDefault="00C258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725C" w14:textId="7AF03C43" w:rsidR="00E14B46" w:rsidRPr="00E14B46" w:rsidRDefault="00E14B46" w:rsidP="00E14B46">
    <w:pPr>
      <w:pStyle w:val="Pieddepage"/>
      <w:tabs>
        <w:tab w:val="right" w:pos="9638"/>
      </w:tabs>
    </w:pPr>
    <w:r w:rsidRPr="00E14B46">
      <w:rPr>
        <w:b/>
        <w:sz w:val="18"/>
      </w:rPr>
      <w:fldChar w:fldCharType="begin"/>
    </w:r>
    <w:r w:rsidRPr="00E14B46">
      <w:rPr>
        <w:b/>
        <w:sz w:val="18"/>
      </w:rPr>
      <w:instrText xml:space="preserve"> PAGE  \* MERGEFORMAT </w:instrText>
    </w:r>
    <w:r w:rsidRPr="00E14B46">
      <w:rPr>
        <w:b/>
        <w:sz w:val="18"/>
      </w:rPr>
      <w:fldChar w:fldCharType="separate"/>
    </w:r>
    <w:r w:rsidRPr="00E14B46">
      <w:rPr>
        <w:b/>
        <w:noProof/>
        <w:sz w:val="18"/>
      </w:rPr>
      <w:t>2</w:t>
    </w:r>
    <w:r w:rsidRPr="00E14B46">
      <w:rPr>
        <w:b/>
        <w:sz w:val="18"/>
      </w:rPr>
      <w:fldChar w:fldCharType="end"/>
    </w:r>
    <w:r>
      <w:rPr>
        <w:b/>
        <w:sz w:val="18"/>
      </w:rPr>
      <w:tab/>
    </w:r>
    <w:r>
      <w:t>GE.23-15891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2419" w14:textId="27FE95EE" w:rsidR="00E14B46" w:rsidRPr="00E14B46" w:rsidRDefault="00E14B46" w:rsidP="00E14B46">
    <w:pPr>
      <w:pStyle w:val="Pieddepage"/>
      <w:tabs>
        <w:tab w:val="right" w:pos="9638"/>
      </w:tabs>
      <w:rPr>
        <w:b/>
        <w:sz w:val="18"/>
      </w:rPr>
    </w:pPr>
    <w:r>
      <w:t>GE.23-15891</w:t>
    </w:r>
    <w:r>
      <w:tab/>
    </w:r>
    <w:r w:rsidRPr="00E14B46">
      <w:rPr>
        <w:b/>
        <w:sz w:val="18"/>
      </w:rPr>
      <w:fldChar w:fldCharType="begin"/>
    </w:r>
    <w:r w:rsidRPr="00E14B46">
      <w:rPr>
        <w:b/>
        <w:sz w:val="18"/>
      </w:rPr>
      <w:instrText xml:space="preserve"> PAGE  \* MERGEFORMAT </w:instrText>
    </w:r>
    <w:r w:rsidRPr="00E14B46">
      <w:rPr>
        <w:b/>
        <w:sz w:val="18"/>
      </w:rPr>
      <w:fldChar w:fldCharType="separate"/>
    </w:r>
    <w:r w:rsidRPr="00E14B46">
      <w:rPr>
        <w:b/>
        <w:noProof/>
        <w:sz w:val="18"/>
      </w:rPr>
      <w:t>3</w:t>
    </w:r>
    <w:r w:rsidRPr="00E14B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AB16" w14:textId="649DC2CE" w:rsidR="007F20FA" w:rsidRPr="00E14B46" w:rsidRDefault="00E14B46" w:rsidP="00E14B4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59280C8" wp14:editId="7C4C3D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23-15891  (F)</w:t>
    </w:r>
    <w:r>
      <w:rPr>
        <w:noProof/>
        <w:sz w:val="20"/>
      </w:rPr>
      <w:drawing>
        <wp:anchor distT="0" distB="0" distL="114300" distR="114300" simplePos="0" relativeHeight="251660288" behindDoc="0" locked="0" layoutInCell="1" allowOverlap="1" wp14:anchorId="23A24898" wp14:editId="5637A330">
          <wp:simplePos x="0" y="0"/>
          <wp:positionH relativeFrom="margin">
            <wp:posOffset>5489575</wp:posOffset>
          </wp:positionH>
          <wp:positionV relativeFrom="margin">
            <wp:posOffset>8891905</wp:posOffset>
          </wp:positionV>
          <wp:extent cx="638175" cy="638175"/>
          <wp:effectExtent l="0" t="0" r="9525" b="9525"/>
          <wp:wrapNone/>
          <wp:docPr id="20329399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92E">
      <w:rPr>
        <w:sz w:val="20"/>
      </w:rPr>
      <w:t xml:space="preserve">    120923    130923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189F" w14:textId="77777777" w:rsidR="00C25887" w:rsidRPr="00AC3823" w:rsidRDefault="00C25887" w:rsidP="00AC3823">
      <w:pPr>
        <w:pStyle w:val="Pieddepage"/>
        <w:tabs>
          <w:tab w:val="right" w:pos="2155"/>
        </w:tabs>
        <w:spacing w:after="80" w:line="240" w:lineRule="atLeast"/>
        <w:ind w:left="680"/>
        <w:rPr>
          <w:u w:val="single"/>
        </w:rPr>
      </w:pPr>
      <w:r>
        <w:rPr>
          <w:u w:val="single"/>
        </w:rPr>
        <w:tab/>
      </w:r>
    </w:p>
  </w:footnote>
  <w:footnote w:type="continuationSeparator" w:id="0">
    <w:p w14:paraId="563EC000" w14:textId="77777777" w:rsidR="00C25887" w:rsidRPr="00AC3823" w:rsidRDefault="00C25887" w:rsidP="00AC3823">
      <w:pPr>
        <w:pStyle w:val="Pieddepage"/>
        <w:tabs>
          <w:tab w:val="right" w:pos="2155"/>
        </w:tabs>
        <w:spacing w:after="80" w:line="240" w:lineRule="atLeast"/>
        <w:ind w:left="680"/>
        <w:rPr>
          <w:u w:val="single"/>
        </w:rPr>
      </w:pPr>
      <w:r>
        <w:rPr>
          <w:u w:val="single"/>
        </w:rPr>
        <w:tab/>
      </w:r>
    </w:p>
  </w:footnote>
  <w:footnote w:type="continuationNotice" w:id="1">
    <w:p w14:paraId="242946BA" w14:textId="77777777" w:rsidR="00C25887" w:rsidRPr="00AC3823" w:rsidRDefault="00C25887">
      <w:pPr>
        <w:spacing w:line="240" w:lineRule="auto"/>
        <w:rPr>
          <w:sz w:val="2"/>
          <w:szCs w:val="2"/>
        </w:rPr>
      </w:pPr>
    </w:p>
  </w:footnote>
  <w:footnote w:id="2">
    <w:p w14:paraId="48670740" w14:textId="69B06C59" w:rsidR="00E14B46" w:rsidRPr="00E14B46" w:rsidRDefault="00E14B46">
      <w:pPr>
        <w:pStyle w:val="Notedebasdepage"/>
      </w:pPr>
      <w:r>
        <w:rPr>
          <w:rStyle w:val="Appelnotedebasdep"/>
        </w:rPr>
        <w:tab/>
      </w:r>
      <w:r w:rsidRPr="00E14B46">
        <w:rPr>
          <w:rStyle w:val="Appelnotedebasdep"/>
          <w:sz w:val="20"/>
          <w:vertAlign w:val="baseline"/>
        </w:rPr>
        <w:t>*</w:t>
      </w:r>
      <w:r>
        <w:rPr>
          <w:rStyle w:val="Appelnotedebasdep"/>
          <w:sz w:val="20"/>
          <w:vertAlign w:val="baseline"/>
        </w:rPr>
        <w:tab/>
      </w:r>
      <w:r>
        <w:rPr>
          <w:lang w:val="fr-FR"/>
        </w:rPr>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59C0" w14:textId="59152EC8" w:rsidR="00E14B46" w:rsidRPr="00E14B46" w:rsidRDefault="00E14B46">
    <w:pPr>
      <w:pStyle w:val="En-tte"/>
    </w:pPr>
    <w:fldSimple w:instr=" TITLE  \* MERGEFORMAT ">
      <w:r>
        <w:t>ECE/TRANS/WP.15/2023/14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180" w14:textId="3F155643" w:rsidR="00E14B46" w:rsidRPr="00E14B46" w:rsidRDefault="00E14B46" w:rsidP="00E14B46">
    <w:pPr>
      <w:pStyle w:val="En-tte"/>
      <w:jc w:val="right"/>
    </w:pPr>
    <w:fldSimple w:instr=" TITLE  \* MERGEFORMAT ">
      <w:r>
        <w:t>ECE/TRANS/WP.15/2023/14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37C2CFB"/>
    <w:multiLevelType w:val="hybridMultilevel"/>
    <w:tmpl w:val="4D087C64"/>
    <w:lvl w:ilvl="0" w:tplc="7854D0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1861702517">
    <w:abstractNumId w:val="13"/>
  </w:num>
  <w:num w:numId="2" w16cid:durableId="762922744">
    <w:abstractNumId w:val="11"/>
  </w:num>
  <w:num w:numId="3" w16cid:durableId="688145441">
    <w:abstractNumId w:val="10"/>
  </w:num>
  <w:num w:numId="4" w16cid:durableId="139928395">
    <w:abstractNumId w:val="8"/>
  </w:num>
  <w:num w:numId="5" w16cid:durableId="1145321482">
    <w:abstractNumId w:val="3"/>
  </w:num>
  <w:num w:numId="6" w16cid:durableId="350886640">
    <w:abstractNumId w:val="2"/>
  </w:num>
  <w:num w:numId="7" w16cid:durableId="1974603377">
    <w:abstractNumId w:val="1"/>
  </w:num>
  <w:num w:numId="8" w16cid:durableId="1231967462">
    <w:abstractNumId w:val="0"/>
  </w:num>
  <w:num w:numId="9" w16cid:durableId="970016972">
    <w:abstractNumId w:val="9"/>
  </w:num>
  <w:num w:numId="10" w16cid:durableId="907109829">
    <w:abstractNumId w:val="7"/>
  </w:num>
  <w:num w:numId="11" w16cid:durableId="129708815">
    <w:abstractNumId w:val="6"/>
  </w:num>
  <w:num w:numId="12" w16cid:durableId="1604412010">
    <w:abstractNumId w:val="5"/>
  </w:num>
  <w:num w:numId="13" w16cid:durableId="1039205617">
    <w:abstractNumId w:val="4"/>
  </w:num>
  <w:num w:numId="14" w16cid:durableId="2046632845">
    <w:abstractNumId w:val="13"/>
  </w:num>
  <w:num w:numId="15" w16cid:durableId="273440153">
    <w:abstractNumId w:val="11"/>
  </w:num>
  <w:num w:numId="16" w16cid:durableId="25756744">
    <w:abstractNumId w:val="10"/>
  </w:num>
  <w:num w:numId="17" w16cid:durableId="1910921349">
    <w:abstractNumId w:val="12"/>
  </w:num>
  <w:num w:numId="18" w16cid:durableId="554050093">
    <w:abstractNumId w:val="14"/>
  </w:num>
  <w:num w:numId="19" w16cid:durableId="613444400">
    <w:abstractNumId w:val="13"/>
  </w:num>
  <w:num w:numId="20" w16cid:durableId="19110354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87"/>
    <w:rsid w:val="00017F94"/>
    <w:rsid w:val="00023842"/>
    <w:rsid w:val="000334F9"/>
    <w:rsid w:val="00045FEB"/>
    <w:rsid w:val="0007796D"/>
    <w:rsid w:val="000B7790"/>
    <w:rsid w:val="000C7A54"/>
    <w:rsid w:val="00111F2F"/>
    <w:rsid w:val="0014365E"/>
    <w:rsid w:val="00143C66"/>
    <w:rsid w:val="00176178"/>
    <w:rsid w:val="001F525A"/>
    <w:rsid w:val="00201148"/>
    <w:rsid w:val="00223272"/>
    <w:rsid w:val="0024779E"/>
    <w:rsid w:val="00257168"/>
    <w:rsid w:val="002744B8"/>
    <w:rsid w:val="002832AC"/>
    <w:rsid w:val="002D7C93"/>
    <w:rsid w:val="00305801"/>
    <w:rsid w:val="00332CB0"/>
    <w:rsid w:val="003916DE"/>
    <w:rsid w:val="00421996"/>
    <w:rsid w:val="00441C3B"/>
    <w:rsid w:val="00446FE5"/>
    <w:rsid w:val="00452396"/>
    <w:rsid w:val="00477EB2"/>
    <w:rsid w:val="004837D8"/>
    <w:rsid w:val="004E2EED"/>
    <w:rsid w:val="004E468C"/>
    <w:rsid w:val="005505B7"/>
    <w:rsid w:val="00573BE5"/>
    <w:rsid w:val="00586ED3"/>
    <w:rsid w:val="00596AA9"/>
    <w:rsid w:val="006100BF"/>
    <w:rsid w:val="0062292E"/>
    <w:rsid w:val="0071601D"/>
    <w:rsid w:val="007A62E6"/>
    <w:rsid w:val="007F20FA"/>
    <w:rsid w:val="0080684C"/>
    <w:rsid w:val="00871C75"/>
    <w:rsid w:val="008776DC"/>
    <w:rsid w:val="008D5EF9"/>
    <w:rsid w:val="009446C0"/>
    <w:rsid w:val="009705C8"/>
    <w:rsid w:val="009C1CF4"/>
    <w:rsid w:val="009F6B74"/>
    <w:rsid w:val="00A3029F"/>
    <w:rsid w:val="00A30353"/>
    <w:rsid w:val="00AA498D"/>
    <w:rsid w:val="00AC3823"/>
    <w:rsid w:val="00AE323C"/>
    <w:rsid w:val="00AF0CB5"/>
    <w:rsid w:val="00B00181"/>
    <w:rsid w:val="00B00B0D"/>
    <w:rsid w:val="00B45F2E"/>
    <w:rsid w:val="00B765F7"/>
    <w:rsid w:val="00B77993"/>
    <w:rsid w:val="00BA0CA9"/>
    <w:rsid w:val="00BF56BE"/>
    <w:rsid w:val="00C02897"/>
    <w:rsid w:val="00C25887"/>
    <w:rsid w:val="00C97039"/>
    <w:rsid w:val="00D3439C"/>
    <w:rsid w:val="00D7622E"/>
    <w:rsid w:val="00DB1831"/>
    <w:rsid w:val="00DD3BFD"/>
    <w:rsid w:val="00DF6678"/>
    <w:rsid w:val="00E0299A"/>
    <w:rsid w:val="00E14B46"/>
    <w:rsid w:val="00E85C74"/>
    <w:rsid w:val="00EA6547"/>
    <w:rsid w:val="00EC59FE"/>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90E2"/>
  <w15:docId w15:val="{935FB91A-0F3C-4E36-A7FD-CAC238AF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14B46"/>
    <w:rPr>
      <w:rFonts w:ascii="Times New Roman" w:eastAsiaTheme="minorHAnsi" w:hAnsi="Times New Roman" w:cs="Times New Roman"/>
      <w:sz w:val="20"/>
      <w:szCs w:val="20"/>
      <w:lang w:eastAsia="en-US"/>
    </w:rPr>
  </w:style>
  <w:style w:type="character" w:customStyle="1" w:styleId="HChGChar">
    <w:name w:val="_ H _Ch_G Char"/>
    <w:link w:val="HChG"/>
    <w:rsid w:val="00E14B46"/>
    <w:rPr>
      <w:rFonts w:ascii="Times New Roman" w:eastAsiaTheme="minorHAnsi" w:hAnsi="Times New Roman" w:cs="Times New Roman"/>
      <w:b/>
      <w:sz w:val="28"/>
      <w:szCs w:val="20"/>
      <w:lang w:eastAsia="en-US"/>
    </w:rPr>
  </w:style>
  <w:style w:type="paragraph" w:customStyle="1" w:styleId="ADR">
    <w:name w:val="ADR"/>
    <w:basedOn w:val="Normal"/>
    <w:link w:val="ADRChar"/>
    <w:qFormat/>
    <w:rsid w:val="00E14B46"/>
    <w:pPr>
      <w:suppressAutoHyphens w:val="0"/>
      <w:kinsoku/>
      <w:overflowPunct/>
      <w:autoSpaceDE/>
      <w:autoSpaceDN/>
      <w:adjustRightInd/>
      <w:snapToGrid/>
      <w:spacing w:after="200" w:line="240" w:lineRule="auto"/>
      <w:ind w:left="1418" w:hanging="1418"/>
      <w:jc w:val="both"/>
    </w:pPr>
    <w:rPr>
      <w:rFonts w:eastAsia="Times New Roman"/>
      <w:lang w:val="en-GB"/>
    </w:rPr>
  </w:style>
  <w:style w:type="character" w:customStyle="1" w:styleId="ADRChar">
    <w:name w:val="ADR Char"/>
    <w:basedOn w:val="Policepardfaut"/>
    <w:link w:val="ADR"/>
    <w:rsid w:val="00E14B46"/>
    <w:rPr>
      <w:rFonts w:ascii="Times New Roman" w:hAnsi="Times New Roman" w:cs="Times New Roman"/>
      <w:sz w:val="20"/>
      <w:szCs w:val="20"/>
      <w:lang w:val="en-GB" w:eastAsia="en-US"/>
    </w:rPr>
  </w:style>
  <w:style w:type="character" w:styleId="Marquedecommentaire">
    <w:name w:val="annotation reference"/>
    <w:basedOn w:val="Policepardfaut"/>
    <w:semiHidden/>
    <w:unhideWhenUsed/>
    <w:rsid w:val="00E14B46"/>
    <w:rPr>
      <w:sz w:val="16"/>
      <w:szCs w:val="16"/>
    </w:rPr>
  </w:style>
  <w:style w:type="character" w:customStyle="1" w:styleId="preferred">
    <w:name w:val="preferred"/>
    <w:basedOn w:val="Policepardfaut"/>
    <w:rsid w:val="00E14B46"/>
  </w:style>
  <w:style w:type="character" w:styleId="Accentuation">
    <w:name w:val="Emphasis"/>
    <w:basedOn w:val="Policepardfaut"/>
    <w:uiPriority w:val="20"/>
    <w:qFormat/>
    <w:rsid w:val="00E14B46"/>
    <w:rPr>
      <w:i/>
      <w:iCs/>
    </w:rPr>
  </w:style>
  <w:style w:type="character" w:customStyle="1" w:styleId="frresult">
    <w:name w:val="frresult"/>
    <w:basedOn w:val="Policepardfaut"/>
    <w:rsid w:val="00E14B46"/>
  </w:style>
  <w:style w:type="character" w:customStyle="1" w:styleId="acronym">
    <w:name w:val="acronym"/>
    <w:basedOn w:val="Policepardfaut"/>
    <w:rsid w:val="00E1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5725-92E3-4C6C-A850-50A06649E4EC}"/>
</file>

<file path=customXml/itemProps2.xml><?xml version="1.0" encoding="utf-8"?>
<ds:datastoreItem xmlns:ds="http://schemas.openxmlformats.org/officeDocument/2006/customXml" ds:itemID="{37AA7418-CA5F-4157-97EA-2FB1A225E261}"/>
</file>

<file path=docProps/app.xml><?xml version="1.0" encoding="utf-8"?>
<Properties xmlns="http://schemas.openxmlformats.org/officeDocument/2006/extended-properties" xmlns:vt="http://schemas.openxmlformats.org/officeDocument/2006/docPropsVTypes">
  <Template>ECE_TRANS.dotm</Template>
  <TotalTime>0</TotalTime>
  <Pages>8</Pages>
  <Words>2212</Words>
  <Characters>15485</Characters>
  <Application>Microsoft Office Word</Application>
  <DocSecurity>0</DocSecurity>
  <Lines>1290</Lines>
  <Paragraphs>707</Paragraphs>
  <ScaleCrop>false</ScaleCrop>
  <HeadingPairs>
    <vt:vector size="2" baseType="variant">
      <vt:variant>
        <vt:lpstr>Titre</vt:lpstr>
      </vt:variant>
      <vt:variant>
        <vt:i4>1</vt:i4>
      </vt:variant>
    </vt:vector>
  </HeadingPairs>
  <TitlesOfParts>
    <vt:vector size="1" baseType="lpstr">
      <vt:lpstr>ECE/TRANS/WP.15/2023/14</vt:lpstr>
    </vt:vector>
  </TitlesOfParts>
  <Company>DCM</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ECE/TRANS/WP.15/2023/14</dc:title>
  <dc:subject/>
  <dc:creator>Julien OKRZESIK</dc:creator>
  <cp:keywords/>
  <cp:lastModifiedBy>Julien Okrzesik</cp:lastModifiedBy>
  <cp:revision>2</cp:revision>
  <cp:lastPrinted>2014-05-14T10:59:00Z</cp:lastPrinted>
  <dcterms:created xsi:type="dcterms:W3CDTF">2023-09-13T15:02:00Z</dcterms:created>
  <dcterms:modified xsi:type="dcterms:W3CDTF">2023-09-13T15:02:00Z</dcterms:modified>
</cp:coreProperties>
</file>