
<file path=[Content_Types].xml><?xml version="1.0" encoding="utf-8"?>
<Types xmlns="http://schemas.openxmlformats.org/package/2006/content-types">
  <Default Extension="emf" ContentType="image/x-emf"/>
  <Default Extension="gif" ContentType="image/gif"/>
  <Default Extension="png" ContentType="image/png"/>
  <Default Extension="rels" ContentType="application/vnd.openxmlformats-package.relationships+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4.xml" ContentType="application/vnd.openxmlformats-officedocument.wordprocessingml.header+xml"/>
  <Override PartName="/word/footer4.xml" ContentType="application/vnd.openxmlformats-officedocument.wordprocessingml.footer+xml"/>
  <Override PartName="/word/footer11.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10.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42" w:rightFromText="142" w:vertAnchor="page" w:horzAnchor="page" w:tblpX="1134" w:tblpY="284"/>
        <w:tblOverlap w:val="never"/>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1280"/>
        <w:gridCol w:w="2273"/>
        <w:gridCol w:w="3267"/>
        <w:gridCol w:w="2819"/>
      </w:tblGrid>
      <w:tr w:rsidR="002D5AAC" w:rsidRPr="00FC4465" w14:paraId="3A3A53FD" w14:textId="77777777" w:rsidTr="000A118E">
        <w:trPr>
          <w:trHeight w:hRule="exact" w:val="851"/>
        </w:trPr>
        <w:tc>
          <w:tcPr>
            <w:tcW w:w="1276" w:type="dxa"/>
            <w:tcBorders>
              <w:bottom w:val="single" w:sz="4" w:space="0" w:color="auto"/>
            </w:tcBorders>
          </w:tcPr>
          <w:p w14:paraId="56064D64" w14:textId="77777777" w:rsidR="002D5AAC" w:rsidRPr="00FC4465" w:rsidRDefault="002D5AAC" w:rsidP="00A72D17">
            <w:pPr>
              <w:kinsoku w:val="0"/>
              <w:overflowPunct w:val="0"/>
              <w:autoSpaceDE w:val="0"/>
              <w:autoSpaceDN w:val="0"/>
              <w:adjustRightInd w:val="0"/>
              <w:snapToGrid w:val="0"/>
              <w:rPr>
                <w:rFonts w:asciiTheme="majorBidi" w:hAnsiTheme="majorBidi" w:cstheme="majorBidi"/>
              </w:rPr>
            </w:pPr>
          </w:p>
        </w:tc>
        <w:tc>
          <w:tcPr>
            <w:tcW w:w="2268" w:type="dxa"/>
            <w:tcBorders>
              <w:bottom w:val="single" w:sz="4" w:space="0" w:color="auto"/>
            </w:tcBorders>
            <w:vAlign w:val="bottom"/>
          </w:tcPr>
          <w:p w14:paraId="4AD3E2CC" w14:textId="77777777" w:rsidR="002D5AAC" w:rsidRPr="00FC4465" w:rsidRDefault="00BD33EE" w:rsidP="000A118E">
            <w:pPr>
              <w:spacing w:after="80" w:line="300" w:lineRule="exact"/>
              <w:rPr>
                <w:rFonts w:asciiTheme="majorBidi" w:hAnsiTheme="majorBidi" w:cstheme="majorBidi"/>
                <w:sz w:val="28"/>
              </w:rPr>
            </w:pPr>
            <w:r w:rsidRPr="00FC4465">
              <w:rPr>
                <w:rFonts w:asciiTheme="majorBidi" w:hAnsiTheme="majorBidi" w:cstheme="majorBidi"/>
                <w:sz w:val="28"/>
              </w:rPr>
              <w:t>Naciones Unidas</w:t>
            </w:r>
          </w:p>
        </w:tc>
        <w:tc>
          <w:tcPr>
            <w:tcW w:w="6073" w:type="dxa"/>
            <w:gridSpan w:val="2"/>
            <w:tcBorders>
              <w:bottom w:val="single" w:sz="4" w:space="0" w:color="auto"/>
            </w:tcBorders>
            <w:vAlign w:val="bottom"/>
          </w:tcPr>
          <w:p w14:paraId="3DB09469" w14:textId="329BCD7B" w:rsidR="002D5AAC" w:rsidRPr="00FC4465" w:rsidRDefault="00A72D17" w:rsidP="00A72D17">
            <w:pPr>
              <w:jc w:val="right"/>
              <w:rPr>
                <w:rFonts w:asciiTheme="majorBidi" w:hAnsiTheme="majorBidi" w:cstheme="majorBidi"/>
              </w:rPr>
            </w:pPr>
            <w:r w:rsidRPr="00FC4465">
              <w:rPr>
                <w:rFonts w:asciiTheme="majorBidi" w:hAnsiTheme="majorBidi" w:cstheme="majorBidi"/>
                <w:sz w:val="40"/>
              </w:rPr>
              <w:t>ST</w:t>
            </w:r>
            <w:r w:rsidRPr="00FC4465">
              <w:rPr>
                <w:rFonts w:asciiTheme="majorBidi" w:hAnsiTheme="majorBidi" w:cstheme="majorBidi"/>
              </w:rPr>
              <w:t>/SG/AC.10/50/Add.3</w:t>
            </w:r>
          </w:p>
        </w:tc>
      </w:tr>
      <w:tr w:rsidR="002D5AAC" w:rsidRPr="00FC4465" w14:paraId="6F68DBE9" w14:textId="77777777" w:rsidTr="000A118E">
        <w:trPr>
          <w:trHeight w:hRule="exact" w:val="2835"/>
        </w:trPr>
        <w:tc>
          <w:tcPr>
            <w:tcW w:w="1276" w:type="dxa"/>
            <w:tcBorders>
              <w:top w:val="single" w:sz="4" w:space="0" w:color="auto"/>
              <w:bottom w:val="single" w:sz="12" w:space="0" w:color="auto"/>
            </w:tcBorders>
          </w:tcPr>
          <w:p w14:paraId="6AB4F490" w14:textId="77777777" w:rsidR="002D5AAC" w:rsidRPr="00FC4465" w:rsidRDefault="00AE3F83" w:rsidP="000A118E">
            <w:pPr>
              <w:spacing w:before="120"/>
              <w:jc w:val="center"/>
              <w:rPr>
                <w:rFonts w:asciiTheme="majorBidi" w:hAnsiTheme="majorBidi" w:cstheme="majorBidi"/>
              </w:rPr>
            </w:pPr>
            <w:r w:rsidRPr="00FC4465">
              <w:rPr>
                <w:rFonts w:asciiTheme="majorBidi" w:hAnsiTheme="majorBidi" w:cstheme="majorBidi"/>
                <w:noProof/>
              </w:rPr>
              <w:drawing>
                <wp:inline distT="0" distB="0" distL="0" distR="0" wp14:anchorId="5E129C93" wp14:editId="0B0DA167">
                  <wp:extent cx="714375" cy="590550"/>
                  <wp:effectExtent l="0" t="0" r="0" b="0"/>
                  <wp:docPr id="2" name="Imagen 1" descr="Naciones Unida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14375" cy="590550"/>
                          </a:xfrm>
                          <a:prstGeom prst="rect">
                            <a:avLst/>
                          </a:prstGeom>
                          <a:noFill/>
                          <a:ln>
                            <a:noFill/>
                          </a:ln>
                        </pic:spPr>
                      </pic:pic>
                    </a:graphicData>
                  </a:graphic>
                </wp:inline>
              </w:drawing>
            </w:r>
          </w:p>
        </w:tc>
        <w:tc>
          <w:tcPr>
            <w:tcW w:w="5528" w:type="dxa"/>
            <w:gridSpan w:val="2"/>
            <w:tcBorders>
              <w:top w:val="single" w:sz="4" w:space="0" w:color="auto"/>
              <w:bottom w:val="single" w:sz="12" w:space="0" w:color="auto"/>
            </w:tcBorders>
          </w:tcPr>
          <w:p w14:paraId="3B17287B" w14:textId="77777777" w:rsidR="002D5AAC" w:rsidRPr="00FC4465" w:rsidRDefault="001E213E" w:rsidP="000A118E">
            <w:pPr>
              <w:spacing w:before="120" w:line="420" w:lineRule="exact"/>
              <w:rPr>
                <w:rFonts w:asciiTheme="majorBidi" w:hAnsiTheme="majorBidi" w:cstheme="majorBidi"/>
                <w:b/>
                <w:sz w:val="40"/>
                <w:szCs w:val="40"/>
              </w:rPr>
            </w:pPr>
            <w:r w:rsidRPr="00FC4465">
              <w:rPr>
                <w:rFonts w:asciiTheme="majorBidi" w:hAnsiTheme="majorBidi" w:cstheme="majorBidi"/>
                <w:b/>
                <w:sz w:val="40"/>
                <w:szCs w:val="40"/>
              </w:rPr>
              <w:t>Secretaría</w:t>
            </w:r>
          </w:p>
        </w:tc>
        <w:tc>
          <w:tcPr>
            <w:tcW w:w="2813" w:type="dxa"/>
            <w:tcBorders>
              <w:top w:val="single" w:sz="4" w:space="0" w:color="auto"/>
              <w:bottom w:val="single" w:sz="12" w:space="0" w:color="auto"/>
            </w:tcBorders>
          </w:tcPr>
          <w:p w14:paraId="0520FCDC" w14:textId="77777777" w:rsidR="002D5AAC" w:rsidRPr="00FC4465" w:rsidRDefault="00A72D17" w:rsidP="000A118E">
            <w:pPr>
              <w:spacing w:before="240"/>
              <w:rPr>
                <w:rFonts w:asciiTheme="majorBidi" w:hAnsiTheme="majorBidi" w:cstheme="majorBidi"/>
              </w:rPr>
            </w:pPr>
            <w:r w:rsidRPr="00FC4465">
              <w:rPr>
                <w:rFonts w:asciiTheme="majorBidi" w:hAnsiTheme="majorBidi" w:cstheme="majorBidi"/>
              </w:rPr>
              <w:t>Distr. general</w:t>
            </w:r>
          </w:p>
          <w:p w14:paraId="185658BD" w14:textId="77777777" w:rsidR="00A72D17" w:rsidRPr="00FC4465" w:rsidRDefault="00A72D17" w:rsidP="00A72D17">
            <w:pPr>
              <w:spacing w:line="240" w:lineRule="exact"/>
              <w:rPr>
                <w:rFonts w:asciiTheme="majorBidi" w:hAnsiTheme="majorBidi" w:cstheme="majorBidi"/>
              </w:rPr>
            </w:pPr>
            <w:r w:rsidRPr="00FC4465">
              <w:rPr>
                <w:rFonts w:asciiTheme="majorBidi" w:hAnsiTheme="majorBidi" w:cstheme="majorBidi"/>
              </w:rPr>
              <w:t>27 de febrero de 2023</w:t>
            </w:r>
          </w:p>
          <w:p w14:paraId="1A463A24" w14:textId="77777777" w:rsidR="00A72D17" w:rsidRPr="00FC4465" w:rsidRDefault="00A72D17" w:rsidP="00A72D17">
            <w:pPr>
              <w:spacing w:line="240" w:lineRule="exact"/>
              <w:rPr>
                <w:rFonts w:asciiTheme="majorBidi" w:hAnsiTheme="majorBidi" w:cstheme="majorBidi"/>
              </w:rPr>
            </w:pPr>
            <w:r w:rsidRPr="00FC4465">
              <w:rPr>
                <w:rFonts w:asciiTheme="majorBidi" w:hAnsiTheme="majorBidi" w:cstheme="majorBidi"/>
              </w:rPr>
              <w:t>Español</w:t>
            </w:r>
          </w:p>
          <w:p w14:paraId="0278CD4E" w14:textId="623164A0" w:rsidR="00A72D17" w:rsidRPr="00FC4465" w:rsidRDefault="00A72D17" w:rsidP="00A72D17">
            <w:pPr>
              <w:spacing w:line="240" w:lineRule="exact"/>
              <w:rPr>
                <w:rFonts w:asciiTheme="majorBidi" w:hAnsiTheme="majorBidi" w:cstheme="majorBidi"/>
              </w:rPr>
            </w:pPr>
            <w:r w:rsidRPr="00FC4465">
              <w:rPr>
                <w:rFonts w:asciiTheme="majorBidi" w:hAnsiTheme="majorBidi" w:cstheme="majorBidi"/>
              </w:rPr>
              <w:t>Original: francés e inglés</w:t>
            </w:r>
          </w:p>
        </w:tc>
      </w:tr>
    </w:tbl>
    <w:p w14:paraId="5B4381F0" w14:textId="7AC27AFC" w:rsidR="00A72D17" w:rsidRPr="00FC4465" w:rsidRDefault="00A72D17" w:rsidP="002D0D79">
      <w:pPr>
        <w:spacing w:before="120" w:line="240" w:lineRule="auto"/>
        <w:rPr>
          <w:rFonts w:asciiTheme="majorBidi" w:hAnsiTheme="majorBidi" w:cstheme="majorBidi"/>
          <w:b/>
          <w:bCs/>
          <w:sz w:val="24"/>
          <w:szCs w:val="24"/>
        </w:rPr>
      </w:pPr>
      <w:r w:rsidRPr="00FC4465">
        <w:rPr>
          <w:rFonts w:asciiTheme="majorBidi" w:hAnsiTheme="majorBidi" w:cstheme="majorBidi"/>
          <w:b/>
          <w:bCs/>
          <w:sz w:val="24"/>
          <w:szCs w:val="24"/>
        </w:rPr>
        <w:t xml:space="preserve">Comité de Expertos en Transporte de Mercancías Peligrosas </w:t>
      </w:r>
      <w:r w:rsidR="002D0D79" w:rsidRPr="00FC4465">
        <w:rPr>
          <w:rFonts w:asciiTheme="majorBidi" w:hAnsiTheme="majorBidi" w:cstheme="majorBidi"/>
          <w:b/>
          <w:bCs/>
          <w:sz w:val="24"/>
          <w:szCs w:val="24"/>
        </w:rPr>
        <w:br/>
      </w:r>
      <w:r w:rsidRPr="00FC4465">
        <w:rPr>
          <w:rFonts w:asciiTheme="majorBidi" w:hAnsiTheme="majorBidi" w:cstheme="majorBidi"/>
          <w:b/>
          <w:bCs/>
          <w:sz w:val="24"/>
          <w:szCs w:val="24"/>
        </w:rPr>
        <w:t xml:space="preserve">y en el Sistema Globalmente Armonizado de Clasificación </w:t>
      </w:r>
      <w:r w:rsidR="002D0D79" w:rsidRPr="00FC4465">
        <w:rPr>
          <w:rFonts w:asciiTheme="majorBidi" w:hAnsiTheme="majorBidi" w:cstheme="majorBidi"/>
          <w:b/>
          <w:bCs/>
          <w:sz w:val="24"/>
          <w:szCs w:val="24"/>
        </w:rPr>
        <w:br/>
      </w:r>
      <w:r w:rsidRPr="00FC4465">
        <w:rPr>
          <w:rFonts w:asciiTheme="majorBidi" w:hAnsiTheme="majorBidi" w:cstheme="majorBidi"/>
          <w:b/>
          <w:bCs/>
          <w:sz w:val="24"/>
          <w:szCs w:val="24"/>
        </w:rPr>
        <w:t>y Etiquetado de Productos Químicos</w:t>
      </w:r>
    </w:p>
    <w:p w14:paraId="47DCCB66" w14:textId="60C3595D" w:rsidR="00A72D17" w:rsidRPr="00FC4465" w:rsidRDefault="00A72D17" w:rsidP="002D0D79">
      <w:pPr>
        <w:pStyle w:val="HChG"/>
        <w:rPr>
          <w:rFonts w:asciiTheme="majorBidi" w:hAnsiTheme="majorBidi" w:cstheme="majorBidi"/>
        </w:rPr>
      </w:pPr>
      <w:r w:rsidRPr="00FC4465">
        <w:rPr>
          <w:rFonts w:asciiTheme="majorBidi" w:hAnsiTheme="majorBidi" w:cstheme="majorBidi"/>
        </w:rPr>
        <w:tab/>
      </w:r>
      <w:r w:rsidRPr="00FC4465">
        <w:rPr>
          <w:rFonts w:asciiTheme="majorBidi" w:hAnsiTheme="majorBidi" w:cstheme="majorBidi"/>
        </w:rPr>
        <w:tab/>
        <w:t>Informe del Comité de Expertos en Transporte de</w:t>
      </w:r>
      <w:r w:rsidR="002D0D79" w:rsidRPr="00FC4465">
        <w:rPr>
          <w:rFonts w:asciiTheme="majorBidi" w:hAnsiTheme="majorBidi" w:cstheme="majorBidi"/>
        </w:rPr>
        <w:t> </w:t>
      </w:r>
      <w:r w:rsidRPr="00FC4465">
        <w:rPr>
          <w:rFonts w:asciiTheme="majorBidi" w:hAnsiTheme="majorBidi" w:cstheme="majorBidi"/>
        </w:rPr>
        <w:t>Mercancías Peligrosas y en el Sistema Globalmente Armonizado de Clasificación y Etiquetado de Productos Químicos sobre su 11º período de sesiones</w:t>
      </w:r>
    </w:p>
    <w:p w14:paraId="7C73E184" w14:textId="77777777" w:rsidR="00A72D17" w:rsidRPr="00FC4465" w:rsidRDefault="00A72D17" w:rsidP="00A72D17">
      <w:pPr>
        <w:pStyle w:val="SingleTxtG"/>
        <w:rPr>
          <w:rFonts w:asciiTheme="majorBidi" w:hAnsiTheme="majorBidi" w:cstheme="majorBidi"/>
        </w:rPr>
      </w:pPr>
      <w:r w:rsidRPr="00FC4465">
        <w:rPr>
          <w:rFonts w:asciiTheme="majorBidi" w:hAnsiTheme="majorBidi" w:cstheme="majorBidi"/>
        </w:rPr>
        <w:t>Celebrado en Ginebra el 9 de diciembre de 2022</w:t>
      </w:r>
    </w:p>
    <w:p w14:paraId="049F8084" w14:textId="77777777" w:rsidR="00A72D17" w:rsidRPr="00FC4465" w:rsidRDefault="00A72D17" w:rsidP="002D0D79">
      <w:pPr>
        <w:pStyle w:val="H23G"/>
        <w:rPr>
          <w:rFonts w:asciiTheme="majorBidi" w:hAnsiTheme="majorBidi" w:cstheme="majorBidi"/>
        </w:rPr>
      </w:pPr>
      <w:r w:rsidRPr="00FC4465">
        <w:rPr>
          <w:rFonts w:asciiTheme="majorBidi" w:hAnsiTheme="majorBidi" w:cstheme="majorBidi"/>
        </w:rPr>
        <w:tab/>
      </w:r>
      <w:r w:rsidRPr="00FC4465">
        <w:rPr>
          <w:rFonts w:asciiTheme="majorBidi" w:hAnsiTheme="majorBidi" w:cstheme="majorBidi"/>
        </w:rPr>
        <w:tab/>
        <w:t>Adición</w:t>
      </w:r>
    </w:p>
    <w:p w14:paraId="7611E94B" w14:textId="77777777" w:rsidR="00A72D17" w:rsidRPr="00FC4465" w:rsidRDefault="00A72D17" w:rsidP="002D0D79">
      <w:pPr>
        <w:pStyle w:val="H1G"/>
        <w:rPr>
          <w:rFonts w:asciiTheme="majorBidi" w:hAnsiTheme="majorBidi" w:cstheme="majorBidi"/>
        </w:rPr>
      </w:pPr>
      <w:r w:rsidRPr="00FC4465">
        <w:rPr>
          <w:rFonts w:asciiTheme="majorBidi" w:hAnsiTheme="majorBidi" w:cstheme="majorBidi"/>
        </w:rPr>
        <w:tab/>
      </w:r>
      <w:r w:rsidRPr="00FC4465">
        <w:rPr>
          <w:rFonts w:asciiTheme="majorBidi" w:hAnsiTheme="majorBidi" w:cstheme="majorBidi"/>
        </w:rPr>
        <w:tab/>
        <w:t>Anexo III</w:t>
      </w:r>
    </w:p>
    <w:p w14:paraId="282FDBEE" w14:textId="3F55AB16" w:rsidR="00A72D17" w:rsidRPr="00FC4465" w:rsidRDefault="00A72D17" w:rsidP="002D0D79">
      <w:pPr>
        <w:pStyle w:val="H1G"/>
        <w:rPr>
          <w:rFonts w:asciiTheme="majorBidi" w:hAnsiTheme="majorBidi" w:cstheme="majorBidi"/>
        </w:rPr>
      </w:pPr>
      <w:r w:rsidRPr="00FC4465">
        <w:rPr>
          <w:rFonts w:asciiTheme="majorBidi" w:hAnsiTheme="majorBidi" w:cstheme="majorBidi"/>
        </w:rPr>
        <w:tab/>
      </w:r>
      <w:r w:rsidRPr="00FC4465">
        <w:rPr>
          <w:rFonts w:asciiTheme="majorBidi" w:hAnsiTheme="majorBidi" w:cstheme="majorBidi"/>
        </w:rPr>
        <w:tab/>
        <w:t>Enmiendas a la novena edición revisada del Sistema Globalmente</w:t>
      </w:r>
      <w:r w:rsidR="002D0D79" w:rsidRPr="00FC4465">
        <w:rPr>
          <w:rFonts w:asciiTheme="majorBidi" w:hAnsiTheme="majorBidi" w:cstheme="majorBidi"/>
        </w:rPr>
        <w:t> </w:t>
      </w:r>
      <w:r w:rsidRPr="00FC4465">
        <w:rPr>
          <w:rFonts w:asciiTheme="majorBidi" w:hAnsiTheme="majorBidi" w:cstheme="majorBidi"/>
        </w:rPr>
        <w:t>Armonizado de Clasificación y Etiquetado de</w:t>
      </w:r>
      <w:r w:rsidR="002D0D79" w:rsidRPr="00FC4465">
        <w:rPr>
          <w:rFonts w:asciiTheme="majorBidi" w:hAnsiTheme="majorBidi" w:cstheme="majorBidi"/>
        </w:rPr>
        <w:t> </w:t>
      </w:r>
      <w:r w:rsidRPr="00FC4465">
        <w:rPr>
          <w:rFonts w:asciiTheme="majorBidi" w:hAnsiTheme="majorBidi" w:cstheme="majorBidi"/>
        </w:rPr>
        <w:t>Productos</w:t>
      </w:r>
      <w:r w:rsidR="002D0D79" w:rsidRPr="00FC4465">
        <w:rPr>
          <w:rFonts w:asciiTheme="majorBidi" w:hAnsiTheme="majorBidi" w:cstheme="majorBidi"/>
        </w:rPr>
        <w:t> </w:t>
      </w:r>
      <w:r w:rsidRPr="00FC4465">
        <w:rPr>
          <w:rFonts w:asciiTheme="majorBidi" w:hAnsiTheme="majorBidi" w:cstheme="majorBidi"/>
        </w:rPr>
        <w:t>Químicos (SGA) (ST/SG/AC.10/30/Rev.9)</w:t>
      </w:r>
    </w:p>
    <w:p w14:paraId="4F1512B3" w14:textId="77777777" w:rsidR="00A72D17" w:rsidRPr="00FC4465" w:rsidRDefault="00A72D17" w:rsidP="00A72D17">
      <w:pPr>
        <w:rPr>
          <w:rFonts w:asciiTheme="majorBidi" w:hAnsiTheme="majorBidi" w:cstheme="majorBidi"/>
        </w:rPr>
      </w:pPr>
    </w:p>
    <w:p w14:paraId="767B43AD" w14:textId="77777777" w:rsidR="00A72D17" w:rsidRPr="00FC4465" w:rsidRDefault="00A72D17" w:rsidP="00A72D17">
      <w:pPr>
        <w:rPr>
          <w:rFonts w:asciiTheme="majorBidi" w:hAnsiTheme="majorBidi" w:cstheme="majorBidi"/>
        </w:rPr>
      </w:pPr>
    </w:p>
    <w:p w14:paraId="71E03E34" w14:textId="77777777" w:rsidR="00A72D17" w:rsidRPr="00FC4465" w:rsidRDefault="00A72D17" w:rsidP="00A72D17">
      <w:pPr>
        <w:rPr>
          <w:rFonts w:asciiTheme="majorBidi" w:hAnsiTheme="majorBidi" w:cstheme="majorBidi"/>
        </w:rPr>
      </w:pPr>
      <w:r w:rsidRPr="00FC4465">
        <w:rPr>
          <w:rFonts w:asciiTheme="majorBidi" w:hAnsiTheme="majorBidi" w:cstheme="majorBidi"/>
        </w:rPr>
        <w:br w:type="page"/>
      </w:r>
    </w:p>
    <w:p w14:paraId="42BF428F" w14:textId="77777777" w:rsidR="00A72D17" w:rsidRPr="00FC4465" w:rsidRDefault="00A72D17" w:rsidP="00A72D17">
      <w:pPr>
        <w:pStyle w:val="H1G"/>
        <w:rPr>
          <w:rFonts w:asciiTheme="majorBidi" w:hAnsiTheme="majorBidi" w:cstheme="majorBidi"/>
        </w:rPr>
      </w:pPr>
      <w:r w:rsidRPr="00FC4465">
        <w:rPr>
          <w:rFonts w:asciiTheme="majorBidi" w:hAnsiTheme="majorBidi" w:cstheme="majorBidi"/>
        </w:rPr>
        <w:lastRenderedPageBreak/>
        <w:tab/>
      </w:r>
      <w:r w:rsidRPr="00FC4465">
        <w:rPr>
          <w:rFonts w:asciiTheme="majorBidi" w:hAnsiTheme="majorBidi" w:cstheme="majorBidi"/>
        </w:rPr>
        <w:tab/>
      </w:r>
      <w:r w:rsidRPr="00FC4465">
        <w:rPr>
          <w:rFonts w:asciiTheme="majorBidi" w:hAnsiTheme="majorBidi" w:cstheme="majorBidi"/>
        </w:rPr>
        <w:tab/>
      </w:r>
      <w:r w:rsidRPr="00FC4465">
        <w:rPr>
          <w:rFonts w:asciiTheme="majorBidi" w:hAnsiTheme="majorBidi" w:cstheme="majorBidi"/>
          <w:bCs/>
        </w:rPr>
        <w:t>Capítulo 1.2</w:t>
      </w:r>
    </w:p>
    <w:p w14:paraId="3E69308E" w14:textId="77777777" w:rsidR="00A72D17" w:rsidRPr="00FC4465" w:rsidRDefault="00A72D17" w:rsidP="00A72D17">
      <w:pPr>
        <w:pStyle w:val="SingleTxtG"/>
        <w:ind w:firstLine="567"/>
        <w:rPr>
          <w:rFonts w:asciiTheme="majorBidi" w:hAnsiTheme="majorBidi" w:cstheme="majorBidi"/>
        </w:rPr>
      </w:pPr>
      <w:r w:rsidRPr="00FC4465">
        <w:rPr>
          <w:rFonts w:asciiTheme="majorBidi" w:hAnsiTheme="majorBidi" w:cstheme="majorBidi"/>
        </w:rPr>
        <w:t>Añádanse, en el lugar que corresponda según el orden alfabético, las nuevas definiciones siguientes:</w:t>
      </w:r>
    </w:p>
    <w:p w14:paraId="647891CC" w14:textId="5A1A2379" w:rsidR="00A72D17" w:rsidRPr="00FC4465" w:rsidRDefault="008C5013" w:rsidP="00A72D17">
      <w:pPr>
        <w:pStyle w:val="SingleTxtG"/>
        <w:tabs>
          <w:tab w:val="clear" w:pos="1701"/>
          <w:tab w:val="clear" w:pos="2268"/>
        </w:tabs>
        <w:ind w:left="1701" w:right="521"/>
        <w:rPr>
          <w:rFonts w:asciiTheme="majorBidi" w:hAnsiTheme="majorBidi" w:cstheme="majorBidi"/>
        </w:rPr>
      </w:pPr>
      <w:r w:rsidRPr="00FC4465">
        <w:rPr>
          <w:rFonts w:asciiTheme="majorBidi" w:hAnsiTheme="majorBidi" w:cstheme="majorBidi"/>
        </w:rPr>
        <w:t>“</w:t>
      </w:r>
      <w:r w:rsidR="00A72D17" w:rsidRPr="00FC4465">
        <w:rPr>
          <w:rFonts w:asciiTheme="majorBidi" w:hAnsiTheme="majorBidi" w:cstheme="majorBidi"/>
          <w:b/>
          <w:bCs/>
          <w:i/>
          <w:iCs/>
        </w:rPr>
        <w:t>Enfoque definido</w:t>
      </w:r>
      <w:r w:rsidR="00A72D17" w:rsidRPr="00FC4465">
        <w:rPr>
          <w:rFonts w:asciiTheme="majorBidi" w:hAnsiTheme="majorBidi" w:cstheme="majorBidi"/>
        </w:rPr>
        <w:t>, un enfoque de ensayo y evaluación consistente en aplicar un procedimiento determinado de interpretación de los datos a los datos generados a partir de un conjunto definido de fuentes de información, que puede utilizarse por sí solo o junto con otras fuentes de información en el marco de una evaluación del peso total de las pruebas, con el fin de responder a una necesidad concreta en materia de reglamentación;</w:t>
      </w:r>
      <w:r w:rsidRPr="00FC4465">
        <w:rPr>
          <w:rFonts w:asciiTheme="majorBidi" w:hAnsiTheme="majorBidi" w:cstheme="majorBidi"/>
        </w:rPr>
        <w:t>”</w:t>
      </w:r>
      <w:r w:rsidR="00A72D17" w:rsidRPr="00FC4465">
        <w:rPr>
          <w:rFonts w:asciiTheme="majorBidi" w:hAnsiTheme="majorBidi" w:cstheme="majorBidi"/>
        </w:rPr>
        <w:t>;</w:t>
      </w:r>
    </w:p>
    <w:p w14:paraId="007E33A1" w14:textId="3E9E9322" w:rsidR="00A72D17" w:rsidRPr="00FC4465" w:rsidRDefault="008C5013" w:rsidP="00A72D17">
      <w:pPr>
        <w:pStyle w:val="SingleTxtG"/>
        <w:ind w:left="1701"/>
        <w:rPr>
          <w:rFonts w:asciiTheme="majorBidi" w:hAnsiTheme="majorBidi" w:cstheme="majorBidi"/>
          <w:i/>
          <w:iCs/>
        </w:rPr>
      </w:pPr>
      <w:r w:rsidRPr="00FC4465">
        <w:rPr>
          <w:rFonts w:asciiTheme="majorBidi" w:hAnsiTheme="majorBidi" w:cstheme="majorBidi"/>
        </w:rPr>
        <w:t>“</w:t>
      </w:r>
      <w:r w:rsidR="00A72D17" w:rsidRPr="00FC4465">
        <w:rPr>
          <w:rFonts w:asciiTheme="majorBidi" w:hAnsiTheme="majorBidi" w:cstheme="majorBidi"/>
          <w:b/>
          <w:bCs/>
          <w:i/>
          <w:iCs/>
        </w:rPr>
        <w:t>IATA</w:t>
      </w:r>
      <w:r w:rsidR="00A72D17" w:rsidRPr="00FC4465">
        <w:rPr>
          <w:rFonts w:asciiTheme="majorBidi" w:hAnsiTheme="majorBidi" w:cstheme="majorBidi"/>
        </w:rPr>
        <w:t>, la abreviación de Integrated Approach on Testing and Assessment;</w:t>
      </w:r>
      <w:r w:rsidRPr="00FC4465">
        <w:rPr>
          <w:rFonts w:asciiTheme="majorBidi" w:hAnsiTheme="majorBidi" w:cstheme="majorBidi"/>
        </w:rPr>
        <w:t>”</w:t>
      </w:r>
      <w:r w:rsidR="00A72D17" w:rsidRPr="00FC4465">
        <w:rPr>
          <w:rFonts w:asciiTheme="majorBidi" w:hAnsiTheme="majorBidi" w:cstheme="majorBidi"/>
        </w:rPr>
        <w:t>.</w:t>
      </w:r>
    </w:p>
    <w:p w14:paraId="048F45EA" w14:textId="77777777" w:rsidR="00A72D17" w:rsidRPr="00FC4465" w:rsidRDefault="00A72D17" w:rsidP="00A72D17">
      <w:pPr>
        <w:pStyle w:val="H1G"/>
        <w:rPr>
          <w:rFonts w:asciiTheme="majorBidi" w:hAnsiTheme="majorBidi" w:cstheme="majorBidi"/>
        </w:rPr>
      </w:pPr>
      <w:r w:rsidRPr="00FC4465">
        <w:rPr>
          <w:rFonts w:asciiTheme="majorBidi" w:hAnsiTheme="majorBidi" w:cstheme="majorBidi"/>
        </w:rPr>
        <w:tab/>
      </w:r>
      <w:r w:rsidRPr="00FC4465">
        <w:rPr>
          <w:rFonts w:asciiTheme="majorBidi" w:hAnsiTheme="majorBidi" w:cstheme="majorBidi"/>
        </w:rPr>
        <w:tab/>
      </w:r>
      <w:r w:rsidRPr="00FC4465">
        <w:rPr>
          <w:rFonts w:asciiTheme="majorBidi" w:hAnsiTheme="majorBidi" w:cstheme="majorBidi"/>
          <w:bCs/>
        </w:rPr>
        <w:t>Capítulo 1.3</w:t>
      </w:r>
    </w:p>
    <w:p w14:paraId="0779CBBF" w14:textId="77777777" w:rsidR="00A72D17" w:rsidRPr="00FC4465" w:rsidRDefault="00A72D17" w:rsidP="00A72D17">
      <w:pPr>
        <w:pStyle w:val="SingleTxtG"/>
        <w:rPr>
          <w:rFonts w:asciiTheme="majorBidi" w:hAnsiTheme="majorBidi" w:cstheme="majorBidi"/>
        </w:rPr>
      </w:pPr>
      <w:r w:rsidRPr="00FC4465">
        <w:rPr>
          <w:rFonts w:asciiTheme="majorBidi" w:hAnsiTheme="majorBidi" w:cstheme="majorBidi"/>
        </w:rPr>
        <w:t>1.3.2.4.8</w:t>
      </w:r>
      <w:r w:rsidRPr="00FC4465">
        <w:rPr>
          <w:rFonts w:asciiTheme="majorBidi" w:hAnsiTheme="majorBidi" w:cstheme="majorBidi"/>
        </w:rPr>
        <w:tab/>
        <w:t>La modificación no se aplica al texto en español.</w:t>
      </w:r>
    </w:p>
    <w:p w14:paraId="668A2407" w14:textId="4E7D94CF" w:rsidR="00A72D17" w:rsidRPr="00FC4465" w:rsidRDefault="00A72D17" w:rsidP="00A72D17">
      <w:pPr>
        <w:pStyle w:val="SingleTxtG"/>
        <w:rPr>
          <w:rFonts w:asciiTheme="majorBidi" w:hAnsiTheme="majorBidi" w:cstheme="majorBidi"/>
        </w:rPr>
      </w:pPr>
      <w:r w:rsidRPr="00FC4465">
        <w:rPr>
          <w:rFonts w:asciiTheme="majorBidi" w:hAnsiTheme="majorBidi" w:cstheme="majorBidi"/>
        </w:rPr>
        <w:t>1.3.2.4.9.2</w:t>
      </w:r>
      <w:r w:rsidRPr="00FC4465">
        <w:rPr>
          <w:rFonts w:asciiTheme="majorBidi" w:hAnsiTheme="majorBidi" w:cstheme="majorBidi"/>
        </w:rPr>
        <w:tab/>
        <w:t xml:space="preserve">En la última oración, sustitúyase </w:t>
      </w:r>
      <w:r w:rsidR="008C5013" w:rsidRPr="00FC4465">
        <w:rPr>
          <w:rFonts w:asciiTheme="majorBidi" w:hAnsiTheme="majorBidi" w:cstheme="majorBidi"/>
        </w:rPr>
        <w:t>“</w:t>
      </w:r>
      <w:r w:rsidRPr="00FC4465">
        <w:rPr>
          <w:rFonts w:asciiTheme="majorBidi" w:hAnsiTheme="majorBidi" w:cstheme="majorBidi"/>
        </w:rPr>
        <w:t>determinar</w:t>
      </w:r>
      <w:r w:rsidR="008C5013" w:rsidRPr="00FC4465">
        <w:rPr>
          <w:rFonts w:asciiTheme="majorBidi" w:hAnsiTheme="majorBidi" w:cstheme="majorBidi"/>
        </w:rPr>
        <w:t>”</w:t>
      </w:r>
      <w:r w:rsidRPr="00FC4465">
        <w:rPr>
          <w:rFonts w:asciiTheme="majorBidi" w:hAnsiTheme="majorBidi" w:cstheme="majorBidi"/>
        </w:rPr>
        <w:t xml:space="preserve"> por </w:t>
      </w:r>
      <w:r w:rsidR="008C5013" w:rsidRPr="00FC4465">
        <w:rPr>
          <w:rFonts w:asciiTheme="majorBidi" w:hAnsiTheme="majorBidi" w:cstheme="majorBidi"/>
        </w:rPr>
        <w:t>“</w:t>
      </w:r>
      <w:r w:rsidRPr="00FC4465">
        <w:rPr>
          <w:rFonts w:asciiTheme="majorBidi" w:hAnsiTheme="majorBidi" w:cstheme="majorBidi"/>
        </w:rPr>
        <w:t>evaluar</w:t>
      </w:r>
      <w:r w:rsidR="008C5013" w:rsidRPr="00FC4465">
        <w:rPr>
          <w:rFonts w:asciiTheme="majorBidi" w:hAnsiTheme="majorBidi" w:cstheme="majorBidi"/>
        </w:rPr>
        <w:t>”</w:t>
      </w:r>
      <w:r w:rsidRPr="00FC4465">
        <w:rPr>
          <w:rFonts w:asciiTheme="majorBidi" w:hAnsiTheme="majorBidi" w:cstheme="majorBidi"/>
        </w:rPr>
        <w:t xml:space="preserve">. </w:t>
      </w:r>
    </w:p>
    <w:p w14:paraId="5C94FF9B" w14:textId="6376EE4F" w:rsidR="00A72D17" w:rsidRPr="00FC4465" w:rsidRDefault="00A72D17" w:rsidP="00A72D17">
      <w:pPr>
        <w:pStyle w:val="SingleTxtG"/>
        <w:rPr>
          <w:rFonts w:asciiTheme="majorBidi" w:hAnsiTheme="majorBidi" w:cstheme="majorBidi"/>
        </w:rPr>
      </w:pPr>
      <w:r w:rsidRPr="00FC4465">
        <w:rPr>
          <w:rFonts w:asciiTheme="majorBidi" w:hAnsiTheme="majorBidi" w:cstheme="majorBidi"/>
        </w:rPr>
        <w:t>1.3.2.4.9.5</w:t>
      </w:r>
      <w:r w:rsidRPr="00FC4465">
        <w:rPr>
          <w:rFonts w:asciiTheme="majorBidi" w:hAnsiTheme="majorBidi" w:cstheme="majorBidi"/>
        </w:rPr>
        <w:tab/>
        <w:t xml:space="preserve">En la primera oración, sustitúyase </w:t>
      </w:r>
      <w:r w:rsidR="008C5013" w:rsidRPr="00FC4465">
        <w:rPr>
          <w:rFonts w:asciiTheme="majorBidi" w:hAnsiTheme="majorBidi" w:cstheme="majorBidi"/>
        </w:rPr>
        <w:t>“</w:t>
      </w:r>
      <w:r w:rsidRPr="00FC4465">
        <w:rPr>
          <w:rFonts w:asciiTheme="majorBidi" w:hAnsiTheme="majorBidi" w:cstheme="majorBidi"/>
        </w:rPr>
        <w:t>determinar</w:t>
      </w:r>
      <w:r w:rsidR="008C5013" w:rsidRPr="00FC4465">
        <w:rPr>
          <w:rFonts w:asciiTheme="majorBidi" w:hAnsiTheme="majorBidi" w:cstheme="majorBidi"/>
        </w:rPr>
        <w:t>”</w:t>
      </w:r>
      <w:r w:rsidRPr="00FC4465">
        <w:rPr>
          <w:rFonts w:asciiTheme="majorBidi" w:hAnsiTheme="majorBidi" w:cstheme="majorBidi"/>
        </w:rPr>
        <w:t xml:space="preserve"> por </w:t>
      </w:r>
      <w:r w:rsidR="008C5013" w:rsidRPr="00FC4465">
        <w:rPr>
          <w:rFonts w:asciiTheme="majorBidi" w:hAnsiTheme="majorBidi" w:cstheme="majorBidi"/>
        </w:rPr>
        <w:t>“</w:t>
      </w:r>
      <w:r w:rsidRPr="00FC4465">
        <w:rPr>
          <w:rFonts w:asciiTheme="majorBidi" w:hAnsiTheme="majorBidi" w:cstheme="majorBidi"/>
        </w:rPr>
        <w:t>evaluar</w:t>
      </w:r>
      <w:r w:rsidR="008C5013" w:rsidRPr="00FC4465">
        <w:rPr>
          <w:rFonts w:asciiTheme="majorBidi" w:hAnsiTheme="majorBidi" w:cstheme="majorBidi"/>
        </w:rPr>
        <w:t>”</w:t>
      </w:r>
      <w:r w:rsidRPr="00FC4465">
        <w:rPr>
          <w:rFonts w:asciiTheme="majorBidi" w:hAnsiTheme="majorBidi" w:cstheme="majorBidi"/>
        </w:rPr>
        <w:t>.</w:t>
      </w:r>
    </w:p>
    <w:p w14:paraId="5B1ED245" w14:textId="77777777" w:rsidR="00A72D17" w:rsidRPr="00FC4465" w:rsidRDefault="00A72D17" w:rsidP="00A72D17">
      <w:pPr>
        <w:pStyle w:val="H1G"/>
        <w:rPr>
          <w:rFonts w:asciiTheme="majorBidi" w:hAnsiTheme="majorBidi" w:cstheme="majorBidi"/>
        </w:rPr>
      </w:pPr>
      <w:r w:rsidRPr="00FC4465">
        <w:rPr>
          <w:rFonts w:asciiTheme="majorBidi" w:hAnsiTheme="majorBidi" w:cstheme="majorBidi"/>
        </w:rPr>
        <w:tab/>
      </w:r>
      <w:r w:rsidRPr="00FC4465">
        <w:rPr>
          <w:rFonts w:asciiTheme="majorBidi" w:hAnsiTheme="majorBidi" w:cstheme="majorBidi"/>
        </w:rPr>
        <w:tab/>
      </w:r>
      <w:r w:rsidRPr="00FC4465">
        <w:rPr>
          <w:rFonts w:asciiTheme="majorBidi" w:hAnsiTheme="majorBidi" w:cstheme="majorBidi"/>
          <w:bCs/>
        </w:rPr>
        <w:t>Capítulo 2.1</w:t>
      </w:r>
    </w:p>
    <w:p w14:paraId="48758FA9" w14:textId="6DC99F31" w:rsidR="00A72D17" w:rsidRPr="00FC4465" w:rsidRDefault="00A72D17" w:rsidP="00A72D17">
      <w:pPr>
        <w:pStyle w:val="SingleTxtG"/>
        <w:ind w:left="2268" w:hanging="1134"/>
        <w:rPr>
          <w:rFonts w:asciiTheme="majorBidi" w:hAnsiTheme="majorBidi" w:cstheme="majorBidi"/>
        </w:rPr>
      </w:pPr>
      <w:r w:rsidRPr="00FC4465">
        <w:rPr>
          <w:rFonts w:asciiTheme="majorBidi" w:hAnsiTheme="majorBidi" w:cstheme="majorBidi"/>
        </w:rPr>
        <w:t>2.1.1.1</w:t>
      </w:r>
      <w:r w:rsidRPr="00FC4465">
        <w:rPr>
          <w:rFonts w:asciiTheme="majorBidi" w:hAnsiTheme="majorBidi" w:cstheme="majorBidi"/>
        </w:rPr>
        <w:tab/>
      </w:r>
      <w:r w:rsidRPr="00FC4465">
        <w:rPr>
          <w:rFonts w:asciiTheme="majorBidi" w:hAnsiTheme="majorBidi" w:cstheme="majorBidi"/>
        </w:rPr>
        <w:tab/>
        <w:t xml:space="preserve">Modifíquese el comienzo de la definición de </w:t>
      </w:r>
      <w:r w:rsidR="008C5013" w:rsidRPr="00FC4465">
        <w:rPr>
          <w:rFonts w:asciiTheme="majorBidi" w:hAnsiTheme="majorBidi" w:cstheme="majorBidi"/>
        </w:rPr>
        <w:t>“</w:t>
      </w:r>
      <w:r w:rsidRPr="00FC4465">
        <w:rPr>
          <w:rFonts w:asciiTheme="majorBidi" w:hAnsiTheme="majorBidi" w:cstheme="majorBidi"/>
        </w:rPr>
        <w:t>sustancia o mezcla pirotécnica</w:t>
      </w:r>
      <w:r w:rsidR="008C5013" w:rsidRPr="00FC4465">
        <w:rPr>
          <w:rFonts w:asciiTheme="majorBidi" w:hAnsiTheme="majorBidi" w:cstheme="majorBidi"/>
        </w:rPr>
        <w:t>”</w:t>
      </w:r>
      <w:r w:rsidRPr="00FC4465">
        <w:rPr>
          <w:rFonts w:asciiTheme="majorBidi" w:hAnsiTheme="majorBidi" w:cstheme="majorBidi"/>
        </w:rPr>
        <w:t xml:space="preserve"> para que diga: </w:t>
      </w:r>
      <w:r w:rsidR="008C5013" w:rsidRPr="00FC4465">
        <w:rPr>
          <w:rFonts w:asciiTheme="majorBidi" w:hAnsiTheme="majorBidi" w:cstheme="majorBidi"/>
        </w:rPr>
        <w:t>“</w:t>
      </w:r>
      <w:r w:rsidRPr="00FC4465">
        <w:rPr>
          <w:rFonts w:asciiTheme="majorBidi" w:hAnsiTheme="majorBidi" w:cstheme="majorBidi"/>
        </w:rPr>
        <w:t xml:space="preserve">Una </w:t>
      </w:r>
      <w:r w:rsidRPr="00FC4465">
        <w:rPr>
          <w:rFonts w:asciiTheme="majorBidi" w:hAnsiTheme="majorBidi" w:cstheme="majorBidi"/>
          <w:i/>
          <w:iCs/>
        </w:rPr>
        <w:t>sustancia o mezcla pirotécnica</w:t>
      </w:r>
      <w:r w:rsidRPr="00FC4465">
        <w:rPr>
          <w:rFonts w:asciiTheme="majorBidi" w:hAnsiTheme="majorBidi" w:cstheme="majorBidi"/>
        </w:rPr>
        <w:t xml:space="preserve"> es una sustancia o mezcla explosiva destinada a producir [...]</w:t>
      </w:r>
      <w:r w:rsidR="008C5013" w:rsidRPr="00FC4465">
        <w:rPr>
          <w:rFonts w:asciiTheme="majorBidi" w:hAnsiTheme="majorBidi" w:cstheme="majorBidi"/>
        </w:rPr>
        <w:t>”</w:t>
      </w:r>
      <w:r w:rsidRPr="00FC4465">
        <w:rPr>
          <w:rFonts w:asciiTheme="majorBidi" w:hAnsiTheme="majorBidi" w:cstheme="majorBidi"/>
        </w:rPr>
        <w:t xml:space="preserve">. </w:t>
      </w:r>
    </w:p>
    <w:p w14:paraId="61152421" w14:textId="254E0025" w:rsidR="00A72D17" w:rsidRPr="00FC4465" w:rsidRDefault="00A72D17" w:rsidP="00A72D17">
      <w:pPr>
        <w:pStyle w:val="SingleTxtG"/>
        <w:ind w:left="2268" w:hanging="1134"/>
        <w:rPr>
          <w:rFonts w:asciiTheme="majorBidi" w:hAnsiTheme="majorBidi" w:cstheme="majorBidi"/>
        </w:rPr>
      </w:pPr>
      <w:r w:rsidRPr="00FC4465">
        <w:rPr>
          <w:rFonts w:asciiTheme="majorBidi" w:hAnsiTheme="majorBidi" w:cstheme="majorBidi"/>
        </w:rPr>
        <w:tab/>
      </w:r>
      <w:r w:rsidRPr="00FC4465">
        <w:rPr>
          <w:rFonts w:asciiTheme="majorBidi" w:hAnsiTheme="majorBidi" w:cstheme="majorBidi"/>
        </w:rPr>
        <w:tab/>
        <w:t xml:space="preserve">Después de la definición de </w:t>
      </w:r>
      <w:r w:rsidR="008C5013" w:rsidRPr="00FC4465">
        <w:rPr>
          <w:rFonts w:asciiTheme="majorBidi" w:hAnsiTheme="majorBidi" w:cstheme="majorBidi"/>
        </w:rPr>
        <w:t>“</w:t>
      </w:r>
      <w:r w:rsidRPr="00FC4465">
        <w:rPr>
          <w:rFonts w:asciiTheme="majorBidi" w:hAnsiTheme="majorBidi" w:cstheme="majorBidi"/>
        </w:rPr>
        <w:t>objeto explosivo</w:t>
      </w:r>
      <w:r w:rsidR="008C5013" w:rsidRPr="00FC4465">
        <w:rPr>
          <w:rFonts w:asciiTheme="majorBidi" w:hAnsiTheme="majorBidi" w:cstheme="majorBidi"/>
        </w:rPr>
        <w:t>”</w:t>
      </w:r>
      <w:r w:rsidRPr="00FC4465">
        <w:rPr>
          <w:rFonts w:asciiTheme="majorBidi" w:hAnsiTheme="majorBidi" w:cstheme="majorBidi"/>
        </w:rPr>
        <w:t xml:space="preserve">, añádase una nueva definición que diga: </w:t>
      </w:r>
    </w:p>
    <w:p w14:paraId="0317E8BF" w14:textId="3940E417" w:rsidR="00A72D17" w:rsidRPr="00FC4465" w:rsidRDefault="008C5013" w:rsidP="00A72D17">
      <w:pPr>
        <w:pStyle w:val="SingleTxtG"/>
        <w:tabs>
          <w:tab w:val="clear" w:pos="1701"/>
        </w:tabs>
        <w:ind w:left="2268"/>
        <w:rPr>
          <w:rFonts w:asciiTheme="majorBidi" w:hAnsiTheme="majorBidi" w:cstheme="majorBidi"/>
        </w:rPr>
      </w:pPr>
      <w:r w:rsidRPr="00FC4465">
        <w:rPr>
          <w:rFonts w:asciiTheme="majorBidi" w:hAnsiTheme="majorBidi" w:cstheme="majorBidi"/>
        </w:rPr>
        <w:t>“</w:t>
      </w:r>
      <w:r w:rsidR="00A72D17" w:rsidRPr="00FC4465">
        <w:rPr>
          <w:rFonts w:asciiTheme="majorBidi" w:hAnsiTheme="majorBidi" w:cstheme="majorBidi"/>
        </w:rPr>
        <w:t xml:space="preserve">Un </w:t>
      </w:r>
      <w:r w:rsidR="00A72D17" w:rsidRPr="00FC4465">
        <w:rPr>
          <w:rFonts w:asciiTheme="majorBidi" w:hAnsiTheme="majorBidi" w:cstheme="majorBidi"/>
          <w:i/>
          <w:iCs/>
        </w:rPr>
        <w:t>efecto explosivo o pirotécnico</w:t>
      </w:r>
      <w:r w:rsidR="00A72D17" w:rsidRPr="00FC4465">
        <w:rPr>
          <w:rFonts w:asciiTheme="majorBidi" w:hAnsiTheme="majorBidi" w:cstheme="majorBidi"/>
        </w:rPr>
        <w:t xml:space="preserve"> en el contexto de 2.1.1.2.1 c) es un efecto producido por reacciones químicas exotérmicas autosostenidas, como choque, onda expansiva, fragmentación, proyección, calor, luz, sonido, gas o humo.</w:t>
      </w:r>
      <w:r w:rsidRPr="00FC4465">
        <w:rPr>
          <w:rFonts w:asciiTheme="majorBidi" w:hAnsiTheme="majorBidi" w:cstheme="majorBidi"/>
        </w:rPr>
        <w:t>”</w:t>
      </w:r>
      <w:r w:rsidR="00A72D17" w:rsidRPr="00FC4465">
        <w:rPr>
          <w:rFonts w:asciiTheme="majorBidi" w:hAnsiTheme="majorBidi" w:cstheme="majorBidi"/>
        </w:rPr>
        <w:t>.</w:t>
      </w:r>
    </w:p>
    <w:p w14:paraId="4748AA4C" w14:textId="3D04CF61" w:rsidR="00A72D17" w:rsidRPr="00FC4465" w:rsidRDefault="00A72D17" w:rsidP="00A72D17">
      <w:pPr>
        <w:pStyle w:val="SingleTxtG"/>
        <w:tabs>
          <w:tab w:val="clear" w:pos="1701"/>
        </w:tabs>
        <w:ind w:left="2268" w:hanging="1134"/>
        <w:rPr>
          <w:rFonts w:asciiTheme="majorBidi" w:hAnsiTheme="majorBidi" w:cstheme="majorBidi"/>
        </w:rPr>
      </w:pPr>
      <w:r w:rsidRPr="00FC4465">
        <w:rPr>
          <w:rFonts w:asciiTheme="majorBidi" w:hAnsiTheme="majorBidi" w:cstheme="majorBidi"/>
        </w:rPr>
        <w:t>2.1.3</w:t>
      </w:r>
      <w:r w:rsidRPr="00FC4465">
        <w:rPr>
          <w:rFonts w:asciiTheme="majorBidi" w:hAnsiTheme="majorBidi" w:cstheme="majorBidi"/>
        </w:rPr>
        <w:tab/>
        <w:t xml:space="preserve">Al final del párrafo, añádase la siguiente oración: </w:t>
      </w:r>
      <w:r w:rsidR="008C5013" w:rsidRPr="00FC4465">
        <w:rPr>
          <w:rFonts w:asciiTheme="majorBidi" w:hAnsiTheme="majorBidi" w:cstheme="majorBidi"/>
        </w:rPr>
        <w:t>“</w:t>
      </w:r>
      <w:r w:rsidRPr="00FC4465">
        <w:rPr>
          <w:rFonts w:asciiTheme="majorBidi" w:hAnsiTheme="majorBidi" w:cstheme="majorBidi"/>
        </w:rPr>
        <w:t>La tabla 2.1.2 presenta los elementos específicos que deben figurar en las etiquetas de las sustancias y mezclas clasificadas en esta clase de peligro con arreglo a los criterios indicados en el presente capítulo.</w:t>
      </w:r>
      <w:r w:rsidR="008C5013" w:rsidRPr="00FC4465">
        <w:rPr>
          <w:rFonts w:asciiTheme="majorBidi" w:hAnsiTheme="majorBidi" w:cstheme="majorBidi"/>
        </w:rPr>
        <w:t>”</w:t>
      </w:r>
      <w:r w:rsidRPr="00FC4465">
        <w:rPr>
          <w:rFonts w:asciiTheme="majorBidi" w:hAnsiTheme="majorBidi" w:cstheme="majorBidi"/>
        </w:rPr>
        <w:t>.</w:t>
      </w:r>
    </w:p>
    <w:p w14:paraId="49BA0751" w14:textId="77777777" w:rsidR="00A72D17" w:rsidRPr="00FC4465" w:rsidRDefault="00A72D17" w:rsidP="00A72D17">
      <w:pPr>
        <w:pStyle w:val="H1G"/>
        <w:rPr>
          <w:rFonts w:asciiTheme="majorBidi" w:hAnsiTheme="majorBidi" w:cstheme="majorBidi"/>
        </w:rPr>
      </w:pPr>
      <w:r w:rsidRPr="00FC4465">
        <w:rPr>
          <w:rFonts w:asciiTheme="majorBidi" w:hAnsiTheme="majorBidi" w:cstheme="majorBidi"/>
        </w:rPr>
        <w:tab/>
      </w:r>
      <w:r w:rsidRPr="00FC4465">
        <w:rPr>
          <w:rFonts w:asciiTheme="majorBidi" w:hAnsiTheme="majorBidi" w:cstheme="majorBidi"/>
        </w:rPr>
        <w:tab/>
      </w:r>
      <w:r w:rsidRPr="00FC4465">
        <w:rPr>
          <w:rFonts w:asciiTheme="majorBidi" w:hAnsiTheme="majorBidi" w:cstheme="majorBidi"/>
          <w:bCs/>
        </w:rPr>
        <w:t>Capítulo 2.2</w:t>
      </w:r>
    </w:p>
    <w:p w14:paraId="00B799E1" w14:textId="022DBA53" w:rsidR="00A72D17" w:rsidRPr="00FC4465" w:rsidRDefault="00A72D17" w:rsidP="00A72D17">
      <w:pPr>
        <w:pStyle w:val="SingleTxtG"/>
        <w:tabs>
          <w:tab w:val="clear" w:pos="1701"/>
        </w:tabs>
        <w:ind w:left="2268" w:hanging="1134"/>
        <w:rPr>
          <w:rFonts w:asciiTheme="majorBidi" w:hAnsiTheme="majorBidi" w:cstheme="majorBidi"/>
        </w:rPr>
      </w:pPr>
      <w:r w:rsidRPr="00FC4465">
        <w:rPr>
          <w:rFonts w:asciiTheme="majorBidi" w:hAnsiTheme="majorBidi" w:cstheme="majorBidi"/>
        </w:rPr>
        <w:t>2.2.3.1</w:t>
      </w:r>
      <w:r w:rsidRPr="00FC4465">
        <w:rPr>
          <w:rFonts w:asciiTheme="majorBidi" w:hAnsiTheme="majorBidi" w:cstheme="majorBidi"/>
        </w:rPr>
        <w:tab/>
        <w:t xml:space="preserve">Al final del párrafo, añádase la siguiente oración: </w:t>
      </w:r>
      <w:r w:rsidR="008C5013" w:rsidRPr="00FC4465">
        <w:rPr>
          <w:rFonts w:asciiTheme="majorBidi" w:hAnsiTheme="majorBidi" w:cstheme="majorBidi"/>
        </w:rPr>
        <w:t>“</w:t>
      </w:r>
      <w:r w:rsidRPr="00FC4465">
        <w:rPr>
          <w:rFonts w:asciiTheme="majorBidi" w:hAnsiTheme="majorBidi" w:cstheme="majorBidi"/>
        </w:rPr>
        <w:t>La tabla 2.2.2 presenta los elementos específicos que deben figurar en las etiquetas de las sustancias y mezclas clasificadas en esta clase de peligro con arreglo a los criterios indicados en el presente capítulo.</w:t>
      </w:r>
      <w:r w:rsidR="008C5013" w:rsidRPr="00FC4465">
        <w:rPr>
          <w:rFonts w:asciiTheme="majorBidi" w:hAnsiTheme="majorBidi" w:cstheme="majorBidi"/>
        </w:rPr>
        <w:t>”</w:t>
      </w:r>
      <w:r w:rsidRPr="00FC4465">
        <w:rPr>
          <w:rFonts w:asciiTheme="majorBidi" w:hAnsiTheme="majorBidi" w:cstheme="majorBidi"/>
        </w:rPr>
        <w:t>.</w:t>
      </w:r>
    </w:p>
    <w:p w14:paraId="1E96EBFC" w14:textId="77777777" w:rsidR="00A72D17" w:rsidRPr="00FC4465" w:rsidRDefault="00A72D17" w:rsidP="00A72D17">
      <w:pPr>
        <w:pStyle w:val="H1G"/>
        <w:rPr>
          <w:rFonts w:asciiTheme="majorBidi" w:hAnsiTheme="majorBidi" w:cstheme="majorBidi"/>
        </w:rPr>
      </w:pPr>
      <w:r w:rsidRPr="00FC4465">
        <w:rPr>
          <w:rFonts w:asciiTheme="majorBidi" w:hAnsiTheme="majorBidi" w:cstheme="majorBidi"/>
        </w:rPr>
        <w:tab/>
      </w:r>
      <w:r w:rsidRPr="00FC4465">
        <w:rPr>
          <w:rFonts w:asciiTheme="majorBidi" w:hAnsiTheme="majorBidi" w:cstheme="majorBidi"/>
        </w:rPr>
        <w:tab/>
      </w:r>
      <w:r w:rsidRPr="00FC4465">
        <w:rPr>
          <w:rFonts w:asciiTheme="majorBidi" w:hAnsiTheme="majorBidi" w:cstheme="majorBidi"/>
          <w:bCs/>
        </w:rPr>
        <w:t>Capítulo 2.3</w:t>
      </w:r>
    </w:p>
    <w:p w14:paraId="1EE7F293" w14:textId="7CA0F167" w:rsidR="00A72D17" w:rsidRPr="00FC4465" w:rsidRDefault="00A72D17" w:rsidP="00A72D17">
      <w:pPr>
        <w:pStyle w:val="SingleTxtG"/>
        <w:tabs>
          <w:tab w:val="clear" w:pos="1701"/>
        </w:tabs>
        <w:ind w:left="2268" w:hanging="1134"/>
        <w:rPr>
          <w:rFonts w:asciiTheme="majorBidi" w:hAnsiTheme="majorBidi" w:cstheme="majorBidi"/>
        </w:rPr>
      </w:pPr>
      <w:r w:rsidRPr="00FC4465">
        <w:rPr>
          <w:rFonts w:asciiTheme="majorBidi" w:hAnsiTheme="majorBidi" w:cstheme="majorBidi"/>
        </w:rPr>
        <w:t>2.3.1.3</w:t>
      </w:r>
      <w:r w:rsidRPr="00FC4465">
        <w:rPr>
          <w:rFonts w:asciiTheme="majorBidi" w:hAnsiTheme="majorBidi" w:cstheme="majorBidi"/>
        </w:rPr>
        <w:tab/>
        <w:t xml:space="preserve">Al final del párrafo, añádase la siguiente oración: </w:t>
      </w:r>
      <w:r w:rsidR="008C5013" w:rsidRPr="00FC4465">
        <w:rPr>
          <w:rFonts w:asciiTheme="majorBidi" w:hAnsiTheme="majorBidi" w:cstheme="majorBidi"/>
        </w:rPr>
        <w:t>“</w:t>
      </w:r>
      <w:r w:rsidRPr="00FC4465">
        <w:rPr>
          <w:rFonts w:asciiTheme="majorBidi" w:hAnsiTheme="majorBidi" w:cstheme="majorBidi"/>
        </w:rPr>
        <w:t>La tabla 2.3.2 presenta los elementos específicos que deben figurar en las etiquetas de las sustancias y mezclas clasificadas en esta clase de peligro con arreglo a los criterios indicados en el presente capítulo.</w:t>
      </w:r>
      <w:r w:rsidR="008C5013" w:rsidRPr="00FC4465">
        <w:rPr>
          <w:rFonts w:asciiTheme="majorBidi" w:hAnsiTheme="majorBidi" w:cstheme="majorBidi"/>
        </w:rPr>
        <w:t>”</w:t>
      </w:r>
      <w:r w:rsidRPr="00FC4465">
        <w:rPr>
          <w:rFonts w:asciiTheme="majorBidi" w:hAnsiTheme="majorBidi" w:cstheme="majorBidi"/>
        </w:rPr>
        <w:t>.</w:t>
      </w:r>
    </w:p>
    <w:p w14:paraId="4351B014" w14:textId="0BDD9EFD" w:rsidR="00A72D17" w:rsidRPr="00FC4465" w:rsidRDefault="00A72D17" w:rsidP="00A72D17">
      <w:pPr>
        <w:pStyle w:val="SingleTxtG"/>
        <w:tabs>
          <w:tab w:val="clear" w:pos="1701"/>
        </w:tabs>
        <w:ind w:left="2268" w:hanging="1134"/>
        <w:rPr>
          <w:rFonts w:asciiTheme="majorBidi" w:hAnsiTheme="majorBidi" w:cstheme="majorBidi"/>
        </w:rPr>
      </w:pPr>
      <w:r w:rsidRPr="00FC4465">
        <w:rPr>
          <w:rFonts w:asciiTheme="majorBidi" w:hAnsiTheme="majorBidi" w:cstheme="majorBidi"/>
        </w:rPr>
        <w:t>2.3.2.3</w:t>
      </w:r>
      <w:r w:rsidRPr="00FC4465">
        <w:rPr>
          <w:rFonts w:asciiTheme="majorBidi" w:hAnsiTheme="majorBidi" w:cstheme="majorBidi"/>
        </w:rPr>
        <w:tab/>
        <w:t xml:space="preserve">Al final del párrafo, añádase la siguiente oración: </w:t>
      </w:r>
      <w:r w:rsidR="008C5013" w:rsidRPr="00FC4465">
        <w:rPr>
          <w:rFonts w:asciiTheme="majorBidi" w:hAnsiTheme="majorBidi" w:cstheme="majorBidi"/>
        </w:rPr>
        <w:t>“</w:t>
      </w:r>
      <w:r w:rsidRPr="00FC4465">
        <w:rPr>
          <w:rFonts w:asciiTheme="majorBidi" w:hAnsiTheme="majorBidi" w:cstheme="majorBidi"/>
        </w:rPr>
        <w:t>La tabla 2.3.4 presenta los elementos específicos que deben figurar en las etiquetas de las sustancias y mezclas clasificadas en esta clase de peligro con arreglo a los criterios indicados en el presente capítulo.</w:t>
      </w:r>
      <w:r w:rsidR="008C5013" w:rsidRPr="00FC4465">
        <w:rPr>
          <w:rFonts w:asciiTheme="majorBidi" w:hAnsiTheme="majorBidi" w:cstheme="majorBidi"/>
        </w:rPr>
        <w:t>”</w:t>
      </w:r>
      <w:r w:rsidRPr="00FC4465">
        <w:rPr>
          <w:rFonts w:asciiTheme="majorBidi" w:hAnsiTheme="majorBidi" w:cstheme="majorBidi"/>
        </w:rPr>
        <w:t>.</w:t>
      </w:r>
    </w:p>
    <w:p w14:paraId="2FDCDA14" w14:textId="77777777" w:rsidR="00A72D17" w:rsidRPr="00FC4465" w:rsidRDefault="00A72D17" w:rsidP="00A72D17">
      <w:pPr>
        <w:pStyle w:val="H1G"/>
        <w:rPr>
          <w:rFonts w:asciiTheme="majorBidi" w:hAnsiTheme="majorBidi" w:cstheme="majorBidi"/>
        </w:rPr>
      </w:pPr>
      <w:r w:rsidRPr="00FC4465">
        <w:rPr>
          <w:rFonts w:asciiTheme="majorBidi" w:hAnsiTheme="majorBidi" w:cstheme="majorBidi"/>
        </w:rPr>
        <w:lastRenderedPageBreak/>
        <w:tab/>
      </w:r>
      <w:r w:rsidRPr="00FC4465">
        <w:rPr>
          <w:rFonts w:asciiTheme="majorBidi" w:hAnsiTheme="majorBidi" w:cstheme="majorBidi"/>
        </w:rPr>
        <w:tab/>
      </w:r>
      <w:r w:rsidRPr="00FC4465">
        <w:rPr>
          <w:rFonts w:asciiTheme="majorBidi" w:hAnsiTheme="majorBidi" w:cstheme="majorBidi"/>
          <w:bCs/>
        </w:rPr>
        <w:t>Capítulo 2.4</w:t>
      </w:r>
    </w:p>
    <w:p w14:paraId="46A6F527" w14:textId="32AC799B" w:rsidR="00A72D17" w:rsidRPr="00FC4465" w:rsidRDefault="00A72D17" w:rsidP="00A72D17">
      <w:pPr>
        <w:pStyle w:val="SingleTxtG"/>
        <w:tabs>
          <w:tab w:val="clear" w:pos="1701"/>
        </w:tabs>
        <w:ind w:left="2268" w:hanging="1134"/>
        <w:rPr>
          <w:rFonts w:asciiTheme="majorBidi" w:hAnsiTheme="majorBidi" w:cstheme="majorBidi"/>
        </w:rPr>
      </w:pPr>
      <w:r w:rsidRPr="00FC4465">
        <w:rPr>
          <w:rFonts w:asciiTheme="majorBidi" w:hAnsiTheme="majorBidi" w:cstheme="majorBidi"/>
        </w:rPr>
        <w:t>2.4.3</w:t>
      </w:r>
      <w:r w:rsidRPr="00FC4465">
        <w:rPr>
          <w:rFonts w:asciiTheme="majorBidi" w:hAnsiTheme="majorBidi" w:cstheme="majorBidi"/>
        </w:rPr>
        <w:tab/>
        <w:t xml:space="preserve">Al final del párrafo, añádase la siguiente oración: </w:t>
      </w:r>
      <w:r w:rsidR="008C5013" w:rsidRPr="00FC4465">
        <w:rPr>
          <w:rFonts w:asciiTheme="majorBidi" w:hAnsiTheme="majorBidi" w:cstheme="majorBidi"/>
        </w:rPr>
        <w:t>“</w:t>
      </w:r>
      <w:r w:rsidRPr="00FC4465">
        <w:rPr>
          <w:rFonts w:asciiTheme="majorBidi" w:hAnsiTheme="majorBidi" w:cstheme="majorBidi"/>
        </w:rPr>
        <w:t>La tabla 2.4.2 presenta los elementos específicos que deben figurar en las etiquetas de las sustancias y mezclas clasificadas en esta clase de peligro con arreglo a los criterios indicados en el presente capítulo.</w:t>
      </w:r>
      <w:r w:rsidR="008C5013" w:rsidRPr="00FC4465">
        <w:rPr>
          <w:rFonts w:asciiTheme="majorBidi" w:hAnsiTheme="majorBidi" w:cstheme="majorBidi"/>
        </w:rPr>
        <w:t>”</w:t>
      </w:r>
      <w:r w:rsidRPr="00FC4465">
        <w:rPr>
          <w:rFonts w:asciiTheme="majorBidi" w:hAnsiTheme="majorBidi" w:cstheme="majorBidi"/>
        </w:rPr>
        <w:t>.</w:t>
      </w:r>
    </w:p>
    <w:p w14:paraId="0E17A260" w14:textId="77777777" w:rsidR="00A72D17" w:rsidRPr="00FC4465" w:rsidRDefault="00A72D17" w:rsidP="00A72D17">
      <w:pPr>
        <w:pStyle w:val="H1G"/>
        <w:rPr>
          <w:rFonts w:asciiTheme="majorBidi" w:hAnsiTheme="majorBidi" w:cstheme="majorBidi"/>
        </w:rPr>
      </w:pPr>
      <w:r w:rsidRPr="00FC4465">
        <w:rPr>
          <w:rFonts w:asciiTheme="majorBidi" w:hAnsiTheme="majorBidi" w:cstheme="majorBidi"/>
        </w:rPr>
        <w:tab/>
      </w:r>
      <w:r w:rsidRPr="00FC4465">
        <w:rPr>
          <w:rFonts w:asciiTheme="majorBidi" w:hAnsiTheme="majorBidi" w:cstheme="majorBidi"/>
        </w:rPr>
        <w:tab/>
      </w:r>
      <w:r w:rsidRPr="00FC4465">
        <w:rPr>
          <w:rFonts w:asciiTheme="majorBidi" w:hAnsiTheme="majorBidi" w:cstheme="majorBidi"/>
          <w:bCs/>
        </w:rPr>
        <w:t>Capítulo 2.5</w:t>
      </w:r>
    </w:p>
    <w:p w14:paraId="3BBD021C" w14:textId="7660E49A" w:rsidR="00A72D17" w:rsidRPr="00FC4465" w:rsidRDefault="00A72D17" w:rsidP="00A72D17">
      <w:pPr>
        <w:pStyle w:val="SingleTxtG"/>
        <w:tabs>
          <w:tab w:val="clear" w:pos="1701"/>
        </w:tabs>
        <w:ind w:left="2268" w:hanging="1134"/>
        <w:rPr>
          <w:rFonts w:asciiTheme="majorBidi" w:hAnsiTheme="majorBidi" w:cstheme="majorBidi"/>
        </w:rPr>
      </w:pPr>
      <w:r w:rsidRPr="00FC4465">
        <w:rPr>
          <w:rFonts w:asciiTheme="majorBidi" w:hAnsiTheme="majorBidi" w:cstheme="majorBidi"/>
        </w:rPr>
        <w:t>2.5.3</w:t>
      </w:r>
      <w:r w:rsidRPr="00FC4465">
        <w:rPr>
          <w:rFonts w:asciiTheme="majorBidi" w:hAnsiTheme="majorBidi" w:cstheme="majorBidi"/>
        </w:rPr>
        <w:tab/>
        <w:t xml:space="preserve">Al final del párrafo, añádase la siguiente oración: </w:t>
      </w:r>
      <w:r w:rsidR="008C5013" w:rsidRPr="00FC4465">
        <w:rPr>
          <w:rFonts w:asciiTheme="majorBidi" w:hAnsiTheme="majorBidi" w:cstheme="majorBidi"/>
        </w:rPr>
        <w:t>“</w:t>
      </w:r>
      <w:r w:rsidRPr="00FC4465">
        <w:rPr>
          <w:rFonts w:asciiTheme="majorBidi" w:hAnsiTheme="majorBidi" w:cstheme="majorBidi"/>
        </w:rPr>
        <w:t>La tabla 2.5.2 presenta los elementos específicos que deben figurar en las etiquetas de las sustancias y mezclas clasificadas en esta clase de peligro con arreglo a los criterios indicados en el presente capítulo.</w:t>
      </w:r>
      <w:r w:rsidR="008C5013" w:rsidRPr="00FC4465">
        <w:rPr>
          <w:rFonts w:asciiTheme="majorBidi" w:hAnsiTheme="majorBidi" w:cstheme="majorBidi"/>
        </w:rPr>
        <w:t>”</w:t>
      </w:r>
      <w:r w:rsidRPr="00FC4465">
        <w:rPr>
          <w:rFonts w:asciiTheme="majorBidi" w:hAnsiTheme="majorBidi" w:cstheme="majorBidi"/>
        </w:rPr>
        <w:t>.</w:t>
      </w:r>
    </w:p>
    <w:p w14:paraId="5D06BFB7" w14:textId="77777777" w:rsidR="00A72D17" w:rsidRPr="00FC4465" w:rsidRDefault="00A72D17" w:rsidP="00A72D17">
      <w:pPr>
        <w:pStyle w:val="H1G"/>
        <w:rPr>
          <w:rFonts w:asciiTheme="majorBidi" w:hAnsiTheme="majorBidi" w:cstheme="majorBidi"/>
        </w:rPr>
      </w:pPr>
      <w:r w:rsidRPr="00FC4465">
        <w:rPr>
          <w:rFonts w:asciiTheme="majorBidi" w:hAnsiTheme="majorBidi" w:cstheme="majorBidi"/>
        </w:rPr>
        <w:tab/>
      </w:r>
      <w:r w:rsidRPr="00FC4465">
        <w:rPr>
          <w:rFonts w:asciiTheme="majorBidi" w:hAnsiTheme="majorBidi" w:cstheme="majorBidi"/>
        </w:rPr>
        <w:tab/>
      </w:r>
      <w:r w:rsidRPr="00FC4465">
        <w:rPr>
          <w:rFonts w:asciiTheme="majorBidi" w:hAnsiTheme="majorBidi" w:cstheme="majorBidi"/>
        </w:rPr>
        <w:tab/>
      </w:r>
      <w:r w:rsidRPr="00FC4465">
        <w:rPr>
          <w:rFonts w:asciiTheme="majorBidi" w:hAnsiTheme="majorBidi" w:cstheme="majorBidi"/>
          <w:bCs/>
        </w:rPr>
        <w:t>Capítulo 2.6</w:t>
      </w:r>
    </w:p>
    <w:p w14:paraId="66F5BD9F" w14:textId="6081448E" w:rsidR="00A72D17" w:rsidRPr="00FC4465" w:rsidRDefault="00A72D17" w:rsidP="00A72D17">
      <w:pPr>
        <w:pStyle w:val="SingleTxtG"/>
        <w:tabs>
          <w:tab w:val="clear" w:pos="1701"/>
        </w:tabs>
        <w:ind w:left="2268" w:hanging="1134"/>
        <w:rPr>
          <w:rFonts w:asciiTheme="majorBidi" w:hAnsiTheme="majorBidi" w:cstheme="majorBidi"/>
        </w:rPr>
      </w:pPr>
      <w:r w:rsidRPr="00FC4465">
        <w:rPr>
          <w:rFonts w:asciiTheme="majorBidi" w:hAnsiTheme="majorBidi" w:cstheme="majorBidi"/>
        </w:rPr>
        <w:t>2.6.3</w:t>
      </w:r>
      <w:r w:rsidRPr="00FC4465">
        <w:rPr>
          <w:rFonts w:asciiTheme="majorBidi" w:hAnsiTheme="majorBidi" w:cstheme="majorBidi"/>
        </w:rPr>
        <w:tab/>
        <w:t xml:space="preserve">Al final del párrafo, añádase la siguiente oración: </w:t>
      </w:r>
      <w:r w:rsidR="008C5013" w:rsidRPr="00FC4465">
        <w:rPr>
          <w:rFonts w:asciiTheme="majorBidi" w:hAnsiTheme="majorBidi" w:cstheme="majorBidi"/>
        </w:rPr>
        <w:t>“</w:t>
      </w:r>
      <w:r w:rsidRPr="00FC4465">
        <w:rPr>
          <w:rFonts w:asciiTheme="majorBidi" w:hAnsiTheme="majorBidi" w:cstheme="majorBidi"/>
        </w:rPr>
        <w:t>La tabla 2.6.2 presenta los elementos específicos que deben figurar en las etiquetas de las sustancias y mezclas clasificadas en esta clase de peligro con arreglo a los criterios indicados en el presente capítulo.</w:t>
      </w:r>
      <w:r w:rsidR="008C5013" w:rsidRPr="00FC4465">
        <w:rPr>
          <w:rFonts w:asciiTheme="majorBidi" w:hAnsiTheme="majorBidi" w:cstheme="majorBidi"/>
        </w:rPr>
        <w:t>”</w:t>
      </w:r>
      <w:r w:rsidRPr="00FC4465">
        <w:rPr>
          <w:rFonts w:asciiTheme="majorBidi" w:hAnsiTheme="majorBidi" w:cstheme="majorBidi"/>
        </w:rPr>
        <w:t xml:space="preserve"> </w:t>
      </w:r>
    </w:p>
    <w:p w14:paraId="7C787D69" w14:textId="756B8F00" w:rsidR="00A72D17" w:rsidRPr="00FC4465" w:rsidRDefault="00A72D17" w:rsidP="00A72D17">
      <w:pPr>
        <w:pStyle w:val="SingleTxtG"/>
        <w:ind w:left="2268" w:hanging="1134"/>
        <w:rPr>
          <w:rFonts w:asciiTheme="majorBidi" w:hAnsiTheme="majorBidi" w:cstheme="majorBidi"/>
        </w:rPr>
      </w:pPr>
      <w:r w:rsidRPr="00FC4465">
        <w:rPr>
          <w:rFonts w:asciiTheme="majorBidi" w:hAnsiTheme="majorBidi" w:cstheme="majorBidi"/>
        </w:rPr>
        <w:t>2.6.4.2.4</w:t>
      </w:r>
      <w:r w:rsidRPr="00FC4465">
        <w:rPr>
          <w:rFonts w:asciiTheme="majorBidi" w:hAnsiTheme="majorBidi" w:cstheme="majorBidi"/>
        </w:rPr>
        <w:tab/>
        <w:t xml:space="preserve">En la primera oración, sustitúyase </w:t>
      </w:r>
      <w:r w:rsidR="008C5013" w:rsidRPr="00FC4465">
        <w:rPr>
          <w:rFonts w:asciiTheme="majorBidi" w:hAnsiTheme="majorBidi" w:cstheme="majorBidi"/>
        </w:rPr>
        <w:t>“</w:t>
      </w:r>
      <w:r w:rsidRPr="00FC4465">
        <w:rPr>
          <w:rFonts w:asciiTheme="majorBidi" w:hAnsiTheme="majorBidi" w:cstheme="majorBidi"/>
        </w:rPr>
        <w:t>se determinarán</w:t>
      </w:r>
      <w:r w:rsidR="008C5013" w:rsidRPr="00FC4465">
        <w:rPr>
          <w:rFonts w:asciiTheme="majorBidi" w:hAnsiTheme="majorBidi" w:cstheme="majorBidi"/>
        </w:rPr>
        <w:t>”</w:t>
      </w:r>
      <w:r w:rsidRPr="00FC4465">
        <w:rPr>
          <w:rFonts w:asciiTheme="majorBidi" w:hAnsiTheme="majorBidi" w:cstheme="majorBidi"/>
        </w:rPr>
        <w:t xml:space="preserve"> por </w:t>
      </w:r>
      <w:r w:rsidR="008C5013" w:rsidRPr="00FC4465">
        <w:rPr>
          <w:rFonts w:asciiTheme="majorBidi" w:hAnsiTheme="majorBidi" w:cstheme="majorBidi"/>
        </w:rPr>
        <w:t>“</w:t>
      </w:r>
      <w:r w:rsidRPr="00FC4465">
        <w:rPr>
          <w:rFonts w:asciiTheme="majorBidi" w:hAnsiTheme="majorBidi" w:cstheme="majorBidi"/>
        </w:rPr>
        <w:t>deberían determinarse</w:t>
      </w:r>
      <w:r w:rsidR="008C5013" w:rsidRPr="00FC4465">
        <w:rPr>
          <w:rFonts w:asciiTheme="majorBidi" w:hAnsiTheme="majorBidi" w:cstheme="majorBidi"/>
        </w:rPr>
        <w:t>”</w:t>
      </w:r>
      <w:r w:rsidRPr="00FC4465">
        <w:rPr>
          <w:rFonts w:asciiTheme="majorBidi" w:hAnsiTheme="majorBidi" w:cstheme="majorBidi"/>
        </w:rPr>
        <w:t xml:space="preserve">, y en la segunda oración, sustitúyase </w:t>
      </w:r>
      <w:r w:rsidR="008C5013" w:rsidRPr="00FC4465">
        <w:rPr>
          <w:rFonts w:asciiTheme="majorBidi" w:hAnsiTheme="majorBidi" w:cstheme="majorBidi"/>
        </w:rPr>
        <w:t>“</w:t>
      </w:r>
      <w:r w:rsidRPr="00FC4465">
        <w:rPr>
          <w:rFonts w:asciiTheme="majorBidi" w:hAnsiTheme="majorBidi" w:cstheme="majorBidi"/>
        </w:rPr>
        <w:t>se determinará</w:t>
      </w:r>
      <w:r w:rsidR="008C5013" w:rsidRPr="00FC4465">
        <w:rPr>
          <w:rFonts w:asciiTheme="majorBidi" w:hAnsiTheme="majorBidi" w:cstheme="majorBidi"/>
        </w:rPr>
        <w:t>”</w:t>
      </w:r>
      <w:r w:rsidRPr="00FC4465">
        <w:rPr>
          <w:rFonts w:asciiTheme="majorBidi" w:hAnsiTheme="majorBidi" w:cstheme="majorBidi"/>
        </w:rPr>
        <w:t xml:space="preserve"> por </w:t>
      </w:r>
      <w:r w:rsidR="008C5013" w:rsidRPr="00FC4465">
        <w:rPr>
          <w:rFonts w:asciiTheme="majorBidi" w:hAnsiTheme="majorBidi" w:cstheme="majorBidi"/>
        </w:rPr>
        <w:t>“</w:t>
      </w:r>
      <w:r w:rsidRPr="00FC4465">
        <w:rPr>
          <w:rFonts w:asciiTheme="majorBidi" w:hAnsiTheme="majorBidi" w:cstheme="majorBidi"/>
        </w:rPr>
        <w:t>debería determinarse</w:t>
      </w:r>
      <w:r w:rsidR="008C5013" w:rsidRPr="00FC4465">
        <w:rPr>
          <w:rFonts w:asciiTheme="majorBidi" w:hAnsiTheme="majorBidi" w:cstheme="majorBidi"/>
        </w:rPr>
        <w:t>”</w:t>
      </w:r>
      <w:r w:rsidRPr="00FC4465">
        <w:rPr>
          <w:rFonts w:asciiTheme="majorBidi" w:hAnsiTheme="majorBidi" w:cstheme="majorBidi"/>
        </w:rPr>
        <w:t>.</w:t>
      </w:r>
    </w:p>
    <w:p w14:paraId="357020A1" w14:textId="77777777" w:rsidR="00A72D17" w:rsidRPr="00FC4465" w:rsidRDefault="00A72D17" w:rsidP="00A72D17">
      <w:pPr>
        <w:pStyle w:val="SingleTxtG"/>
        <w:ind w:left="2268"/>
        <w:rPr>
          <w:rFonts w:asciiTheme="majorBidi" w:hAnsiTheme="majorBidi" w:cstheme="majorBidi"/>
        </w:rPr>
      </w:pPr>
      <w:r w:rsidRPr="00FC4465">
        <w:rPr>
          <w:rFonts w:asciiTheme="majorBidi" w:hAnsiTheme="majorBidi" w:cstheme="majorBidi"/>
        </w:rPr>
        <w:t>Sustitúyase la última oración por la siguiente:</w:t>
      </w:r>
    </w:p>
    <w:p w14:paraId="29A08127" w14:textId="7DBDEC3C" w:rsidR="00A72D17" w:rsidRPr="00FC4465" w:rsidRDefault="008C5013" w:rsidP="00A72D17">
      <w:pPr>
        <w:pStyle w:val="SingleTxtG"/>
        <w:tabs>
          <w:tab w:val="clear" w:pos="1701"/>
        </w:tabs>
        <w:ind w:left="2268"/>
        <w:rPr>
          <w:rFonts w:asciiTheme="majorBidi" w:hAnsiTheme="majorBidi" w:cstheme="majorBidi"/>
        </w:rPr>
      </w:pPr>
      <w:r w:rsidRPr="00FC4465">
        <w:rPr>
          <w:rFonts w:asciiTheme="majorBidi" w:hAnsiTheme="majorBidi" w:cstheme="majorBidi"/>
        </w:rPr>
        <w:t>“</w:t>
      </w:r>
      <w:r w:rsidR="00A72D17" w:rsidRPr="00FC4465">
        <w:rPr>
          <w:rFonts w:asciiTheme="majorBidi" w:hAnsiTheme="majorBidi" w:cstheme="majorBidi"/>
        </w:rPr>
        <w:t xml:space="preserve">Los ensayos en vaso abierto son aceptables para los líquidos que no puedan someterse a ensayos en vaso cerrado (por ejemplo, debido a su viscosidad) o cuando ya se disponga de datos procedentes de ensayos en vaso abierto. En estos casos debería sustraerse 5,6 </w:t>
      </w:r>
      <w:r w:rsidR="001542DD">
        <w:rPr>
          <w:rFonts w:asciiTheme="majorBidi" w:hAnsiTheme="majorBidi" w:cstheme="majorBidi"/>
        </w:rPr>
        <w:t>º</w:t>
      </w:r>
      <w:r w:rsidR="00A72D17" w:rsidRPr="00FC4465">
        <w:rPr>
          <w:rFonts w:asciiTheme="majorBidi" w:hAnsiTheme="majorBidi" w:cstheme="majorBidi"/>
        </w:rPr>
        <w:t>C al valor medido, ya que los valores obtenidos en los métodos de vaso abierto suelen ser más elevados que los obtenidos en los métodos de vaso cerrado.</w:t>
      </w:r>
      <w:r w:rsidRPr="00FC4465">
        <w:rPr>
          <w:rFonts w:asciiTheme="majorBidi" w:hAnsiTheme="majorBidi" w:cstheme="majorBidi"/>
        </w:rPr>
        <w:t>”</w:t>
      </w:r>
      <w:r w:rsidR="00A72D17" w:rsidRPr="00FC4465">
        <w:rPr>
          <w:rFonts w:asciiTheme="majorBidi" w:hAnsiTheme="majorBidi" w:cstheme="majorBidi"/>
        </w:rPr>
        <w:t>.</w:t>
      </w:r>
    </w:p>
    <w:p w14:paraId="0D8785A5" w14:textId="77777777" w:rsidR="00A72D17" w:rsidRPr="00FC4465" w:rsidRDefault="00A72D17" w:rsidP="00A72D17">
      <w:pPr>
        <w:pStyle w:val="H1G"/>
        <w:rPr>
          <w:rFonts w:asciiTheme="majorBidi" w:hAnsiTheme="majorBidi" w:cstheme="majorBidi"/>
        </w:rPr>
      </w:pPr>
      <w:r w:rsidRPr="00FC4465">
        <w:rPr>
          <w:rFonts w:asciiTheme="majorBidi" w:hAnsiTheme="majorBidi" w:cstheme="majorBidi"/>
        </w:rPr>
        <w:tab/>
      </w:r>
      <w:r w:rsidRPr="00FC4465">
        <w:rPr>
          <w:rFonts w:asciiTheme="majorBidi" w:hAnsiTheme="majorBidi" w:cstheme="majorBidi"/>
        </w:rPr>
        <w:tab/>
      </w:r>
      <w:r w:rsidRPr="00FC4465">
        <w:rPr>
          <w:rFonts w:asciiTheme="majorBidi" w:hAnsiTheme="majorBidi" w:cstheme="majorBidi"/>
        </w:rPr>
        <w:tab/>
      </w:r>
      <w:r w:rsidRPr="00FC4465">
        <w:rPr>
          <w:rFonts w:asciiTheme="majorBidi" w:hAnsiTheme="majorBidi" w:cstheme="majorBidi"/>
          <w:bCs/>
        </w:rPr>
        <w:t>Capítulo 2.7</w:t>
      </w:r>
    </w:p>
    <w:p w14:paraId="231EC191" w14:textId="74F37D75" w:rsidR="00A72D17" w:rsidRPr="00FC4465" w:rsidRDefault="00A72D17" w:rsidP="00A72D17">
      <w:pPr>
        <w:pStyle w:val="SingleTxtG"/>
        <w:ind w:left="2268" w:hanging="1134"/>
        <w:rPr>
          <w:rFonts w:asciiTheme="majorBidi" w:hAnsiTheme="majorBidi" w:cstheme="majorBidi"/>
        </w:rPr>
      </w:pPr>
      <w:r w:rsidRPr="00FC4465">
        <w:rPr>
          <w:rFonts w:asciiTheme="majorBidi" w:hAnsiTheme="majorBidi" w:cstheme="majorBidi"/>
        </w:rPr>
        <w:t>2.7.1</w:t>
      </w:r>
      <w:r w:rsidRPr="00FC4465">
        <w:rPr>
          <w:rFonts w:asciiTheme="majorBidi" w:hAnsiTheme="majorBidi" w:cstheme="majorBidi"/>
        </w:rPr>
        <w:tab/>
      </w:r>
      <w:r w:rsidRPr="00FC4465">
        <w:rPr>
          <w:rFonts w:asciiTheme="majorBidi" w:hAnsiTheme="majorBidi" w:cstheme="majorBidi"/>
        </w:rPr>
        <w:tab/>
        <w:t xml:space="preserve">Después de la definición de </w:t>
      </w:r>
      <w:r w:rsidR="008C5013" w:rsidRPr="00FC4465">
        <w:rPr>
          <w:rFonts w:asciiTheme="majorBidi" w:hAnsiTheme="majorBidi" w:cstheme="majorBidi"/>
        </w:rPr>
        <w:t>“</w:t>
      </w:r>
      <w:r w:rsidRPr="00FC4465">
        <w:rPr>
          <w:rFonts w:asciiTheme="majorBidi" w:hAnsiTheme="majorBidi" w:cstheme="majorBidi"/>
        </w:rPr>
        <w:t>sólidos que entran fácilmente en combustión</w:t>
      </w:r>
      <w:r w:rsidR="008C5013" w:rsidRPr="00FC4465">
        <w:rPr>
          <w:rFonts w:asciiTheme="majorBidi" w:hAnsiTheme="majorBidi" w:cstheme="majorBidi"/>
        </w:rPr>
        <w:t>”</w:t>
      </w:r>
      <w:r w:rsidRPr="00FC4465">
        <w:rPr>
          <w:rFonts w:asciiTheme="majorBidi" w:hAnsiTheme="majorBidi" w:cstheme="majorBidi"/>
        </w:rPr>
        <w:t xml:space="preserve">, añádase la siguiente nueva definición: </w:t>
      </w:r>
      <w:r w:rsidR="008C5013" w:rsidRPr="00FC4465">
        <w:rPr>
          <w:rFonts w:asciiTheme="majorBidi" w:hAnsiTheme="majorBidi" w:cstheme="majorBidi"/>
        </w:rPr>
        <w:t>“</w:t>
      </w:r>
      <w:r w:rsidRPr="00FC4465">
        <w:rPr>
          <w:rFonts w:asciiTheme="majorBidi" w:hAnsiTheme="majorBidi" w:cstheme="majorBidi"/>
        </w:rPr>
        <w:t xml:space="preserve">Los </w:t>
      </w:r>
      <w:r w:rsidRPr="00FC4465">
        <w:rPr>
          <w:rFonts w:asciiTheme="majorBidi" w:hAnsiTheme="majorBidi" w:cstheme="majorBidi"/>
          <w:i/>
          <w:iCs/>
        </w:rPr>
        <w:t>polvos metálicos</w:t>
      </w:r>
      <w:r w:rsidRPr="00FC4465">
        <w:rPr>
          <w:rFonts w:asciiTheme="majorBidi" w:hAnsiTheme="majorBidi" w:cstheme="majorBidi"/>
        </w:rPr>
        <w:t xml:space="preserve"> son polvos de metales o de aleaciones metálicas.</w:t>
      </w:r>
      <w:r w:rsidR="008C5013" w:rsidRPr="00FC4465">
        <w:rPr>
          <w:rFonts w:asciiTheme="majorBidi" w:hAnsiTheme="majorBidi" w:cstheme="majorBidi"/>
        </w:rPr>
        <w:t>”</w:t>
      </w:r>
      <w:r w:rsidRPr="00FC4465">
        <w:rPr>
          <w:rFonts w:asciiTheme="majorBidi" w:hAnsiTheme="majorBidi" w:cstheme="majorBidi"/>
        </w:rPr>
        <w:t>.</w:t>
      </w:r>
    </w:p>
    <w:p w14:paraId="6DF49B1C" w14:textId="6086AF1D" w:rsidR="00A72D17" w:rsidRPr="00FC4465" w:rsidRDefault="00A72D17" w:rsidP="00A72D17">
      <w:pPr>
        <w:pStyle w:val="SingleTxtG"/>
        <w:ind w:left="2268" w:hanging="1134"/>
        <w:rPr>
          <w:rFonts w:asciiTheme="majorBidi" w:hAnsiTheme="majorBidi" w:cstheme="majorBidi"/>
        </w:rPr>
      </w:pPr>
      <w:r w:rsidRPr="00FC4465">
        <w:rPr>
          <w:rFonts w:asciiTheme="majorBidi" w:hAnsiTheme="majorBidi" w:cstheme="majorBidi"/>
        </w:rPr>
        <w:t>2.7.2.2</w:t>
      </w:r>
      <w:r w:rsidRPr="00FC4465">
        <w:rPr>
          <w:rFonts w:asciiTheme="majorBidi" w:hAnsiTheme="majorBidi" w:cstheme="majorBidi"/>
        </w:rPr>
        <w:tab/>
      </w:r>
      <w:r w:rsidRPr="00FC4465">
        <w:rPr>
          <w:rFonts w:asciiTheme="majorBidi" w:hAnsiTheme="majorBidi" w:cstheme="majorBidi"/>
        </w:rPr>
        <w:tab/>
        <w:t xml:space="preserve">Sustitúyase </w:t>
      </w:r>
      <w:r w:rsidR="008C5013" w:rsidRPr="00FC4465">
        <w:rPr>
          <w:rFonts w:asciiTheme="majorBidi" w:hAnsiTheme="majorBidi" w:cstheme="majorBidi"/>
        </w:rPr>
        <w:t>“</w:t>
      </w:r>
      <w:r w:rsidRPr="00FC4465">
        <w:rPr>
          <w:rFonts w:asciiTheme="majorBidi" w:hAnsiTheme="majorBidi" w:cstheme="majorBidi"/>
        </w:rPr>
        <w:t>polvos metálicos o las aleaciones metálicas</w:t>
      </w:r>
      <w:r w:rsidR="008C5013" w:rsidRPr="00FC4465">
        <w:rPr>
          <w:rFonts w:asciiTheme="majorBidi" w:hAnsiTheme="majorBidi" w:cstheme="majorBidi"/>
        </w:rPr>
        <w:t>”</w:t>
      </w:r>
      <w:r w:rsidRPr="00FC4465">
        <w:rPr>
          <w:rFonts w:asciiTheme="majorBidi" w:hAnsiTheme="majorBidi" w:cstheme="majorBidi"/>
        </w:rPr>
        <w:t xml:space="preserve"> por </w:t>
      </w:r>
      <w:r w:rsidR="008C5013" w:rsidRPr="00FC4465">
        <w:rPr>
          <w:rFonts w:asciiTheme="majorBidi" w:hAnsiTheme="majorBidi" w:cstheme="majorBidi"/>
        </w:rPr>
        <w:t>“</w:t>
      </w:r>
      <w:r w:rsidRPr="00FC4465">
        <w:rPr>
          <w:rFonts w:asciiTheme="majorBidi" w:hAnsiTheme="majorBidi" w:cstheme="majorBidi"/>
        </w:rPr>
        <w:t>polvos metálicos</w:t>
      </w:r>
      <w:r w:rsidR="008C5013" w:rsidRPr="00FC4465">
        <w:rPr>
          <w:rFonts w:asciiTheme="majorBidi" w:hAnsiTheme="majorBidi" w:cstheme="majorBidi"/>
        </w:rPr>
        <w:t>”</w:t>
      </w:r>
      <w:r w:rsidRPr="00FC4465">
        <w:rPr>
          <w:rFonts w:asciiTheme="majorBidi" w:hAnsiTheme="majorBidi" w:cstheme="majorBidi"/>
        </w:rPr>
        <w:t>.</w:t>
      </w:r>
    </w:p>
    <w:p w14:paraId="5BEF6D4B" w14:textId="10A16444" w:rsidR="00A72D17" w:rsidRPr="00FC4465" w:rsidRDefault="00A72D17" w:rsidP="00A72D17">
      <w:pPr>
        <w:pStyle w:val="SingleTxtG"/>
        <w:tabs>
          <w:tab w:val="clear" w:pos="1701"/>
        </w:tabs>
        <w:ind w:left="2268" w:hanging="1134"/>
        <w:rPr>
          <w:rFonts w:asciiTheme="majorBidi" w:hAnsiTheme="majorBidi" w:cstheme="majorBidi"/>
        </w:rPr>
      </w:pPr>
      <w:r w:rsidRPr="00FC4465">
        <w:rPr>
          <w:rFonts w:asciiTheme="majorBidi" w:hAnsiTheme="majorBidi" w:cstheme="majorBidi"/>
        </w:rPr>
        <w:t>2.7.3</w:t>
      </w:r>
      <w:r w:rsidRPr="00FC4465">
        <w:rPr>
          <w:rFonts w:asciiTheme="majorBidi" w:hAnsiTheme="majorBidi" w:cstheme="majorBidi"/>
        </w:rPr>
        <w:tab/>
        <w:t xml:space="preserve">Al final del párrafo, añádase la siguiente oración: </w:t>
      </w:r>
      <w:r w:rsidR="008C5013" w:rsidRPr="00FC4465">
        <w:rPr>
          <w:rFonts w:asciiTheme="majorBidi" w:hAnsiTheme="majorBidi" w:cstheme="majorBidi"/>
        </w:rPr>
        <w:t>“</w:t>
      </w:r>
      <w:r w:rsidRPr="00FC4465">
        <w:rPr>
          <w:rFonts w:asciiTheme="majorBidi" w:hAnsiTheme="majorBidi" w:cstheme="majorBidi"/>
        </w:rPr>
        <w:t>La tabla 2.7.2 presenta los elementos específicos que deben figurar en las etiquetas de las sustancias y mezclas clasificadas en esta clase de peligro con arreglo a los criterios indicados en el presente capítulo.</w:t>
      </w:r>
      <w:r w:rsidR="008C5013" w:rsidRPr="00FC4465">
        <w:rPr>
          <w:rFonts w:asciiTheme="majorBidi" w:hAnsiTheme="majorBidi" w:cstheme="majorBidi"/>
        </w:rPr>
        <w:t>”</w:t>
      </w:r>
      <w:r w:rsidRPr="00FC4465">
        <w:rPr>
          <w:rFonts w:asciiTheme="majorBidi" w:hAnsiTheme="majorBidi" w:cstheme="majorBidi"/>
        </w:rPr>
        <w:t xml:space="preserve"> </w:t>
      </w:r>
    </w:p>
    <w:p w14:paraId="0B40B449" w14:textId="77777777" w:rsidR="00A72D17" w:rsidRPr="00FC4465" w:rsidRDefault="00A72D17" w:rsidP="00A72D17">
      <w:pPr>
        <w:pStyle w:val="H1G"/>
        <w:rPr>
          <w:rFonts w:asciiTheme="majorBidi" w:hAnsiTheme="majorBidi" w:cstheme="majorBidi"/>
        </w:rPr>
      </w:pPr>
      <w:r w:rsidRPr="00FC4465">
        <w:rPr>
          <w:rFonts w:asciiTheme="majorBidi" w:hAnsiTheme="majorBidi" w:cstheme="majorBidi"/>
        </w:rPr>
        <w:tab/>
      </w:r>
      <w:r w:rsidRPr="00FC4465">
        <w:rPr>
          <w:rFonts w:asciiTheme="majorBidi" w:hAnsiTheme="majorBidi" w:cstheme="majorBidi"/>
        </w:rPr>
        <w:tab/>
      </w:r>
      <w:r w:rsidRPr="00FC4465">
        <w:rPr>
          <w:rFonts w:asciiTheme="majorBidi" w:hAnsiTheme="majorBidi" w:cstheme="majorBidi"/>
          <w:bCs/>
        </w:rPr>
        <w:t>Capítulo 2.8</w:t>
      </w:r>
    </w:p>
    <w:p w14:paraId="4C51066C" w14:textId="106AED0E" w:rsidR="00A72D17" w:rsidRPr="00FC4465" w:rsidRDefault="00A72D17" w:rsidP="00A72D17">
      <w:pPr>
        <w:pStyle w:val="SingleTxtG"/>
        <w:tabs>
          <w:tab w:val="clear" w:pos="1701"/>
        </w:tabs>
        <w:ind w:left="2268" w:hanging="1134"/>
        <w:rPr>
          <w:rFonts w:asciiTheme="majorBidi" w:hAnsiTheme="majorBidi" w:cstheme="majorBidi"/>
        </w:rPr>
      </w:pPr>
      <w:r w:rsidRPr="00FC4465">
        <w:rPr>
          <w:rFonts w:asciiTheme="majorBidi" w:hAnsiTheme="majorBidi" w:cstheme="majorBidi"/>
        </w:rPr>
        <w:t>2.8.3</w:t>
      </w:r>
      <w:r w:rsidRPr="00FC4465">
        <w:rPr>
          <w:rFonts w:asciiTheme="majorBidi" w:hAnsiTheme="majorBidi" w:cstheme="majorBidi"/>
        </w:rPr>
        <w:tab/>
        <w:t xml:space="preserve">Al final del párrafo, añádase la siguiente oración: </w:t>
      </w:r>
      <w:r w:rsidR="008C5013" w:rsidRPr="00FC4465">
        <w:rPr>
          <w:rFonts w:asciiTheme="majorBidi" w:hAnsiTheme="majorBidi" w:cstheme="majorBidi"/>
        </w:rPr>
        <w:t>“</w:t>
      </w:r>
      <w:r w:rsidRPr="00FC4465">
        <w:rPr>
          <w:rFonts w:asciiTheme="majorBidi" w:hAnsiTheme="majorBidi" w:cstheme="majorBidi"/>
        </w:rPr>
        <w:t>La tabla 2.8.1 presenta los elementos específicos que deben figurar en las etiquetas de las sustancias y mezclas clasificadas en esta clase de peligro con arreglo a los criterios indicados en el presente capítulo.</w:t>
      </w:r>
      <w:r w:rsidR="008C5013" w:rsidRPr="00FC4465">
        <w:rPr>
          <w:rFonts w:asciiTheme="majorBidi" w:hAnsiTheme="majorBidi" w:cstheme="majorBidi"/>
        </w:rPr>
        <w:t>”</w:t>
      </w:r>
      <w:r w:rsidRPr="00FC4465">
        <w:rPr>
          <w:rFonts w:asciiTheme="majorBidi" w:hAnsiTheme="majorBidi" w:cstheme="majorBidi"/>
        </w:rPr>
        <w:t>.</w:t>
      </w:r>
    </w:p>
    <w:p w14:paraId="5B703606" w14:textId="77777777" w:rsidR="00A72D17" w:rsidRPr="00FC4465" w:rsidRDefault="00A72D17" w:rsidP="00A72D17">
      <w:pPr>
        <w:pStyle w:val="H1G"/>
        <w:rPr>
          <w:rFonts w:asciiTheme="majorBidi" w:hAnsiTheme="majorBidi" w:cstheme="majorBidi"/>
        </w:rPr>
      </w:pPr>
      <w:r w:rsidRPr="00FC4465">
        <w:rPr>
          <w:rFonts w:asciiTheme="majorBidi" w:hAnsiTheme="majorBidi" w:cstheme="majorBidi"/>
        </w:rPr>
        <w:lastRenderedPageBreak/>
        <w:tab/>
      </w:r>
      <w:r w:rsidRPr="00FC4465">
        <w:rPr>
          <w:rFonts w:asciiTheme="majorBidi" w:hAnsiTheme="majorBidi" w:cstheme="majorBidi"/>
        </w:rPr>
        <w:tab/>
      </w:r>
      <w:r w:rsidRPr="00FC4465">
        <w:rPr>
          <w:rFonts w:asciiTheme="majorBidi" w:hAnsiTheme="majorBidi" w:cstheme="majorBidi"/>
          <w:bCs/>
        </w:rPr>
        <w:t>Capítulo 2.9</w:t>
      </w:r>
    </w:p>
    <w:p w14:paraId="7AD56762" w14:textId="225FD38B" w:rsidR="00A72D17" w:rsidRPr="00FC4465" w:rsidRDefault="00A72D17" w:rsidP="00A72D17">
      <w:pPr>
        <w:pStyle w:val="SingleTxtG"/>
        <w:tabs>
          <w:tab w:val="clear" w:pos="1701"/>
        </w:tabs>
        <w:ind w:left="2268" w:hanging="1134"/>
        <w:rPr>
          <w:rFonts w:asciiTheme="majorBidi" w:hAnsiTheme="majorBidi" w:cstheme="majorBidi"/>
        </w:rPr>
      </w:pPr>
      <w:r w:rsidRPr="00FC4465">
        <w:rPr>
          <w:rFonts w:asciiTheme="majorBidi" w:hAnsiTheme="majorBidi" w:cstheme="majorBidi"/>
        </w:rPr>
        <w:t>2.9.3</w:t>
      </w:r>
      <w:r w:rsidRPr="00FC4465">
        <w:rPr>
          <w:rFonts w:asciiTheme="majorBidi" w:hAnsiTheme="majorBidi" w:cstheme="majorBidi"/>
        </w:rPr>
        <w:tab/>
        <w:t xml:space="preserve">Al final del párrafo, añádase la siguiente oración: </w:t>
      </w:r>
      <w:r w:rsidR="008C5013" w:rsidRPr="00FC4465">
        <w:rPr>
          <w:rFonts w:asciiTheme="majorBidi" w:hAnsiTheme="majorBidi" w:cstheme="majorBidi"/>
        </w:rPr>
        <w:t>“</w:t>
      </w:r>
      <w:r w:rsidRPr="00FC4465">
        <w:rPr>
          <w:rFonts w:asciiTheme="majorBidi" w:hAnsiTheme="majorBidi" w:cstheme="majorBidi"/>
        </w:rPr>
        <w:t>La tabla 2.9.2 presenta los elementos específicos que deben figurar en las etiquetas de las sustancias y mezclas clasificadas en esta clase de peligro con arreglo a los criterios indicados en el presente capítulo.</w:t>
      </w:r>
      <w:r w:rsidR="008C5013" w:rsidRPr="00FC4465">
        <w:rPr>
          <w:rFonts w:asciiTheme="majorBidi" w:hAnsiTheme="majorBidi" w:cstheme="majorBidi"/>
        </w:rPr>
        <w:t>”</w:t>
      </w:r>
      <w:r w:rsidRPr="00FC4465">
        <w:rPr>
          <w:rFonts w:asciiTheme="majorBidi" w:hAnsiTheme="majorBidi" w:cstheme="majorBidi"/>
        </w:rPr>
        <w:t>.</w:t>
      </w:r>
    </w:p>
    <w:p w14:paraId="67EC0752" w14:textId="77777777" w:rsidR="00A72D17" w:rsidRPr="00FC4465" w:rsidRDefault="00A72D17" w:rsidP="00A72D17">
      <w:pPr>
        <w:pStyle w:val="H1G"/>
        <w:rPr>
          <w:rFonts w:asciiTheme="majorBidi" w:hAnsiTheme="majorBidi" w:cstheme="majorBidi"/>
        </w:rPr>
      </w:pPr>
      <w:r w:rsidRPr="00FC4465">
        <w:rPr>
          <w:rFonts w:asciiTheme="majorBidi" w:hAnsiTheme="majorBidi" w:cstheme="majorBidi"/>
        </w:rPr>
        <w:tab/>
      </w:r>
      <w:r w:rsidRPr="00FC4465">
        <w:rPr>
          <w:rFonts w:asciiTheme="majorBidi" w:hAnsiTheme="majorBidi" w:cstheme="majorBidi"/>
        </w:rPr>
        <w:tab/>
      </w:r>
      <w:r w:rsidRPr="00FC4465">
        <w:rPr>
          <w:rFonts w:asciiTheme="majorBidi" w:hAnsiTheme="majorBidi" w:cstheme="majorBidi"/>
          <w:bCs/>
        </w:rPr>
        <w:t>Capítulo 2.10</w:t>
      </w:r>
    </w:p>
    <w:p w14:paraId="64E1C435" w14:textId="0F7629AD" w:rsidR="00A72D17" w:rsidRPr="00FC4465" w:rsidRDefault="00A72D17" w:rsidP="00A72D17">
      <w:pPr>
        <w:pStyle w:val="SingleTxtG"/>
        <w:tabs>
          <w:tab w:val="clear" w:pos="1701"/>
        </w:tabs>
        <w:ind w:left="2268" w:hanging="1134"/>
        <w:rPr>
          <w:rFonts w:asciiTheme="majorBidi" w:hAnsiTheme="majorBidi" w:cstheme="majorBidi"/>
        </w:rPr>
      </w:pPr>
      <w:r w:rsidRPr="00FC4465">
        <w:rPr>
          <w:rFonts w:asciiTheme="majorBidi" w:hAnsiTheme="majorBidi" w:cstheme="majorBidi"/>
        </w:rPr>
        <w:t>2.10.3</w:t>
      </w:r>
      <w:r w:rsidRPr="00FC4465">
        <w:rPr>
          <w:rFonts w:asciiTheme="majorBidi" w:hAnsiTheme="majorBidi" w:cstheme="majorBidi"/>
        </w:rPr>
        <w:tab/>
        <w:t xml:space="preserve">Al final del párrafo, añádase la siguiente oración: </w:t>
      </w:r>
      <w:r w:rsidR="008C5013" w:rsidRPr="00FC4465">
        <w:rPr>
          <w:rFonts w:asciiTheme="majorBidi" w:hAnsiTheme="majorBidi" w:cstheme="majorBidi"/>
        </w:rPr>
        <w:t>“</w:t>
      </w:r>
      <w:r w:rsidRPr="00FC4465">
        <w:rPr>
          <w:rFonts w:asciiTheme="majorBidi" w:hAnsiTheme="majorBidi" w:cstheme="majorBidi"/>
        </w:rPr>
        <w:t>La tabla 2.10.2 presenta los elementos específicos que deben figurar en las etiquetas de las sustancias y mezclas clasificadas en esta clase de peligro con arreglo a los criterios indicados en el presente capítulo.</w:t>
      </w:r>
      <w:r w:rsidR="008C5013" w:rsidRPr="00FC4465">
        <w:rPr>
          <w:rFonts w:asciiTheme="majorBidi" w:hAnsiTheme="majorBidi" w:cstheme="majorBidi"/>
        </w:rPr>
        <w:t>”</w:t>
      </w:r>
      <w:r w:rsidRPr="00FC4465">
        <w:rPr>
          <w:rFonts w:asciiTheme="majorBidi" w:hAnsiTheme="majorBidi" w:cstheme="majorBidi"/>
        </w:rPr>
        <w:t>.</w:t>
      </w:r>
    </w:p>
    <w:p w14:paraId="443102EA" w14:textId="77777777" w:rsidR="00A72D17" w:rsidRPr="00FC4465" w:rsidRDefault="00A72D17" w:rsidP="00A72D17">
      <w:pPr>
        <w:pStyle w:val="H1G"/>
        <w:rPr>
          <w:rFonts w:asciiTheme="majorBidi" w:hAnsiTheme="majorBidi" w:cstheme="majorBidi"/>
        </w:rPr>
      </w:pPr>
      <w:r w:rsidRPr="00FC4465">
        <w:rPr>
          <w:rFonts w:asciiTheme="majorBidi" w:hAnsiTheme="majorBidi" w:cstheme="majorBidi"/>
        </w:rPr>
        <w:tab/>
      </w:r>
      <w:r w:rsidRPr="00FC4465">
        <w:rPr>
          <w:rFonts w:asciiTheme="majorBidi" w:hAnsiTheme="majorBidi" w:cstheme="majorBidi"/>
        </w:rPr>
        <w:tab/>
      </w:r>
      <w:r w:rsidRPr="00FC4465">
        <w:rPr>
          <w:rFonts w:asciiTheme="majorBidi" w:hAnsiTheme="majorBidi" w:cstheme="majorBidi"/>
          <w:bCs/>
        </w:rPr>
        <w:t>Capítulo 2.11</w:t>
      </w:r>
    </w:p>
    <w:p w14:paraId="2749A6CC" w14:textId="3B531C61" w:rsidR="00A72D17" w:rsidRPr="00FC4465" w:rsidRDefault="00A72D17" w:rsidP="00A72D17">
      <w:pPr>
        <w:pStyle w:val="SingleTxtG"/>
        <w:tabs>
          <w:tab w:val="clear" w:pos="1701"/>
        </w:tabs>
        <w:ind w:left="2268" w:hanging="1134"/>
        <w:rPr>
          <w:rFonts w:asciiTheme="majorBidi" w:hAnsiTheme="majorBidi" w:cstheme="majorBidi"/>
        </w:rPr>
      </w:pPr>
      <w:r w:rsidRPr="00FC4465">
        <w:rPr>
          <w:rFonts w:asciiTheme="majorBidi" w:hAnsiTheme="majorBidi" w:cstheme="majorBidi"/>
        </w:rPr>
        <w:t>2.11.3</w:t>
      </w:r>
      <w:r w:rsidRPr="00FC4465">
        <w:rPr>
          <w:rFonts w:asciiTheme="majorBidi" w:hAnsiTheme="majorBidi" w:cstheme="majorBidi"/>
        </w:rPr>
        <w:tab/>
        <w:t xml:space="preserve">Al final del párrafo, añádase la siguiente oración: </w:t>
      </w:r>
      <w:r w:rsidR="008C5013" w:rsidRPr="00FC4465">
        <w:rPr>
          <w:rFonts w:asciiTheme="majorBidi" w:hAnsiTheme="majorBidi" w:cstheme="majorBidi"/>
        </w:rPr>
        <w:t>“</w:t>
      </w:r>
      <w:r w:rsidRPr="00FC4465">
        <w:rPr>
          <w:rFonts w:asciiTheme="majorBidi" w:hAnsiTheme="majorBidi" w:cstheme="majorBidi"/>
        </w:rPr>
        <w:t>La tabla 2.11.2 presenta los elementos específicos que deben figurar en las etiquetas de las sustancias y mezclas clasificadas en esta clase de peligro con arreglo a los criterios indicados en el presente capítulo.</w:t>
      </w:r>
      <w:r w:rsidR="008C5013" w:rsidRPr="00FC4465">
        <w:rPr>
          <w:rFonts w:asciiTheme="majorBidi" w:hAnsiTheme="majorBidi" w:cstheme="majorBidi"/>
        </w:rPr>
        <w:t>”</w:t>
      </w:r>
      <w:r w:rsidRPr="00FC4465">
        <w:rPr>
          <w:rFonts w:asciiTheme="majorBidi" w:hAnsiTheme="majorBidi" w:cstheme="majorBidi"/>
        </w:rPr>
        <w:t>.</w:t>
      </w:r>
    </w:p>
    <w:p w14:paraId="4F90A724" w14:textId="77777777" w:rsidR="00A72D17" w:rsidRPr="00FC4465" w:rsidRDefault="00A72D17" w:rsidP="00A72D17">
      <w:pPr>
        <w:pStyle w:val="H1G"/>
        <w:rPr>
          <w:rFonts w:asciiTheme="majorBidi" w:hAnsiTheme="majorBidi" w:cstheme="majorBidi"/>
        </w:rPr>
      </w:pPr>
      <w:r w:rsidRPr="00FC4465">
        <w:rPr>
          <w:rFonts w:asciiTheme="majorBidi" w:hAnsiTheme="majorBidi" w:cstheme="majorBidi"/>
        </w:rPr>
        <w:tab/>
      </w:r>
      <w:r w:rsidRPr="00FC4465">
        <w:rPr>
          <w:rFonts w:asciiTheme="majorBidi" w:hAnsiTheme="majorBidi" w:cstheme="majorBidi"/>
        </w:rPr>
        <w:tab/>
      </w:r>
      <w:r w:rsidRPr="00FC4465">
        <w:rPr>
          <w:rFonts w:asciiTheme="majorBidi" w:hAnsiTheme="majorBidi" w:cstheme="majorBidi"/>
          <w:bCs/>
        </w:rPr>
        <w:t>Capítulo 2.12</w:t>
      </w:r>
    </w:p>
    <w:p w14:paraId="7B68F168" w14:textId="539F08B9" w:rsidR="00A72D17" w:rsidRPr="00FC4465" w:rsidRDefault="00A72D17" w:rsidP="00A72D17">
      <w:pPr>
        <w:pStyle w:val="SingleTxtG"/>
        <w:tabs>
          <w:tab w:val="clear" w:pos="1701"/>
        </w:tabs>
        <w:ind w:left="2268" w:hanging="1134"/>
        <w:rPr>
          <w:rFonts w:asciiTheme="majorBidi" w:hAnsiTheme="majorBidi" w:cstheme="majorBidi"/>
        </w:rPr>
      </w:pPr>
      <w:r w:rsidRPr="00FC4465">
        <w:rPr>
          <w:rFonts w:asciiTheme="majorBidi" w:hAnsiTheme="majorBidi" w:cstheme="majorBidi"/>
        </w:rPr>
        <w:t>2.12.3</w:t>
      </w:r>
      <w:r w:rsidRPr="00FC4465">
        <w:rPr>
          <w:rFonts w:asciiTheme="majorBidi" w:hAnsiTheme="majorBidi" w:cstheme="majorBidi"/>
        </w:rPr>
        <w:tab/>
        <w:t xml:space="preserve">Al final del párrafo, añádase la siguiente oración: </w:t>
      </w:r>
      <w:r w:rsidR="008C5013" w:rsidRPr="00FC4465">
        <w:rPr>
          <w:rFonts w:asciiTheme="majorBidi" w:hAnsiTheme="majorBidi" w:cstheme="majorBidi"/>
        </w:rPr>
        <w:t>“</w:t>
      </w:r>
      <w:r w:rsidRPr="00FC4465">
        <w:rPr>
          <w:rFonts w:asciiTheme="majorBidi" w:hAnsiTheme="majorBidi" w:cstheme="majorBidi"/>
        </w:rPr>
        <w:t>La tabla 2.12.2 presenta los elementos específicos que deben figurar en las etiquetas de las sustancias y mezclas clasificadas en esta clase de peligro con arreglo a los criterios indicados en el presente capítulo.</w:t>
      </w:r>
      <w:r w:rsidR="008C5013" w:rsidRPr="00FC4465">
        <w:rPr>
          <w:rFonts w:asciiTheme="majorBidi" w:hAnsiTheme="majorBidi" w:cstheme="majorBidi"/>
        </w:rPr>
        <w:t>”</w:t>
      </w:r>
      <w:r w:rsidRPr="00FC4465">
        <w:rPr>
          <w:rFonts w:asciiTheme="majorBidi" w:hAnsiTheme="majorBidi" w:cstheme="majorBidi"/>
        </w:rPr>
        <w:t>.</w:t>
      </w:r>
    </w:p>
    <w:p w14:paraId="0402211D" w14:textId="77777777" w:rsidR="00A72D17" w:rsidRPr="00FC4465" w:rsidRDefault="00A72D17" w:rsidP="00A72D17">
      <w:pPr>
        <w:pStyle w:val="H1G"/>
        <w:rPr>
          <w:rFonts w:asciiTheme="majorBidi" w:hAnsiTheme="majorBidi" w:cstheme="majorBidi"/>
        </w:rPr>
      </w:pPr>
      <w:r w:rsidRPr="00FC4465">
        <w:rPr>
          <w:rFonts w:asciiTheme="majorBidi" w:hAnsiTheme="majorBidi" w:cstheme="majorBidi"/>
        </w:rPr>
        <w:tab/>
      </w:r>
      <w:r w:rsidRPr="00FC4465">
        <w:rPr>
          <w:rFonts w:asciiTheme="majorBidi" w:hAnsiTheme="majorBidi" w:cstheme="majorBidi"/>
        </w:rPr>
        <w:tab/>
      </w:r>
      <w:r w:rsidRPr="00FC4465">
        <w:rPr>
          <w:rFonts w:asciiTheme="majorBidi" w:hAnsiTheme="majorBidi" w:cstheme="majorBidi"/>
          <w:bCs/>
        </w:rPr>
        <w:t>Capítulo 2.13</w:t>
      </w:r>
    </w:p>
    <w:p w14:paraId="60BD129A" w14:textId="1B63A33E" w:rsidR="00A72D17" w:rsidRPr="00FC4465" w:rsidRDefault="00A72D17" w:rsidP="00A72D17">
      <w:pPr>
        <w:pStyle w:val="SingleTxtG"/>
        <w:tabs>
          <w:tab w:val="clear" w:pos="1701"/>
        </w:tabs>
        <w:ind w:left="2268" w:hanging="1134"/>
        <w:rPr>
          <w:rFonts w:asciiTheme="majorBidi" w:hAnsiTheme="majorBidi" w:cstheme="majorBidi"/>
        </w:rPr>
      </w:pPr>
      <w:r w:rsidRPr="00FC4465">
        <w:rPr>
          <w:rFonts w:asciiTheme="majorBidi" w:hAnsiTheme="majorBidi" w:cstheme="majorBidi"/>
        </w:rPr>
        <w:t>2.13.3</w:t>
      </w:r>
      <w:r w:rsidRPr="00FC4465">
        <w:rPr>
          <w:rFonts w:asciiTheme="majorBidi" w:hAnsiTheme="majorBidi" w:cstheme="majorBidi"/>
        </w:rPr>
        <w:tab/>
        <w:t xml:space="preserve">Al final del párrafo, añádase la siguiente oración: </w:t>
      </w:r>
      <w:r w:rsidR="008C5013" w:rsidRPr="00FC4465">
        <w:rPr>
          <w:rFonts w:asciiTheme="majorBidi" w:hAnsiTheme="majorBidi" w:cstheme="majorBidi"/>
        </w:rPr>
        <w:t>“</w:t>
      </w:r>
      <w:r w:rsidRPr="00FC4465">
        <w:rPr>
          <w:rFonts w:asciiTheme="majorBidi" w:hAnsiTheme="majorBidi" w:cstheme="majorBidi"/>
        </w:rPr>
        <w:t>La tabla 2.13.2 presenta los elementos específicos que deben figurar en las etiquetas de las sustancias y mezclas clasificadas en esta clase de peligro con arreglo a los criterios indicados en el presente capítulo.</w:t>
      </w:r>
      <w:r w:rsidR="008C5013" w:rsidRPr="00FC4465">
        <w:rPr>
          <w:rFonts w:asciiTheme="majorBidi" w:hAnsiTheme="majorBidi" w:cstheme="majorBidi"/>
        </w:rPr>
        <w:t>”</w:t>
      </w:r>
      <w:r w:rsidRPr="00FC4465">
        <w:rPr>
          <w:rFonts w:asciiTheme="majorBidi" w:hAnsiTheme="majorBidi" w:cstheme="majorBidi"/>
        </w:rPr>
        <w:t>.</w:t>
      </w:r>
    </w:p>
    <w:p w14:paraId="507F7935" w14:textId="77777777" w:rsidR="00A72D17" w:rsidRPr="00FC4465" w:rsidRDefault="00A72D17" w:rsidP="00A72D17">
      <w:pPr>
        <w:pStyle w:val="H1G"/>
        <w:rPr>
          <w:rFonts w:asciiTheme="majorBidi" w:hAnsiTheme="majorBidi" w:cstheme="majorBidi"/>
        </w:rPr>
      </w:pPr>
      <w:r w:rsidRPr="00FC4465">
        <w:rPr>
          <w:rFonts w:asciiTheme="majorBidi" w:hAnsiTheme="majorBidi" w:cstheme="majorBidi"/>
        </w:rPr>
        <w:tab/>
      </w:r>
      <w:r w:rsidRPr="00FC4465">
        <w:rPr>
          <w:rFonts w:asciiTheme="majorBidi" w:hAnsiTheme="majorBidi" w:cstheme="majorBidi"/>
        </w:rPr>
        <w:tab/>
      </w:r>
      <w:r w:rsidRPr="00FC4465">
        <w:rPr>
          <w:rFonts w:asciiTheme="majorBidi" w:hAnsiTheme="majorBidi" w:cstheme="majorBidi"/>
          <w:bCs/>
        </w:rPr>
        <w:t>Capítulo 2.14</w:t>
      </w:r>
    </w:p>
    <w:p w14:paraId="4559C93C" w14:textId="2F88533D" w:rsidR="00A72D17" w:rsidRPr="00FC4465" w:rsidRDefault="00A72D17" w:rsidP="00A72D17">
      <w:pPr>
        <w:pStyle w:val="SingleTxtG"/>
        <w:tabs>
          <w:tab w:val="clear" w:pos="1701"/>
        </w:tabs>
        <w:ind w:left="2268" w:hanging="1134"/>
        <w:rPr>
          <w:rFonts w:asciiTheme="majorBidi" w:hAnsiTheme="majorBidi" w:cstheme="majorBidi"/>
        </w:rPr>
      </w:pPr>
      <w:r w:rsidRPr="00FC4465">
        <w:rPr>
          <w:rFonts w:asciiTheme="majorBidi" w:hAnsiTheme="majorBidi" w:cstheme="majorBidi"/>
        </w:rPr>
        <w:t>2.14.3</w:t>
      </w:r>
      <w:r w:rsidRPr="00FC4465">
        <w:rPr>
          <w:rFonts w:asciiTheme="majorBidi" w:hAnsiTheme="majorBidi" w:cstheme="majorBidi"/>
        </w:rPr>
        <w:tab/>
        <w:t xml:space="preserve">Al final del párrafo, añádase la siguiente oración: </w:t>
      </w:r>
      <w:r w:rsidR="008C5013" w:rsidRPr="00FC4465">
        <w:rPr>
          <w:rFonts w:asciiTheme="majorBidi" w:hAnsiTheme="majorBidi" w:cstheme="majorBidi"/>
        </w:rPr>
        <w:t>“</w:t>
      </w:r>
      <w:r w:rsidRPr="00FC4465">
        <w:rPr>
          <w:rFonts w:asciiTheme="majorBidi" w:hAnsiTheme="majorBidi" w:cstheme="majorBidi"/>
        </w:rPr>
        <w:t>La tabla 2.14.2 presenta los elementos específicos que deben figurar en las etiquetas de las sustancias y mezclas clasificadas en esta clase de peligro con arreglo a los criterios indicados en el presente capítulo.</w:t>
      </w:r>
      <w:r w:rsidR="008C5013" w:rsidRPr="00FC4465">
        <w:rPr>
          <w:rFonts w:asciiTheme="majorBidi" w:hAnsiTheme="majorBidi" w:cstheme="majorBidi"/>
        </w:rPr>
        <w:t>”</w:t>
      </w:r>
      <w:r w:rsidRPr="00FC4465">
        <w:rPr>
          <w:rFonts w:asciiTheme="majorBidi" w:hAnsiTheme="majorBidi" w:cstheme="majorBidi"/>
        </w:rPr>
        <w:t>.</w:t>
      </w:r>
    </w:p>
    <w:p w14:paraId="2089DA9D" w14:textId="77777777" w:rsidR="00A72D17" w:rsidRPr="00FC4465" w:rsidRDefault="00A72D17" w:rsidP="00A72D17">
      <w:pPr>
        <w:pStyle w:val="H1G"/>
        <w:rPr>
          <w:rFonts w:asciiTheme="majorBidi" w:hAnsiTheme="majorBidi" w:cstheme="majorBidi"/>
        </w:rPr>
      </w:pPr>
      <w:r w:rsidRPr="00FC4465">
        <w:rPr>
          <w:rFonts w:asciiTheme="majorBidi" w:hAnsiTheme="majorBidi" w:cstheme="majorBidi"/>
        </w:rPr>
        <w:tab/>
      </w:r>
      <w:r w:rsidRPr="00FC4465">
        <w:rPr>
          <w:rFonts w:asciiTheme="majorBidi" w:hAnsiTheme="majorBidi" w:cstheme="majorBidi"/>
        </w:rPr>
        <w:tab/>
      </w:r>
      <w:r w:rsidRPr="00FC4465">
        <w:rPr>
          <w:rFonts w:asciiTheme="majorBidi" w:hAnsiTheme="majorBidi" w:cstheme="majorBidi"/>
          <w:bCs/>
        </w:rPr>
        <w:t>Capítulo 2.15</w:t>
      </w:r>
    </w:p>
    <w:p w14:paraId="63948E60" w14:textId="4266E2B8" w:rsidR="00A72D17" w:rsidRPr="00FC4465" w:rsidRDefault="00A72D17" w:rsidP="00A72D17">
      <w:pPr>
        <w:pStyle w:val="SingleTxtG"/>
        <w:tabs>
          <w:tab w:val="clear" w:pos="1701"/>
        </w:tabs>
        <w:ind w:left="2268" w:hanging="1134"/>
        <w:rPr>
          <w:rFonts w:asciiTheme="majorBidi" w:hAnsiTheme="majorBidi" w:cstheme="majorBidi"/>
        </w:rPr>
      </w:pPr>
      <w:r w:rsidRPr="00FC4465">
        <w:rPr>
          <w:rFonts w:asciiTheme="majorBidi" w:hAnsiTheme="majorBidi" w:cstheme="majorBidi"/>
        </w:rPr>
        <w:t>2.15.3</w:t>
      </w:r>
      <w:r w:rsidRPr="00FC4465">
        <w:rPr>
          <w:rFonts w:asciiTheme="majorBidi" w:hAnsiTheme="majorBidi" w:cstheme="majorBidi"/>
        </w:rPr>
        <w:tab/>
        <w:t xml:space="preserve">Al final del párrafo, añádase la siguiente oración: </w:t>
      </w:r>
      <w:r w:rsidR="008C5013" w:rsidRPr="00FC4465">
        <w:rPr>
          <w:rFonts w:asciiTheme="majorBidi" w:hAnsiTheme="majorBidi" w:cstheme="majorBidi"/>
        </w:rPr>
        <w:t>“</w:t>
      </w:r>
      <w:r w:rsidRPr="00FC4465">
        <w:rPr>
          <w:rFonts w:asciiTheme="majorBidi" w:hAnsiTheme="majorBidi" w:cstheme="majorBidi"/>
        </w:rPr>
        <w:t>La tabla 2.15.1 presenta los elementos específicos que deben figurar en las etiquetas de las sustancias y mezclas clasificadas en esta clase de peligro con arreglo a los criterios indicados en el presente capítulo.</w:t>
      </w:r>
      <w:r w:rsidR="008C5013" w:rsidRPr="00FC4465">
        <w:rPr>
          <w:rFonts w:asciiTheme="majorBidi" w:hAnsiTheme="majorBidi" w:cstheme="majorBidi"/>
        </w:rPr>
        <w:t>”</w:t>
      </w:r>
      <w:r w:rsidRPr="00FC4465">
        <w:rPr>
          <w:rFonts w:asciiTheme="majorBidi" w:hAnsiTheme="majorBidi" w:cstheme="majorBidi"/>
        </w:rPr>
        <w:t>.</w:t>
      </w:r>
    </w:p>
    <w:p w14:paraId="5526F4CE" w14:textId="77777777" w:rsidR="00A72D17" w:rsidRPr="00FC4465" w:rsidRDefault="00A72D17" w:rsidP="00A72D17">
      <w:pPr>
        <w:pStyle w:val="H1G"/>
        <w:rPr>
          <w:rFonts w:asciiTheme="majorBidi" w:hAnsiTheme="majorBidi" w:cstheme="majorBidi"/>
        </w:rPr>
      </w:pPr>
      <w:r w:rsidRPr="00FC4465">
        <w:rPr>
          <w:rFonts w:asciiTheme="majorBidi" w:hAnsiTheme="majorBidi" w:cstheme="majorBidi"/>
        </w:rPr>
        <w:tab/>
      </w:r>
      <w:r w:rsidRPr="00FC4465">
        <w:rPr>
          <w:rFonts w:asciiTheme="majorBidi" w:hAnsiTheme="majorBidi" w:cstheme="majorBidi"/>
        </w:rPr>
        <w:tab/>
      </w:r>
      <w:r w:rsidRPr="00FC4465">
        <w:rPr>
          <w:rFonts w:asciiTheme="majorBidi" w:hAnsiTheme="majorBidi" w:cstheme="majorBidi"/>
        </w:rPr>
        <w:tab/>
      </w:r>
      <w:r w:rsidRPr="00FC4465">
        <w:rPr>
          <w:rFonts w:asciiTheme="majorBidi" w:hAnsiTheme="majorBidi" w:cstheme="majorBidi"/>
          <w:bCs/>
        </w:rPr>
        <w:t>Capítulo 2.16</w:t>
      </w:r>
    </w:p>
    <w:p w14:paraId="528A6D4F" w14:textId="00D418F7" w:rsidR="00A72D17" w:rsidRPr="00FC4465" w:rsidRDefault="00A72D17" w:rsidP="00A72D17">
      <w:pPr>
        <w:pStyle w:val="SingleTxtG"/>
        <w:tabs>
          <w:tab w:val="clear" w:pos="1701"/>
        </w:tabs>
        <w:ind w:left="2268" w:hanging="1134"/>
        <w:rPr>
          <w:rFonts w:asciiTheme="majorBidi" w:hAnsiTheme="majorBidi" w:cstheme="majorBidi"/>
        </w:rPr>
      </w:pPr>
      <w:r w:rsidRPr="00FC4465">
        <w:rPr>
          <w:rFonts w:asciiTheme="majorBidi" w:hAnsiTheme="majorBidi" w:cstheme="majorBidi"/>
        </w:rPr>
        <w:t>2.16.3</w:t>
      </w:r>
      <w:r w:rsidRPr="00FC4465">
        <w:rPr>
          <w:rFonts w:asciiTheme="majorBidi" w:hAnsiTheme="majorBidi" w:cstheme="majorBidi"/>
        </w:rPr>
        <w:tab/>
        <w:t xml:space="preserve">Al final del párrafo, añádase la siguiente oración: </w:t>
      </w:r>
      <w:r w:rsidR="008C5013" w:rsidRPr="00FC4465">
        <w:rPr>
          <w:rFonts w:asciiTheme="majorBidi" w:hAnsiTheme="majorBidi" w:cstheme="majorBidi"/>
        </w:rPr>
        <w:t>“</w:t>
      </w:r>
      <w:r w:rsidRPr="00FC4465">
        <w:rPr>
          <w:rFonts w:asciiTheme="majorBidi" w:hAnsiTheme="majorBidi" w:cstheme="majorBidi"/>
        </w:rPr>
        <w:t>La tabla 2.16.2 presenta los elementos específicos que deben figurar en las etiquetas de las sustancias y mezclas clasificadas en esta clase de peligro con arreglo a los criterios indicados en el presente capítulo.</w:t>
      </w:r>
      <w:r w:rsidR="008C5013" w:rsidRPr="00FC4465">
        <w:rPr>
          <w:rFonts w:asciiTheme="majorBidi" w:hAnsiTheme="majorBidi" w:cstheme="majorBidi"/>
        </w:rPr>
        <w:t>”</w:t>
      </w:r>
      <w:r w:rsidRPr="00FC4465">
        <w:rPr>
          <w:rFonts w:asciiTheme="majorBidi" w:hAnsiTheme="majorBidi" w:cstheme="majorBidi"/>
        </w:rPr>
        <w:t>.</w:t>
      </w:r>
    </w:p>
    <w:p w14:paraId="23904DD0" w14:textId="77777777" w:rsidR="00A72D17" w:rsidRPr="00FC4465" w:rsidRDefault="00A72D17" w:rsidP="00A72D17">
      <w:pPr>
        <w:pStyle w:val="H1G"/>
        <w:rPr>
          <w:rFonts w:asciiTheme="majorBidi" w:hAnsiTheme="majorBidi" w:cstheme="majorBidi"/>
        </w:rPr>
      </w:pPr>
      <w:r w:rsidRPr="00FC4465">
        <w:rPr>
          <w:rFonts w:asciiTheme="majorBidi" w:hAnsiTheme="majorBidi" w:cstheme="majorBidi"/>
        </w:rPr>
        <w:lastRenderedPageBreak/>
        <w:tab/>
      </w:r>
      <w:r w:rsidRPr="00FC4465">
        <w:rPr>
          <w:rFonts w:asciiTheme="majorBidi" w:hAnsiTheme="majorBidi" w:cstheme="majorBidi"/>
        </w:rPr>
        <w:tab/>
      </w:r>
      <w:r w:rsidRPr="00FC4465">
        <w:rPr>
          <w:rFonts w:asciiTheme="majorBidi" w:hAnsiTheme="majorBidi" w:cstheme="majorBidi"/>
        </w:rPr>
        <w:tab/>
      </w:r>
      <w:r w:rsidRPr="00FC4465">
        <w:rPr>
          <w:rFonts w:asciiTheme="majorBidi" w:hAnsiTheme="majorBidi" w:cstheme="majorBidi"/>
          <w:bCs/>
        </w:rPr>
        <w:t>Capítulo 2.17</w:t>
      </w:r>
    </w:p>
    <w:p w14:paraId="7205DD6E" w14:textId="77777777" w:rsidR="00A72D17" w:rsidRPr="00FC4465" w:rsidRDefault="00A72D17" w:rsidP="00403A6C">
      <w:pPr>
        <w:pStyle w:val="SingleTxtG"/>
        <w:rPr>
          <w:rFonts w:asciiTheme="majorBidi" w:hAnsiTheme="majorBidi" w:cstheme="majorBidi"/>
        </w:rPr>
      </w:pPr>
      <w:r w:rsidRPr="00FC4465">
        <w:rPr>
          <w:rFonts w:asciiTheme="majorBidi" w:hAnsiTheme="majorBidi" w:cstheme="majorBidi"/>
        </w:rPr>
        <w:t>2.17.1.1</w:t>
      </w:r>
      <w:r w:rsidRPr="00FC4465">
        <w:rPr>
          <w:rFonts w:asciiTheme="majorBidi" w:hAnsiTheme="majorBidi" w:cstheme="majorBidi"/>
        </w:rPr>
        <w:tab/>
        <w:t xml:space="preserve">Modifíquese para que diga: </w:t>
      </w:r>
    </w:p>
    <w:p w14:paraId="660CBFFE" w14:textId="1FD66C7E" w:rsidR="00A72D17" w:rsidRPr="00FC4465" w:rsidRDefault="008C5013" w:rsidP="00403A6C">
      <w:pPr>
        <w:pStyle w:val="SingleTxtG"/>
        <w:ind w:left="2268"/>
        <w:rPr>
          <w:rFonts w:asciiTheme="majorBidi" w:hAnsiTheme="majorBidi" w:cstheme="majorBidi"/>
        </w:rPr>
      </w:pPr>
      <w:r w:rsidRPr="00FC4465">
        <w:rPr>
          <w:rFonts w:asciiTheme="majorBidi" w:hAnsiTheme="majorBidi" w:cstheme="majorBidi"/>
        </w:rPr>
        <w:t>“</w:t>
      </w:r>
      <w:r w:rsidR="00A72D17" w:rsidRPr="00FC4465">
        <w:rPr>
          <w:rFonts w:asciiTheme="majorBidi" w:hAnsiTheme="majorBidi" w:cstheme="majorBidi"/>
        </w:rPr>
        <w:t>2.17.1.1</w:t>
      </w:r>
      <w:r w:rsidR="00A72D17" w:rsidRPr="00FC4465">
        <w:rPr>
          <w:rFonts w:asciiTheme="majorBidi" w:hAnsiTheme="majorBidi" w:cstheme="majorBidi"/>
        </w:rPr>
        <w:tab/>
      </w:r>
      <w:r w:rsidR="00A72D17" w:rsidRPr="001542DD">
        <w:rPr>
          <w:rFonts w:asciiTheme="majorBidi" w:hAnsiTheme="majorBidi" w:cstheme="majorBidi"/>
        </w:rPr>
        <w:t xml:space="preserve">Un </w:t>
      </w:r>
      <w:r w:rsidR="00A72D17" w:rsidRPr="001542DD">
        <w:rPr>
          <w:rFonts w:asciiTheme="majorBidi" w:hAnsiTheme="majorBidi" w:cstheme="majorBidi"/>
          <w:iCs/>
        </w:rPr>
        <w:t>explosivo insensibilizado</w:t>
      </w:r>
      <w:r w:rsidR="00A72D17" w:rsidRPr="001542DD">
        <w:rPr>
          <w:rFonts w:asciiTheme="majorBidi" w:hAnsiTheme="majorBidi" w:cstheme="majorBidi"/>
        </w:rPr>
        <w:t xml:space="preserve"> es una</w:t>
      </w:r>
      <w:r w:rsidR="00A72D17" w:rsidRPr="00FC4465">
        <w:rPr>
          <w:rFonts w:asciiTheme="majorBidi" w:hAnsiTheme="majorBidi" w:cstheme="majorBidi"/>
        </w:rPr>
        <w:t xml:space="preserve"> sustancia o mezcla del ámbito del capítulo 2.1 a la que se ha añadido un flemador para neutralizar sus propiedades explosivas de manera que cumpla los criterios especificados en</w:t>
      </w:r>
      <w:r w:rsidR="008A7CA3">
        <w:rPr>
          <w:rFonts w:asciiTheme="majorBidi" w:hAnsiTheme="majorBidi" w:cstheme="majorBidi"/>
        </w:rPr>
        <w:t> </w:t>
      </w:r>
      <w:r w:rsidR="00A72D17" w:rsidRPr="00FC4465">
        <w:rPr>
          <w:rFonts w:asciiTheme="majorBidi" w:hAnsiTheme="majorBidi" w:cstheme="majorBidi"/>
        </w:rPr>
        <w:t xml:space="preserve">2.17.2 y, de ese modo, pueda quedar exenta de la clasificación en la clase de peligro </w:t>
      </w:r>
      <w:r w:rsidRPr="00FC4465">
        <w:rPr>
          <w:rFonts w:asciiTheme="majorBidi" w:hAnsiTheme="majorBidi" w:cstheme="majorBidi"/>
        </w:rPr>
        <w:t>“</w:t>
      </w:r>
      <w:r w:rsidR="00A72D17" w:rsidRPr="00FC4465">
        <w:rPr>
          <w:rFonts w:asciiTheme="majorBidi" w:hAnsiTheme="majorBidi" w:cstheme="majorBidi"/>
        </w:rPr>
        <w:t>Explosivos</w:t>
      </w:r>
      <w:r w:rsidRPr="00FC4465">
        <w:rPr>
          <w:rFonts w:asciiTheme="majorBidi" w:hAnsiTheme="majorBidi" w:cstheme="majorBidi"/>
        </w:rPr>
        <w:t>”</w:t>
      </w:r>
      <w:r w:rsidR="00A72D17" w:rsidRPr="00FC4465">
        <w:rPr>
          <w:rFonts w:asciiTheme="majorBidi" w:hAnsiTheme="majorBidi" w:cstheme="majorBidi"/>
        </w:rPr>
        <w:t xml:space="preserve"> (véanse el capítulo 2.1; y el párrafo 2.1.1.2.2).</w:t>
      </w:r>
      <w:r w:rsidRPr="00FC4465">
        <w:rPr>
          <w:rFonts w:asciiTheme="majorBidi" w:hAnsiTheme="majorBidi" w:cstheme="majorBidi"/>
        </w:rPr>
        <w:t>”</w:t>
      </w:r>
      <w:r w:rsidR="00A72D17" w:rsidRPr="00FC4465">
        <w:rPr>
          <w:rFonts w:asciiTheme="majorBidi" w:hAnsiTheme="majorBidi" w:cstheme="majorBidi"/>
        </w:rPr>
        <w:t>.</w:t>
      </w:r>
    </w:p>
    <w:p w14:paraId="122E5702" w14:textId="77777777" w:rsidR="00A72D17" w:rsidRPr="00FC4465" w:rsidRDefault="00A72D17" w:rsidP="00403A6C">
      <w:pPr>
        <w:pStyle w:val="SingleTxtG"/>
        <w:rPr>
          <w:rFonts w:asciiTheme="majorBidi" w:hAnsiTheme="majorBidi" w:cstheme="majorBidi"/>
        </w:rPr>
      </w:pPr>
      <w:r w:rsidRPr="00FC4465">
        <w:rPr>
          <w:rFonts w:asciiTheme="majorBidi" w:hAnsiTheme="majorBidi" w:cstheme="majorBidi"/>
        </w:rPr>
        <w:t>2.17.2</w:t>
      </w:r>
      <w:r w:rsidRPr="00FC4465">
        <w:rPr>
          <w:rFonts w:asciiTheme="majorBidi" w:hAnsiTheme="majorBidi" w:cstheme="majorBidi"/>
        </w:rPr>
        <w:tab/>
      </w:r>
      <w:r w:rsidRPr="00FC4465">
        <w:rPr>
          <w:rFonts w:asciiTheme="majorBidi" w:hAnsiTheme="majorBidi" w:cstheme="majorBidi"/>
        </w:rPr>
        <w:tab/>
        <w:t>Sustitúyase por:</w:t>
      </w:r>
    </w:p>
    <w:p w14:paraId="16CC9224" w14:textId="27EAD037" w:rsidR="00A72D17" w:rsidRPr="00FC4465" w:rsidRDefault="008C5013" w:rsidP="00403A6C">
      <w:pPr>
        <w:pStyle w:val="H23G"/>
        <w:ind w:left="3402"/>
      </w:pPr>
      <w:r w:rsidRPr="00AB6203">
        <w:rPr>
          <w:b w:val="0"/>
          <w:bCs/>
        </w:rPr>
        <w:t>“</w:t>
      </w:r>
      <w:r w:rsidR="00A72D17" w:rsidRPr="00FC4465">
        <w:t>2.17.2</w:t>
      </w:r>
      <w:r w:rsidR="00A72D17" w:rsidRPr="00FC4465">
        <w:tab/>
        <w:t>Criterios de clasificación</w:t>
      </w:r>
    </w:p>
    <w:p w14:paraId="410F1B36" w14:textId="77777777" w:rsidR="00A72D17" w:rsidRPr="00FC4465" w:rsidRDefault="00A72D17" w:rsidP="00403A6C">
      <w:pPr>
        <w:pStyle w:val="SingleTxtG"/>
        <w:tabs>
          <w:tab w:val="left" w:pos="1134"/>
        </w:tabs>
        <w:ind w:left="2268"/>
        <w:rPr>
          <w:rFonts w:asciiTheme="majorBidi" w:hAnsiTheme="majorBidi" w:cstheme="majorBidi"/>
        </w:rPr>
      </w:pPr>
      <w:r w:rsidRPr="00FC4465">
        <w:rPr>
          <w:rFonts w:asciiTheme="majorBidi" w:hAnsiTheme="majorBidi" w:cstheme="majorBidi"/>
        </w:rPr>
        <w:t>2.17.2.1</w:t>
      </w:r>
      <w:r w:rsidRPr="00FC4465">
        <w:rPr>
          <w:rFonts w:asciiTheme="majorBidi" w:hAnsiTheme="majorBidi" w:cstheme="majorBidi"/>
        </w:rPr>
        <w:tab/>
        <w:t>Un explosivo flematizado puede clasificarse en esta clase si, en este estado, su energía de descomposición exotérmica es ≥ 300 J/g.</w:t>
      </w:r>
    </w:p>
    <w:p w14:paraId="7B93BFEE" w14:textId="0A7BCB1E" w:rsidR="00A72D17" w:rsidRPr="00FC4465" w:rsidRDefault="00A72D17" w:rsidP="00403A6C">
      <w:pPr>
        <w:pStyle w:val="SingleTxtG"/>
        <w:ind w:left="2268"/>
        <w:rPr>
          <w:rFonts w:asciiTheme="majorBidi" w:hAnsiTheme="majorBidi" w:cstheme="majorBidi"/>
          <w:i/>
          <w:iCs/>
        </w:rPr>
      </w:pPr>
      <w:r w:rsidRPr="00FC4465">
        <w:rPr>
          <w:rFonts w:asciiTheme="majorBidi" w:hAnsiTheme="majorBidi" w:cstheme="majorBidi"/>
          <w:b/>
          <w:bCs/>
          <w:i/>
          <w:iCs/>
        </w:rPr>
        <w:t>NOTA 1:</w:t>
      </w:r>
      <w:r w:rsidRPr="00FC4465">
        <w:rPr>
          <w:rFonts w:asciiTheme="majorBidi" w:hAnsiTheme="majorBidi" w:cstheme="majorBidi"/>
        </w:rPr>
        <w:tab/>
      </w:r>
      <w:r w:rsidRPr="00FC4465">
        <w:rPr>
          <w:rFonts w:asciiTheme="majorBidi" w:hAnsiTheme="majorBidi" w:cstheme="majorBidi"/>
          <w:i/>
          <w:iCs/>
        </w:rPr>
        <w:t>La energía de descomposición exotérmica puede determinarse mediante una técnica calorimétrica adecuada (véase la sección 20, subsección</w:t>
      </w:r>
      <w:r w:rsidR="008A7CA3">
        <w:rPr>
          <w:rFonts w:asciiTheme="majorBidi" w:hAnsiTheme="majorBidi" w:cstheme="majorBidi"/>
          <w:i/>
          <w:iCs/>
        </w:rPr>
        <w:t> </w:t>
      </w:r>
      <w:r w:rsidRPr="00FC4465">
        <w:rPr>
          <w:rFonts w:asciiTheme="majorBidi" w:hAnsiTheme="majorBidi" w:cstheme="majorBidi"/>
          <w:i/>
          <w:iCs/>
        </w:rPr>
        <w:t>20.3.3.3, de la Parte II del Manual de Pruebas y Criterios).</w:t>
      </w:r>
    </w:p>
    <w:p w14:paraId="6E36FB14" w14:textId="77777777" w:rsidR="00A72D17" w:rsidRPr="00FC4465" w:rsidRDefault="00A72D17" w:rsidP="00403A6C">
      <w:pPr>
        <w:pStyle w:val="SingleTxtG"/>
        <w:ind w:left="2268"/>
        <w:rPr>
          <w:rFonts w:asciiTheme="majorBidi" w:hAnsiTheme="majorBidi" w:cstheme="majorBidi"/>
          <w:i/>
          <w:iCs/>
        </w:rPr>
      </w:pPr>
      <w:r w:rsidRPr="00FC4465">
        <w:rPr>
          <w:rFonts w:asciiTheme="majorBidi" w:hAnsiTheme="majorBidi" w:cstheme="majorBidi"/>
          <w:b/>
          <w:bCs/>
          <w:i/>
          <w:iCs/>
        </w:rPr>
        <w:t>NOTA 2:</w:t>
      </w:r>
      <w:r w:rsidRPr="00FC4465">
        <w:rPr>
          <w:rFonts w:asciiTheme="majorBidi" w:hAnsiTheme="majorBidi" w:cstheme="majorBidi"/>
        </w:rPr>
        <w:tab/>
      </w:r>
      <w:r w:rsidRPr="00FC4465">
        <w:rPr>
          <w:rFonts w:asciiTheme="majorBidi" w:hAnsiTheme="majorBidi" w:cstheme="majorBidi"/>
          <w:i/>
          <w:iCs/>
        </w:rPr>
        <w:t>Las sustancias y mezclas con una energía de descomposición exotérmica &lt; 300 J/g deberían considerarse pertenecientes a otras clases de peligro físico (por ejemplo, líquidos o sólidos inflamables).</w:t>
      </w:r>
    </w:p>
    <w:p w14:paraId="4E4B2494" w14:textId="77777777" w:rsidR="00A72D17" w:rsidRPr="00FC4465" w:rsidRDefault="00A72D17" w:rsidP="00403A6C">
      <w:pPr>
        <w:pStyle w:val="SingleTxtG"/>
        <w:ind w:left="2268"/>
        <w:rPr>
          <w:rFonts w:asciiTheme="majorBidi" w:hAnsiTheme="majorBidi" w:cstheme="majorBidi"/>
        </w:rPr>
      </w:pPr>
      <w:r w:rsidRPr="00FC4465">
        <w:rPr>
          <w:rFonts w:asciiTheme="majorBidi" w:hAnsiTheme="majorBidi" w:cstheme="majorBidi"/>
        </w:rPr>
        <w:t>2.17.2.2</w:t>
      </w:r>
      <w:r w:rsidRPr="00FC4465">
        <w:rPr>
          <w:rFonts w:asciiTheme="majorBidi" w:hAnsiTheme="majorBidi" w:cstheme="majorBidi"/>
        </w:rPr>
        <w:tab/>
        <w:t>Un explosivo flematizado puede clasificarse en esta clase si, en este estado, cumple los siguientes criterios:</w:t>
      </w:r>
    </w:p>
    <w:p w14:paraId="33C7146A" w14:textId="77777777" w:rsidR="00A72D17" w:rsidRPr="00FC4465" w:rsidRDefault="00A72D17" w:rsidP="00403A6C">
      <w:pPr>
        <w:tabs>
          <w:tab w:val="left" w:pos="1560"/>
        </w:tabs>
        <w:spacing w:after="120"/>
        <w:ind w:left="2835" w:right="1134" w:hanging="567"/>
        <w:jc w:val="both"/>
        <w:rPr>
          <w:rFonts w:asciiTheme="majorBidi" w:hAnsiTheme="majorBidi" w:cstheme="majorBidi"/>
        </w:rPr>
      </w:pPr>
      <w:r w:rsidRPr="00FC4465">
        <w:rPr>
          <w:rFonts w:asciiTheme="majorBidi" w:hAnsiTheme="majorBidi" w:cstheme="majorBidi"/>
        </w:rPr>
        <w:t>a)</w:t>
      </w:r>
      <w:r w:rsidRPr="00FC4465">
        <w:rPr>
          <w:rFonts w:asciiTheme="majorBidi" w:hAnsiTheme="majorBidi" w:cstheme="majorBidi"/>
        </w:rPr>
        <w:tab/>
        <w:t>No está destinado a producir un efecto práctico explosivo o pirotécnico; y</w:t>
      </w:r>
    </w:p>
    <w:p w14:paraId="7766E765" w14:textId="77777777" w:rsidR="00A72D17" w:rsidRPr="00FC4465" w:rsidRDefault="00A72D17" w:rsidP="00403A6C">
      <w:pPr>
        <w:tabs>
          <w:tab w:val="left" w:pos="1560"/>
        </w:tabs>
        <w:spacing w:after="120"/>
        <w:ind w:left="2835" w:right="1134" w:hanging="567"/>
        <w:jc w:val="both"/>
        <w:rPr>
          <w:rFonts w:asciiTheme="majorBidi" w:hAnsiTheme="majorBidi" w:cstheme="majorBidi"/>
        </w:rPr>
      </w:pPr>
      <w:r w:rsidRPr="00FC4465">
        <w:rPr>
          <w:rFonts w:asciiTheme="majorBidi" w:hAnsiTheme="majorBidi" w:cstheme="majorBidi"/>
        </w:rPr>
        <w:t>b)</w:t>
      </w:r>
      <w:r w:rsidRPr="00FC4465">
        <w:rPr>
          <w:rFonts w:asciiTheme="majorBidi" w:hAnsiTheme="majorBidi" w:cstheme="majorBidi"/>
        </w:rPr>
        <w:tab/>
        <w:t>Está flematizado de tal modo que:</w:t>
      </w:r>
    </w:p>
    <w:p w14:paraId="41C7F312" w14:textId="77777777" w:rsidR="00A72D17" w:rsidRPr="00FC4465" w:rsidRDefault="00A72D17" w:rsidP="00403A6C">
      <w:pPr>
        <w:tabs>
          <w:tab w:val="left" w:pos="3402"/>
        </w:tabs>
        <w:spacing w:after="120"/>
        <w:ind w:left="3402" w:right="1134" w:hanging="567"/>
        <w:jc w:val="both"/>
        <w:rPr>
          <w:rFonts w:asciiTheme="majorBidi" w:hAnsiTheme="majorBidi" w:cstheme="majorBidi"/>
        </w:rPr>
      </w:pPr>
      <w:r w:rsidRPr="00FC4465">
        <w:rPr>
          <w:rFonts w:asciiTheme="majorBidi" w:hAnsiTheme="majorBidi" w:cstheme="majorBidi"/>
        </w:rPr>
        <w:t>i)</w:t>
      </w:r>
      <w:r w:rsidRPr="00FC4465">
        <w:rPr>
          <w:rFonts w:asciiTheme="majorBidi" w:hAnsiTheme="majorBidi" w:cstheme="majorBidi"/>
        </w:rPr>
        <w:tab/>
        <w:t xml:space="preserve">no presenta peligro de explosión en masa de conformidad con las pruebas 6 a) o 6 b) del </w:t>
      </w:r>
      <w:r w:rsidRPr="00FC4465">
        <w:rPr>
          <w:rFonts w:asciiTheme="majorBidi" w:hAnsiTheme="majorBidi" w:cstheme="majorBidi"/>
          <w:i/>
          <w:iCs/>
        </w:rPr>
        <w:t>Manual de Pruebas y Criterios</w:t>
      </w:r>
      <w:r w:rsidRPr="00FC4465">
        <w:rPr>
          <w:rFonts w:asciiTheme="majorBidi" w:hAnsiTheme="majorBidi" w:cstheme="majorBidi"/>
        </w:rPr>
        <w:t>; y</w:t>
      </w:r>
    </w:p>
    <w:p w14:paraId="2EC4CA3D" w14:textId="77777777" w:rsidR="00A72D17" w:rsidRPr="00FC4465" w:rsidRDefault="00A72D17" w:rsidP="00403A6C">
      <w:pPr>
        <w:tabs>
          <w:tab w:val="left" w:pos="3402"/>
        </w:tabs>
        <w:spacing w:after="120"/>
        <w:ind w:left="3402" w:right="1134" w:hanging="567"/>
        <w:jc w:val="both"/>
        <w:rPr>
          <w:rFonts w:asciiTheme="majorBidi" w:hAnsiTheme="majorBidi" w:cstheme="majorBidi"/>
        </w:rPr>
      </w:pPr>
      <w:r w:rsidRPr="00FC4465">
        <w:rPr>
          <w:rFonts w:asciiTheme="majorBidi" w:hAnsiTheme="majorBidi" w:cstheme="majorBidi"/>
        </w:rPr>
        <w:t>ii)</w:t>
      </w:r>
      <w:r w:rsidRPr="00FC4465">
        <w:rPr>
          <w:rFonts w:asciiTheme="majorBidi" w:hAnsiTheme="majorBidi" w:cstheme="majorBidi"/>
        </w:rPr>
        <w:tab/>
        <w:t xml:space="preserve">no es demasiado sensible ni térmicamente inestable de conformidad con la serie de pruebas 3 del </w:t>
      </w:r>
      <w:r w:rsidRPr="00FC4465">
        <w:rPr>
          <w:rFonts w:asciiTheme="majorBidi" w:hAnsiTheme="majorBidi" w:cstheme="majorBidi"/>
          <w:i/>
          <w:iCs/>
        </w:rPr>
        <w:t>Manual de Pruebas y Criterios</w:t>
      </w:r>
      <w:r w:rsidRPr="00FC4465">
        <w:rPr>
          <w:rFonts w:asciiTheme="majorBidi" w:hAnsiTheme="majorBidi" w:cstheme="majorBidi"/>
        </w:rPr>
        <w:t>;</w:t>
      </w:r>
    </w:p>
    <w:p w14:paraId="4E8F51B0" w14:textId="77777777" w:rsidR="00A72D17" w:rsidRPr="00FC4465" w:rsidRDefault="00A72D17" w:rsidP="00403A6C">
      <w:pPr>
        <w:tabs>
          <w:tab w:val="left" w:pos="3402"/>
        </w:tabs>
        <w:spacing w:after="120"/>
        <w:ind w:left="3402" w:right="1134" w:hanging="567"/>
        <w:jc w:val="both"/>
        <w:rPr>
          <w:rFonts w:asciiTheme="majorBidi" w:hAnsiTheme="majorBidi" w:cstheme="majorBidi"/>
        </w:rPr>
      </w:pPr>
      <w:r w:rsidRPr="00FC4465">
        <w:rPr>
          <w:rFonts w:asciiTheme="majorBidi" w:hAnsiTheme="majorBidi" w:cstheme="majorBidi"/>
        </w:rPr>
        <w:t>o bien</w:t>
      </w:r>
    </w:p>
    <w:p w14:paraId="6B3DAA5F" w14:textId="77777777" w:rsidR="00A72D17" w:rsidRPr="00FC4465" w:rsidRDefault="00A72D17" w:rsidP="00403A6C">
      <w:pPr>
        <w:tabs>
          <w:tab w:val="left" w:pos="3402"/>
        </w:tabs>
        <w:spacing w:after="120"/>
        <w:ind w:left="3402" w:right="1134" w:hanging="567"/>
        <w:jc w:val="both"/>
        <w:rPr>
          <w:rFonts w:asciiTheme="majorBidi" w:hAnsiTheme="majorBidi" w:cstheme="majorBidi"/>
        </w:rPr>
      </w:pPr>
      <w:r w:rsidRPr="00FC4465">
        <w:rPr>
          <w:rFonts w:asciiTheme="majorBidi" w:hAnsiTheme="majorBidi" w:cstheme="majorBidi"/>
        </w:rPr>
        <w:t>iii)</w:t>
      </w:r>
      <w:r w:rsidRPr="00FC4465">
        <w:rPr>
          <w:rFonts w:asciiTheme="majorBidi" w:hAnsiTheme="majorBidi" w:cstheme="majorBidi"/>
        </w:rPr>
        <w:tab/>
        <w:t xml:space="preserve">es demasiado insensible para su inclusión en la clase de los explosivos de conformidad con la serie de pruebas 2 del </w:t>
      </w:r>
      <w:r w:rsidRPr="00FC4465">
        <w:rPr>
          <w:rFonts w:asciiTheme="majorBidi" w:hAnsiTheme="majorBidi" w:cstheme="majorBidi"/>
          <w:i/>
          <w:iCs/>
        </w:rPr>
        <w:t>Manual de Pruebas y Criterios</w:t>
      </w:r>
      <w:r w:rsidRPr="00FC4465">
        <w:rPr>
          <w:rFonts w:asciiTheme="majorBidi" w:hAnsiTheme="majorBidi" w:cstheme="majorBidi"/>
        </w:rPr>
        <w:t>; y</w:t>
      </w:r>
    </w:p>
    <w:p w14:paraId="37BDEBC2" w14:textId="77777777" w:rsidR="00A72D17" w:rsidRPr="00FC4465" w:rsidRDefault="00A72D17" w:rsidP="00403A6C">
      <w:pPr>
        <w:tabs>
          <w:tab w:val="left" w:pos="1560"/>
        </w:tabs>
        <w:spacing w:after="120"/>
        <w:ind w:left="2835" w:right="1134" w:hanging="567"/>
        <w:jc w:val="both"/>
        <w:rPr>
          <w:rFonts w:asciiTheme="majorBidi" w:hAnsiTheme="majorBidi" w:cstheme="majorBidi"/>
        </w:rPr>
      </w:pPr>
      <w:r w:rsidRPr="00FC4465">
        <w:rPr>
          <w:rFonts w:asciiTheme="majorBidi" w:hAnsiTheme="majorBidi" w:cstheme="majorBidi"/>
        </w:rPr>
        <w:t>c)</w:t>
      </w:r>
      <w:r w:rsidRPr="00FC4465">
        <w:rPr>
          <w:rFonts w:asciiTheme="majorBidi" w:hAnsiTheme="majorBidi" w:cstheme="majorBidi"/>
        </w:rPr>
        <w:tab/>
        <w:t xml:space="preserve">no presenta peligro de explosión en masa y tiene una velocidad de combustión corregida ≤ 1.200 kg/min con arreglo a la prueba de la velocidad de combustión que se describe en la subsección 51.4 del </w:t>
      </w:r>
      <w:r w:rsidRPr="00FC4465">
        <w:rPr>
          <w:rFonts w:asciiTheme="majorBidi" w:hAnsiTheme="majorBidi" w:cstheme="majorBidi"/>
          <w:i/>
          <w:iCs/>
        </w:rPr>
        <w:t>Manual de Pruebas y Criterios</w:t>
      </w:r>
      <w:r w:rsidRPr="00FC4465">
        <w:rPr>
          <w:rFonts w:asciiTheme="majorBidi" w:hAnsiTheme="majorBidi" w:cstheme="majorBidi"/>
        </w:rPr>
        <w:t>.</w:t>
      </w:r>
    </w:p>
    <w:p w14:paraId="0C0A4506" w14:textId="155312A0" w:rsidR="00A72D17" w:rsidRPr="00FC4465" w:rsidRDefault="00A72D17" w:rsidP="00403A6C">
      <w:pPr>
        <w:pStyle w:val="SingleTxtG"/>
        <w:ind w:left="2268"/>
        <w:rPr>
          <w:rFonts w:asciiTheme="majorBidi" w:hAnsiTheme="majorBidi" w:cstheme="majorBidi"/>
          <w:i/>
          <w:iCs/>
        </w:rPr>
      </w:pPr>
      <w:r w:rsidRPr="00FC4465">
        <w:rPr>
          <w:rFonts w:asciiTheme="majorBidi" w:hAnsiTheme="majorBidi" w:cstheme="majorBidi"/>
          <w:b/>
          <w:bCs/>
          <w:i/>
          <w:iCs/>
        </w:rPr>
        <w:t>NOTA:</w:t>
      </w:r>
      <w:r w:rsidRPr="00FC4465">
        <w:rPr>
          <w:rFonts w:asciiTheme="majorBidi" w:hAnsiTheme="majorBidi" w:cstheme="majorBidi"/>
        </w:rPr>
        <w:tab/>
      </w:r>
      <w:r w:rsidRPr="00FC4465">
        <w:rPr>
          <w:rFonts w:asciiTheme="majorBidi" w:hAnsiTheme="majorBidi" w:cstheme="majorBidi"/>
          <w:i/>
          <w:iCs/>
        </w:rPr>
        <w:t>Los explosivos flematizados que no cumplan los criterios indicados en 2.17.2.2 deberían clasificarse como explosivos (véase el capítulo</w:t>
      </w:r>
      <w:r w:rsidR="008A7CA3">
        <w:rPr>
          <w:rFonts w:asciiTheme="majorBidi" w:hAnsiTheme="majorBidi" w:cstheme="majorBidi"/>
          <w:i/>
          <w:iCs/>
        </w:rPr>
        <w:t> </w:t>
      </w:r>
      <w:r w:rsidRPr="00FC4465">
        <w:rPr>
          <w:rFonts w:asciiTheme="majorBidi" w:hAnsiTheme="majorBidi" w:cstheme="majorBidi"/>
          <w:i/>
          <w:iCs/>
        </w:rPr>
        <w:t>2.1).</w:t>
      </w:r>
    </w:p>
    <w:p w14:paraId="0106BEF7" w14:textId="77777777" w:rsidR="00A72D17" w:rsidRPr="00FC4465" w:rsidRDefault="00A72D17" w:rsidP="00403A6C">
      <w:pPr>
        <w:pStyle w:val="SingleTxtG"/>
        <w:tabs>
          <w:tab w:val="left" w:pos="1134"/>
        </w:tabs>
        <w:ind w:left="2268"/>
        <w:rPr>
          <w:rFonts w:asciiTheme="majorBidi" w:hAnsiTheme="majorBidi" w:cstheme="majorBidi"/>
        </w:rPr>
      </w:pPr>
      <w:r w:rsidRPr="00FC4465">
        <w:rPr>
          <w:rFonts w:asciiTheme="majorBidi" w:hAnsiTheme="majorBidi" w:cstheme="majorBidi"/>
        </w:rPr>
        <w:t>2.17.2.3</w:t>
      </w:r>
      <w:r w:rsidRPr="00FC4465">
        <w:rPr>
          <w:rFonts w:asciiTheme="majorBidi" w:hAnsiTheme="majorBidi" w:cstheme="majorBidi"/>
        </w:rPr>
        <w:tab/>
        <w:t xml:space="preserve">Además de cumplir los criterios indicados en 2.17.2.1 y 2.17.2.2, la nitrocelulosa debería ser estable con arreglo al apéndice 10 del </w:t>
      </w:r>
      <w:r w:rsidRPr="00FC4465">
        <w:rPr>
          <w:rFonts w:asciiTheme="majorBidi" w:hAnsiTheme="majorBidi" w:cstheme="majorBidi"/>
          <w:i/>
          <w:iCs/>
        </w:rPr>
        <w:t>Manual de Pruebas y Criterios</w:t>
      </w:r>
      <w:r w:rsidRPr="00FC4465">
        <w:rPr>
          <w:rFonts w:asciiTheme="majorBidi" w:hAnsiTheme="majorBidi" w:cstheme="majorBidi"/>
        </w:rPr>
        <w:t xml:space="preserve"> para poder ser utilizada en las mezclas de nitrocelulosa que se consideren pertenecientes a esta clase.</w:t>
      </w:r>
    </w:p>
    <w:p w14:paraId="7AD8BDA7" w14:textId="6A3D59E4" w:rsidR="00A72D17" w:rsidRPr="00FC4465" w:rsidRDefault="00A72D17" w:rsidP="00403A6C">
      <w:pPr>
        <w:pStyle w:val="SingleTxtG"/>
        <w:ind w:left="2268"/>
        <w:rPr>
          <w:rFonts w:asciiTheme="majorBidi" w:hAnsiTheme="majorBidi" w:cstheme="majorBidi"/>
          <w:i/>
          <w:iCs/>
        </w:rPr>
      </w:pPr>
      <w:r w:rsidRPr="00FC4465">
        <w:rPr>
          <w:rFonts w:asciiTheme="majorBidi" w:hAnsiTheme="majorBidi" w:cstheme="majorBidi"/>
          <w:b/>
          <w:bCs/>
          <w:i/>
          <w:iCs/>
        </w:rPr>
        <w:t>NOTA:</w:t>
      </w:r>
      <w:r w:rsidRPr="00FC4465">
        <w:rPr>
          <w:rFonts w:asciiTheme="majorBidi" w:hAnsiTheme="majorBidi" w:cstheme="majorBidi"/>
        </w:rPr>
        <w:tab/>
      </w:r>
      <w:r w:rsidRPr="00FC4465">
        <w:rPr>
          <w:rFonts w:asciiTheme="majorBidi" w:hAnsiTheme="majorBidi" w:cstheme="majorBidi"/>
          <w:i/>
          <w:iCs/>
        </w:rPr>
        <w:t>Las mezclas de nitrocelulosa que no contengan explosivos distintos de la nitrocelulosa no deberán cumplir el criterio establecido en</w:t>
      </w:r>
      <w:r w:rsidR="008A7CA3">
        <w:rPr>
          <w:rFonts w:asciiTheme="majorBidi" w:hAnsiTheme="majorBidi" w:cstheme="majorBidi"/>
          <w:i/>
          <w:iCs/>
        </w:rPr>
        <w:t> </w:t>
      </w:r>
      <w:r w:rsidRPr="00FC4465">
        <w:rPr>
          <w:rFonts w:asciiTheme="majorBidi" w:hAnsiTheme="majorBidi" w:cstheme="majorBidi"/>
          <w:i/>
          <w:iCs/>
        </w:rPr>
        <w:t>2.17.2.2 b) ii).</w:t>
      </w:r>
      <w:r w:rsidR="008C5013" w:rsidRPr="001542DD">
        <w:rPr>
          <w:rFonts w:asciiTheme="majorBidi" w:hAnsiTheme="majorBidi" w:cstheme="majorBidi"/>
          <w:iCs/>
        </w:rPr>
        <w:t>”</w:t>
      </w:r>
      <w:r w:rsidRPr="001542DD">
        <w:rPr>
          <w:rFonts w:asciiTheme="majorBidi" w:hAnsiTheme="majorBidi" w:cstheme="majorBidi"/>
          <w:iCs/>
        </w:rPr>
        <w:t>.</w:t>
      </w:r>
    </w:p>
    <w:p w14:paraId="67F0AB26" w14:textId="1402EC28" w:rsidR="00A72D17" w:rsidRPr="00FC4465" w:rsidRDefault="00A72D17" w:rsidP="00403A6C">
      <w:pPr>
        <w:pStyle w:val="SingleTxtG"/>
        <w:ind w:left="2268" w:hanging="1134"/>
        <w:rPr>
          <w:rFonts w:asciiTheme="majorBidi" w:hAnsiTheme="majorBidi" w:cstheme="majorBidi"/>
        </w:rPr>
      </w:pPr>
      <w:r w:rsidRPr="00FC4465">
        <w:rPr>
          <w:rFonts w:asciiTheme="majorBidi" w:hAnsiTheme="majorBidi" w:cstheme="majorBidi"/>
        </w:rPr>
        <w:t xml:space="preserve">2.17.2.4 (nuevo, antiguo 2.17.2.2) </w:t>
      </w:r>
      <w:r w:rsidRPr="00FC4465">
        <w:rPr>
          <w:rFonts w:asciiTheme="majorBidi" w:hAnsiTheme="majorBidi" w:cstheme="majorBidi"/>
        </w:rPr>
        <w:tab/>
        <w:t>El actual párrafo 2.17.2.2 pasa a ser el nuevo párrafo</w:t>
      </w:r>
      <w:r w:rsidR="008A7CA3">
        <w:rPr>
          <w:rFonts w:asciiTheme="majorBidi" w:hAnsiTheme="majorBidi" w:cstheme="majorBidi"/>
        </w:rPr>
        <w:t> </w:t>
      </w:r>
      <w:r w:rsidRPr="00FC4465">
        <w:rPr>
          <w:rFonts w:asciiTheme="majorBidi" w:hAnsiTheme="majorBidi" w:cstheme="majorBidi"/>
        </w:rPr>
        <w:t xml:space="preserve">2.17.2.4. Sustitúyase </w:t>
      </w:r>
      <w:r w:rsidR="008C5013" w:rsidRPr="00FC4465">
        <w:rPr>
          <w:rFonts w:asciiTheme="majorBidi" w:hAnsiTheme="majorBidi" w:cstheme="majorBidi"/>
        </w:rPr>
        <w:t>“</w:t>
      </w:r>
      <w:r w:rsidRPr="00FC4465">
        <w:rPr>
          <w:rFonts w:asciiTheme="majorBidi" w:hAnsiTheme="majorBidi" w:cstheme="majorBidi"/>
        </w:rPr>
        <w:t xml:space="preserve">mediante la prueba </w:t>
      </w:r>
      <w:r w:rsidR="008C5013" w:rsidRPr="00FC4465">
        <w:rPr>
          <w:rFonts w:asciiTheme="majorBidi" w:hAnsiTheme="majorBidi" w:cstheme="majorBidi"/>
        </w:rPr>
        <w:t>“</w:t>
      </w:r>
      <w:r w:rsidRPr="00FC4465">
        <w:rPr>
          <w:rFonts w:asciiTheme="majorBidi" w:hAnsiTheme="majorBidi" w:cstheme="majorBidi"/>
        </w:rPr>
        <w:t xml:space="preserve">prueba de la velocidad de </w:t>
      </w:r>
      <w:r w:rsidRPr="00FC4465">
        <w:rPr>
          <w:rFonts w:asciiTheme="majorBidi" w:hAnsiTheme="majorBidi" w:cstheme="majorBidi"/>
        </w:rPr>
        <w:lastRenderedPageBreak/>
        <w:t>combustión (fuego externo)</w:t>
      </w:r>
      <w:r w:rsidR="008C5013" w:rsidRPr="00FC4465">
        <w:rPr>
          <w:rFonts w:asciiTheme="majorBidi" w:hAnsiTheme="majorBidi" w:cstheme="majorBidi"/>
        </w:rPr>
        <w:t>”</w:t>
      </w:r>
      <w:r w:rsidR="001542DD">
        <w:rPr>
          <w:rFonts w:asciiTheme="majorBidi" w:hAnsiTheme="majorBidi" w:cstheme="majorBidi"/>
        </w:rPr>
        <w:t>”</w:t>
      </w:r>
      <w:r w:rsidRPr="00FC4465">
        <w:rPr>
          <w:rFonts w:asciiTheme="majorBidi" w:hAnsiTheme="majorBidi" w:cstheme="majorBidi"/>
        </w:rPr>
        <w:t xml:space="preserve"> por </w:t>
      </w:r>
      <w:r w:rsidR="008C5013" w:rsidRPr="00FC4465">
        <w:rPr>
          <w:rFonts w:asciiTheme="majorBidi" w:hAnsiTheme="majorBidi" w:cstheme="majorBidi"/>
        </w:rPr>
        <w:t>“</w:t>
      </w:r>
      <w:r w:rsidRPr="00FC4465">
        <w:rPr>
          <w:rFonts w:asciiTheme="majorBidi" w:hAnsiTheme="majorBidi" w:cstheme="majorBidi"/>
        </w:rPr>
        <w:t xml:space="preserve">determinada mediante la prueba </w:t>
      </w:r>
      <w:r w:rsidR="008C5013" w:rsidRPr="00FC4465">
        <w:rPr>
          <w:rFonts w:asciiTheme="majorBidi" w:hAnsiTheme="majorBidi" w:cstheme="majorBidi"/>
        </w:rPr>
        <w:t>“</w:t>
      </w:r>
      <w:r w:rsidRPr="00FC4465">
        <w:rPr>
          <w:rFonts w:asciiTheme="majorBidi" w:hAnsiTheme="majorBidi" w:cstheme="majorBidi"/>
        </w:rPr>
        <w:t>prueba de la velocidad de combustión (fuego externo)</w:t>
      </w:r>
      <w:r w:rsidR="008C5013" w:rsidRPr="00FC4465">
        <w:rPr>
          <w:rFonts w:asciiTheme="majorBidi" w:hAnsiTheme="majorBidi" w:cstheme="majorBidi"/>
        </w:rPr>
        <w:t>”</w:t>
      </w:r>
      <w:r w:rsidR="001542DD">
        <w:rPr>
          <w:rFonts w:asciiTheme="majorBidi" w:hAnsiTheme="majorBidi" w:cstheme="majorBidi"/>
        </w:rPr>
        <w:t>”</w:t>
      </w:r>
      <w:r w:rsidRPr="00FC4465">
        <w:rPr>
          <w:rFonts w:asciiTheme="majorBidi" w:hAnsiTheme="majorBidi" w:cstheme="majorBidi"/>
        </w:rPr>
        <w:t>.</w:t>
      </w:r>
    </w:p>
    <w:p w14:paraId="16E2C35F" w14:textId="576035C7" w:rsidR="00A72D17" w:rsidRPr="00FC4465" w:rsidRDefault="00A72D17" w:rsidP="00403A6C">
      <w:pPr>
        <w:pStyle w:val="SingleTxtG"/>
        <w:ind w:left="2268" w:hanging="1134"/>
        <w:rPr>
          <w:rFonts w:asciiTheme="majorBidi" w:hAnsiTheme="majorBidi" w:cstheme="majorBidi"/>
        </w:rPr>
      </w:pPr>
      <w:r w:rsidRPr="00FC4465">
        <w:rPr>
          <w:rFonts w:asciiTheme="majorBidi" w:hAnsiTheme="majorBidi" w:cstheme="majorBidi"/>
        </w:rPr>
        <w:t>2.17.3</w:t>
      </w:r>
      <w:r w:rsidRPr="00FC4465">
        <w:rPr>
          <w:rFonts w:asciiTheme="majorBidi" w:hAnsiTheme="majorBidi" w:cstheme="majorBidi"/>
        </w:rPr>
        <w:tab/>
      </w:r>
      <w:r w:rsidRPr="00FC4465">
        <w:rPr>
          <w:rFonts w:asciiTheme="majorBidi" w:hAnsiTheme="majorBidi" w:cstheme="majorBidi"/>
        </w:rPr>
        <w:tab/>
        <w:t xml:space="preserve">Al final del párrafo, añádase la siguiente oración: </w:t>
      </w:r>
      <w:r w:rsidR="008C5013" w:rsidRPr="00FC4465">
        <w:rPr>
          <w:rFonts w:asciiTheme="majorBidi" w:hAnsiTheme="majorBidi" w:cstheme="majorBidi"/>
        </w:rPr>
        <w:t>“</w:t>
      </w:r>
      <w:r w:rsidRPr="00FC4465">
        <w:rPr>
          <w:rFonts w:asciiTheme="majorBidi" w:hAnsiTheme="majorBidi" w:cstheme="majorBidi"/>
        </w:rPr>
        <w:t>La tabla 2.17.2 presenta los elementos específicos que deben figurar en las etiquetas de las sustancias y mezclas clasificadas en esta clase de peligro con arreglo a los criterios indicados en el presente capítulo.</w:t>
      </w:r>
      <w:r w:rsidR="008C5013" w:rsidRPr="00FC4465">
        <w:rPr>
          <w:rFonts w:asciiTheme="majorBidi" w:hAnsiTheme="majorBidi" w:cstheme="majorBidi"/>
        </w:rPr>
        <w:t>”</w:t>
      </w:r>
      <w:r w:rsidR="001542DD">
        <w:rPr>
          <w:rFonts w:asciiTheme="majorBidi" w:hAnsiTheme="majorBidi" w:cstheme="majorBidi"/>
        </w:rPr>
        <w:t>.</w:t>
      </w:r>
      <w:r w:rsidRPr="00FC4465">
        <w:rPr>
          <w:rFonts w:asciiTheme="majorBidi" w:hAnsiTheme="majorBidi" w:cstheme="majorBidi"/>
        </w:rPr>
        <w:t xml:space="preserve"> </w:t>
      </w:r>
    </w:p>
    <w:p w14:paraId="146DE2F0" w14:textId="77777777" w:rsidR="00A72D17" w:rsidRPr="00FC4465" w:rsidRDefault="00A72D17" w:rsidP="00403A6C">
      <w:pPr>
        <w:pStyle w:val="SingleTxtG"/>
        <w:rPr>
          <w:rFonts w:asciiTheme="majorBidi" w:hAnsiTheme="majorBidi" w:cstheme="majorBidi"/>
          <w:i/>
          <w:iCs/>
        </w:rPr>
      </w:pPr>
      <w:r w:rsidRPr="00FC4465">
        <w:rPr>
          <w:rFonts w:asciiTheme="majorBidi" w:hAnsiTheme="majorBidi" w:cstheme="majorBidi"/>
        </w:rPr>
        <w:t>El actual párrafo 2.17.4 se mantiene sin cambios.</w:t>
      </w:r>
    </w:p>
    <w:p w14:paraId="56A7D958" w14:textId="77777777" w:rsidR="00A72D17" w:rsidRPr="00FC4465" w:rsidRDefault="00A72D17" w:rsidP="00403A6C">
      <w:pPr>
        <w:pStyle w:val="SingleTxtG"/>
        <w:rPr>
          <w:rFonts w:asciiTheme="majorBidi" w:hAnsiTheme="majorBidi" w:cstheme="majorBidi"/>
        </w:rPr>
      </w:pPr>
      <w:r w:rsidRPr="00FC4465">
        <w:rPr>
          <w:rFonts w:asciiTheme="majorBidi" w:hAnsiTheme="majorBidi" w:cstheme="majorBidi"/>
        </w:rPr>
        <w:t>2.17.4.1</w:t>
      </w:r>
      <w:r w:rsidRPr="00FC4465">
        <w:rPr>
          <w:rFonts w:asciiTheme="majorBidi" w:hAnsiTheme="majorBidi" w:cstheme="majorBidi"/>
        </w:rPr>
        <w:tab/>
        <w:t>Modifíquese para que diga:</w:t>
      </w:r>
    </w:p>
    <w:p w14:paraId="0049DBBD" w14:textId="13523564" w:rsidR="00A72D17" w:rsidRPr="00FC4465" w:rsidRDefault="00A72D17" w:rsidP="00403A6C">
      <w:pPr>
        <w:pStyle w:val="H23G"/>
        <w:ind w:left="2268"/>
        <w:rPr>
          <w:color w:val="000000"/>
          <w:szCs w:val="22"/>
        </w:rPr>
      </w:pPr>
      <w:r w:rsidRPr="00FC4465">
        <w:tab/>
      </w:r>
      <w:r w:rsidR="008C5013" w:rsidRPr="003E4186">
        <w:rPr>
          <w:b w:val="0"/>
          <w:bCs/>
        </w:rPr>
        <w:t>“</w:t>
      </w:r>
      <w:r w:rsidRPr="00FC4465">
        <w:t>2.17.4.1</w:t>
      </w:r>
      <w:r w:rsidRPr="00FC4465">
        <w:tab/>
        <w:t>Procedimiento de decisión</w:t>
      </w:r>
    </w:p>
    <w:p w14:paraId="2C7FA22D" w14:textId="28FC1DB6" w:rsidR="00A72D17" w:rsidRPr="00FC4465" w:rsidRDefault="00A72D17" w:rsidP="00403A6C">
      <w:pPr>
        <w:tabs>
          <w:tab w:val="left" w:pos="2268"/>
          <w:tab w:val="left" w:pos="3119"/>
        </w:tabs>
        <w:spacing w:before="120" w:after="120"/>
        <w:ind w:left="2268" w:right="1134" w:hanging="1134"/>
        <w:jc w:val="both"/>
        <w:rPr>
          <w:rFonts w:asciiTheme="majorBidi" w:hAnsiTheme="majorBidi" w:cstheme="majorBidi"/>
        </w:rPr>
      </w:pPr>
      <w:r w:rsidRPr="00FC4465">
        <w:rPr>
          <w:rFonts w:asciiTheme="majorBidi" w:hAnsiTheme="majorBidi" w:cstheme="majorBidi"/>
        </w:rPr>
        <w:tab/>
      </w:r>
      <w:r w:rsidRPr="00FC4465">
        <w:rPr>
          <w:rFonts w:asciiTheme="majorBidi" w:hAnsiTheme="majorBidi" w:cstheme="majorBidi"/>
        </w:rPr>
        <w:tab/>
        <w:t xml:space="preserve">Para clasificar los explosivos insensibilizados, deberían determinarse los datos relativos a la sensibilidad, la estabilidad térmica, el potencial explosivo y la velocidad de combustión corregida según se describe en las partes I y V del </w:t>
      </w:r>
      <w:r w:rsidRPr="00FC4465">
        <w:rPr>
          <w:rFonts w:asciiTheme="majorBidi" w:hAnsiTheme="majorBidi" w:cstheme="majorBidi"/>
          <w:i/>
          <w:iCs/>
        </w:rPr>
        <w:t>Manual de Pruebas y Criterios</w:t>
      </w:r>
      <w:r w:rsidRPr="00FC4465">
        <w:rPr>
          <w:rFonts w:asciiTheme="majorBidi" w:hAnsiTheme="majorBidi" w:cstheme="majorBidi"/>
        </w:rPr>
        <w:t>. Cuando una mezcla contenga nitrocelulosa, será necesario disponer de datos adicionales sobre la estabilidad de la nitrocelulosa, de conformidad con lo descrito en el apéndice</w:t>
      </w:r>
      <w:r w:rsidR="008A7CA3">
        <w:rPr>
          <w:rFonts w:asciiTheme="majorBidi" w:hAnsiTheme="majorBidi" w:cstheme="majorBidi"/>
        </w:rPr>
        <w:t> </w:t>
      </w:r>
      <w:r w:rsidRPr="00FC4465">
        <w:rPr>
          <w:rFonts w:asciiTheme="majorBidi" w:hAnsiTheme="majorBidi" w:cstheme="majorBidi"/>
        </w:rPr>
        <w:t xml:space="preserve">10 del </w:t>
      </w:r>
      <w:r w:rsidRPr="00FC4465">
        <w:rPr>
          <w:rFonts w:asciiTheme="majorBidi" w:hAnsiTheme="majorBidi" w:cstheme="majorBidi"/>
          <w:i/>
          <w:iCs/>
        </w:rPr>
        <w:t>Manual de Pruebas y Criterios</w:t>
      </w:r>
      <w:r w:rsidRPr="00FC4465">
        <w:rPr>
          <w:rFonts w:asciiTheme="majorBidi" w:hAnsiTheme="majorBidi" w:cstheme="majorBidi"/>
        </w:rPr>
        <w:t>, para que pueda utilizarse en mezclas de nitrocelulosa que se consideren pertenecientes a esta clase. La clasificación se hará con arreglo al procedimiento de decisión 2.17.1.</w:t>
      </w:r>
      <w:r w:rsidR="008C5013" w:rsidRPr="00FC4465">
        <w:rPr>
          <w:rFonts w:asciiTheme="majorBidi" w:hAnsiTheme="majorBidi" w:cstheme="majorBidi"/>
        </w:rPr>
        <w:t>”</w:t>
      </w:r>
      <w:r w:rsidRPr="00FC4465">
        <w:rPr>
          <w:rFonts w:asciiTheme="majorBidi" w:hAnsiTheme="majorBidi" w:cstheme="majorBidi"/>
        </w:rPr>
        <w:t>.</w:t>
      </w:r>
    </w:p>
    <w:p w14:paraId="377D5AE3" w14:textId="58B5DBAE" w:rsidR="00A72D17" w:rsidRPr="008645FC" w:rsidRDefault="00A72D17" w:rsidP="008645FC">
      <w:pPr>
        <w:pStyle w:val="H23G"/>
        <w:ind w:left="322" w:right="259" w:firstLine="0"/>
        <w:jc w:val="center"/>
        <w:rPr>
          <w:i/>
        </w:rPr>
      </w:pPr>
      <w:r w:rsidRPr="008645FC">
        <w:rPr>
          <w:i/>
        </w:rPr>
        <w:lastRenderedPageBreak/>
        <w:t>Procedimiento de decisión 2.17.1 para los explosivos insensibilizados</w:t>
      </w:r>
    </w:p>
    <w:p w14:paraId="5F1483B7" w14:textId="4CE8EC9D" w:rsidR="00A72D17" w:rsidRPr="00FC4465" w:rsidRDefault="005106FC" w:rsidP="00A72D17">
      <w:pPr>
        <w:keepNext/>
        <w:keepLines/>
        <w:tabs>
          <w:tab w:val="left" w:pos="2268"/>
        </w:tabs>
        <w:spacing w:before="240" w:line="240" w:lineRule="auto"/>
        <w:ind w:left="284" w:right="1134"/>
        <w:jc w:val="both"/>
        <w:rPr>
          <w:rFonts w:asciiTheme="majorBidi" w:hAnsiTheme="majorBidi" w:cstheme="majorBidi"/>
        </w:rPr>
      </w:pPr>
      <w:r w:rsidRPr="00FC4465">
        <w:rPr>
          <w:rFonts w:asciiTheme="majorBidi" w:hAnsiTheme="majorBidi" w:cstheme="majorBidi"/>
        </w:rPr>
        <w:object w:dxaOrig="9136" w:dyaOrig="12031" w14:anchorId="15AA9A2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6.75pt;height:601.5pt" o:ole="">
            <v:imagedata r:id="rId8" o:title=""/>
          </v:shape>
          <o:OLEObject Type="Embed" ProgID="Visio.Drawing.15" ShapeID="_x0000_i1025" DrawAspect="Content" ObjectID="_1754120332" r:id="rId9"/>
        </w:object>
      </w:r>
    </w:p>
    <w:p w14:paraId="7A2338E2" w14:textId="77777777" w:rsidR="00A72D17" w:rsidRPr="00FC4465" w:rsidRDefault="00A72D17" w:rsidP="008645FC">
      <w:pPr>
        <w:tabs>
          <w:tab w:val="left" w:pos="2268"/>
        </w:tabs>
        <w:spacing w:before="120" w:after="120"/>
        <w:ind w:left="1134" w:right="1134"/>
        <w:jc w:val="both"/>
        <w:rPr>
          <w:rFonts w:asciiTheme="majorBidi" w:hAnsiTheme="majorBidi" w:cstheme="majorBidi"/>
        </w:rPr>
      </w:pPr>
      <w:r w:rsidRPr="00FC4465">
        <w:rPr>
          <w:rFonts w:asciiTheme="majorBidi" w:hAnsiTheme="majorBidi" w:cstheme="majorBidi"/>
        </w:rPr>
        <w:t xml:space="preserve">Añádanse las siguientes notas a pie de página: </w:t>
      </w:r>
    </w:p>
    <w:p w14:paraId="344A2DEA" w14:textId="5FDDBFCA" w:rsidR="00A72D17" w:rsidRPr="00FC4465" w:rsidRDefault="008C5013" w:rsidP="008645FC">
      <w:pPr>
        <w:pStyle w:val="SingleTxtG"/>
        <w:spacing w:after="0"/>
        <w:rPr>
          <w:rFonts w:asciiTheme="majorBidi" w:hAnsiTheme="majorBidi" w:cstheme="majorBidi"/>
          <w:i/>
          <w:iCs/>
        </w:rPr>
      </w:pPr>
      <w:r w:rsidRPr="008645FC">
        <w:rPr>
          <w:rFonts w:asciiTheme="majorBidi" w:hAnsiTheme="majorBidi" w:cstheme="majorBidi"/>
          <w:iCs/>
        </w:rPr>
        <w:t>“</w:t>
      </w:r>
      <w:r w:rsidR="00A72D17" w:rsidRPr="00FC4465">
        <w:rPr>
          <w:rFonts w:asciiTheme="majorBidi" w:hAnsiTheme="majorBidi" w:cstheme="majorBidi"/>
          <w:vertAlign w:val="superscript"/>
        </w:rPr>
        <w:t>1</w:t>
      </w:r>
      <w:r w:rsidR="00A72D17" w:rsidRPr="00FC4465">
        <w:rPr>
          <w:rFonts w:asciiTheme="majorBidi" w:hAnsiTheme="majorBidi" w:cstheme="majorBidi"/>
        </w:rPr>
        <w:tab/>
      </w:r>
      <w:r w:rsidR="00A72D17" w:rsidRPr="00FC4465">
        <w:rPr>
          <w:rFonts w:asciiTheme="majorBidi" w:hAnsiTheme="majorBidi" w:cstheme="majorBidi"/>
          <w:i/>
          <w:iCs/>
        </w:rPr>
        <w:t>La serie de pruebas 2 es opcional.</w:t>
      </w:r>
      <w:r w:rsidR="00A72D17" w:rsidRPr="00FC4465">
        <w:rPr>
          <w:rFonts w:asciiTheme="majorBidi" w:hAnsiTheme="majorBidi" w:cstheme="majorBidi"/>
        </w:rPr>
        <w:t xml:space="preserve"> </w:t>
      </w:r>
      <w:r w:rsidR="00A72D17" w:rsidRPr="00FC4465">
        <w:rPr>
          <w:rFonts w:asciiTheme="majorBidi" w:hAnsiTheme="majorBidi" w:cstheme="majorBidi"/>
          <w:i/>
          <w:iCs/>
        </w:rPr>
        <w:t>Se puede aplicar directamente la ruta alternativa (a través de las pruebas 6 a) y b) y la serie de pruebas 3) sin realizar la serie de pruebas 2.</w:t>
      </w:r>
    </w:p>
    <w:p w14:paraId="1CD02E92" w14:textId="5CC25304" w:rsidR="00A72D17" w:rsidRPr="00FC4465" w:rsidRDefault="00A72D17" w:rsidP="008645FC">
      <w:pPr>
        <w:pStyle w:val="SingleTxtG"/>
        <w:rPr>
          <w:rFonts w:asciiTheme="majorBidi" w:hAnsiTheme="majorBidi" w:cstheme="majorBidi"/>
          <w:i/>
          <w:iCs/>
        </w:rPr>
      </w:pPr>
      <w:r w:rsidRPr="00FC4465">
        <w:rPr>
          <w:rFonts w:asciiTheme="majorBidi" w:hAnsiTheme="majorBidi" w:cstheme="majorBidi"/>
          <w:vertAlign w:val="superscript"/>
        </w:rPr>
        <w:t>2</w:t>
      </w:r>
      <w:r w:rsidRPr="00FC4465">
        <w:rPr>
          <w:rFonts w:asciiTheme="majorBidi" w:hAnsiTheme="majorBidi" w:cstheme="majorBidi"/>
        </w:rPr>
        <w:tab/>
      </w:r>
      <w:r w:rsidRPr="00FC4465">
        <w:rPr>
          <w:rFonts w:asciiTheme="majorBidi" w:hAnsiTheme="majorBidi" w:cstheme="majorBidi"/>
          <w:i/>
          <w:iCs/>
        </w:rPr>
        <w:t>La serie de pruebas 3 no se aplica a las mezclas de nitrocelulosa que no contienen explosivos distintos de la nitrocelulosa.</w:t>
      </w:r>
      <w:r w:rsidR="008C5013" w:rsidRPr="008645FC">
        <w:rPr>
          <w:rFonts w:asciiTheme="majorBidi" w:hAnsiTheme="majorBidi" w:cstheme="majorBidi"/>
          <w:iCs/>
        </w:rPr>
        <w:t>”</w:t>
      </w:r>
      <w:r w:rsidRPr="008645FC">
        <w:rPr>
          <w:rFonts w:asciiTheme="majorBidi" w:hAnsiTheme="majorBidi" w:cstheme="majorBidi"/>
          <w:iCs/>
        </w:rPr>
        <w:t>.</w:t>
      </w:r>
    </w:p>
    <w:p w14:paraId="7997523B" w14:textId="77777777" w:rsidR="00A72D17" w:rsidRPr="00FC4465" w:rsidRDefault="00A72D17" w:rsidP="008645FC">
      <w:pPr>
        <w:pStyle w:val="SingleTxtG"/>
        <w:jc w:val="left"/>
        <w:rPr>
          <w:rFonts w:asciiTheme="majorBidi" w:hAnsiTheme="majorBidi" w:cstheme="majorBidi"/>
        </w:rPr>
      </w:pPr>
      <w:r w:rsidRPr="00FC4465">
        <w:rPr>
          <w:rFonts w:asciiTheme="majorBidi" w:hAnsiTheme="majorBidi" w:cstheme="majorBidi"/>
        </w:rPr>
        <w:lastRenderedPageBreak/>
        <w:t xml:space="preserve">El actual párrafo 2.17.4.2 se mantiene sin cambios. </w:t>
      </w:r>
    </w:p>
    <w:p w14:paraId="3D3A8E4E" w14:textId="77777777" w:rsidR="00A72D17" w:rsidRPr="00FC4465" w:rsidRDefault="00A72D17" w:rsidP="008645FC">
      <w:pPr>
        <w:pStyle w:val="H1G"/>
      </w:pPr>
      <w:r w:rsidRPr="00FC4465">
        <w:tab/>
      </w:r>
      <w:r w:rsidRPr="00FC4465">
        <w:tab/>
        <w:t>Capítulo 3.1</w:t>
      </w:r>
    </w:p>
    <w:p w14:paraId="0A721D55" w14:textId="48C2F0C2" w:rsidR="00A72D17" w:rsidRPr="00FC4465" w:rsidRDefault="00A72D17" w:rsidP="00A46614">
      <w:pPr>
        <w:pStyle w:val="SingleTxtG"/>
        <w:ind w:left="2268" w:hanging="1134"/>
        <w:rPr>
          <w:rFonts w:asciiTheme="majorBidi" w:hAnsiTheme="majorBidi" w:cstheme="majorBidi"/>
        </w:rPr>
      </w:pPr>
      <w:r w:rsidRPr="00FC4465">
        <w:rPr>
          <w:rFonts w:asciiTheme="majorBidi" w:hAnsiTheme="majorBidi" w:cstheme="majorBidi"/>
        </w:rPr>
        <w:t>3.1.2.3</w:t>
      </w:r>
      <w:r w:rsidRPr="00FC4465">
        <w:rPr>
          <w:rFonts w:asciiTheme="majorBidi" w:hAnsiTheme="majorBidi" w:cstheme="majorBidi"/>
        </w:rPr>
        <w:tab/>
      </w:r>
      <w:r w:rsidRPr="00FC4465">
        <w:rPr>
          <w:rFonts w:asciiTheme="majorBidi" w:hAnsiTheme="majorBidi" w:cstheme="majorBidi"/>
        </w:rPr>
        <w:tab/>
        <w:t xml:space="preserve">En la última oración, sustitúyase </w:t>
      </w:r>
      <w:r w:rsidR="008C5013" w:rsidRPr="00FC4465">
        <w:rPr>
          <w:rFonts w:asciiTheme="majorBidi" w:hAnsiTheme="majorBidi" w:cstheme="majorBidi"/>
        </w:rPr>
        <w:t>“</w:t>
      </w:r>
      <w:r w:rsidRPr="00FC4465">
        <w:rPr>
          <w:rFonts w:asciiTheme="majorBidi" w:hAnsiTheme="majorBidi" w:cstheme="majorBidi"/>
        </w:rPr>
        <w:t>siguiendo el enfoque</w:t>
      </w:r>
      <w:r w:rsidR="008C5013" w:rsidRPr="00FC4465">
        <w:rPr>
          <w:rFonts w:asciiTheme="majorBidi" w:hAnsiTheme="majorBidi" w:cstheme="majorBidi"/>
        </w:rPr>
        <w:t>”</w:t>
      </w:r>
      <w:r w:rsidRPr="00FC4465">
        <w:rPr>
          <w:rFonts w:asciiTheme="majorBidi" w:hAnsiTheme="majorBidi" w:cstheme="majorBidi"/>
        </w:rPr>
        <w:t xml:space="preserve"> por </w:t>
      </w:r>
      <w:r w:rsidR="008C5013" w:rsidRPr="00FC4465">
        <w:rPr>
          <w:rFonts w:asciiTheme="majorBidi" w:hAnsiTheme="majorBidi" w:cstheme="majorBidi"/>
        </w:rPr>
        <w:t>“</w:t>
      </w:r>
      <w:r w:rsidRPr="00FC4465">
        <w:rPr>
          <w:rFonts w:asciiTheme="majorBidi" w:hAnsiTheme="majorBidi" w:cstheme="majorBidi"/>
        </w:rPr>
        <w:t>mediante la evaluación</w:t>
      </w:r>
      <w:r w:rsidR="008C5013" w:rsidRPr="00FC4465">
        <w:rPr>
          <w:rFonts w:asciiTheme="majorBidi" w:hAnsiTheme="majorBidi" w:cstheme="majorBidi"/>
        </w:rPr>
        <w:t>”</w:t>
      </w:r>
      <w:r w:rsidRPr="00FC4465">
        <w:rPr>
          <w:rFonts w:asciiTheme="majorBidi" w:hAnsiTheme="majorBidi" w:cstheme="majorBidi"/>
        </w:rPr>
        <w:t>.</w:t>
      </w:r>
    </w:p>
    <w:p w14:paraId="56DBF4EF" w14:textId="77777777" w:rsidR="00A72D17" w:rsidRPr="00FC4465" w:rsidRDefault="00A72D17" w:rsidP="00A72D17">
      <w:pPr>
        <w:pStyle w:val="SingleTxtG"/>
        <w:rPr>
          <w:rFonts w:asciiTheme="majorBidi" w:hAnsiTheme="majorBidi" w:cstheme="majorBidi"/>
        </w:rPr>
      </w:pPr>
      <w:r w:rsidRPr="00FC4465">
        <w:rPr>
          <w:rFonts w:asciiTheme="majorBidi" w:hAnsiTheme="majorBidi" w:cstheme="majorBidi"/>
        </w:rPr>
        <w:t>3.1.2.6.1</w:t>
      </w:r>
      <w:r w:rsidRPr="00FC4465">
        <w:rPr>
          <w:rFonts w:asciiTheme="majorBidi" w:hAnsiTheme="majorBidi" w:cstheme="majorBidi"/>
        </w:rPr>
        <w:tab/>
        <w:t>Al final del párrafo, añádase la siguiente oración:</w:t>
      </w:r>
    </w:p>
    <w:p w14:paraId="4F50515C" w14:textId="4EDD64F1" w:rsidR="00A72D17" w:rsidRPr="00FC4465" w:rsidRDefault="008C5013" w:rsidP="00A72D17">
      <w:pPr>
        <w:pStyle w:val="SingleTxtG"/>
        <w:ind w:left="2268"/>
        <w:rPr>
          <w:rFonts w:asciiTheme="majorBidi" w:hAnsiTheme="majorBidi" w:cstheme="majorBidi"/>
        </w:rPr>
      </w:pPr>
      <w:r w:rsidRPr="00FC4465">
        <w:rPr>
          <w:rFonts w:asciiTheme="majorBidi" w:hAnsiTheme="majorBidi" w:cstheme="majorBidi"/>
        </w:rPr>
        <w:t>“</w:t>
      </w:r>
      <w:r w:rsidR="00A72D17" w:rsidRPr="00FC4465">
        <w:rPr>
          <w:rFonts w:asciiTheme="majorBidi" w:hAnsiTheme="majorBidi" w:cstheme="majorBidi"/>
        </w:rPr>
        <w:t>En 3.1.5.3 figuran indicaciones complementarias sobre la conversión de valores experimentales para tiempos de exposición distintos de 1 hora.</w:t>
      </w:r>
      <w:r w:rsidRPr="00FC4465">
        <w:rPr>
          <w:rFonts w:asciiTheme="majorBidi" w:hAnsiTheme="majorBidi" w:cstheme="majorBidi"/>
        </w:rPr>
        <w:t>”</w:t>
      </w:r>
      <w:r w:rsidR="00A72D17" w:rsidRPr="00FC4465">
        <w:rPr>
          <w:rFonts w:asciiTheme="majorBidi" w:hAnsiTheme="majorBidi" w:cstheme="majorBidi"/>
        </w:rPr>
        <w:t>.</w:t>
      </w:r>
    </w:p>
    <w:p w14:paraId="574E1CC6" w14:textId="3BEA904F" w:rsidR="00A72D17" w:rsidRPr="00FC4465" w:rsidRDefault="00A72D17" w:rsidP="00A72D17">
      <w:pPr>
        <w:pStyle w:val="SingleTxtG"/>
        <w:ind w:left="2268" w:hanging="1134"/>
        <w:rPr>
          <w:rFonts w:asciiTheme="majorBidi" w:hAnsiTheme="majorBidi" w:cstheme="majorBidi"/>
        </w:rPr>
      </w:pPr>
      <w:r w:rsidRPr="00FC4465">
        <w:rPr>
          <w:rFonts w:asciiTheme="majorBidi" w:hAnsiTheme="majorBidi" w:cstheme="majorBidi"/>
        </w:rPr>
        <w:t>3.1.3.5.6</w:t>
      </w:r>
      <w:r w:rsidRPr="00FC4465">
        <w:rPr>
          <w:rFonts w:asciiTheme="majorBidi" w:hAnsiTheme="majorBidi" w:cstheme="majorBidi"/>
        </w:rPr>
        <w:tab/>
        <w:t xml:space="preserve">En la última oración, sustitúyase </w:t>
      </w:r>
      <w:r w:rsidR="008C5013" w:rsidRPr="00FC4465">
        <w:rPr>
          <w:rFonts w:asciiTheme="majorBidi" w:hAnsiTheme="majorBidi" w:cstheme="majorBidi"/>
        </w:rPr>
        <w:t>“</w:t>
      </w:r>
      <w:r w:rsidRPr="00FC4465">
        <w:rPr>
          <w:rFonts w:asciiTheme="majorBidi" w:hAnsiTheme="majorBidi" w:cstheme="majorBidi"/>
        </w:rPr>
        <w:t>asignarse a</w:t>
      </w:r>
      <w:r w:rsidR="008C5013" w:rsidRPr="00FC4465">
        <w:rPr>
          <w:rFonts w:asciiTheme="majorBidi" w:hAnsiTheme="majorBidi" w:cstheme="majorBidi"/>
        </w:rPr>
        <w:t>”</w:t>
      </w:r>
      <w:r w:rsidRPr="00FC4465">
        <w:rPr>
          <w:rFonts w:asciiTheme="majorBidi" w:hAnsiTheme="majorBidi" w:cstheme="majorBidi"/>
        </w:rPr>
        <w:t xml:space="preserve"> por </w:t>
      </w:r>
      <w:r w:rsidR="008C5013" w:rsidRPr="00FC4465">
        <w:rPr>
          <w:rFonts w:asciiTheme="majorBidi" w:hAnsiTheme="majorBidi" w:cstheme="majorBidi"/>
        </w:rPr>
        <w:t>“</w:t>
      </w:r>
      <w:r w:rsidRPr="00FC4465">
        <w:rPr>
          <w:rFonts w:asciiTheme="majorBidi" w:hAnsiTheme="majorBidi" w:cstheme="majorBidi"/>
        </w:rPr>
        <w:t>clasificarse en</w:t>
      </w:r>
      <w:r w:rsidR="008C5013" w:rsidRPr="00FC4465">
        <w:rPr>
          <w:rFonts w:asciiTheme="majorBidi" w:hAnsiTheme="majorBidi" w:cstheme="majorBidi"/>
        </w:rPr>
        <w:t>”</w:t>
      </w:r>
      <w:r w:rsidRPr="00FC4465">
        <w:rPr>
          <w:rFonts w:asciiTheme="majorBidi" w:hAnsiTheme="majorBidi" w:cstheme="majorBidi"/>
        </w:rPr>
        <w:t>.</w:t>
      </w:r>
    </w:p>
    <w:p w14:paraId="6AB2B669" w14:textId="491276BA" w:rsidR="00A72D17" w:rsidRPr="00FC4465" w:rsidRDefault="00A72D17" w:rsidP="00A72D17">
      <w:pPr>
        <w:pStyle w:val="SingleTxtG"/>
        <w:ind w:left="2268" w:hanging="1134"/>
        <w:rPr>
          <w:rFonts w:asciiTheme="majorBidi" w:hAnsiTheme="majorBidi" w:cstheme="majorBidi"/>
        </w:rPr>
      </w:pPr>
      <w:r w:rsidRPr="00FC4465">
        <w:rPr>
          <w:rFonts w:asciiTheme="majorBidi" w:hAnsiTheme="majorBidi" w:cstheme="majorBidi"/>
        </w:rPr>
        <w:t>3.1.3.5.7</w:t>
      </w:r>
      <w:r w:rsidRPr="00FC4465">
        <w:rPr>
          <w:rFonts w:asciiTheme="majorBidi" w:hAnsiTheme="majorBidi" w:cstheme="majorBidi"/>
        </w:rPr>
        <w:tab/>
        <w:t xml:space="preserve">Al inicio de la oración, sustitúyase </w:t>
      </w:r>
      <w:r w:rsidR="008C5013" w:rsidRPr="00FC4465">
        <w:rPr>
          <w:rFonts w:asciiTheme="majorBidi" w:hAnsiTheme="majorBidi" w:cstheme="majorBidi"/>
        </w:rPr>
        <w:t>“</w:t>
      </w:r>
      <w:r w:rsidRPr="00FC4465">
        <w:rPr>
          <w:rFonts w:asciiTheme="majorBidi" w:hAnsiTheme="majorBidi" w:cstheme="majorBidi"/>
        </w:rPr>
        <w:t>mezcla en forma de aerosol</w:t>
      </w:r>
      <w:r w:rsidR="008C5013" w:rsidRPr="00FC4465">
        <w:rPr>
          <w:rFonts w:asciiTheme="majorBidi" w:hAnsiTheme="majorBidi" w:cstheme="majorBidi"/>
        </w:rPr>
        <w:t>”</w:t>
      </w:r>
      <w:r w:rsidRPr="00FC4465">
        <w:rPr>
          <w:rFonts w:asciiTheme="majorBidi" w:hAnsiTheme="majorBidi" w:cstheme="majorBidi"/>
        </w:rPr>
        <w:t xml:space="preserve"> por </w:t>
      </w:r>
      <w:r w:rsidR="008C5013" w:rsidRPr="00FC4465">
        <w:rPr>
          <w:rFonts w:asciiTheme="majorBidi" w:hAnsiTheme="majorBidi" w:cstheme="majorBidi"/>
        </w:rPr>
        <w:t>“</w:t>
      </w:r>
      <w:r w:rsidRPr="00FC4465">
        <w:rPr>
          <w:rFonts w:asciiTheme="majorBidi" w:hAnsiTheme="majorBidi" w:cstheme="majorBidi"/>
        </w:rPr>
        <w:t>mezcla aerosolizada</w:t>
      </w:r>
      <w:r w:rsidR="008C5013" w:rsidRPr="00FC4465">
        <w:rPr>
          <w:rFonts w:asciiTheme="majorBidi" w:hAnsiTheme="majorBidi" w:cstheme="majorBidi"/>
        </w:rPr>
        <w:t>”</w:t>
      </w:r>
      <w:r w:rsidRPr="00FC4465">
        <w:rPr>
          <w:rFonts w:asciiTheme="majorBidi" w:hAnsiTheme="majorBidi" w:cstheme="majorBidi"/>
        </w:rPr>
        <w:t>.</w:t>
      </w:r>
    </w:p>
    <w:p w14:paraId="650CDC38" w14:textId="4BFA61EC" w:rsidR="00A72D17" w:rsidRPr="00FC4465" w:rsidRDefault="00A72D17" w:rsidP="00A72D17">
      <w:pPr>
        <w:pStyle w:val="SingleTxtG"/>
        <w:ind w:left="2268" w:hanging="1134"/>
        <w:rPr>
          <w:rFonts w:asciiTheme="majorBidi" w:hAnsiTheme="majorBidi" w:cstheme="majorBidi"/>
        </w:rPr>
      </w:pPr>
      <w:r w:rsidRPr="00FC4465">
        <w:rPr>
          <w:rFonts w:asciiTheme="majorBidi" w:hAnsiTheme="majorBidi" w:cstheme="majorBidi"/>
        </w:rPr>
        <w:t>3.1.4.1</w:t>
      </w:r>
      <w:r w:rsidRPr="00FC4465">
        <w:rPr>
          <w:rFonts w:asciiTheme="majorBidi" w:hAnsiTheme="majorBidi" w:cstheme="majorBidi"/>
        </w:rPr>
        <w:tab/>
      </w:r>
      <w:r w:rsidRPr="00FC4465">
        <w:rPr>
          <w:rFonts w:asciiTheme="majorBidi" w:hAnsiTheme="majorBidi" w:cstheme="majorBidi"/>
        </w:rPr>
        <w:tab/>
        <w:t xml:space="preserve">Modifíquese la última oración para que diga: </w:t>
      </w:r>
      <w:r w:rsidR="008C5013" w:rsidRPr="00FC4465">
        <w:rPr>
          <w:rFonts w:asciiTheme="majorBidi" w:hAnsiTheme="majorBidi" w:cstheme="majorBidi"/>
        </w:rPr>
        <w:t>“</w:t>
      </w:r>
      <w:r w:rsidRPr="00FC4465">
        <w:rPr>
          <w:rFonts w:asciiTheme="majorBidi" w:hAnsiTheme="majorBidi" w:cstheme="majorBidi"/>
        </w:rPr>
        <w:t>La tabla 3.1.3 presenta los elementos específicos que deben figurar en las etiquetas de las sustancias y mezclas clasificadas en esta clase de peligro con arreglo a los criterios indicados en el presente capítulo.</w:t>
      </w:r>
      <w:r w:rsidR="008C5013" w:rsidRPr="00FC4465">
        <w:rPr>
          <w:rFonts w:asciiTheme="majorBidi" w:hAnsiTheme="majorBidi" w:cstheme="majorBidi"/>
        </w:rPr>
        <w:t>”</w:t>
      </w:r>
      <w:r w:rsidRPr="00FC4465">
        <w:rPr>
          <w:rFonts w:asciiTheme="majorBidi" w:hAnsiTheme="majorBidi" w:cstheme="majorBidi"/>
        </w:rPr>
        <w:t>.</w:t>
      </w:r>
    </w:p>
    <w:p w14:paraId="396936C5" w14:textId="77777777" w:rsidR="00A72D17" w:rsidRPr="00FC4465" w:rsidRDefault="00A72D17" w:rsidP="00A72D17">
      <w:pPr>
        <w:pStyle w:val="SingleTxtG"/>
        <w:rPr>
          <w:rFonts w:asciiTheme="majorBidi" w:hAnsiTheme="majorBidi" w:cstheme="majorBidi"/>
        </w:rPr>
      </w:pPr>
      <w:r w:rsidRPr="00FC4465">
        <w:rPr>
          <w:rFonts w:asciiTheme="majorBidi" w:hAnsiTheme="majorBidi" w:cstheme="majorBidi"/>
        </w:rPr>
        <w:t>3.1.5.3</w:t>
      </w:r>
      <w:r w:rsidRPr="00FC4465">
        <w:rPr>
          <w:rFonts w:asciiTheme="majorBidi" w:hAnsiTheme="majorBidi" w:cstheme="majorBidi"/>
        </w:rPr>
        <w:tab/>
      </w:r>
      <w:r w:rsidRPr="00FC4465">
        <w:rPr>
          <w:rFonts w:asciiTheme="majorBidi" w:hAnsiTheme="majorBidi" w:cstheme="majorBidi"/>
        </w:rPr>
        <w:tab/>
        <w:t xml:space="preserve">Añádase una nueva sección 3.1.5.3 que diga: </w:t>
      </w:r>
    </w:p>
    <w:p w14:paraId="14670906" w14:textId="04FB31F5" w:rsidR="00A72D17" w:rsidRPr="00FC4465" w:rsidRDefault="008C5013" w:rsidP="00A72D17">
      <w:pPr>
        <w:pStyle w:val="SingleTxtG"/>
        <w:rPr>
          <w:rFonts w:asciiTheme="majorBidi" w:hAnsiTheme="majorBidi" w:cstheme="majorBidi"/>
        </w:rPr>
      </w:pPr>
      <w:r w:rsidRPr="001542DD">
        <w:rPr>
          <w:rFonts w:asciiTheme="majorBidi" w:hAnsiTheme="majorBidi" w:cstheme="majorBidi"/>
        </w:rPr>
        <w:t>“</w:t>
      </w:r>
      <w:r w:rsidR="00A72D17" w:rsidRPr="00FC4465">
        <w:rPr>
          <w:rFonts w:asciiTheme="majorBidi" w:hAnsiTheme="majorBidi" w:cstheme="majorBidi"/>
          <w:b/>
          <w:bCs/>
        </w:rPr>
        <w:t>3.1.5.3</w:t>
      </w:r>
      <w:r w:rsidR="00A72D17" w:rsidRPr="00FC4465">
        <w:rPr>
          <w:rFonts w:asciiTheme="majorBidi" w:hAnsiTheme="majorBidi" w:cstheme="majorBidi"/>
        </w:rPr>
        <w:tab/>
      </w:r>
      <w:r w:rsidR="00A72D17" w:rsidRPr="00FC4465">
        <w:rPr>
          <w:rFonts w:asciiTheme="majorBidi" w:hAnsiTheme="majorBidi" w:cstheme="majorBidi"/>
          <w:b/>
          <w:bCs/>
          <w:i/>
          <w:iCs/>
        </w:rPr>
        <w:t>Indicaciones complementarias</w:t>
      </w:r>
    </w:p>
    <w:p w14:paraId="4FD1DC68" w14:textId="2D4C15DC" w:rsidR="00A72D17" w:rsidRPr="00FC4465" w:rsidRDefault="00A72D17" w:rsidP="00A72D17">
      <w:pPr>
        <w:pStyle w:val="SingleTxtG"/>
        <w:rPr>
          <w:rFonts w:asciiTheme="majorBidi" w:hAnsiTheme="majorBidi" w:cstheme="majorBidi"/>
          <w:u w:val="single"/>
        </w:rPr>
      </w:pPr>
      <w:r w:rsidRPr="00FC4465">
        <w:rPr>
          <w:rFonts w:asciiTheme="majorBidi" w:hAnsiTheme="majorBidi" w:cstheme="majorBidi"/>
        </w:rPr>
        <w:t>3.1.5.3.1</w:t>
      </w:r>
      <w:r w:rsidRPr="00FC4465">
        <w:rPr>
          <w:rFonts w:asciiTheme="majorBidi" w:hAnsiTheme="majorBidi" w:cstheme="majorBidi"/>
        </w:rPr>
        <w:tab/>
        <w:t>Los valores de las estimaciones de la toxicidad aguda (ETA) utilizados para la clasificación relativa a la toxicidad por inhalación que figuran en la tabla 3.1.1 se basan en ensayos con una exposición de 4 horas en animales de laboratorio (3.1.2.6.1). Los valores existentes de CL</w:t>
      </w:r>
      <w:r w:rsidRPr="00FC4465">
        <w:rPr>
          <w:rFonts w:asciiTheme="majorBidi" w:hAnsiTheme="majorBidi" w:cstheme="majorBidi"/>
          <w:vertAlign w:val="subscript"/>
        </w:rPr>
        <w:t>50</w:t>
      </w:r>
      <w:r w:rsidRPr="00FC4465">
        <w:rPr>
          <w:rFonts w:asciiTheme="majorBidi" w:hAnsiTheme="majorBidi" w:cstheme="majorBidi"/>
        </w:rPr>
        <w:t xml:space="preserve"> por inhalación obtenidos en estudios con tiempos de exposición distintos de 1 hora (3.1.2.6.1) pueden ajustarse para que correspondan a una exposición de 4 horas utilizando la ecuación de Ten Berge (C</w:t>
      </w:r>
      <w:r w:rsidRPr="00FC4465">
        <w:rPr>
          <w:rFonts w:asciiTheme="majorBidi" w:hAnsiTheme="majorBidi" w:cstheme="majorBidi"/>
          <w:vertAlign w:val="superscript"/>
        </w:rPr>
        <w:t>n</w:t>
      </w:r>
      <w:r w:rsidRPr="00FC4465">
        <w:rPr>
          <w:rFonts w:asciiTheme="majorBidi" w:hAnsiTheme="majorBidi" w:cstheme="majorBidi"/>
        </w:rPr>
        <w:t xml:space="preserve"> × t = k) para gases y vapores y la regla de Haber (C</w:t>
      </w:r>
      <w:r w:rsidR="00A46614" w:rsidRPr="00FC4465">
        <w:rPr>
          <w:rFonts w:asciiTheme="majorBidi" w:hAnsiTheme="majorBidi" w:cstheme="majorBidi"/>
        </w:rPr>
        <w:t> </w:t>
      </w:r>
      <w:r w:rsidRPr="00FC4465">
        <w:rPr>
          <w:rFonts w:asciiTheme="majorBidi" w:hAnsiTheme="majorBidi" w:cstheme="majorBidi"/>
        </w:rPr>
        <w:t>× t = k) para polvos y nieblas:</w:t>
      </w:r>
    </w:p>
    <w:p w14:paraId="41016895" w14:textId="77777777" w:rsidR="00A72D17" w:rsidRPr="00FC4465" w:rsidRDefault="00A72D17" w:rsidP="00A72D17">
      <w:pPr>
        <w:pStyle w:val="SingleTxtG"/>
        <w:rPr>
          <w:rFonts w:asciiTheme="majorBidi" w:hAnsiTheme="majorBidi" w:cstheme="majorBidi"/>
          <w:u w:val="single"/>
        </w:rPr>
      </w:pPr>
      <w:r w:rsidRPr="00FC4465">
        <w:rPr>
          <w:rFonts w:asciiTheme="majorBidi" w:hAnsiTheme="majorBidi" w:cstheme="majorBidi"/>
          <w:u w:val="single"/>
        </w:rPr>
        <w:t>Fórmula para gases y vapores</w:t>
      </w:r>
    </w:p>
    <w:p w14:paraId="6E15FE0F" w14:textId="77777777" w:rsidR="00A72D17" w:rsidRPr="00D73F90" w:rsidRDefault="00006632" w:rsidP="00A72D17">
      <w:pPr>
        <w:tabs>
          <w:tab w:val="left" w:pos="1418"/>
          <w:tab w:val="center" w:pos="4819"/>
        </w:tabs>
        <w:spacing w:after="480"/>
        <w:ind w:left="630"/>
        <w:rPr>
          <w:rFonts w:asciiTheme="majorBidi" w:hAnsiTheme="majorBidi" w:cstheme="majorBidi"/>
          <w:u w:val="single"/>
        </w:rPr>
      </w:pPr>
      <m:oMathPara>
        <m:oMath>
          <m:sSub>
            <m:sSubPr>
              <m:ctrlPr>
                <w:rPr>
                  <w:rFonts w:ascii="Cambria Math" w:hAnsi="Cambria Math" w:cstheme="majorBidi"/>
                  <w:bCs/>
                </w:rPr>
              </m:ctrlPr>
            </m:sSubPr>
            <m:e>
              <m:r>
                <m:rPr>
                  <m:sty m:val="p"/>
                </m:rPr>
                <w:rPr>
                  <w:rFonts w:ascii="Cambria Math" w:hAnsi="Cambria Math" w:cstheme="majorBidi"/>
                </w:rPr>
                <m:t>CL</m:t>
              </m:r>
            </m:e>
            <m:sub>
              <m:r>
                <m:rPr>
                  <m:sty m:val="p"/>
                </m:rPr>
                <w:rPr>
                  <w:rFonts w:ascii="Cambria Math" w:hAnsi="Cambria Math" w:cstheme="majorBidi"/>
                </w:rPr>
                <m:t>50</m:t>
              </m:r>
            </m:sub>
          </m:sSub>
          <m:r>
            <m:rPr>
              <m:sty m:val="p"/>
            </m:rPr>
            <w:rPr>
              <w:rFonts w:ascii="Cambria Math" w:hAnsi="Cambria Math" w:cstheme="majorBidi"/>
            </w:rPr>
            <m:t>(4 horas)</m:t>
          </m:r>
          <m:r>
            <m:rPr>
              <m:sty m:val="b"/>
            </m:rPr>
            <w:rPr>
              <w:rFonts w:ascii="Cambria Math" w:hAnsi="Cambria Math" w:cstheme="majorBidi"/>
            </w:rPr>
            <m:t xml:space="preserve">= </m:t>
          </m:r>
          <m:sSup>
            <m:sSupPr>
              <m:ctrlPr>
                <w:rPr>
                  <w:rFonts w:ascii="Cambria Math" w:hAnsi="Cambria Math" w:cstheme="majorBidi"/>
                  <w:b/>
                </w:rPr>
              </m:ctrlPr>
            </m:sSupPr>
            <m:e>
              <m:d>
                <m:dPr>
                  <m:ctrlPr>
                    <w:rPr>
                      <w:rFonts w:ascii="Cambria Math" w:hAnsi="Cambria Math" w:cstheme="majorBidi"/>
                      <w:b/>
                    </w:rPr>
                  </m:ctrlPr>
                </m:dPr>
                <m:e>
                  <m:f>
                    <m:fPr>
                      <m:ctrlPr>
                        <w:rPr>
                          <w:rFonts w:ascii="Cambria Math" w:hAnsi="Cambria Math" w:cstheme="majorBidi"/>
                        </w:rPr>
                      </m:ctrlPr>
                    </m:fPr>
                    <m:num>
                      <m:sSup>
                        <m:sSupPr>
                          <m:ctrlPr>
                            <w:rPr>
                              <w:rFonts w:ascii="Cambria Math" w:hAnsi="Cambria Math" w:cstheme="majorBidi"/>
                            </w:rPr>
                          </m:ctrlPr>
                        </m:sSupPr>
                        <m:e>
                          <m:r>
                            <m:rPr>
                              <m:sty m:val="p"/>
                            </m:rPr>
                            <w:rPr>
                              <w:rFonts w:ascii="Cambria Math" w:hAnsi="Cambria Math" w:cstheme="majorBidi"/>
                            </w:rPr>
                            <m:t>C</m:t>
                          </m:r>
                        </m:e>
                        <m:sup>
                          <m:r>
                            <m:rPr>
                              <m:sty m:val="p"/>
                            </m:rPr>
                            <w:rPr>
                              <w:rFonts w:ascii="Cambria Math" w:hAnsi="Cambria Math" w:cstheme="majorBidi"/>
                            </w:rPr>
                            <m:t>n</m:t>
                          </m:r>
                        </m:sup>
                      </m:sSup>
                      <m:r>
                        <m:rPr>
                          <m:sty m:val="p"/>
                        </m:rPr>
                        <w:rPr>
                          <w:rFonts w:ascii="Cambria Math" w:hAnsi="Cambria Math" w:cstheme="majorBidi"/>
                        </w:rPr>
                        <m:t>× t</m:t>
                      </m:r>
                    </m:num>
                    <m:den>
                      <m:r>
                        <m:rPr>
                          <m:sty m:val="p"/>
                        </m:rPr>
                        <w:rPr>
                          <w:rFonts w:ascii="Cambria Math" w:hAnsi="Cambria Math" w:cstheme="majorBidi"/>
                        </w:rPr>
                        <m:t>4</m:t>
                      </m:r>
                    </m:den>
                  </m:f>
                </m:e>
              </m:d>
            </m:e>
            <m:sup>
              <m:r>
                <m:rPr>
                  <m:sty m:val="b"/>
                </m:rPr>
                <w:rPr>
                  <w:rFonts w:ascii="Cambria Math" w:hAnsi="Cambria Math" w:cstheme="majorBidi"/>
                </w:rPr>
                <m:t>1/n</m:t>
              </m:r>
            </m:sup>
          </m:sSup>
        </m:oMath>
      </m:oMathPara>
    </w:p>
    <w:p w14:paraId="5CC06ECC" w14:textId="5541EE4C" w:rsidR="00A72D17" w:rsidRPr="00FC4465" w:rsidRDefault="00A72D17" w:rsidP="00A46614">
      <w:pPr>
        <w:pStyle w:val="BodyText3"/>
        <w:tabs>
          <w:tab w:val="left" w:pos="1418"/>
        </w:tabs>
        <w:spacing w:before="120"/>
        <w:ind w:left="1134"/>
        <w:rPr>
          <w:rFonts w:asciiTheme="majorBidi" w:hAnsiTheme="majorBidi" w:cstheme="majorBidi"/>
          <w:sz w:val="24"/>
          <w:szCs w:val="20"/>
        </w:rPr>
      </w:pPr>
      <w:r w:rsidRPr="00FC4465">
        <w:rPr>
          <w:rFonts w:asciiTheme="majorBidi" w:hAnsiTheme="majorBidi" w:cstheme="majorBidi"/>
          <w:sz w:val="20"/>
          <w:szCs w:val="20"/>
        </w:rPr>
        <w:t>donde:</w:t>
      </w:r>
    </w:p>
    <w:p w14:paraId="5D6770EF" w14:textId="77777777" w:rsidR="00A72D17" w:rsidRPr="00FC4465" w:rsidRDefault="00A72D17" w:rsidP="00A72D17">
      <w:pPr>
        <w:tabs>
          <w:tab w:val="left" w:pos="1418"/>
          <w:tab w:val="left" w:pos="1985"/>
          <w:tab w:val="left" w:pos="2552"/>
          <w:tab w:val="left" w:pos="3119"/>
          <w:tab w:val="left" w:pos="3686"/>
          <w:tab w:val="left" w:pos="4275"/>
        </w:tabs>
        <w:ind w:firstLine="1418"/>
        <w:rPr>
          <w:rFonts w:asciiTheme="majorBidi" w:hAnsiTheme="majorBidi" w:cstheme="majorBidi"/>
        </w:rPr>
      </w:pPr>
      <w:r w:rsidRPr="00FC4465">
        <w:rPr>
          <w:rFonts w:asciiTheme="majorBidi" w:hAnsiTheme="majorBidi" w:cstheme="majorBidi"/>
        </w:rPr>
        <w:t>C</w:t>
      </w:r>
      <w:r w:rsidRPr="00FC4465">
        <w:rPr>
          <w:rFonts w:asciiTheme="majorBidi" w:hAnsiTheme="majorBidi" w:cstheme="majorBidi"/>
        </w:rPr>
        <w:tab/>
        <w:t>=</w:t>
      </w:r>
      <w:r w:rsidRPr="00FC4465">
        <w:rPr>
          <w:rFonts w:asciiTheme="majorBidi" w:hAnsiTheme="majorBidi" w:cstheme="majorBidi"/>
        </w:rPr>
        <w:tab/>
        <w:t>Concentración CL</w:t>
      </w:r>
      <w:r w:rsidRPr="00FC4465">
        <w:rPr>
          <w:rFonts w:asciiTheme="majorBidi" w:hAnsiTheme="majorBidi" w:cstheme="majorBidi"/>
          <w:vertAlign w:val="subscript"/>
        </w:rPr>
        <w:t>50</w:t>
      </w:r>
      <w:r w:rsidRPr="00FC4465">
        <w:rPr>
          <w:rFonts w:asciiTheme="majorBidi" w:hAnsiTheme="majorBidi" w:cstheme="majorBidi"/>
        </w:rPr>
        <w:t xml:space="preserve"> para el tiempo de exposición t</w:t>
      </w:r>
    </w:p>
    <w:p w14:paraId="64645F15" w14:textId="77777777" w:rsidR="00A72D17" w:rsidRPr="00FC4465" w:rsidRDefault="00A72D17" w:rsidP="00A72D17">
      <w:pPr>
        <w:tabs>
          <w:tab w:val="left" w:pos="1985"/>
          <w:tab w:val="left" w:pos="2552"/>
          <w:tab w:val="left" w:pos="3119"/>
          <w:tab w:val="left" w:pos="3686"/>
          <w:tab w:val="left" w:pos="4275"/>
        </w:tabs>
        <w:ind w:left="2552" w:hanging="1134"/>
        <w:rPr>
          <w:rFonts w:asciiTheme="majorBidi" w:hAnsiTheme="majorBidi" w:cstheme="majorBidi"/>
        </w:rPr>
      </w:pPr>
      <w:r w:rsidRPr="00FC4465">
        <w:rPr>
          <w:rFonts w:asciiTheme="majorBidi" w:hAnsiTheme="majorBidi" w:cstheme="majorBidi"/>
        </w:rPr>
        <w:t>n</w:t>
      </w:r>
      <w:r w:rsidRPr="00FC4465">
        <w:rPr>
          <w:rFonts w:asciiTheme="majorBidi" w:hAnsiTheme="majorBidi" w:cstheme="majorBidi"/>
        </w:rPr>
        <w:tab/>
        <w:t>=</w:t>
      </w:r>
      <w:r w:rsidRPr="00FC4465">
        <w:rPr>
          <w:rFonts w:asciiTheme="majorBidi" w:hAnsiTheme="majorBidi" w:cstheme="majorBidi"/>
        </w:rPr>
        <w:tab/>
        <w:t>exponente específico para la sustancia</w:t>
      </w:r>
    </w:p>
    <w:p w14:paraId="79A095CC" w14:textId="77777777" w:rsidR="00A72D17" w:rsidRPr="00FC4465" w:rsidRDefault="00A72D17" w:rsidP="00A72D17">
      <w:pPr>
        <w:tabs>
          <w:tab w:val="left" w:pos="1418"/>
          <w:tab w:val="left" w:pos="1985"/>
          <w:tab w:val="left" w:pos="2552"/>
          <w:tab w:val="left" w:pos="3119"/>
          <w:tab w:val="left" w:pos="3686"/>
          <w:tab w:val="left" w:pos="4275"/>
        </w:tabs>
        <w:ind w:firstLine="1418"/>
        <w:rPr>
          <w:rFonts w:asciiTheme="majorBidi" w:hAnsiTheme="majorBidi" w:cstheme="majorBidi"/>
        </w:rPr>
      </w:pPr>
      <w:r w:rsidRPr="00FC4465">
        <w:rPr>
          <w:rFonts w:asciiTheme="majorBidi" w:hAnsiTheme="majorBidi" w:cstheme="majorBidi"/>
        </w:rPr>
        <w:t>t</w:t>
      </w:r>
      <w:r w:rsidRPr="00FC4465">
        <w:rPr>
          <w:rFonts w:asciiTheme="majorBidi" w:hAnsiTheme="majorBidi" w:cstheme="majorBidi"/>
        </w:rPr>
        <w:tab/>
        <w:t>=</w:t>
      </w:r>
      <w:r w:rsidRPr="00FC4465">
        <w:rPr>
          <w:rFonts w:asciiTheme="majorBidi" w:hAnsiTheme="majorBidi" w:cstheme="majorBidi"/>
        </w:rPr>
        <w:tab/>
        <w:t>tiempo de exposición, en horas, para C</w:t>
      </w:r>
    </w:p>
    <w:p w14:paraId="209FA5E7" w14:textId="77777777" w:rsidR="00A72D17" w:rsidRPr="00FC4465" w:rsidRDefault="00A72D17" w:rsidP="00A72D17">
      <w:pPr>
        <w:pStyle w:val="SingleTxtG"/>
        <w:spacing w:before="240"/>
        <w:rPr>
          <w:rFonts w:asciiTheme="majorBidi" w:hAnsiTheme="majorBidi" w:cstheme="majorBidi"/>
          <w:u w:val="single"/>
        </w:rPr>
      </w:pPr>
      <w:r w:rsidRPr="00FC4465">
        <w:rPr>
          <w:rFonts w:asciiTheme="majorBidi" w:hAnsiTheme="majorBidi" w:cstheme="majorBidi"/>
          <w:u w:val="single"/>
        </w:rPr>
        <w:t>Fórmula para polvos y nieblas</w:t>
      </w:r>
    </w:p>
    <w:p w14:paraId="27AC4CE3" w14:textId="77777777" w:rsidR="00A72D17" w:rsidRPr="00FC4465" w:rsidRDefault="00006632" w:rsidP="00A72D17">
      <w:pPr>
        <w:tabs>
          <w:tab w:val="left" w:pos="1418"/>
          <w:tab w:val="center" w:pos="4819"/>
        </w:tabs>
        <w:spacing w:after="480"/>
        <w:ind w:left="630"/>
        <w:rPr>
          <w:rFonts w:asciiTheme="majorBidi" w:hAnsiTheme="majorBidi" w:cstheme="majorBidi"/>
          <w:u w:val="single"/>
        </w:rPr>
      </w:pPr>
      <m:oMathPara>
        <m:oMath>
          <m:sSub>
            <m:sSubPr>
              <m:ctrlPr>
                <w:rPr>
                  <w:rFonts w:ascii="Cambria Math" w:hAnsi="Cambria Math" w:cstheme="majorBidi"/>
                  <w:bCs/>
                  <w:iCs/>
                </w:rPr>
              </m:ctrlPr>
            </m:sSubPr>
            <m:e>
              <m:r>
                <m:rPr>
                  <m:sty m:val="p"/>
                </m:rPr>
                <w:rPr>
                  <w:rFonts w:ascii="Cambria Math" w:hAnsi="Cambria Math" w:cstheme="majorBidi"/>
                </w:rPr>
                <m:t>CL</m:t>
              </m:r>
            </m:e>
            <m:sub>
              <m:r>
                <m:rPr>
                  <m:sty m:val="p"/>
                </m:rPr>
                <w:rPr>
                  <w:rFonts w:ascii="Cambria Math" w:hAnsi="Cambria Math" w:cstheme="majorBidi"/>
                </w:rPr>
                <m:t>50</m:t>
              </m:r>
            </m:sub>
          </m:sSub>
          <m:r>
            <m:rPr>
              <m:sty m:val="p"/>
            </m:rPr>
            <w:rPr>
              <w:rFonts w:ascii="Cambria Math" w:hAnsi="Cambria Math" w:cstheme="majorBidi"/>
            </w:rPr>
            <m:t>(4 horas)</m:t>
          </m:r>
          <m:r>
            <m:rPr>
              <m:sty m:val="bi"/>
            </m:rPr>
            <w:rPr>
              <w:rFonts w:ascii="Cambria Math" w:hAnsi="Cambria Math" w:cstheme="majorBidi"/>
            </w:rPr>
            <m:t xml:space="preserve">= </m:t>
          </m:r>
          <m:f>
            <m:fPr>
              <m:ctrlPr>
                <w:rPr>
                  <w:rFonts w:ascii="Cambria Math" w:hAnsi="Cambria Math" w:cstheme="majorBidi"/>
                  <w:iCs/>
                </w:rPr>
              </m:ctrlPr>
            </m:fPr>
            <m:num>
              <m:r>
                <m:rPr>
                  <m:sty m:val="p"/>
                </m:rPr>
                <w:rPr>
                  <w:rFonts w:ascii="Cambria Math" w:hAnsi="Cambria Math" w:cstheme="majorBidi"/>
                </w:rPr>
                <m:t>C ×  t</m:t>
              </m:r>
            </m:num>
            <m:den>
              <m:r>
                <m:rPr>
                  <m:sty m:val="p"/>
                </m:rPr>
                <w:rPr>
                  <w:rFonts w:ascii="Cambria Math" w:hAnsi="Cambria Math" w:cstheme="majorBidi"/>
                </w:rPr>
                <m:t>4</m:t>
              </m:r>
            </m:den>
          </m:f>
        </m:oMath>
      </m:oMathPara>
    </w:p>
    <w:p w14:paraId="180E5C43" w14:textId="6C88A42D" w:rsidR="00A72D17" w:rsidRPr="00FC4465" w:rsidRDefault="00A72D17" w:rsidP="00EB7FC6">
      <w:pPr>
        <w:pStyle w:val="BodyText3"/>
        <w:tabs>
          <w:tab w:val="left" w:pos="1418"/>
        </w:tabs>
        <w:spacing w:before="120"/>
        <w:ind w:left="1134"/>
        <w:rPr>
          <w:rFonts w:asciiTheme="majorBidi" w:hAnsiTheme="majorBidi" w:cstheme="majorBidi"/>
          <w:sz w:val="20"/>
          <w:szCs w:val="20"/>
        </w:rPr>
      </w:pPr>
      <w:r w:rsidRPr="00FC4465">
        <w:rPr>
          <w:rFonts w:asciiTheme="majorBidi" w:hAnsiTheme="majorBidi" w:cstheme="majorBidi"/>
          <w:sz w:val="20"/>
          <w:szCs w:val="20"/>
        </w:rPr>
        <w:t>donde:</w:t>
      </w:r>
    </w:p>
    <w:p w14:paraId="79F627DD" w14:textId="77777777" w:rsidR="00A72D17" w:rsidRPr="00FC4465" w:rsidRDefault="00A72D17" w:rsidP="00A72D17">
      <w:pPr>
        <w:tabs>
          <w:tab w:val="left" w:pos="1418"/>
          <w:tab w:val="left" w:pos="1985"/>
          <w:tab w:val="left" w:pos="2552"/>
          <w:tab w:val="left" w:pos="3119"/>
          <w:tab w:val="left" w:pos="3686"/>
          <w:tab w:val="left" w:pos="4275"/>
        </w:tabs>
        <w:ind w:firstLine="1418"/>
        <w:rPr>
          <w:rFonts w:asciiTheme="majorBidi" w:hAnsiTheme="majorBidi" w:cstheme="majorBidi"/>
        </w:rPr>
      </w:pPr>
      <w:r w:rsidRPr="00FC4465">
        <w:rPr>
          <w:rFonts w:asciiTheme="majorBidi" w:hAnsiTheme="majorBidi" w:cstheme="majorBidi"/>
        </w:rPr>
        <w:t>C</w:t>
      </w:r>
      <w:r w:rsidRPr="00FC4465">
        <w:rPr>
          <w:rFonts w:asciiTheme="majorBidi" w:hAnsiTheme="majorBidi" w:cstheme="majorBidi"/>
        </w:rPr>
        <w:tab/>
        <w:t>=</w:t>
      </w:r>
      <w:r w:rsidRPr="00FC4465">
        <w:rPr>
          <w:rFonts w:asciiTheme="majorBidi" w:hAnsiTheme="majorBidi" w:cstheme="majorBidi"/>
        </w:rPr>
        <w:tab/>
        <w:t>Concentración CL</w:t>
      </w:r>
      <w:r w:rsidRPr="00FC4465">
        <w:rPr>
          <w:rFonts w:asciiTheme="majorBidi" w:hAnsiTheme="majorBidi" w:cstheme="majorBidi"/>
          <w:vertAlign w:val="subscript"/>
        </w:rPr>
        <w:t>50</w:t>
      </w:r>
      <w:r w:rsidRPr="00FC4465">
        <w:rPr>
          <w:rFonts w:asciiTheme="majorBidi" w:hAnsiTheme="majorBidi" w:cstheme="majorBidi"/>
        </w:rPr>
        <w:t xml:space="preserve"> para el tiempo de exposición t</w:t>
      </w:r>
    </w:p>
    <w:p w14:paraId="73644BF5" w14:textId="77777777" w:rsidR="00A72D17" w:rsidRPr="00FC4465" w:rsidRDefault="00A72D17" w:rsidP="00A72D17">
      <w:pPr>
        <w:tabs>
          <w:tab w:val="left" w:pos="1418"/>
          <w:tab w:val="left" w:pos="1985"/>
          <w:tab w:val="left" w:pos="2552"/>
          <w:tab w:val="left" w:pos="3119"/>
          <w:tab w:val="left" w:pos="3686"/>
          <w:tab w:val="left" w:pos="4275"/>
        </w:tabs>
        <w:ind w:firstLine="1418"/>
        <w:rPr>
          <w:rFonts w:asciiTheme="majorBidi" w:hAnsiTheme="majorBidi" w:cstheme="majorBidi"/>
        </w:rPr>
      </w:pPr>
      <w:r w:rsidRPr="00FC4465">
        <w:rPr>
          <w:rFonts w:asciiTheme="majorBidi" w:hAnsiTheme="majorBidi" w:cstheme="majorBidi"/>
        </w:rPr>
        <w:t>t</w:t>
      </w:r>
      <w:r w:rsidRPr="00FC4465">
        <w:rPr>
          <w:rFonts w:asciiTheme="majorBidi" w:hAnsiTheme="majorBidi" w:cstheme="majorBidi"/>
        </w:rPr>
        <w:tab/>
        <w:t>=</w:t>
      </w:r>
      <w:r w:rsidRPr="00FC4465">
        <w:rPr>
          <w:rFonts w:asciiTheme="majorBidi" w:hAnsiTheme="majorBidi" w:cstheme="majorBidi"/>
        </w:rPr>
        <w:tab/>
        <w:t>tiempo de exposición, en horas, para C</w:t>
      </w:r>
    </w:p>
    <w:p w14:paraId="69C2EDD0" w14:textId="77777777" w:rsidR="00A72D17" w:rsidRPr="00FC4465" w:rsidRDefault="00A72D17" w:rsidP="00A72D17">
      <w:pPr>
        <w:pStyle w:val="SingleTxtG"/>
        <w:spacing w:before="240"/>
        <w:rPr>
          <w:rFonts w:asciiTheme="majorBidi" w:hAnsiTheme="majorBidi" w:cstheme="majorBidi"/>
        </w:rPr>
      </w:pPr>
      <w:r w:rsidRPr="00FC4465">
        <w:rPr>
          <w:rFonts w:asciiTheme="majorBidi" w:hAnsiTheme="majorBidi" w:cstheme="majorBidi"/>
        </w:rPr>
        <w:t>3.1.5.3.2</w:t>
      </w:r>
      <w:r w:rsidRPr="00FC4465">
        <w:rPr>
          <w:rFonts w:asciiTheme="majorBidi" w:hAnsiTheme="majorBidi" w:cstheme="majorBidi"/>
        </w:rPr>
        <w:tab/>
        <w:t>Se da a n un valor por defecto de 2, a menos que se disponga de datos adicionales que indiquen de forma concluyente que es más adecuado utilizar otro valor. Los tiempos de exposición que se pueden convertir van de 30 minutos a 8 horas. Una autoridad competente podrá decidir si pueden convertirse otros tiempos de exposición. No deberían convertirse datos obtenidos en exposiciones prolongadas, puesto que esta clase de peligro se refiere a la toxicidad aguda. En el documento de orientación 39 de la OCDE (sección 4.1: Outline of the Exposure Methodology) figuran indicaciones sobre los tiempos de exposición adecuados para evaluar la toxicidad aguda por inhalación.</w:t>
      </w:r>
    </w:p>
    <w:p w14:paraId="762A2F7B" w14:textId="77777777" w:rsidR="00A72D17" w:rsidRPr="00FC4465" w:rsidRDefault="00A72D17" w:rsidP="008645FC">
      <w:pPr>
        <w:pStyle w:val="H23G"/>
      </w:pPr>
      <w:r w:rsidRPr="00FC4465">
        <w:lastRenderedPageBreak/>
        <w:tab/>
      </w:r>
      <w:r w:rsidRPr="00FC4465">
        <w:tab/>
        <w:t>Ejemplos: clasificación en función del valor de CL</w:t>
      </w:r>
      <w:r w:rsidRPr="00FC4465">
        <w:rPr>
          <w:vertAlign w:val="subscript"/>
        </w:rPr>
        <w:t>50</w:t>
      </w:r>
      <w:r w:rsidRPr="00FC4465">
        <w:t xml:space="preserve"> calculado para 4 horas</w:t>
      </w:r>
    </w:p>
    <w:p w14:paraId="4B6C899A" w14:textId="77777777" w:rsidR="00A72D17" w:rsidRPr="00FC4465" w:rsidRDefault="00A72D17" w:rsidP="00A72D17">
      <w:pPr>
        <w:pStyle w:val="SingleTxtG"/>
        <w:keepNext/>
        <w:keepLines/>
        <w:rPr>
          <w:rFonts w:asciiTheme="majorBidi" w:hAnsiTheme="majorBidi" w:cstheme="majorBidi"/>
          <w:b/>
          <w:bCs/>
          <w:i/>
          <w:iCs/>
        </w:rPr>
      </w:pPr>
      <w:r w:rsidRPr="00FC4465">
        <w:rPr>
          <w:rFonts w:asciiTheme="majorBidi" w:hAnsiTheme="majorBidi" w:cstheme="majorBidi"/>
          <w:b/>
          <w:bCs/>
          <w:i/>
          <w:iCs/>
        </w:rPr>
        <w:t>Ejemplo 1: Sustancia (líquida)</w:t>
      </w:r>
    </w:p>
    <w:p w14:paraId="1DE7C5F8" w14:textId="77777777" w:rsidR="00A72D17" w:rsidRPr="00FC4465" w:rsidRDefault="00A72D17" w:rsidP="00A72D17">
      <w:pPr>
        <w:pStyle w:val="SingleTxtG"/>
        <w:ind w:left="1560" w:hanging="426"/>
        <w:rPr>
          <w:rFonts w:asciiTheme="majorBidi" w:hAnsiTheme="majorBidi" w:cstheme="majorBidi"/>
        </w:rPr>
      </w:pPr>
      <w:r w:rsidRPr="00FC4465">
        <w:rPr>
          <w:rFonts w:asciiTheme="majorBidi" w:hAnsiTheme="majorBidi" w:cstheme="majorBidi"/>
        </w:rPr>
        <w:t>1.</w:t>
      </w:r>
      <w:r w:rsidRPr="00FC4465">
        <w:rPr>
          <w:rFonts w:asciiTheme="majorBidi" w:hAnsiTheme="majorBidi" w:cstheme="majorBidi"/>
        </w:rPr>
        <w:tab/>
        <w:t>A efectos de este ejemplo, el valor experimental de CL</w:t>
      </w:r>
      <w:r w:rsidRPr="00FC4465">
        <w:rPr>
          <w:rFonts w:asciiTheme="majorBidi" w:hAnsiTheme="majorBidi" w:cstheme="majorBidi"/>
          <w:vertAlign w:val="subscript"/>
        </w:rPr>
        <w:t>50</w:t>
      </w:r>
      <w:r w:rsidRPr="00FC4465">
        <w:rPr>
          <w:rFonts w:asciiTheme="majorBidi" w:hAnsiTheme="majorBidi" w:cstheme="majorBidi"/>
        </w:rPr>
        <w:t xml:space="preserve"> para una exposición de 6 horas a los vapores de la sustancia es de 13,6 mg/l.</w:t>
      </w:r>
    </w:p>
    <w:p w14:paraId="5FA27995" w14:textId="77777777" w:rsidR="00A72D17" w:rsidRPr="00FC4465" w:rsidRDefault="00A72D17" w:rsidP="00A72D17">
      <w:pPr>
        <w:pStyle w:val="SingleTxtG"/>
        <w:ind w:left="1560" w:hanging="426"/>
        <w:rPr>
          <w:rFonts w:asciiTheme="majorBidi" w:hAnsiTheme="majorBidi" w:cstheme="majorBidi"/>
        </w:rPr>
      </w:pPr>
      <w:r w:rsidRPr="00FC4465">
        <w:rPr>
          <w:rFonts w:asciiTheme="majorBidi" w:hAnsiTheme="majorBidi" w:cstheme="majorBidi"/>
        </w:rPr>
        <w:t>2.</w:t>
      </w:r>
      <w:r w:rsidRPr="00FC4465">
        <w:rPr>
          <w:rFonts w:asciiTheme="majorBidi" w:hAnsiTheme="majorBidi" w:cstheme="majorBidi"/>
        </w:rPr>
        <w:tab/>
        <w:t>No se dispone de información adicional sobre n, por lo que se utilizará el valor por defecto (n = 2).</w:t>
      </w:r>
    </w:p>
    <w:p w14:paraId="771F35B2" w14:textId="77777777" w:rsidR="00A72D17" w:rsidRPr="00FC4465" w:rsidRDefault="00A72D17" w:rsidP="00A72D17">
      <w:pPr>
        <w:pStyle w:val="SingleTxtG"/>
        <w:spacing w:before="240"/>
        <w:rPr>
          <w:rFonts w:asciiTheme="majorBidi" w:hAnsiTheme="majorBidi" w:cstheme="majorBidi"/>
          <w:u w:val="single"/>
        </w:rPr>
      </w:pPr>
      <w:r w:rsidRPr="00FC4465">
        <w:rPr>
          <w:rFonts w:asciiTheme="majorBidi" w:hAnsiTheme="majorBidi" w:cstheme="majorBidi"/>
          <w:u w:val="single"/>
        </w:rPr>
        <w:t>Criterio</w:t>
      </w:r>
    </w:p>
    <w:p w14:paraId="035BF570" w14:textId="77777777" w:rsidR="00A72D17" w:rsidRPr="00FC4465" w:rsidRDefault="00006632" w:rsidP="00A72D17">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536"/>
        </w:tabs>
        <w:spacing w:after="240"/>
        <w:rPr>
          <w:rFonts w:asciiTheme="majorBidi" w:hAnsiTheme="majorBidi" w:cstheme="majorBidi"/>
          <w:iCs/>
          <w:u w:val="single"/>
        </w:rPr>
      </w:pPr>
      <m:oMathPara>
        <m:oMath>
          <m:sSub>
            <m:sSubPr>
              <m:ctrlPr>
                <w:rPr>
                  <w:rFonts w:ascii="Cambria Math" w:hAnsi="Cambria Math" w:cstheme="majorBidi"/>
                  <w:bCs/>
                  <w:iCs/>
                </w:rPr>
              </m:ctrlPr>
            </m:sSubPr>
            <m:e>
              <m:r>
                <m:rPr>
                  <m:sty m:val="p"/>
                </m:rPr>
                <w:rPr>
                  <w:rFonts w:ascii="Cambria Math" w:hAnsi="Cambria Math" w:cstheme="majorBidi"/>
                </w:rPr>
                <m:t>CL</m:t>
              </m:r>
            </m:e>
            <m:sub>
              <m:r>
                <m:rPr>
                  <m:sty m:val="p"/>
                </m:rPr>
                <w:rPr>
                  <w:rFonts w:ascii="Cambria Math" w:hAnsi="Cambria Math" w:cstheme="majorBidi"/>
                </w:rPr>
                <m:t>50</m:t>
              </m:r>
            </m:sub>
          </m:sSub>
          <m:r>
            <m:rPr>
              <m:sty m:val="p"/>
            </m:rPr>
            <w:rPr>
              <w:rFonts w:ascii="Cambria Math" w:hAnsi="Cambria Math" w:cstheme="majorBidi"/>
            </w:rPr>
            <m:t>(4 horas)</m:t>
          </m:r>
          <m:r>
            <m:rPr>
              <m:sty m:val="bi"/>
            </m:rPr>
            <w:rPr>
              <w:rFonts w:ascii="Cambria Math" w:hAnsi="Cambria Math" w:cstheme="majorBidi"/>
            </w:rPr>
            <m:t xml:space="preserve">= </m:t>
          </m:r>
          <m:sSup>
            <m:sSupPr>
              <m:ctrlPr>
                <w:rPr>
                  <w:rFonts w:ascii="Cambria Math" w:hAnsi="Cambria Math" w:cstheme="majorBidi"/>
                  <w:b/>
                  <w:iCs/>
                </w:rPr>
              </m:ctrlPr>
            </m:sSupPr>
            <m:e>
              <m:d>
                <m:dPr>
                  <m:ctrlPr>
                    <w:rPr>
                      <w:rFonts w:ascii="Cambria Math" w:hAnsi="Cambria Math" w:cstheme="majorBidi"/>
                      <w:b/>
                      <w:iCs/>
                    </w:rPr>
                  </m:ctrlPr>
                </m:dPr>
                <m:e>
                  <m:f>
                    <m:fPr>
                      <m:ctrlPr>
                        <w:rPr>
                          <w:rFonts w:ascii="Cambria Math" w:hAnsi="Cambria Math" w:cstheme="majorBidi"/>
                          <w:iCs/>
                        </w:rPr>
                      </m:ctrlPr>
                    </m:fPr>
                    <m:num>
                      <m:sSup>
                        <m:sSupPr>
                          <m:ctrlPr>
                            <w:rPr>
                              <w:rFonts w:ascii="Cambria Math" w:hAnsi="Cambria Math" w:cstheme="majorBidi"/>
                              <w:iCs/>
                            </w:rPr>
                          </m:ctrlPr>
                        </m:sSupPr>
                        <m:e>
                          <m:r>
                            <m:rPr>
                              <m:sty m:val="p"/>
                            </m:rPr>
                            <w:rPr>
                              <w:rFonts w:ascii="Cambria Math" w:hAnsi="Cambria Math" w:cstheme="majorBidi"/>
                            </w:rPr>
                            <m:t>C</m:t>
                          </m:r>
                        </m:e>
                        <m:sup>
                          <m:r>
                            <m:rPr>
                              <m:sty m:val="p"/>
                            </m:rPr>
                            <w:rPr>
                              <w:rFonts w:ascii="Cambria Math" w:hAnsi="Cambria Math" w:cstheme="majorBidi"/>
                            </w:rPr>
                            <m:t>n</m:t>
                          </m:r>
                        </m:sup>
                      </m:sSup>
                      <m:r>
                        <m:rPr>
                          <m:sty m:val="p"/>
                        </m:rPr>
                        <w:rPr>
                          <w:rFonts w:ascii="Cambria Math" w:hAnsi="Cambria Math" w:cstheme="majorBidi"/>
                        </w:rPr>
                        <m:t xml:space="preserve"> × t</m:t>
                      </m:r>
                    </m:num>
                    <m:den>
                      <m:r>
                        <m:rPr>
                          <m:sty m:val="p"/>
                        </m:rPr>
                        <w:rPr>
                          <w:rFonts w:ascii="Cambria Math" w:hAnsi="Cambria Math" w:cstheme="majorBidi"/>
                        </w:rPr>
                        <m:t>4</m:t>
                      </m:r>
                    </m:den>
                  </m:f>
                </m:e>
              </m:d>
            </m:e>
            <m:sup>
              <m:r>
                <m:rPr>
                  <m:sty m:val="b"/>
                </m:rPr>
                <w:rPr>
                  <w:rFonts w:ascii="Cambria Math" w:hAnsi="Cambria Math" w:cstheme="majorBidi"/>
                </w:rPr>
                <m:t>1/n</m:t>
              </m:r>
            </m:sup>
          </m:sSup>
        </m:oMath>
      </m:oMathPara>
    </w:p>
    <w:p w14:paraId="79E38241" w14:textId="77777777" w:rsidR="00A72D17" w:rsidRPr="00FC4465" w:rsidRDefault="00A72D17" w:rsidP="00A72D17">
      <w:pPr>
        <w:pStyle w:val="SingleTxtG"/>
        <w:keepNext/>
        <w:keepLines/>
        <w:rPr>
          <w:rFonts w:asciiTheme="majorBidi" w:hAnsiTheme="majorBidi" w:cstheme="majorBidi"/>
          <w:u w:val="single"/>
        </w:rPr>
      </w:pPr>
      <w:r w:rsidRPr="00FC4465">
        <w:rPr>
          <w:rFonts w:asciiTheme="majorBidi" w:hAnsiTheme="majorBidi" w:cstheme="majorBidi"/>
          <w:u w:val="single"/>
        </w:rPr>
        <w:t>Cálculo</w:t>
      </w:r>
    </w:p>
    <w:p w14:paraId="2808FD23" w14:textId="77777777" w:rsidR="00A72D17" w:rsidRPr="00FC4465" w:rsidRDefault="00006632" w:rsidP="00A72D17">
      <w:pPr>
        <w:tabs>
          <w:tab w:val="left" w:pos="567"/>
        </w:tabs>
        <w:spacing w:after="200"/>
        <w:ind w:left="920" w:hanging="560"/>
        <w:contextualSpacing/>
        <w:jc w:val="both"/>
        <w:rPr>
          <w:rFonts w:asciiTheme="majorBidi" w:hAnsiTheme="majorBidi" w:cstheme="majorBidi"/>
          <w:b/>
          <w:iCs/>
        </w:rPr>
      </w:pPr>
      <m:oMathPara>
        <m:oMath>
          <m:sSub>
            <m:sSubPr>
              <m:ctrlPr>
                <w:rPr>
                  <w:rFonts w:ascii="Cambria Math" w:hAnsi="Cambria Math" w:cstheme="majorBidi"/>
                  <w:bCs/>
                  <w:iCs/>
                </w:rPr>
              </m:ctrlPr>
            </m:sSubPr>
            <m:e>
              <m:r>
                <m:rPr>
                  <m:sty m:val="p"/>
                </m:rPr>
                <w:rPr>
                  <w:rFonts w:ascii="Cambria Math" w:hAnsi="Cambria Math" w:cstheme="majorBidi"/>
                </w:rPr>
                <m:t>CL</m:t>
              </m:r>
            </m:e>
            <m:sub>
              <m:r>
                <m:rPr>
                  <m:sty m:val="p"/>
                </m:rPr>
                <w:rPr>
                  <w:rFonts w:ascii="Cambria Math" w:hAnsi="Cambria Math" w:cstheme="majorBidi"/>
                </w:rPr>
                <m:t>50</m:t>
              </m:r>
            </m:sub>
          </m:sSub>
          <m:d>
            <m:dPr>
              <m:ctrlPr>
                <w:rPr>
                  <w:rFonts w:ascii="Cambria Math" w:hAnsi="Cambria Math" w:cstheme="majorBidi"/>
                </w:rPr>
              </m:ctrlPr>
            </m:dPr>
            <m:e>
              <m:r>
                <m:rPr>
                  <m:sty m:val="p"/>
                </m:rPr>
                <w:rPr>
                  <w:rFonts w:ascii="Cambria Math" w:hAnsi="Cambria Math" w:cstheme="majorBidi"/>
                </w:rPr>
                <m:t>4 horas</m:t>
              </m:r>
            </m:e>
          </m:d>
          <m:r>
            <m:rPr>
              <m:sty m:val="bi"/>
            </m:rPr>
            <w:rPr>
              <w:rFonts w:ascii="Cambria Math" w:hAnsi="Cambria Math" w:cstheme="majorBidi"/>
            </w:rPr>
            <m:t xml:space="preserve">= </m:t>
          </m:r>
          <m:sSup>
            <m:sSupPr>
              <m:ctrlPr>
                <w:rPr>
                  <w:rFonts w:ascii="Cambria Math" w:hAnsi="Cambria Math" w:cstheme="majorBidi"/>
                  <w:b/>
                  <w:iCs/>
                </w:rPr>
              </m:ctrlPr>
            </m:sSupPr>
            <m:e>
              <m:d>
                <m:dPr>
                  <m:ctrlPr>
                    <w:rPr>
                      <w:rFonts w:ascii="Cambria Math" w:hAnsi="Cambria Math" w:cstheme="majorBidi"/>
                      <w:b/>
                      <w:iCs/>
                    </w:rPr>
                  </m:ctrlPr>
                </m:dPr>
                <m:e>
                  <m:f>
                    <m:fPr>
                      <m:ctrlPr>
                        <w:rPr>
                          <w:rFonts w:ascii="Cambria Math" w:hAnsi="Cambria Math" w:cstheme="majorBidi"/>
                          <w:iCs/>
                        </w:rPr>
                      </m:ctrlPr>
                    </m:fPr>
                    <m:num>
                      <m:sSup>
                        <m:sSupPr>
                          <m:ctrlPr>
                            <w:rPr>
                              <w:rFonts w:ascii="Cambria Math" w:hAnsi="Cambria Math" w:cstheme="majorBidi"/>
                              <w:iCs/>
                            </w:rPr>
                          </m:ctrlPr>
                        </m:sSupPr>
                        <m:e>
                          <m:r>
                            <m:rPr>
                              <m:sty m:val="p"/>
                            </m:rPr>
                            <w:rPr>
                              <w:rFonts w:ascii="Cambria Math" w:hAnsi="Cambria Math" w:cstheme="majorBidi"/>
                            </w:rPr>
                            <m:t>C</m:t>
                          </m:r>
                        </m:e>
                        <m:sup>
                          <m:r>
                            <m:rPr>
                              <m:sty m:val="p"/>
                            </m:rPr>
                            <w:rPr>
                              <w:rFonts w:ascii="Cambria Math" w:hAnsi="Cambria Math" w:cstheme="majorBidi"/>
                            </w:rPr>
                            <m:t>n</m:t>
                          </m:r>
                        </m:sup>
                      </m:sSup>
                      <m:r>
                        <m:rPr>
                          <m:sty m:val="p"/>
                        </m:rPr>
                        <w:rPr>
                          <w:rFonts w:ascii="Cambria Math" w:hAnsi="Cambria Math" w:cstheme="majorBidi"/>
                        </w:rPr>
                        <m:t xml:space="preserve"> × t</m:t>
                      </m:r>
                    </m:num>
                    <m:den>
                      <m:r>
                        <m:rPr>
                          <m:sty m:val="p"/>
                        </m:rPr>
                        <w:rPr>
                          <w:rFonts w:ascii="Cambria Math" w:hAnsi="Cambria Math" w:cstheme="majorBidi"/>
                        </w:rPr>
                        <m:t>4</m:t>
                      </m:r>
                    </m:den>
                  </m:f>
                </m:e>
              </m:d>
            </m:e>
            <m:sup>
              <m:f>
                <m:fPr>
                  <m:ctrlPr>
                    <w:rPr>
                      <w:rFonts w:ascii="Cambria Math" w:hAnsi="Cambria Math" w:cstheme="majorBidi"/>
                      <w:b/>
                      <w:iCs/>
                    </w:rPr>
                  </m:ctrlPr>
                </m:fPr>
                <m:num>
                  <m:r>
                    <m:rPr>
                      <m:sty m:val="b"/>
                    </m:rPr>
                    <w:rPr>
                      <w:rFonts w:ascii="Cambria Math" w:hAnsi="Cambria Math" w:cstheme="majorBidi"/>
                    </w:rPr>
                    <m:t>1</m:t>
                  </m:r>
                </m:num>
                <m:den>
                  <m:r>
                    <m:rPr>
                      <m:sty m:val="b"/>
                    </m:rPr>
                    <w:rPr>
                      <w:rFonts w:ascii="Cambria Math" w:hAnsi="Cambria Math" w:cstheme="majorBidi"/>
                    </w:rPr>
                    <m:t>n</m:t>
                  </m:r>
                </m:den>
              </m:f>
            </m:sup>
          </m:sSup>
          <m:r>
            <m:rPr>
              <m:sty m:val="b"/>
            </m:rPr>
            <w:rPr>
              <w:rFonts w:ascii="Cambria Math" w:hAnsi="Cambria Math" w:cstheme="majorBidi"/>
            </w:rPr>
            <m:t xml:space="preserve">=  </m:t>
          </m:r>
          <m:sSup>
            <m:sSupPr>
              <m:ctrlPr>
                <w:rPr>
                  <w:rFonts w:ascii="Cambria Math" w:hAnsi="Cambria Math" w:cstheme="majorBidi"/>
                  <w:b/>
                  <w:iCs/>
                </w:rPr>
              </m:ctrlPr>
            </m:sSupPr>
            <m:e>
              <m:d>
                <m:dPr>
                  <m:ctrlPr>
                    <w:rPr>
                      <w:rFonts w:ascii="Cambria Math" w:hAnsi="Cambria Math" w:cstheme="majorBidi"/>
                      <w:b/>
                      <w:iCs/>
                    </w:rPr>
                  </m:ctrlPr>
                </m:dPr>
                <m:e>
                  <m:f>
                    <m:fPr>
                      <m:ctrlPr>
                        <w:rPr>
                          <w:rFonts w:ascii="Cambria Math" w:hAnsi="Cambria Math" w:cstheme="majorBidi"/>
                          <w:iCs/>
                        </w:rPr>
                      </m:ctrlPr>
                    </m:fPr>
                    <m:num>
                      <m:sSup>
                        <m:sSupPr>
                          <m:ctrlPr>
                            <w:rPr>
                              <w:rFonts w:ascii="Cambria Math" w:hAnsi="Cambria Math" w:cstheme="majorBidi"/>
                              <w:iCs/>
                            </w:rPr>
                          </m:ctrlPr>
                        </m:sSupPr>
                        <m:e>
                          <m:r>
                            <m:rPr>
                              <m:sty m:val="p"/>
                            </m:rPr>
                            <w:rPr>
                              <w:rFonts w:ascii="Cambria Math" w:hAnsi="Cambria Math" w:cstheme="majorBidi"/>
                            </w:rPr>
                            <m:t>13.6</m:t>
                          </m:r>
                        </m:e>
                        <m:sup>
                          <m:r>
                            <m:rPr>
                              <m:sty m:val="p"/>
                            </m:rPr>
                            <w:rPr>
                              <w:rFonts w:ascii="Cambria Math" w:hAnsi="Cambria Math" w:cstheme="majorBidi"/>
                            </w:rPr>
                            <m:t>2</m:t>
                          </m:r>
                        </m:sup>
                      </m:sSup>
                      <m:r>
                        <m:rPr>
                          <m:sty m:val="p"/>
                        </m:rPr>
                        <w:rPr>
                          <w:rFonts w:ascii="Cambria Math" w:hAnsi="Cambria Math" w:cstheme="majorBidi"/>
                        </w:rPr>
                        <m:t xml:space="preserve"> × 6</m:t>
                      </m:r>
                    </m:num>
                    <m:den>
                      <m:r>
                        <m:rPr>
                          <m:sty m:val="p"/>
                        </m:rPr>
                        <w:rPr>
                          <w:rFonts w:ascii="Cambria Math" w:hAnsi="Cambria Math" w:cstheme="majorBidi"/>
                        </w:rPr>
                        <m:t>4</m:t>
                      </m:r>
                    </m:den>
                  </m:f>
                </m:e>
              </m:d>
            </m:e>
            <m:sup>
              <m:f>
                <m:fPr>
                  <m:ctrlPr>
                    <w:rPr>
                      <w:rFonts w:ascii="Cambria Math" w:hAnsi="Cambria Math" w:cstheme="majorBidi"/>
                      <w:b/>
                      <w:iCs/>
                    </w:rPr>
                  </m:ctrlPr>
                </m:fPr>
                <m:num>
                  <m:r>
                    <m:rPr>
                      <m:sty m:val="b"/>
                    </m:rPr>
                    <w:rPr>
                      <w:rFonts w:ascii="Cambria Math" w:hAnsi="Cambria Math" w:cstheme="majorBidi"/>
                    </w:rPr>
                    <m:t>1</m:t>
                  </m:r>
                </m:num>
                <m:den>
                  <m:r>
                    <m:rPr>
                      <m:sty m:val="b"/>
                    </m:rPr>
                    <w:rPr>
                      <w:rFonts w:ascii="Cambria Math" w:hAnsi="Cambria Math" w:cstheme="majorBidi"/>
                    </w:rPr>
                    <m:t xml:space="preserve">2 </m:t>
                  </m:r>
                </m:den>
              </m:f>
            </m:sup>
          </m:sSup>
          <m:r>
            <m:rPr>
              <m:sty m:val="b"/>
            </m:rPr>
            <w:rPr>
              <w:rFonts w:ascii="Cambria Math" w:hAnsi="Cambria Math" w:cstheme="majorBidi"/>
            </w:rPr>
            <m:t>=16,7</m:t>
          </m:r>
        </m:oMath>
      </m:oMathPara>
    </w:p>
    <w:p w14:paraId="7BE3F590" w14:textId="77777777" w:rsidR="00A72D17" w:rsidRPr="00FC4465" w:rsidRDefault="00A72D17" w:rsidP="00EB7FC6">
      <w:pPr>
        <w:pStyle w:val="SingleTxtG"/>
        <w:rPr>
          <w:rFonts w:asciiTheme="majorBidi" w:hAnsiTheme="majorBidi" w:cstheme="majorBidi"/>
        </w:rPr>
      </w:pPr>
      <w:r w:rsidRPr="00FC4465">
        <w:rPr>
          <w:rFonts w:asciiTheme="majorBidi" w:hAnsiTheme="majorBidi" w:cstheme="majorBidi"/>
        </w:rPr>
        <w:t>3.</w:t>
      </w:r>
      <w:r w:rsidRPr="00FC4465">
        <w:rPr>
          <w:rFonts w:asciiTheme="majorBidi" w:hAnsiTheme="majorBidi" w:cstheme="majorBidi"/>
        </w:rPr>
        <w:tab/>
        <w:t>Por consiguiente, la sustancia se clasifica en la categoría 4 de conformidad con el criterio indicado en la tabla 3.1.1 para los vapores en esta categoría (10,0 &lt; ETA ≤ 20,0).</w:t>
      </w:r>
    </w:p>
    <w:p w14:paraId="73508AF2" w14:textId="77777777" w:rsidR="00A72D17" w:rsidRPr="00FC4465" w:rsidRDefault="00A72D17" w:rsidP="00EB7FC6">
      <w:pPr>
        <w:pStyle w:val="SingleTxtG"/>
        <w:spacing w:before="240"/>
        <w:rPr>
          <w:rFonts w:asciiTheme="majorBidi" w:hAnsiTheme="majorBidi" w:cstheme="majorBidi"/>
          <w:b/>
          <w:bCs/>
          <w:i/>
          <w:iCs/>
        </w:rPr>
      </w:pPr>
      <w:r w:rsidRPr="00FC4465">
        <w:rPr>
          <w:rFonts w:asciiTheme="majorBidi" w:hAnsiTheme="majorBidi" w:cstheme="majorBidi"/>
          <w:b/>
          <w:bCs/>
          <w:i/>
          <w:iCs/>
        </w:rPr>
        <w:t>Ejemplo 2: Sustancia (sólida)</w:t>
      </w:r>
      <w:r w:rsidRPr="00FC4465">
        <w:rPr>
          <w:rFonts w:asciiTheme="majorBidi" w:hAnsiTheme="majorBidi" w:cstheme="majorBidi"/>
        </w:rPr>
        <w:t xml:space="preserve"> </w:t>
      </w:r>
    </w:p>
    <w:p w14:paraId="73EF6D02" w14:textId="77777777" w:rsidR="00A72D17" w:rsidRPr="00FC4465" w:rsidRDefault="00A72D17" w:rsidP="00A72D17">
      <w:pPr>
        <w:pStyle w:val="SingleTxtG"/>
        <w:rPr>
          <w:rFonts w:asciiTheme="majorBidi" w:hAnsiTheme="majorBidi" w:cstheme="majorBidi"/>
        </w:rPr>
      </w:pPr>
      <w:r w:rsidRPr="00FC4465">
        <w:rPr>
          <w:rFonts w:asciiTheme="majorBidi" w:hAnsiTheme="majorBidi" w:cstheme="majorBidi"/>
        </w:rPr>
        <w:t>4.</w:t>
      </w:r>
      <w:r w:rsidRPr="00FC4465">
        <w:rPr>
          <w:rFonts w:asciiTheme="majorBidi" w:hAnsiTheme="majorBidi" w:cstheme="majorBidi"/>
        </w:rPr>
        <w:tab/>
        <w:t>A efectos de este ejemplo, el valor experimental de CL</w:t>
      </w:r>
      <w:r w:rsidRPr="00FC4465">
        <w:rPr>
          <w:rFonts w:asciiTheme="majorBidi" w:hAnsiTheme="majorBidi" w:cstheme="majorBidi"/>
          <w:vertAlign w:val="subscript"/>
        </w:rPr>
        <w:t>50</w:t>
      </w:r>
      <w:r w:rsidRPr="00FC4465">
        <w:rPr>
          <w:rFonts w:asciiTheme="majorBidi" w:hAnsiTheme="majorBidi" w:cstheme="majorBidi"/>
        </w:rPr>
        <w:t xml:space="preserve"> para una exposición de 2 horas a los polvos de la sustancia es de 0,26 mg/l.</w:t>
      </w:r>
    </w:p>
    <w:p w14:paraId="4335D2BF" w14:textId="77777777" w:rsidR="00A72D17" w:rsidRPr="00FC4465" w:rsidRDefault="00A72D17" w:rsidP="00A72D17">
      <w:pPr>
        <w:pStyle w:val="SingleTxtG"/>
        <w:spacing w:before="240"/>
        <w:rPr>
          <w:rFonts w:asciiTheme="majorBidi" w:hAnsiTheme="majorBidi" w:cstheme="majorBidi"/>
          <w:u w:val="single"/>
        </w:rPr>
      </w:pPr>
      <w:r w:rsidRPr="00FC4465">
        <w:rPr>
          <w:rFonts w:asciiTheme="majorBidi" w:hAnsiTheme="majorBidi" w:cstheme="majorBidi"/>
          <w:u w:val="single"/>
        </w:rPr>
        <w:t>Criterio</w:t>
      </w:r>
    </w:p>
    <w:p w14:paraId="02E2CE52" w14:textId="77777777" w:rsidR="00A72D17" w:rsidRPr="00FC4465" w:rsidRDefault="00006632" w:rsidP="00A72D17">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536"/>
        </w:tabs>
        <w:spacing w:after="240"/>
        <w:rPr>
          <w:rFonts w:asciiTheme="majorBidi" w:hAnsiTheme="majorBidi" w:cstheme="majorBidi"/>
          <w:u w:val="single"/>
        </w:rPr>
      </w:pPr>
      <m:oMathPara>
        <m:oMath>
          <m:sSub>
            <m:sSubPr>
              <m:ctrlPr>
                <w:rPr>
                  <w:rFonts w:ascii="Cambria Math" w:hAnsi="Cambria Math" w:cstheme="majorBidi"/>
                  <w:bCs/>
                  <w:iCs/>
                </w:rPr>
              </m:ctrlPr>
            </m:sSubPr>
            <m:e>
              <m:r>
                <m:rPr>
                  <m:sty m:val="p"/>
                </m:rPr>
                <w:rPr>
                  <w:rFonts w:ascii="Cambria Math" w:hAnsi="Cambria Math" w:cstheme="majorBidi"/>
                </w:rPr>
                <m:t>CL</m:t>
              </m:r>
            </m:e>
            <m:sub>
              <m:r>
                <m:rPr>
                  <m:sty m:val="p"/>
                </m:rPr>
                <w:rPr>
                  <w:rFonts w:ascii="Cambria Math" w:hAnsi="Cambria Math" w:cstheme="majorBidi"/>
                </w:rPr>
                <m:t>50</m:t>
              </m:r>
            </m:sub>
          </m:sSub>
          <m:r>
            <m:rPr>
              <m:sty m:val="p"/>
            </m:rPr>
            <w:rPr>
              <w:rFonts w:ascii="Cambria Math" w:hAnsi="Cambria Math" w:cstheme="majorBidi"/>
            </w:rPr>
            <m:t>(4 horas)</m:t>
          </m:r>
          <m:r>
            <m:rPr>
              <m:sty m:val="bi"/>
            </m:rPr>
            <w:rPr>
              <w:rFonts w:ascii="Cambria Math" w:hAnsi="Cambria Math" w:cstheme="majorBidi"/>
            </w:rPr>
            <m:t xml:space="preserve">= </m:t>
          </m:r>
          <m:f>
            <m:fPr>
              <m:ctrlPr>
                <w:rPr>
                  <w:rFonts w:ascii="Cambria Math" w:hAnsi="Cambria Math" w:cstheme="majorBidi"/>
                  <w:iCs/>
                </w:rPr>
              </m:ctrlPr>
            </m:fPr>
            <m:num>
              <m:r>
                <m:rPr>
                  <m:sty m:val="p"/>
                </m:rPr>
                <w:rPr>
                  <w:rFonts w:ascii="Cambria Math" w:hAnsi="Cambria Math" w:cstheme="majorBidi"/>
                </w:rPr>
                <m:t>C ×  t</m:t>
              </m:r>
            </m:num>
            <m:den>
              <m:r>
                <m:rPr>
                  <m:sty m:val="p"/>
                </m:rPr>
                <w:rPr>
                  <w:rFonts w:ascii="Cambria Math" w:hAnsi="Cambria Math" w:cstheme="majorBidi"/>
                </w:rPr>
                <m:t>4</m:t>
              </m:r>
            </m:den>
          </m:f>
        </m:oMath>
      </m:oMathPara>
    </w:p>
    <w:p w14:paraId="5211C69A" w14:textId="77777777" w:rsidR="00A72D17" w:rsidRPr="00FC4465" w:rsidRDefault="00A72D17" w:rsidP="00A72D17">
      <w:pPr>
        <w:pStyle w:val="SingleTxtG"/>
        <w:rPr>
          <w:rFonts w:asciiTheme="majorBidi" w:hAnsiTheme="majorBidi" w:cstheme="majorBidi"/>
          <w:u w:val="single"/>
        </w:rPr>
      </w:pPr>
      <w:r w:rsidRPr="00FC4465">
        <w:rPr>
          <w:rFonts w:asciiTheme="majorBidi" w:hAnsiTheme="majorBidi" w:cstheme="majorBidi"/>
          <w:u w:val="single"/>
        </w:rPr>
        <w:t>Cálculo</w:t>
      </w:r>
    </w:p>
    <w:p w14:paraId="0EFCDF3D" w14:textId="77777777" w:rsidR="00A72D17" w:rsidRPr="00FC4465" w:rsidRDefault="00006632" w:rsidP="00A72D17">
      <w:pPr>
        <w:tabs>
          <w:tab w:val="left" w:pos="567"/>
        </w:tabs>
        <w:spacing w:after="200"/>
        <w:rPr>
          <w:rFonts w:asciiTheme="majorBidi" w:hAnsiTheme="majorBidi" w:cstheme="majorBidi"/>
        </w:rPr>
      </w:pPr>
      <m:oMathPara>
        <m:oMath>
          <m:sSub>
            <m:sSubPr>
              <m:ctrlPr>
                <w:rPr>
                  <w:rFonts w:ascii="Cambria Math" w:hAnsi="Cambria Math" w:cstheme="majorBidi"/>
                  <w:bCs/>
                  <w:iCs/>
                </w:rPr>
              </m:ctrlPr>
            </m:sSubPr>
            <m:e>
              <m:r>
                <m:rPr>
                  <m:sty m:val="p"/>
                </m:rPr>
                <w:rPr>
                  <w:rFonts w:ascii="Cambria Math" w:hAnsi="Cambria Math" w:cstheme="majorBidi"/>
                </w:rPr>
                <m:t>CL</m:t>
              </m:r>
            </m:e>
            <m:sub>
              <m:r>
                <m:rPr>
                  <m:sty m:val="p"/>
                </m:rPr>
                <w:rPr>
                  <w:rFonts w:ascii="Cambria Math" w:hAnsi="Cambria Math" w:cstheme="majorBidi"/>
                </w:rPr>
                <m:t>50</m:t>
              </m:r>
            </m:sub>
          </m:sSub>
          <m:d>
            <m:dPr>
              <m:ctrlPr>
                <w:rPr>
                  <w:rFonts w:ascii="Cambria Math" w:hAnsi="Cambria Math" w:cstheme="majorBidi"/>
                </w:rPr>
              </m:ctrlPr>
            </m:dPr>
            <m:e>
              <m:r>
                <m:rPr>
                  <m:sty m:val="p"/>
                </m:rPr>
                <w:rPr>
                  <w:rFonts w:ascii="Cambria Math" w:hAnsi="Cambria Math" w:cstheme="majorBidi"/>
                </w:rPr>
                <m:t>4 horas</m:t>
              </m:r>
            </m:e>
          </m:d>
          <m:r>
            <m:rPr>
              <m:sty m:val="bi"/>
            </m:rPr>
            <w:rPr>
              <w:rFonts w:ascii="Cambria Math" w:hAnsi="Cambria Math" w:cstheme="majorBidi"/>
            </w:rPr>
            <m:t xml:space="preserve">= </m:t>
          </m:r>
          <m:f>
            <m:fPr>
              <m:ctrlPr>
                <w:rPr>
                  <w:rFonts w:ascii="Cambria Math" w:hAnsi="Cambria Math" w:cstheme="majorBidi"/>
                  <w:iCs/>
                </w:rPr>
              </m:ctrlPr>
            </m:fPr>
            <m:num>
              <m:r>
                <m:rPr>
                  <m:sty m:val="p"/>
                </m:rPr>
                <w:rPr>
                  <w:rFonts w:ascii="Cambria Math" w:hAnsi="Cambria Math" w:cstheme="majorBidi"/>
                </w:rPr>
                <m:t>C ×  t</m:t>
              </m:r>
            </m:num>
            <m:den>
              <m:r>
                <m:rPr>
                  <m:sty m:val="p"/>
                </m:rPr>
                <w:rPr>
                  <w:rFonts w:ascii="Cambria Math" w:hAnsi="Cambria Math" w:cstheme="majorBidi"/>
                </w:rPr>
                <m:t>4</m:t>
              </m:r>
            </m:den>
          </m:f>
          <m:r>
            <w:rPr>
              <w:rFonts w:ascii="Cambria Math" w:hAnsi="Cambria Math" w:cstheme="majorBidi"/>
            </w:rPr>
            <m:t xml:space="preserve">= </m:t>
          </m:r>
          <m:f>
            <m:fPr>
              <m:ctrlPr>
                <w:rPr>
                  <w:rFonts w:ascii="Cambria Math" w:hAnsi="Cambria Math" w:cstheme="majorBidi"/>
                  <w:iCs/>
                </w:rPr>
              </m:ctrlPr>
            </m:fPr>
            <m:num>
              <m:r>
                <w:rPr>
                  <w:rFonts w:ascii="Cambria Math" w:hAnsi="Cambria Math" w:cstheme="majorBidi"/>
                </w:rPr>
                <m:t>0</m:t>
              </m:r>
              <m:r>
                <m:rPr>
                  <m:sty m:val="p"/>
                </m:rPr>
                <w:rPr>
                  <w:rFonts w:ascii="Cambria Math" w:hAnsi="Cambria Math" w:cstheme="majorBidi"/>
                </w:rPr>
                <m:t>.26 ×  2</m:t>
              </m:r>
            </m:num>
            <m:den>
              <m:r>
                <m:rPr>
                  <m:sty m:val="p"/>
                </m:rPr>
                <w:rPr>
                  <w:rFonts w:ascii="Cambria Math" w:hAnsi="Cambria Math" w:cstheme="majorBidi"/>
                </w:rPr>
                <m:t>4</m:t>
              </m:r>
            </m:den>
          </m:f>
          <m:r>
            <w:rPr>
              <w:rFonts w:ascii="Cambria Math" w:hAnsi="Cambria Math" w:cstheme="majorBidi"/>
            </w:rPr>
            <m:t>=</m:t>
          </m:r>
          <m:r>
            <m:rPr>
              <m:sty m:val="bi"/>
            </m:rPr>
            <w:rPr>
              <w:rFonts w:ascii="Cambria Math" w:hAnsi="Cambria Math" w:cstheme="majorBidi"/>
            </w:rPr>
            <m:t>0,13</m:t>
          </m:r>
          <m:r>
            <w:rPr>
              <w:rFonts w:ascii="Cambria Math" w:hAnsi="Cambria Math" w:cstheme="majorBidi"/>
            </w:rPr>
            <m:t xml:space="preserve"> </m:t>
          </m:r>
        </m:oMath>
      </m:oMathPara>
    </w:p>
    <w:p w14:paraId="160CD0C0" w14:textId="7B8A64C5" w:rsidR="00A72D17" w:rsidRPr="00FC4465" w:rsidRDefault="00A72D17" w:rsidP="00EB7FC6">
      <w:pPr>
        <w:pStyle w:val="SingleTxtG"/>
        <w:rPr>
          <w:rFonts w:asciiTheme="majorBidi" w:hAnsiTheme="majorBidi" w:cstheme="majorBidi"/>
        </w:rPr>
      </w:pPr>
      <w:r w:rsidRPr="00FC4465">
        <w:rPr>
          <w:rFonts w:asciiTheme="majorBidi" w:hAnsiTheme="majorBidi" w:cstheme="majorBidi"/>
        </w:rPr>
        <w:t>5.</w:t>
      </w:r>
      <w:r w:rsidRPr="00FC4465">
        <w:rPr>
          <w:rFonts w:asciiTheme="majorBidi" w:hAnsiTheme="majorBidi" w:cstheme="majorBidi"/>
        </w:rPr>
        <w:tab/>
        <w:t>Por consiguiente, la sustancia se clasifica en la categoría 2 de conformidad con el criterio indicado en la tabla 3.1.1 para los polvos y nieblas en esta categoría (0,05</w:t>
      </w:r>
      <w:r w:rsidR="00EB7FC6" w:rsidRPr="00FC4465">
        <w:rPr>
          <w:rFonts w:asciiTheme="majorBidi" w:hAnsiTheme="majorBidi" w:cstheme="majorBidi"/>
        </w:rPr>
        <w:t> </w:t>
      </w:r>
      <w:r w:rsidRPr="00FC4465">
        <w:rPr>
          <w:rFonts w:asciiTheme="majorBidi" w:hAnsiTheme="majorBidi" w:cstheme="majorBidi"/>
        </w:rPr>
        <w:t>&lt;</w:t>
      </w:r>
      <w:r w:rsidR="00EB7FC6" w:rsidRPr="00FC4465">
        <w:rPr>
          <w:rFonts w:asciiTheme="majorBidi" w:hAnsiTheme="majorBidi" w:cstheme="majorBidi"/>
        </w:rPr>
        <w:t> </w:t>
      </w:r>
      <w:r w:rsidRPr="00FC4465">
        <w:rPr>
          <w:rFonts w:asciiTheme="majorBidi" w:hAnsiTheme="majorBidi" w:cstheme="majorBidi"/>
        </w:rPr>
        <w:t>ETA</w:t>
      </w:r>
      <w:r w:rsidR="00EB7FC6" w:rsidRPr="00FC4465">
        <w:rPr>
          <w:rFonts w:asciiTheme="majorBidi" w:hAnsiTheme="majorBidi" w:cstheme="majorBidi"/>
        </w:rPr>
        <w:t> </w:t>
      </w:r>
      <w:r w:rsidRPr="00FC4465">
        <w:rPr>
          <w:rFonts w:asciiTheme="majorBidi" w:hAnsiTheme="majorBidi" w:cstheme="majorBidi"/>
        </w:rPr>
        <w:t>≤</w:t>
      </w:r>
      <w:r w:rsidR="00EB7FC6" w:rsidRPr="00FC4465">
        <w:rPr>
          <w:rFonts w:asciiTheme="majorBidi" w:hAnsiTheme="majorBidi" w:cstheme="majorBidi"/>
        </w:rPr>
        <w:t> </w:t>
      </w:r>
      <w:r w:rsidRPr="00FC4465">
        <w:rPr>
          <w:rFonts w:asciiTheme="majorBidi" w:hAnsiTheme="majorBidi" w:cstheme="majorBidi"/>
        </w:rPr>
        <w:t>0,5).</w:t>
      </w:r>
      <w:r w:rsidR="008C5013" w:rsidRPr="00FC4465">
        <w:rPr>
          <w:rFonts w:asciiTheme="majorBidi" w:hAnsiTheme="majorBidi" w:cstheme="majorBidi"/>
        </w:rPr>
        <w:t>”</w:t>
      </w:r>
      <w:r w:rsidRPr="00FC4465">
        <w:rPr>
          <w:rFonts w:asciiTheme="majorBidi" w:hAnsiTheme="majorBidi" w:cstheme="majorBidi"/>
        </w:rPr>
        <w:t>.</w:t>
      </w:r>
    </w:p>
    <w:p w14:paraId="04B101F6" w14:textId="77777777" w:rsidR="00A72D17" w:rsidRPr="00FC4465" w:rsidRDefault="00A72D17" w:rsidP="008645FC">
      <w:pPr>
        <w:pStyle w:val="H1G"/>
      </w:pPr>
      <w:r w:rsidRPr="00FC4465">
        <w:tab/>
      </w:r>
      <w:r w:rsidRPr="00FC4465">
        <w:tab/>
      </w:r>
      <w:r w:rsidRPr="00FC4465">
        <w:tab/>
        <w:t>Capítulo 3.2</w:t>
      </w:r>
    </w:p>
    <w:p w14:paraId="15A4F44A" w14:textId="77777777" w:rsidR="00A72D17" w:rsidRPr="00FC4465" w:rsidRDefault="00A72D17" w:rsidP="00A72D17">
      <w:pPr>
        <w:pStyle w:val="SingleTxtG"/>
        <w:keepNext/>
        <w:rPr>
          <w:rFonts w:asciiTheme="majorBidi" w:hAnsiTheme="majorBidi" w:cstheme="majorBidi"/>
        </w:rPr>
      </w:pPr>
      <w:r w:rsidRPr="00FC4465">
        <w:rPr>
          <w:rFonts w:asciiTheme="majorBidi" w:hAnsiTheme="majorBidi" w:cstheme="majorBidi"/>
        </w:rPr>
        <w:t>3.2.1.2</w:t>
      </w:r>
      <w:r w:rsidRPr="00FC4465">
        <w:rPr>
          <w:rFonts w:asciiTheme="majorBidi" w:hAnsiTheme="majorBidi" w:cstheme="majorBidi"/>
        </w:rPr>
        <w:tab/>
      </w:r>
      <w:r w:rsidRPr="00FC4465">
        <w:rPr>
          <w:rFonts w:asciiTheme="majorBidi" w:hAnsiTheme="majorBidi" w:cstheme="majorBidi"/>
        </w:rPr>
        <w:tab/>
        <w:t>Sustitúyase la segunda oración por la siguiente:</w:t>
      </w:r>
    </w:p>
    <w:p w14:paraId="743C7E04" w14:textId="451E31DA" w:rsidR="00A72D17" w:rsidRPr="00FC4465" w:rsidRDefault="008C5013" w:rsidP="00A72D17">
      <w:pPr>
        <w:pStyle w:val="SingleTxtG"/>
        <w:keepNext/>
        <w:ind w:left="2268"/>
        <w:rPr>
          <w:rFonts w:asciiTheme="majorBidi" w:hAnsiTheme="majorBidi" w:cstheme="majorBidi"/>
        </w:rPr>
      </w:pPr>
      <w:r w:rsidRPr="00FC4465">
        <w:rPr>
          <w:rFonts w:asciiTheme="majorBidi" w:hAnsiTheme="majorBidi" w:cstheme="majorBidi"/>
        </w:rPr>
        <w:t>“</w:t>
      </w:r>
      <w:r w:rsidR="00A72D17" w:rsidRPr="00FC4465">
        <w:rPr>
          <w:rFonts w:asciiTheme="majorBidi" w:hAnsiTheme="majorBidi" w:cstheme="majorBidi"/>
        </w:rPr>
        <w:t>La clasificación debería basarse en datos aceptables para todas las partes, obtenidos mediante métodos validados con arreglo a procedimientos internacionales, como las directrices de la OCDE o métodos equivalentes (véase 1.3.2.4.3).</w:t>
      </w:r>
      <w:r w:rsidRPr="00FC4465">
        <w:rPr>
          <w:rFonts w:asciiTheme="majorBidi" w:hAnsiTheme="majorBidi" w:cstheme="majorBidi"/>
        </w:rPr>
        <w:t>”</w:t>
      </w:r>
      <w:r w:rsidR="00A72D17" w:rsidRPr="00FC4465">
        <w:rPr>
          <w:rFonts w:asciiTheme="majorBidi" w:hAnsiTheme="majorBidi" w:cstheme="majorBidi"/>
        </w:rPr>
        <w:t>.</w:t>
      </w:r>
    </w:p>
    <w:p w14:paraId="4FBB5610" w14:textId="1879B7C3" w:rsidR="00A72D17" w:rsidRPr="00FC4465" w:rsidRDefault="00A72D17" w:rsidP="00A72D17">
      <w:pPr>
        <w:pStyle w:val="SingleTxtG"/>
        <w:ind w:left="2268"/>
        <w:rPr>
          <w:rFonts w:asciiTheme="majorBidi" w:hAnsiTheme="majorBidi" w:cstheme="majorBidi"/>
        </w:rPr>
      </w:pPr>
      <w:r w:rsidRPr="00FC4465">
        <w:rPr>
          <w:rFonts w:asciiTheme="majorBidi" w:hAnsiTheme="majorBidi" w:cstheme="majorBidi"/>
        </w:rPr>
        <w:t xml:space="preserve">En la última oración, sustitúyase </w:t>
      </w:r>
      <w:r w:rsidR="008C5013" w:rsidRPr="00FC4465">
        <w:rPr>
          <w:rFonts w:asciiTheme="majorBidi" w:hAnsiTheme="majorBidi" w:cstheme="majorBidi"/>
        </w:rPr>
        <w:t>“</w:t>
      </w:r>
      <w:r w:rsidRPr="00FC4465">
        <w:rPr>
          <w:rFonts w:asciiTheme="majorBidi" w:hAnsiTheme="majorBidi" w:cstheme="majorBidi"/>
        </w:rPr>
        <w:t>3.2.2.6</w:t>
      </w:r>
      <w:r w:rsidR="008C5013" w:rsidRPr="00FC4465">
        <w:rPr>
          <w:rFonts w:asciiTheme="majorBidi" w:hAnsiTheme="majorBidi" w:cstheme="majorBidi"/>
        </w:rPr>
        <w:t>”</w:t>
      </w:r>
      <w:r w:rsidRPr="00FC4465">
        <w:rPr>
          <w:rFonts w:asciiTheme="majorBidi" w:hAnsiTheme="majorBidi" w:cstheme="majorBidi"/>
        </w:rPr>
        <w:t xml:space="preserve"> por </w:t>
      </w:r>
      <w:r w:rsidR="008C5013" w:rsidRPr="00FC4465">
        <w:rPr>
          <w:rFonts w:asciiTheme="majorBidi" w:hAnsiTheme="majorBidi" w:cstheme="majorBidi"/>
        </w:rPr>
        <w:t>“</w:t>
      </w:r>
      <w:r w:rsidRPr="00FC4465">
        <w:rPr>
          <w:rFonts w:asciiTheme="majorBidi" w:hAnsiTheme="majorBidi" w:cstheme="majorBidi"/>
        </w:rPr>
        <w:t>3.2.2.7</w:t>
      </w:r>
      <w:r w:rsidR="008C5013" w:rsidRPr="00FC4465">
        <w:rPr>
          <w:rFonts w:asciiTheme="majorBidi" w:hAnsiTheme="majorBidi" w:cstheme="majorBidi"/>
        </w:rPr>
        <w:t>”</w:t>
      </w:r>
      <w:r w:rsidRPr="00FC4465">
        <w:rPr>
          <w:rFonts w:asciiTheme="majorBidi" w:hAnsiTheme="majorBidi" w:cstheme="majorBidi"/>
        </w:rPr>
        <w:t>.</w:t>
      </w:r>
    </w:p>
    <w:p w14:paraId="60E19254" w14:textId="44008C35" w:rsidR="00A72D17" w:rsidRPr="00FC4465" w:rsidRDefault="00A72D17" w:rsidP="00A72D17">
      <w:pPr>
        <w:pStyle w:val="SingleTxtG"/>
        <w:rPr>
          <w:rFonts w:asciiTheme="majorBidi" w:hAnsiTheme="majorBidi" w:cstheme="majorBidi"/>
        </w:rPr>
      </w:pPr>
      <w:r w:rsidRPr="00FC4465">
        <w:rPr>
          <w:rFonts w:asciiTheme="majorBidi" w:hAnsiTheme="majorBidi" w:cstheme="majorBidi"/>
        </w:rPr>
        <w:t>3.2.1.3</w:t>
      </w:r>
      <w:r w:rsidRPr="00FC4465">
        <w:rPr>
          <w:rFonts w:asciiTheme="majorBidi" w:hAnsiTheme="majorBidi" w:cstheme="majorBidi"/>
        </w:rPr>
        <w:tab/>
      </w:r>
      <w:r w:rsidRPr="00FC4465">
        <w:rPr>
          <w:rFonts w:asciiTheme="majorBidi" w:hAnsiTheme="majorBidi" w:cstheme="majorBidi"/>
        </w:rPr>
        <w:tab/>
        <w:t xml:space="preserve">En la primera oración, sustitúyase </w:t>
      </w:r>
      <w:r w:rsidR="008C5013" w:rsidRPr="00FC4465">
        <w:rPr>
          <w:rFonts w:asciiTheme="majorBidi" w:hAnsiTheme="majorBidi" w:cstheme="majorBidi"/>
        </w:rPr>
        <w:t>“</w:t>
      </w:r>
      <w:r w:rsidRPr="00FC4465">
        <w:rPr>
          <w:rFonts w:asciiTheme="majorBidi" w:hAnsiTheme="majorBidi" w:cstheme="majorBidi"/>
        </w:rPr>
        <w:t>3.2.2.7</w:t>
      </w:r>
      <w:r w:rsidR="008C5013" w:rsidRPr="00FC4465">
        <w:rPr>
          <w:rFonts w:asciiTheme="majorBidi" w:hAnsiTheme="majorBidi" w:cstheme="majorBidi"/>
        </w:rPr>
        <w:t>”</w:t>
      </w:r>
      <w:r w:rsidRPr="00FC4465">
        <w:rPr>
          <w:rFonts w:asciiTheme="majorBidi" w:hAnsiTheme="majorBidi" w:cstheme="majorBidi"/>
        </w:rPr>
        <w:t xml:space="preserve"> por </w:t>
      </w:r>
      <w:r w:rsidR="008C5013" w:rsidRPr="00FC4465">
        <w:rPr>
          <w:rFonts w:asciiTheme="majorBidi" w:hAnsiTheme="majorBidi" w:cstheme="majorBidi"/>
        </w:rPr>
        <w:t>“</w:t>
      </w:r>
      <w:r w:rsidRPr="00FC4465">
        <w:rPr>
          <w:rFonts w:asciiTheme="majorBidi" w:hAnsiTheme="majorBidi" w:cstheme="majorBidi"/>
        </w:rPr>
        <w:t>3.2.2.8</w:t>
      </w:r>
      <w:r w:rsidR="008C5013" w:rsidRPr="00FC4465">
        <w:rPr>
          <w:rFonts w:asciiTheme="majorBidi" w:hAnsiTheme="majorBidi" w:cstheme="majorBidi"/>
        </w:rPr>
        <w:t>”</w:t>
      </w:r>
      <w:r w:rsidRPr="00FC4465">
        <w:rPr>
          <w:rFonts w:asciiTheme="majorBidi" w:hAnsiTheme="majorBidi" w:cstheme="majorBidi"/>
        </w:rPr>
        <w:t xml:space="preserve">. </w:t>
      </w:r>
    </w:p>
    <w:p w14:paraId="48B79DA5" w14:textId="6A877240" w:rsidR="00A72D17" w:rsidRPr="00FC4465" w:rsidRDefault="00A72D17" w:rsidP="00A72D17">
      <w:pPr>
        <w:pStyle w:val="SingleTxtG"/>
        <w:ind w:left="2268"/>
        <w:rPr>
          <w:rFonts w:asciiTheme="majorBidi" w:hAnsiTheme="majorBidi" w:cstheme="majorBidi"/>
        </w:rPr>
      </w:pPr>
      <w:r w:rsidRPr="00FC4465">
        <w:rPr>
          <w:rFonts w:asciiTheme="majorBidi" w:hAnsiTheme="majorBidi" w:cstheme="majorBidi"/>
        </w:rPr>
        <w:t xml:space="preserve">En la última oración, sustitúyase </w:t>
      </w:r>
      <w:r w:rsidR="008C5013" w:rsidRPr="00FC4465">
        <w:rPr>
          <w:rFonts w:asciiTheme="majorBidi" w:hAnsiTheme="majorBidi" w:cstheme="majorBidi"/>
        </w:rPr>
        <w:t>“</w:t>
      </w:r>
      <w:r w:rsidRPr="00FC4465">
        <w:rPr>
          <w:rFonts w:asciiTheme="majorBidi" w:hAnsiTheme="majorBidi" w:cstheme="majorBidi"/>
        </w:rPr>
        <w:t>3.2.2.7.3</w:t>
      </w:r>
      <w:r w:rsidR="008C5013" w:rsidRPr="00FC4465">
        <w:rPr>
          <w:rFonts w:asciiTheme="majorBidi" w:hAnsiTheme="majorBidi" w:cstheme="majorBidi"/>
        </w:rPr>
        <w:t>”</w:t>
      </w:r>
      <w:r w:rsidRPr="00FC4465">
        <w:rPr>
          <w:rFonts w:asciiTheme="majorBidi" w:hAnsiTheme="majorBidi" w:cstheme="majorBidi"/>
        </w:rPr>
        <w:t xml:space="preserve"> por </w:t>
      </w:r>
      <w:r w:rsidR="008C5013" w:rsidRPr="00FC4465">
        <w:rPr>
          <w:rFonts w:asciiTheme="majorBidi" w:hAnsiTheme="majorBidi" w:cstheme="majorBidi"/>
        </w:rPr>
        <w:t>“</w:t>
      </w:r>
      <w:r w:rsidRPr="00FC4465">
        <w:rPr>
          <w:rFonts w:asciiTheme="majorBidi" w:hAnsiTheme="majorBidi" w:cstheme="majorBidi"/>
        </w:rPr>
        <w:t>3.2.2.8.3</w:t>
      </w:r>
      <w:r w:rsidR="008C5013" w:rsidRPr="00FC4465">
        <w:rPr>
          <w:rFonts w:asciiTheme="majorBidi" w:hAnsiTheme="majorBidi" w:cstheme="majorBidi"/>
        </w:rPr>
        <w:t>”</w:t>
      </w:r>
      <w:r w:rsidRPr="00FC4465">
        <w:rPr>
          <w:rFonts w:asciiTheme="majorBidi" w:hAnsiTheme="majorBidi" w:cstheme="majorBidi"/>
        </w:rPr>
        <w:t xml:space="preserve"> y </w:t>
      </w:r>
      <w:r w:rsidR="008C5013" w:rsidRPr="00FC4465">
        <w:rPr>
          <w:rFonts w:asciiTheme="majorBidi" w:hAnsiTheme="majorBidi" w:cstheme="majorBidi"/>
        </w:rPr>
        <w:t>“</w:t>
      </w:r>
      <w:r w:rsidRPr="00FC4465">
        <w:rPr>
          <w:rFonts w:asciiTheme="majorBidi" w:hAnsiTheme="majorBidi" w:cstheme="majorBidi"/>
        </w:rPr>
        <w:t>se emplea el enfoque del peso total de las pruebas</w:t>
      </w:r>
      <w:r w:rsidR="008C5013" w:rsidRPr="00FC4465">
        <w:rPr>
          <w:rFonts w:asciiTheme="majorBidi" w:hAnsiTheme="majorBidi" w:cstheme="majorBidi"/>
        </w:rPr>
        <w:t>”</w:t>
      </w:r>
      <w:r w:rsidRPr="00FC4465">
        <w:rPr>
          <w:rFonts w:asciiTheme="majorBidi" w:hAnsiTheme="majorBidi" w:cstheme="majorBidi"/>
        </w:rPr>
        <w:t xml:space="preserve"> por </w:t>
      </w:r>
      <w:r w:rsidR="008C5013" w:rsidRPr="00FC4465">
        <w:rPr>
          <w:rFonts w:asciiTheme="majorBidi" w:hAnsiTheme="majorBidi" w:cstheme="majorBidi"/>
        </w:rPr>
        <w:t>“</w:t>
      </w:r>
      <w:r w:rsidRPr="00FC4465">
        <w:rPr>
          <w:rFonts w:asciiTheme="majorBidi" w:hAnsiTheme="majorBidi" w:cstheme="majorBidi"/>
        </w:rPr>
        <w:t>se lleva a cabo una evaluación del peso total de las pruebas</w:t>
      </w:r>
      <w:r w:rsidR="008C5013" w:rsidRPr="00FC4465">
        <w:rPr>
          <w:rFonts w:asciiTheme="majorBidi" w:hAnsiTheme="majorBidi" w:cstheme="majorBidi"/>
        </w:rPr>
        <w:t>”</w:t>
      </w:r>
      <w:r w:rsidRPr="00FC4465">
        <w:rPr>
          <w:rFonts w:asciiTheme="majorBidi" w:hAnsiTheme="majorBidi" w:cstheme="majorBidi"/>
        </w:rPr>
        <w:t xml:space="preserve">. Al final del párrafo, en las referencias indicadas entre paréntesis, insértese </w:t>
      </w:r>
      <w:r w:rsidR="008C5013" w:rsidRPr="00FC4465">
        <w:rPr>
          <w:rFonts w:asciiTheme="majorBidi" w:hAnsiTheme="majorBidi" w:cstheme="majorBidi"/>
        </w:rPr>
        <w:t>“</w:t>
      </w:r>
      <w:r w:rsidRPr="00FC4465">
        <w:rPr>
          <w:rFonts w:asciiTheme="majorBidi" w:hAnsiTheme="majorBidi" w:cstheme="majorBidi"/>
        </w:rPr>
        <w:t>, 3.2.2.7</w:t>
      </w:r>
      <w:r w:rsidR="008C5013" w:rsidRPr="00FC4465">
        <w:rPr>
          <w:rFonts w:asciiTheme="majorBidi" w:hAnsiTheme="majorBidi" w:cstheme="majorBidi"/>
        </w:rPr>
        <w:t>”</w:t>
      </w:r>
      <w:r w:rsidRPr="00FC4465">
        <w:rPr>
          <w:rFonts w:asciiTheme="majorBidi" w:hAnsiTheme="majorBidi" w:cstheme="majorBidi"/>
        </w:rPr>
        <w:t xml:space="preserve"> después de </w:t>
      </w:r>
      <w:r w:rsidR="008C5013" w:rsidRPr="00FC4465">
        <w:rPr>
          <w:rFonts w:asciiTheme="majorBidi" w:hAnsiTheme="majorBidi" w:cstheme="majorBidi"/>
        </w:rPr>
        <w:t>“</w:t>
      </w:r>
      <w:r w:rsidRPr="00FC4465">
        <w:rPr>
          <w:rFonts w:asciiTheme="majorBidi" w:hAnsiTheme="majorBidi" w:cstheme="majorBidi"/>
        </w:rPr>
        <w:t>1.3.2.4.9</w:t>
      </w:r>
      <w:r w:rsidR="008C5013" w:rsidRPr="00FC4465">
        <w:rPr>
          <w:rFonts w:asciiTheme="majorBidi" w:hAnsiTheme="majorBidi" w:cstheme="majorBidi"/>
        </w:rPr>
        <w:t>”</w:t>
      </w:r>
      <w:r w:rsidRPr="00FC4465">
        <w:rPr>
          <w:rFonts w:asciiTheme="majorBidi" w:hAnsiTheme="majorBidi" w:cstheme="majorBidi"/>
        </w:rPr>
        <w:t>.</w:t>
      </w:r>
    </w:p>
    <w:p w14:paraId="4727A9D1" w14:textId="4D70F8D2" w:rsidR="00A72D17" w:rsidRPr="00FC4465" w:rsidRDefault="00A72D17" w:rsidP="00D73F90">
      <w:pPr>
        <w:pStyle w:val="SingleTxtG"/>
        <w:ind w:left="2268" w:hanging="1134"/>
        <w:rPr>
          <w:rFonts w:asciiTheme="majorBidi" w:hAnsiTheme="majorBidi" w:cstheme="majorBidi"/>
        </w:rPr>
      </w:pPr>
      <w:r w:rsidRPr="00FC4465">
        <w:rPr>
          <w:rFonts w:asciiTheme="majorBidi" w:hAnsiTheme="majorBidi" w:cstheme="majorBidi"/>
        </w:rPr>
        <w:t>3.2.2.1</w:t>
      </w:r>
      <w:r w:rsidRPr="00FC4465">
        <w:rPr>
          <w:rFonts w:asciiTheme="majorBidi" w:hAnsiTheme="majorBidi" w:cstheme="majorBidi"/>
        </w:rPr>
        <w:tab/>
      </w:r>
      <w:r w:rsidRPr="00FC4465">
        <w:rPr>
          <w:rFonts w:asciiTheme="majorBidi" w:hAnsiTheme="majorBidi" w:cstheme="majorBidi"/>
        </w:rPr>
        <w:tab/>
        <w:t>Modifíquese el encabezamiento para que diga</w:t>
      </w:r>
      <w:r w:rsidRPr="00FC4465">
        <w:rPr>
          <w:rFonts w:asciiTheme="majorBidi" w:hAnsiTheme="majorBidi" w:cstheme="majorBidi"/>
          <w:i/>
        </w:rPr>
        <w:t xml:space="preserve">: </w:t>
      </w:r>
      <w:r w:rsidR="008C5013" w:rsidRPr="00FC4465">
        <w:rPr>
          <w:rFonts w:asciiTheme="majorBidi" w:hAnsiTheme="majorBidi" w:cstheme="majorBidi"/>
          <w:b/>
          <w:bCs/>
          <w:i/>
        </w:rPr>
        <w:t>“</w:t>
      </w:r>
      <w:r w:rsidRPr="00FC4465">
        <w:rPr>
          <w:rFonts w:asciiTheme="majorBidi" w:hAnsiTheme="majorBidi" w:cstheme="majorBidi"/>
          <w:b/>
          <w:bCs/>
          <w:i/>
          <w:iCs/>
        </w:rPr>
        <w:t>Clasificación basada en datos obtenidos en seres humanos (etapa 1 en la figura 3.2.1)</w:t>
      </w:r>
      <w:r w:rsidR="008C5013" w:rsidRPr="00FC4465">
        <w:rPr>
          <w:rFonts w:asciiTheme="majorBidi" w:hAnsiTheme="majorBidi" w:cstheme="majorBidi"/>
          <w:b/>
          <w:bCs/>
          <w:i/>
        </w:rPr>
        <w:t>”</w:t>
      </w:r>
      <w:r w:rsidRPr="00FC4465">
        <w:rPr>
          <w:rFonts w:asciiTheme="majorBidi" w:hAnsiTheme="majorBidi" w:cstheme="majorBidi"/>
        </w:rPr>
        <w:t>.</w:t>
      </w:r>
    </w:p>
    <w:p w14:paraId="57AA9FD3" w14:textId="299500BC" w:rsidR="00A72D17" w:rsidRPr="00FC4465" w:rsidRDefault="00A72D17" w:rsidP="00D73F90">
      <w:pPr>
        <w:pStyle w:val="SingleTxtG"/>
        <w:ind w:left="2268" w:hanging="1134"/>
        <w:rPr>
          <w:rFonts w:asciiTheme="majorBidi" w:hAnsiTheme="majorBidi" w:cstheme="majorBidi"/>
        </w:rPr>
      </w:pPr>
      <w:r w:rsidRPr="00FC4465">
        <w:rPr>
          <w:rFonts w:asciiTheme="majorBidi" w:hAnsiTheme="majorBidi" w:cstheme="majorBidi"/>
        </w:rPr>
        <w:t>3.2.2.2</w:t>
      </w:r>
      <w:r w:rsidRPr="00FC4465">
        <w:rPr>
          <w:rFonts w:asciiTheme="majorBidi" w:hAnsiTheme="majorBidi" w:cstheme="majorBidi"/>
        </w:rPr>
        <w:tab/>
      </w:r>
      <w:r w:rsidRPr="00FC4465">
        <w:rPr>
          <w:rFonts w:asciiTheme="majorBidi" w:hAnsiTheme="majorBidi" w:cstheme="majorBidi"/>
        </w:rPr>
        <w:tab/>
        <w:t>Modifíquese el encabezamiento para que diga</w:t>
      </w:r>
      <w:r w:rsidRPr="00FC4465">
        <w:rPr>
          <w:rFonts w:asciiTheme="majorBidi" w:hAnsiTheme="majorBidi" w:cstheme="majorBidi"/>
          <w:i/>
        </w:rPr>
        <w:t xml:space="preserve">: </w:t>
      </w:r>
      <w:r w:rsidR="008C5013" w:rsidRPr="00FC4465">
        <w:rPr>
          <w:rFonts w:asciiTheme="majorBidi" w:hAnsiTheme="majorBidi" w:cstheme="majorBidi"/>
          <w:b/>
          <w:bCs/>
          <w:i/>
        </w:rPr>
        <w:t>“</w:t>
      </w:r>
      <w:r w:rsidRPr="00FC4465">
        <w:rPr>
          <w:rFonts w:asciiTheme="majorBidi" w:hAnsiTheme="majorBidi" w:cstheme="majorBidi"/>
          <w:b/>
          <w:bCs/>
          <w:i/>
          <w:iCs/>
        </w:rPr>
        <w:t>Clasificación basada en datos normalizados obtenidos en animales (etapa 1 en la figura 3.2.1)</w:t>
      </w:r>
      <w:r w:rsidR="008C5013" w:rsidRPr="00FC4465">
        <w:rPr>
          <w:rFonts w:asciiTheme="majorBidi" w:hAnsiTheme="majorBidi" w:cstheme="majorBidi"/>
          <w:b/>
          <w:bCs/>
          <w:i/>
        </w:rPr>
        <w:t>”</w:t>
      </w:r>
      <w:r w:rsidRPr="00FC4465">
        <w:rPr>
          <w:rFonts w:asciiTheme="majorBidi" w:hAnsiTheme="majorBidi" w:cstheme="majorBidi"/>
        </w:rPr>
        <w:t>.</w:t>
      </w:r>
    </w:p>
    <w:p w14:paraId="47C246E1" w14:textId="1B508CF1" w:rsidR="00A72D17" w:rsidRPr="00FC4465" w:rsidRDefault="00A72D17" w:rsidP="00A72D17">
      <w:pPr>
        <w:pStyle w:val="SingleTxtG"/>
        <w:ind w:left="2268"/>
        <w:rPr>
          <w:rFonts w:asciiTheme="majorBidi" w:hAnsiTheme="majorBidi" w:cstheme="majorBidi"/>
        </w:rPr>
      </w:pPr>
      <w:r w:rsidRPr="00FC4465">
        <w:rPr>
          <w:rFonts w:asciiTheme="majorBidi" w:hAnsiTheme="majorBidi" w:cstheme="majorBidi"/>
        </w:rPr>
        <w:lastRenderedPageBreak/>
        <w:t xml:space="preserve">Modifíquese el comienzo de la primera oración para que diga: </w:t>
      </w:r>
      <w:r w:rsidR="008C5013" w:rsidRPr="00FC4465">
        <w:rPr>
          <w:rFonts w:asciiTheme="majorBidi" w:hAnsiTheme="majorBidi" w:cstheme="majorBidi"/>
        </w:rPr>
        <w:t>“</w:t>
      </w:r>
      <w:r w:rsidRPr="00FC4465">
        <w:rPr>
          <w:rFonts w:asciiTheme="majorBidi" w:hAnsiTheme="majorBidi" w:cstheme="majorBidi"/>
        </w:rPr>
        <w:t>La Directriz 404 de la OCDE es el método de ensayo en animales actualmente disponible y aceptado a nivel internacional para [...]</w:t>
      </w:r>
      <w:r w:rsidR="008C5013" w:rsidRPr="00FC4465">
        <w:rPr>
          <w:rFonts w:asciiTheme="majorBidi" w:hAnsiTheme="majorBidi" w:cstheme="majorBidi"/>
        </w:rPr>
        <w:t>”</w:t>
      </w:r>
      <w:r w:rsidRPr="00FC4465">
        <w:rPr>
          <w:rFonts w:asciiTheme="majorBidi" w:hAnsiTheme="majorBidi" w:cstheme="majorBidi"/>
        </w:rPr>
        <w:t>.</w:t>
      </w:r>
    </w:p>
    <w:p w14:paraId="03260ECB" w14:textId="01767794" w:rsidR="00A72D17" w:rsidRPr="00FC4465" w:rsidRDefault="00A72D17" w:rsidP="00EB7FC6">
      <w:pPr>
        <w:pStyle w:val="SingleTxtG"/>
        <w:rPr>
          <w:rFonts w:asciiTheme="majorBidi" w:hAnsiTheme="majorBidi" w:cstheme="majorBidi"/>
        </w:rPr>
      </w:pPr>
      <w:r w:rsidRPr="00FC4465">
        <w:rPr>
          <w:rFonts w:asciiTheme="majorBidi" w:hAnsiTheme="majorBidi" w:cstheme="majorBidi"/>
        </w:rPr>
        <w:t>3.2.2.3</w:t>
      </w:r>
      <w:r w:rsidRPr="00FC4465">
        <w:rPr>
          <w:rFonts w:asciiTheme="majorBidi" w:hAnsiTheme="majorBidi" w:cstheme="majorBidi"/>
        </w:rPr>
        <w:tab/>
      </w:r>
      <w:r w:rsidRPr="00FC4465">
        <w:rPr>
          <w:rFonts w:asciiTheme="majorBidi" w:hAnsiTheme="majorBidi" w:cstheme="majorBidi"/>
        </w:rPr>
        <w:tab/>
        <w:t xml:space="preserve">Al final del encabezamiento, añádase </w:t>
      </w:r>
      <w:r w:rsidR="008C5013" w:rsidRPr="00FC4465">
        <w:rPr>
          <w:rFonts w:asciiTheme="majorBidi" w:hAnsiTheme="majorBidi" w:cstheme="majorBidi"/>
          <w:b/>
          <w:bCs/>
          <w:i/>
        </w:rPr>
        <w:t>“</w:t>
      </w:r>
      <w:r w:rsidRPr="00FC4465">
        <w:rPr>
          <w:rFonts w:asciiTheme="majorBidi" w:hAnsiTheme="majorBidi" w:cstheme="majorBidi"/>
          <w:b/>
          <w:bCs/>
          <w:i/>
          <w:iCs/>
        </w:rPr>
        <w:t>(etapa 2 en la figura 3.2.1)</w:t>
      </w:r>
      <w:r w:rsidR="008C5013" w:rsidRPr="00FC4465">
        <w:rPr>
          <w:rFonts w:asciiTheme="majorBidi" w:hAnsiTheme="majorBidi" w:cstheme="majorBidi"/>
          <w:b/>
          <w:bCs/>
          <w:i/>
        </w:rPr>
        <w:t>”</w:t>
      </w:r>
      <w:r w:rsidRPr="00FC4465">
        <w:rPr>
          <w:rFonts w:asciiTheme="majorBidi" w:hAnsiTheme="majorBidi" w:cstheme="majorBidi"/>
        </w:rPr>
        <w:t>.</w:t>
      </w:r>
    </w:p>
    <w:p w14:paraId="6612282F" w14:textId="344DC91E" w:rsidR="00A72D17" w:rsidRPr="00FC4465" w:rsidRDefault="00A72D17" w:rsidP="00A72D17">
      <w:pPr>
        <w:pStyle w:val="SingleTxtG"/>
        <w:ind w:left="2268" w:hanging="1134"/>
        <w:rPr>
          <w:rFonts w:asciiTheme="majorBidi" w:hAnsiTheme="majorBidi" w:cstheme="majorBidi"/>
        </w:rPr>
      </w:pPr>
      <w:r w:rsidRPr="00FC4465">
        <w:rPr>
          <w:rFonts w:asciiTheme="majorBidi" w:hAnsiTheme="majorBidi" w:cstheme="majorBidi"/>
        </w:rPr>
        <w:t>3.2.2.3.2</w:t>
      </w:r>
      <w:r w:rsidRPr="00FC4465">
        <w:rPr>
          <w:rFonts w:asciiTheme="majorBidi" w:hAnsiTheme="majorBidi" w:cstheme="majorBidi"/>
        </w:rPr>
        <w:tab/>
        <w:t>Sustitúyase la primera oración (</w:t>
      </w:r>
      <w:r w:rsidR="008C5013" w:rsidRPr="00FC4465">
        <w:rPr>
          <w:rFonts w:asciiTheme="majorBidi" w:hAnsiTheme="majorBidi" w:cstheme="majorBidi"/>
        </w:rPr>
        <w:t>“</w:t>
      </w:r>
      <w:r w:rsidRPr="00FC4465">
        <w:rPr>
          <w:rFonts w:asciiTheme="majorBidi" w:hAnsiTheme="majorBidi" w:cstheme="majorBidi"/>
        </w:rPr>
        <w:t>Siempre que sea posible [...] en esos métodos.</w:t>
      </w:r>
      <w:r w:rsidR="008C5013" w:rsidRPr="00FC4465">
        <w:rPr>
          <w:rFonts w:asciiTheme="majorBidi" w:hAnsiTheme="majorBidi" w:cstheme="majorBidi"/>
        </w:rPr>
        <w:t>”</w:t>
      </w:r>
      <w:r w:rsidRPr="00FC4465">
        <w:rPr>
          <w:rFonts w:asciiTheme="majorBidi" w:hAnsiTheme="majorBidi" w:cstheme="majorBidi"/>
        </w:rPr>
        <w:t>) por el texto siguiente:</w:t>
      </w:r>
    </w:p>
    <w:p w14:paraId="619C73E2" w14:textId="32542288" w:rsidR="00A72D17" w:rsidRPr="00FC4465" w:rsidRDefault="008C5013" w:rsidP="00A72D17">
      <w:pPr>
        <w:pStyle w:val="SingleTxtG"/>
        <w:ind w:left="2268"/>
        <w:rPr>
          <w:rFonts w:asciiTheme="majorBidi" w:hAnsiTheme="majorBidi" w:cstheme="majorBidi"/>
        </w:rPr>
      </w:pPr>
      <w:r w:rsidRPr="00FC4465">
        <w:rPr>
          <w:rFonts w:asciiTheme="majorBidi" w:hAnsiTheme="majorBidi" w:cstheme="majorBidi"/>
        </w:rPr>
        <w:t>“</w:t>
      </w:r>
      <w:r w:rsidR="00A72D17" w:rsidRPr="00FC4465">
        <w:rPr>
          <w:rFonts w:asciiTheme="majorBidi" w:hAnsiTheme="majorBidi" w:cstheme="majorBidi"/>
        </w:rPr>
        <w:t xml:space="preserve">Los criterios de clasificación de los métodos de ensayo </w:t>
      </w:r>
      <w:r w:rsidR="00762E66">
        <w:rPr>
          <w:rFonts w:asciiTheme="majorBidi" w:hAnsiTheme="majorBidi" w:cstheme="majorBidi"/>
          <w:i/>
          <w:iCs/>
        </w:rPr>
        <w:t>in vitro</w:t>
      </w:r>
      <w:r w:rsidR="00A72D17" w:rsidRPr="00FC4465">
        <w:rPr>
          <w:rFonts w:asciiTheme="majorBidi" w:hAnsiTheme="majorBidi" w:cstheme="majorBidi"/>
        </w:rPr>
        <w:t>/</w:t>
      </w:r>
      <w:r w:rsidR="00762E66">
        <w:rPr>
          <w:rFonts w:asciiTheme="majorBidi" w:hAnsiTheme="majorBidi" w:cstheme="majorBidi"/>
          <w:i/>
          <w:iCs/>
        </w:rPr>
        <w:t>ex vivo</w:t>
      </w:r>
      <w:r w:rsidR="00A72D17" w:rsidRPr="00FC4465">
        <w:rPr>
          <w:rFonts w:asciiTheme="majorBidi" w:hAnsiTheme="majorBidi" w:cstheme="majorBidi"/>
        </w:rPr>
        <w:t xml:space="preserve"> actualmente disponibles adoptados por la OCDE en las directrices 430, 431, 435 y 439 se describen en las tablas 3.2.6 y 3.2.7 (véase 3.2.5.3.4). También puede considerarse la posibilidad de aplicar otros métodos de ensayo </w:t>
      </w:r>
      <w:r w:rsidR="00762E66">
        <w:rPr>
          <w:rFonts w:asciiTheme="majorBidi" w:hAnsiTheme="majorBidi" w:cstheme="majorBidi"/>
          <w:i/>
          <w:iCs/>
        </w:rPr>
        <w:t>in vitro</w:t>
      </w:r>
      <w:r w:rsidR="00A72D17" w:rsidRPr="00FC4465">
        <w:rPr>
          <w:rFonts w:asciiTheme="majorBidi" w:hAnsiTheme="majorBidi" w:cstheme="majorBidi"/>
        </w:rPr>
        <w:t>/</w:t>
      </w:r>
      <w:r w:rsidR="00762E66">
        <w:rPr>
          <w:rFonts w:asciiTheme="majorBidi" w:hAnsiTheme="majorBidi" w:cstheme="majorBidi"/>
          <w:i/>
          <w:iCs/>
        </w:rPr>
        <w:t>ex vivo</w:t>
      </w:r>
      <w:r w:rsidR="00A72D17" w:rsidRPr="00FC4465">
        <w:rPr>
          <w:rFonts w:asciiTheme="majorBidi" w:hAnsiTheme="majorBidi" w:cstheme="majorBidi"/>
        </w:rPr>
        <w:t xml:space="preserve"> validados y aceptados por algunas autoridades competentes. Una autoridad competente podrá decidir qué criterios de clasificación deberían aplicarse, si es el caso, a otros métodos de ensayo para llegar a una conclusión sobre la clasificación de la sustancia, que podría ser, entre otras, la de no clasificarla por sus efectos en la piel.</w:t>
      </w:r>
      <w:r w:rsidRPr="00FC4465">
        <w:rPr>
          <w:rFonts w:asciiTheme="majorBidi" w:hAnsiTheme="majorBidi" w:cstheme="majorBidi"/>
        </w:rPr>
        <w:t>”</w:t>
      </w:r>
      <w:r w:rsidR="00A72D17" w:rsidRPr="00FC4465">
        <w:rPr>
          <w:rFonts w:asciiTheme="majorBidi" w:hAnsiTheme="majorBidi" w:cstheme="majorBidi"/>
        </w:rPr>
        <w:t>.</w:t>
      </w:r>
    </w:p>
    <w:p w14:paraId="4A1689A8" w14:textId="5E22630A" w:rsidR="00A72D17" w:rsidRPr="00FC4465" w:rsidRDefault="00A72D17" w:rsidP="00A72D17">
      <w:pPr>
        <w:pStyle w:val="SingleTxtG"/>
        <w:ind w:left="2268" w:hanging="1134"/>
        <w:rPr>
          <w:rFonts w:asciiTheme="majorBidi" w:hAnsiTheme="majorBidi" w:cstheme="majorBidi"/>
        </w:rPr>
      </w:pPr>
      <w:r w:rsidRPr="00FC4465">
        <w:rPr>
          <w:rFonts w:asciiTheme="majorBidi" w:hAnsiTheme="majorBidi" w:cstheme="majorBidi"/>
        </w:rPr>
        <w:t>3.2.2.3.3 (nuevo)</w:t>
      </w:r>
      <w:r w:rsidR="00D73F90">
        <w:rPr>
          <w:rFonts w:asciiTheme="majorBidi" w:hAnsiTheme="majorBidi" w:cstheme="majorBidi"/>
        </w:rPr>
        <w:tab/>
      </w:r>
      <w:r w:rsidRPr="00FC4465">
        <w:rPr>
          <w:rFonts w:asciiTheme="majorBidi" w:hAnsiTheme="majorBidi" w:cstheme="majorBidi"/>
        </w:rPr>
        <w:t>Colóquense las dos últimas oraciones del actual párrafo 3.2.2.3.2 (</w:t>
      </w:r>
      <w:r w:rsidR="008C5013" w:rsidRPr="00FC4465">
        <w:rPr>
          <w:rFonts w:asciiTheme="majorBidi" w:hAnsiTheme="majorBidi" w:cstheme="majorBidi"/>
        </w:rPr>
        <w:t>“</w:t>
      </w:r>
      <w:r w:rsidRPr="00FC4465">
        <w:rPr>
          <w:rFonts w:asciiTheme="majorBidi" w:hAnsiTheme="majorBidi" w:cstheme="majorBidi"/>
        </w:rPr>
        <w:t>Los</w:t>
      </w:r>
      <w:r w:rsidR="008A7CA3">
        <w:rPr>
          <w:rFonts w:asciiTheme="majorBidi" w:hAnsiTheme="majorBidi" w:cstheme="majorBidi"/>
        </w:rPr>
        <w:t> </w:t>
      </w:r>
      <w:r w:rsidRPr="00FC4465">
        <w:rPr>
          <w:rFonts w:asciiTheme="majorBidi" w:hAnsiTheme="majorBidi" w:cstheme="majorBidi"/>
        </w:rPr>
        <w:t xml:space="preserve">datos </w:t>
      </w:r>
      <w:r w:rsidR="00762E66">
        <w:rPr>
          <w:rFonts w:asciiTheme="majorBidi" w:hAnsiTheme="majorBidi" w:cstheme="majorBidi"/>
          <w:i/>
          <w:iCs/>
        </w:rPr>
        <w:t>in vitro</w:t>
      </w:r>
      <w:r w:rsidRPr="00FC4465">
        <w:rPr>
          <w:rFonts w:asciiTheme="majorBidi" w:hAnsiTheme="majorBidi" w:cstheme="majorBidi"/>
        </w:rPr>
        <w:t>/</w:t>
      </w:r>
      <w:r w:rsidR="00762E66">
        <w:rPr>
          <w:rFonts w:asciiTheme="majorBidi" w:hAnsiTheme="majorBidi" w:cstheme="majorBidi"/>
          <w:i/>
          <w:iCs/>
        </w:rPr>
        <w:t>ex vivo</w:t>
      </w:r>
      <w:r w:rsidRPr="00FC4465">
        <w:rPr>
          <w:rFonts w:asciiTheme="majorBidi" w:hAnsiTheme="majorBidi" w:cstheme="majorBidi"/>
        </w:rPr>
        <w:t xml:space="preserve"> [...] publicaciones pertinentes.</w:t>
      </w:r>
      <w:r w:rsidR="008C5013" w:rsidRPr="00FC4465">
        <w:rPr>
          <w:rFonts w:asciiTheme="majorBidi" w:hAnsiTheme="majorBidi" w:cstheme="majorBidi"/>
        </w:rPr>
        <w:t>”</w:t>
      </w:r>
      <w:r w:rsidRPr="00FC4465">
        <w:rPr>
          <w:rFonts w:asciiTheme="majorBidi" w:hAnsiTheme="majorBidi" w:cstheme="majorBidi"/>
        </w:rPr>
        <w:t xml:space="preserve">) en un nuevo párrafo 3.2.2.3.3 y sustitúyase </w:t>
      </w:r>
      <w:r w:rsidR="008C5013" w:rsidRPr="00FC4465">
        <w:rPr>
          <w:rFonts w:asciiTheme="majorBidi" w:hAnsiTheme="majorBidi" w:cstheme="majorBidi"/>
        </w:rPr>
        <w:t>“</w:t>
      </w:r>
      <w:r w:rsidRPr="00FC4465">
        <w:rPr>
          <w:rFonts w:asciiTheme="majorBidi" w:hAnsiTheme="majorBidi" w:cstheme="majorBidi"/>
        </w:rPr>
        <w:t>de los métodos de ensayo utilizados</w:t>
      </w:r>
      <w:r w:rsidR="008C5013" w:rsidRPr="00FC4465">
        <w:rPr>
          <w:rFonts w:asciiTheme="majorBidi" w:hAnsiTheme="majorBidi" w:cstheme="majorBidi"/>
        </w:rPr>
        <w:t>”</w:t>
      </w:r>
      <w:r w:rsidRPr="00FC4465">
        <w:rPr>
          <w:rFonts w:asciiTheme="majorBidi" w:hAnsiTheme="majorBidi" w:cstheme="majorBidi"/>
        </w:rPr>
        <w:t xml:space="preserve"> por </w:t>
      </w:r>
      <w:r w:rsidR="008C5013" w:rsidRPr="00FC4465">
        <w:rPr>
          <w:rFonts w:asciiTheme="majorBidi" w:hAnsiTheme="majorBidi" w:cstheme="majorBidi"/>
        </w:rPr>
        <w:t>“</w:t>
      </w:r>
      <w:r w:rsidRPr="00FC4465">
        <w:rPr>
          <w:rFonts w:asciiTheme="majorBidi" w:hAnsiTheme="majorBidi" w:cstheme="majorBidi"/>
        </w:rPr>
        <w:t>del método o métodos de ensayo utilizados</w:t>
      </w:r>
      <w:r w:rsidR="008C5013" w:rsidRPr="00FC4465">
        <w:rPr>
          <w:rFonts w:asciiTheme="majorBidi" w:hAnsiTheme="majorBidi" w:cstheme="majorBidi"/>
        </w:rPr>
        <w:t>”</w:t>
      </w:r>
      <w:r w:rsidRPr="00FC4465">
        <w:rPr>
          <w:rFonts w:asciiTheme="majorBidi" w:hAnsiTheme="majorBidi" w:cstheme="majorBidi"/>
        </w:rPr>
        <w:t>.</w:t>
      </w:r>
    </w:p>
    <w:p w14:paraId="5DABC2BA" w14:textId="77777777" w:rsidR="00A72D17" w:rsidRPr="00FC4465" w:rsidRDefault="00A72D17" w:rsidP="00A72D17">
      <w:pPr>
        <w:pStyle w:val="SingleTxtG"/>
        <w:tabs>
          <w:tab w:val="clear" w:pos="1701"/>
        </w:tabs>
        <w:ind w:left="2268" w:hanging="1134"/>
        <w:rPr>
          <w:rFonts w:asciiTheme="majorBidi" w:hAnsiTheme="majorBidi" w:cstheme="majorBidi"/>
        </w:rPr>
      </w:pPr>
      <w:r w:rsidRPr="00FC4465">
        <w:rPr>
          <w:rFonts w:asciiTheme="majorBidi" w:hAnsiTheme="majorBidi" w:cstheme="majorBidi"/>
        </w:rPr>
        <w:tab/>
        <w:t>Los actuales párrafos 3.2.2.2.3 a 3.2.2.3.4.2 pasan a ser los párrafos 3.2.2.3.4 a 3.2.2.3.5.2.</w:t>
      </w:r>
    </w:p>
    <w:p w14:paraId="215A4B77" w14:textId="40F75693" w:rsidR="00A72D17" w:rsidRPr="00FC4465" w:rsidRDefault="00A72D17" w:rsidP="00A72D17">
      <w:pPr>
        <w:pStyle w:val="SingleTxtG"/>
        <w:ind w:left="2268" w:hanging="1134"/>
        <w:rPr>
          <w:rFonts w:asciiTheme="majorBidi" w:hAnsiTheme="majorBidi" w:cstheme="majorBidi"/>
        </w:rPr>
      </w:pPr>
      <w:r w:rsidRPr="00FC4465">
        <w:rPr>
          <w:rFonts w:asciiTheme="majorBidi" w:hAnsiTheme="majorBidi" w:cstheme="majorBidi"/>
        </w:rPr>
        <w:t>3.2.2.3.4.1 (nuevo, antiguo 3.2.2.3.3.1)</w:t>
      </w:r>
      <w:r w:rsidR="00D73F90">
        <w:rPr>
          <w:rFonts w:asciiTheme="majorBidi" w:hAnsiTheme="majorBidi" w:cstheme="majorBidi"/>
        </w:rPr>
        <w:tab/>
      </w:r>
      <w:r w:rsidRPr="00FC4465">
        <w:rPr>
          <w:rFonts w:asciiTheme="majorBidi" w:hAnsiTheme="majorBidi" w:cstheme="majorBidi"/>
        </w:rPr>
        <w:t xml:space="preserve">Añádase </w:t>
      </w:r>
      <w:r w:rsidR="008C5013" w:rsidRPr="00FC4465">
        <w:rPr>
          <w:rFonts w:asciiTheme="majorBidi" w:hAnsiTheme="majorBidi" w:cstheme="majorBidi"/>
        </w:rPr>
        <w:t>“</w:t>
      </w:r>
      <w:r w:rsidRPr="00FC4465">
        <w:rPr>
          <w:rFonts w:asciiTheme="majorBidi" w:hAnsiTheme="majorBidi" w:cstheme="majorBidi"/>
        </w:rPr>
        <w:t>(véase 3.2.5.3.4)</w:t>
      </w:r>
      <w:r w:rsidR="008C5013" w:rsidRPr="00FC4465">
        <w:rPr>
          <w:rFonts w:asciiTheme="majorBidi" w:hAnsiTheme="majorBidi" w:cstheme="majorBidi"/>
        </w:rPr>
        <w:t>”</w:t>
      </w:r>
      <w:r w:rsidRPr="00FC4465">
        <w:rPr>
          <w:rFonts w:asciiTheme="majorBidi" w:hAnsiTheme="majorBidi" w:cstheme="majorBidi"/>
        </w:rPr>
        <w:t xml:space="preserve"> al final del párrafo, después de </w:t>
      </w:r>
      <w:r w:rsidR="008C5013" w:rsidRPr="00FC4465">
        <w:rPr>
          <w:rFonts w:asciiTheme="majorBidi" w:hAnsiTheme="majorBidi" w:cstheme="majorBidi"/>
        </w:rPr>
        <w:t>“</w:t>
      </w:r>
      <w:r w:rsidRPr="00FC4465">
        <w:rPr>
          <w:rFonts w:asciiTheme="majorBidi" w:hAnsiTheme="majorBidi" w:cstheme="majorBidi"/>
        </w:rPr>
        <w:t>tabla 3.2.6</w:t>
      </w:r>
      <w:r w:rsidR="008C5013" w:rsidRPr="00FC4465">
        <w:rPr>
          <w:rFonts w:asciiTheme="majorBidi" w:hAnsiTheme="majorBidi" w:cstheme="majorBidi"/>
        </w:rPr>
        <w:t>”</w:t>
      </w:r>
      <w:r w:rsidRPr="00FC4465">
        <w:rPr>
          <w:rFonts w:asciiTheme="majorBidi" w:hAnsiTheme="majorBidi" w:cstheme="majorBidi"/>
        </w:rPr>
        <w:t>.</w:t>
      </w:r>
    </w:p>
    <w:p w14:paraId="200DCB4E" w14:textId="695CF044" w:rsidR="00A72D17" w:rsidRPr="00FC4465" w:rsidRDefault="00A72D17" w:rsidP="00A72D17">
      <w:pPr>
        <w:pStyle w:val="SingleTxtG"/>
        <w:ind w:left="2268" w:hanging="1134"/>
        <w:rPr>
          <w:rFonts w:asciiTheme="majorBidi" w:hAnsiTheme="majorBidi" w:cstheme="majorBidi"/>
        </w:rPr>
      </w:pPr>
      <w:r w:rsidRPr="00FC4465">
        <w:rPr>
          <w:rFonts w:asciiTheme="majorBidi" w:hAnsiTheme="majorBidi" w:cstheme="majorBidi"/>
        </w:rPr>
        <w:t>3.2.2.3.5.1 (nuevo, antiguo 3.2.2.3.4.1)</w:t>
      </w:r>
      <w:r w:rsidR="00D73F90">
        <w:rPr>
          <w:rFonts w:asciiTheme="majorBidi" w:hAnsiTheme="majorBidi" w:cstheme="majorBidi"/>
        </w:rPr>
        <w:tab/>
      </w:r>
      <w:r w:rsidRPr="00FC4465">
        <w:rPr>
          <w:rFonts w:asciiTheme="majorBidi" w:hAnsiTheme="majorBidi" w:cstheme="majorBidi"/>
        </w:rPr>
        <w:t xml:space="preserve">Añádase </w:t>
      </w:r>
      <w:r w:rsidR="008C5013" w:rsidRPr="00FC4465">
        <w:rPr>
          <w:rFonts w:asciiTheme="majorBidi" w:hAnsiTheme="majorBidi" w:cstheme="majorBidi"/>
        </w:rPr>
        <w:t>“</w:t>
      </w:r>
      <w:r w:rsidRPr="00FC4465">
        <w:rPr>
          <w:rFonts w:asciiTheme="majorBidi" w:hAnsiTheme="majorBidi" w:cstheme="majorBidi"/>
        </w:rPr>
        <w:t>(véase 3.2.5.3.4)</w:t>
      </w:r>
      <w:r w:rsidR="008C5013" w:rsidRPr="00FC4465">
        <w:rPr>
          <w:rFonts w:asciiTheme="majorBidi" w:hAnsiTheme="majorBidi" w:cstheme="majorBidi"/>
        </w:rPr>
        <w:t>”</w:t>
      </w:r>
      <w:r w:rsidRPr="00FC4465">
        <w:rPr>
          <w:rFonts w:asciiTheme="majorBidi" w:hAnsiTheme="majorBidi" w:cstheme="majorBidi"/>
        </w:rPr>
        <w:t xml:space="preserve"> al final del párrafo, después de </w:t>
      </w:r>
      <w:r w:rsidR="008C5013" w:rsidRPr="00FC4465">
        <w:rPr>
          <w:rFonts w:asciiTheme="majorBidi" w:hAnsiTheme="majorBidi" w:cstheme="majorBidi"/>
        </w:rPr>
        <w:t>“</w:t>
      </w:r>
      <w:r w:rsidRPr="00FC4465">
        <w:rPr>
          <w:rFonts w:asciiTheme="majorBidi" w:hAnsiTheme="majorBidi" w:cstheme="majorBidi"/>
        </w:rPr>
        <w:t>tabla 3.2.7</w:t>
      </w:r>
      <w:r w:rsidR="008C5013" w:rsidRPr="00FC4465">
        <w:rPr>
          <w:rFonts w:asciiTheme="majorBidi" w:hAnsiTheme="majorBidi" w:cstheme="majorBidi"/>
        </w:rPr>
        <w:t>”</w:t>
      </w:r>
      <w:r w:rsidRPr="00FC4465">
        <w:rPr>
          <w:rFonts w:asciiTheme="majorBidi" w:hAnsiTheme="majorBidi" w:cstheme="majorBidi"/>
        </w:rPr>
        <w:t>.</w:t>
      </w:r>
    </w:p>
    <w:p w14:paraId="4C3D3638" w14:textId="4EAB4F32" w:rsidR="00A72D17" w:rsidRPr="00FC4465" w:rsidRDefault="00A72D17" w:rsidP="00A72D17">
      <w:pPr>
        <w:pStyle w:val="SingleTxtG"/>
        <w:ind w:left="2268" w:hanging="1134"/>
        <w:rPr>
          <w:rFonts w:asciiTheme="majorBidi" w:hAnsiTheme="majorBidi" w:cstheme="majorBidi"/>
        </w:rPr>
      </w:pPr>
      <w:r w:rsidRPr="00FC4465">
        <w:rPr>
          <w:rFonts w:asciiTheme="majorBidi" w:hAnsiTheme="majorBidi" w:cstheme="majorBidi"/>
        </w:rPr>
        <w:t>3.2.2.3.5.2</w:t>
      </w:r>
      <w:r w:rsidR="00D73F90">
        <w:rPr>
          <w:rFonts w:asciiTheme="majorBidi" w:hAnsiTheme="majorBidi" w:cstheme="majorBidi"/>
        </w:rPr>
        <w:t xml:space="preserve"> </w:t>
      </w:r>
      <w:r w:rsidRPr="00FC4465">
        <w:rPr>
          <w:rFonts w:asciiTheme="majorBidi" w:hAnsiTheme="majorBidi" w:cstheme="majorBidi"/>
        </w:rPr>
        <w:t>(nuevo, antiguo 3.2.2.3.4.2)</w:t>
      </w:r>
      <w:r w:rsidR="00D73F90">
        <w:rPr>
          <w:rFonts w:asciiTheme="majorBidi" w:hAnsiTheme="majorBidi" w:cstheme="majorBidi"/>
        </w:rPr>
        <w:tab/>
      </w:r>
      <w:r w:rsidRPr="00FC4465">
        <w:rPr>
          <w:rFonts w:asciiTheme="majorBidi" w:hAnsiTheme="majorBidi" w:cstheme="majorBidi"/>
        </w:rPr>
        <w:t>Suprímase la última oración (</w:t>
      </w:r>
      <w:r w:rsidR="008C5013" w:rsidRPr="00FC4465">
        <w:rPr>
          <w:rFonts w:asciiTheme="majorBidi" w:hAnsiTheme="majorBidi" w:cstheme="majorBidi"/>
        </w:rPr>
        <w:t>“</w:t>
      </w:r>
      <w:r w:rsidRPr="00FC4465">
        <w:rPr>
          <w:rFonts w:asciiTheme="majorBidi" w:hAnsiTheme="majorBidi" w:cstheme="majorBidi"/>
        </w:rPr>
        <w:t>En esta situación [...] la no clasificación</w:t>
      </w:r>
      <w:r w:rsidR="00D73F90">
        <w:rPr>
          <w:rFonts w:asciiTheme="majorBidi" w:hAnsiTheme="majorBidi" w:cstheme="majorBidi"/>
        </w:rPr>
        <w:t>.</w:t>
      </w:r>
      <w:r w:rsidR="008C5013" w:rsidRPr="00FC4465">
        <w:rPr>
          <w:rFonts w:asciiTheme="majorBidi" w:hAnsiTheme="majorBidi" w:cstheme="majorBidi"/>
        </w:rPr>
        <w:t>”</w:t>
      </w:r>
      <w:r w:rsidRPr="00FC4465">
        <w:rPr>
          <w:rFonts w:asciiTheme="majorBidi" w:hAnsiTheme="majorBidi" w:cstheme="majorBidi"/>
        </w:rPr>
        <w:t xml:space="preserve">). </w:t>
      </w:r>
    </w:p>
    <w:p w14:paraId="6355D5BD" w14:textId="1E198A29" w:rsidR="00A72D17" w:rsidRPr="00FC4465" w:rsidRDefault="00A72D17" w:rsidP="00A72D17">
      <w:pPr>
        <w:pStyle w:val="SingleTxtG"/>
        <w:ind w:left="2268" w:hanging="1134"/>
        <w:rPr>
          <w:rFonts w:asciiTheme="majorBidi" w:hAnsiTheme="majorBidi" w:cstheme="majorBidi"/>
        </w:rPr>
      </w:pPr>
      <w:r w:rsidRPr="00FC4465">
        <w:rPr>
          <w:rFonts w:asciiTheme="majorBidi" w:hAnsiTheme="majorBidi" w:cstheme="majorBidi"/>
        </w:rPr>
        <w:t>3.2.2.3.6 (nuevo, antiguo 3.2.2.3.4.3)</w:t>
      </w:r>
      <w:r w:rsidR="00D73F90">
        <w:rPr>
          <w:rFonts w:asciiTheme="majorBidi" w:hAnsiTheme="majorBidi" w:cstheme="majorBidi"/>
        </w:rPr>
        <w:tab/>
      </w:r>
      <w:r w:rsidRPr="00FC4465">
        <w:rPr>
          <w:rFonts w:asciiTheme="majorBidi" w:hAnsiTheme="majorBidi" w:cstheme="majorBidi"/>
        </w:rPr>
        <w:t>Colóquese el actual párrafo 3.2.2.3.4.3 (</w:t>
      </w:r>
      <w:r w:rsidR="008C5013" w:rsidRPr="00FC4465">
        <w:rPr>
          <w:rFonts w:asciiTheme="majorBidi" w:hAnsiTheme="majorBidi" w:cstheme="majorBidi"/>
        </w:rPr>
        <w:t>“</w:t>
      </w:r>
      <w:r w:rsidRPr="00FC4465">
        <w:rPr>
          <w:rFonts w:asciiTheme="majorBidi" w:hAnsiTheme="majorBidi" w:cstheme="majorBidi"/>
        </w:rPr>
        <w:t>Cuando las autoridades competentes [...] para no clasificar la sustancia como un irritante cutáneo.</w:t>
      </w:r>
      <w:r w:rsidR="008C5013" w:rsidRPr="00FC4465">
        <w:rPr>
          <w:rFonts w:asciiTheme="majorBidi" w:hAnsiTheme="majorBidi" w:cstheme="majorBidi"/>
        </w:rPr>
        <w:t>”</w:t>
      </w:r>
      <w:r w:rsidRPr="00FC4465">
        <w:rPr>
          <w:rFonts w:asciiTheme="majorBidi" w:hAnsiTheme="majorBidi" w:cstheme="majorBidi"/>
        </w:rPr>
        <w:t xml:space="preserve">) bajo un nuevo encabezamiento 3.2.2.3.6 y modifíquese para que diga: </w:t>
      </w:r>
    </w:p>
    <w:p w14:paraId="6EF593DE" w14:textId="6BD3C59C" w:rsidR="00A72D17" w:rsidRPr="00FC4465" w:rsidRDefault="008C5013" w:rsidP="00A72D17">
      <w:pPr>
        <w:pStyle w:val="SingleTxtG"/>
        <w:ind w:left="2268"/>
        <w:rPr>
          <w:rFonts w:asciiTheme="majorBidi" w:hAnsiTheme="majorBidi" w:cstheme="majorBidi"/>
        </w:rPr>
      </w:pPr>
      <w:r w:rsidRPr="00FC4465">
        <w:rPr>
          <w:rFonts w:asciiTheme="majorBidi" w:hAnsiTheme="majorBidi" w:cstheme="majorBidi"/>
        </w:rPr>
        <w:t>“</w:t>
      </w:r>
      <w:r w:rsidR="00A72D17" w:rsidRPr="00FC4465">
        <w:rPr>
          <w:rFonts w:asciiTheme="majorBidi" w:hAnsiTheme="majorBidi" w:cstheme="majorBidi"/>
        </w:rPr>
        <w:t>3.2.2.3.6</w:t>
      </w:r>
      <w:r w:rsidR="00A72D17" w:rsidRPr="00FC4465">
        <w:rPr>
          <w:rFonts w:asciiTheme="majorBidi" w:hAnsiTheme="majorBidi" w:cstheme="majorBidi"/>
        </w:rPr>
        <w:tab/>
      </w:r>
      <w:r w:rsidR="00A72D17" w:rsidRPr="00FC4465">
        <w:rPr>
          <w:rFonts w:asciiTheme="majorBidi" w:hAnsiTheme="majorBidi" w:cstheme="majorBidi"/>
          <w:i/>
          <w:iCs/>
        </w:rPr>
        <w:t>No clasificación por efectos en la piel</w:t>
      </w:r>
    </w:p>
    <w:p w14:paraId="5E368E2D" w14:textId="5D6FEF99" w:rsidR="00A72D17" w:rsidRPr="00FC4465" w:rsidRDefault="00A72D17" w:rsidP="00A72D17">
      <w:pPr>
        <w:pStyle w:val="SingleTxtG"/>
        <w:tabs>
          <w:tab w:val="left" w:pos="3402"/>
        </w:tabs>
        <w:ind w:left="2268"/>
        <w:rPr>
          <w:rFonts w:asciiTheme="majorBidi" w:hAnsiTheme="majorBidi" w:cstheme="majorBidi"/>
        </w:rPr>
      </w:pPr>
      <w:r w:rsidRPr="00FC4465">
        <w:rPr>
          <w:rFonts w:asciiTheme="majorBidi" w:hAnsiTheme="majorBidi" w:cstheme="majorBidi"/>
        </w:rPr>
        <w:tab/>
      </w:r>
      <w:r w:rsidRPr="00FC4465">
        <w:rPr>
          <w:rFonts w:asciiTheme="majorBidi" w:hAnsiTheme="majorBidi" w:cstheme="majorBidi"/>
        </w:rPr>
        <w:tab/>
        <w:t xml:space="preserve">Cuando las autoridades competentes no utilicen la categoría 3, un resultado negativo en un método de ensayo </w:t>
      </w:r>
      <w:r w:rsidR="00762E66">
        <w:rPr>
          <w:rFonts w:asciiTheme="majorBidi" w:hAnsiTheme="majorBidi" w:cstheme="majorBidi"/>
          <w:i/>
          <w:iCs/>
        </w:rPr>
        <w:t>in vitro</w:t>
      </w:r>
      <w:r w:rsidRPr="00FC4465">
        <w:rPr>
          <w:rFonts w:asciiTheme="majorBidi" w:hAnsiTheme="majorBidi" w:cstheme="majorBidi"/>
        </w:rPr>
        <w:t>/</w:t>
      </w:r>
      <w:r w:rsidR="00762E66">
        <w:rPr>
          <w:rFonts w:asciiTheme="majorBidi" w:hAnsiTheme="majorBidi" w:cstheme="majorBidi"/>
          <w:i/>
          <w:iCs/>
        </w:rPr>
        <w:t>ex vivo</w:t>
      </w:r>
      <w:r w:rsidRPr="00FC4465">
        <w:rPr>
          <w:rFonts w:asciiTheme="majorBidi" w:hAnsiTheme="majorBidi" w:cstheme="majorBidi"/>
        </w:rPr>
        <w:t xml:space="preserve"> de irritación cutánea validado con arreglo a los procedimientos internacionales, como el que figura en la Directriz 439 de la OCDE, bastará para no clasificar la sustancia como un irritante cutáneo. Si las autoridades competentes aplican la categoría</w:t>
      </w:r>
      <w:r w:rsidR="007305F0" w:rsidRPr="00FC4465">
        <w:rPr>
          <w:rFonts w:asciiTheme="majorBidi" w:hAnsiTheme="majorBidi" w:cstheme="majorBidi"/>
        </w:rPr>
        <w:t> </w:t>
      </w:r>
      <w:r w:rsidRPr="00FC4465">
        <w:rPr>
          <w:rFonts w:asciiTheme="majorBidi" w:hAnsiTheme="majorBidi" w:cstheme="majorBidi"/>
        </w:rPr>
        <w:t>3, se requerirá más información para diferenciar entre la categoría 3 y la no clasificación.</w:t>
      </w:r>
      <w:r w:rsidR="008C5013" w:rsidRPr="00FC4465">
        <w:rPr>
          <w:rFonts w:asciiTheme="majorBidi" w:hAnsiTheme="majorBidi" w:cstheme="majorBidi"/>
        </w:rPr>
        <w:t>”</w:t>
      </w:r>
      <w:r w:rsidRPr="00FC4465">
        <w:rPr>
          <w:rFonts w:asciiTheme="majorBidi" w:hAnsiTheme="majorBidi" w:cstheme="majorBidi"/>
        </w:rPr>
        <w:t>.</w:t>
      </w:r>
    </w:p>
    <w:p w14:paraId="6DF94F27" w14:textId="54D60FA6" w:rsidR="00A72D17" w:rsidRPr="00FC4465" w:rsidRDefault="00A72D17" w:rsidP="00A72D17">
      <w:pPr>
        <w:pStyle w:val="SingleTxtG"/>
        <w:rPr>
          <w:rFonts w:asciiTheme="majorBidi" w:hAnsiTheme="majorBidi" w:cstheme="majorBidi"/>
        </w:rPr>
      </w:pPr>
      <w:r w:rsidRPr="00FC4465">
        <w:rPr>
          <w:rFonts w:asciiTheme="majorBidi" w:hAnsiTheme="majorBidi" w:cstheme="majorBidi"/>
        </w:rPr>
        <w:t>3.2.2.4</w:t>
      </w:r>
      <w:r w:rsidRPr="00FC4465">
        <w:rPr>
          <w:rFonts w:asciiTheme="majorBidi" w:hAnsiTheme="majorBidi" w:cstheme="majorBidi"/>
        </w:rPr>
        <w:tab/>
      </w:r>
      <w:r w:rsidRPr="00FC4465">
        <w:rPr>
          <w:rFonts w:asciiTheme="majorBidi" w:hAnsiTheme="majorBidi" w:cstheme="majorBidi"/>
        </w:rPr>
        <w:tab/>
        <w:t xml:space="preserve">Al final del encabezamiento, añádase </w:t>
      </w:r>
      <w:r w:rsidR="008C5013" w:rsidRPr="002C0381">
        <w:rPr>
          <w:rFonts w:asciiTheme="majorBidi" w:hAnsiTheme="majorBidi" w:cstheme="majorBidi"/>
        </w:rPr>
        <w:t>“</w:t>
      </w:r>
      <w:r w:rsidRPr="00FC4465">
        <w:rPr>
          <w:rFonts w:asciiTheme="majorBidi" w:hAnsiTheme="majorBidi" w:cstheme="majorBidi"/>
          <w:b/>
          <w:bCs/>
          <w:i/>
          <w:iCs/>
        </w:rPr>
        <w:t>(etapa 3 en la figura 3.2.1)</w:t>
      </w:r>
      <w:r w:rsidR="008C5013" w:rsidRPr="002C0381">
        <w:rPr>
          <w:rFonts w:asciiTheme="majorBidi" w:hAnsiTheme="majorBidi" w:cstheme="majorBidi"/>
        </w:rPr>
        <w:t>”</w:t>
      </w:r>
      <w:r w:rsidR="00D73F90" w:rsidRPr="002C0381">
        <w:rPr>
          <w:rFonts w:asciiTheme="majorBidi" w:hAnsiTheme="majorBidi" w:cstheme="majorBidi"/>
        </w:rPr>
        <w:t>.</w:t>
      </w:r>
      <w:r w:rsidRPr="00D73F90">
        <w:rPr>
          <w:rFonts w:asciiTheme="majorBidi" w:hAnsiTheme="majorBidi" w:cstheme="majorBidi"/>
        </w:rPr>
        <w:t xml:space="preserve"> </w:t>
      </w:r>
    </w:p>
    <w:p w14:paraId="105E8036" w14:textId="77777777" w:rsidR="00A72D17" w:rsidRPr="00FC4465" w:rsidRDefault="00A72D17" w:rsidP="00A72D17">
      <w:pPr>
        <w:pStyle w:val="SingleTxtG"/>
        <w:rPr>
          <w:rFonts w:asciiTheme="majorBidi" w:hAnsiTheme="majorBidi" w:cstheme="majorBidi"/>
          <w:i/>
          <w:iCs/>
        </w:rPr>
      </w:pPr>
      <w:r w:rsidRPr="00FC4465">
        <w:rPr>
          <w:rFonts w:asciiTheme="majorBidi" w:hAnsiTheme="majorBidi" w:cstheme="majorBidi"/>
        </w:rPr>
        <w:t>3.2.2.5</w:t>
      </w:r>
      <w:r w:rsidRPr="00FC4465">
        <w:rPr>
          <w:rFonts w:asciiTheme="majorBidi" w:hAnsiTheme="majorBidi" w:cstheme="majorBidi"/>
        </w:rPr>
        <w:tab/>
      </w:r>
      <w:r w:rsidRPr="00FC4465">
        <w:rPr>
          <w:rFonts w:asciiTheme="majorBidi" w:hAnsiTheme="majorBidi" w:cstheme="majorBidi"/>
        </w:rPr>
        <w:tab/>
        <w:t>Modifíquese para que diga:</w:t>
      </w:r>
    </w:p>
    <w:p w14:paraId="1469409B" w14:textId="062D262A" w:rsidR="00A72D17" w:rsidRPr="00FC4465" w:rsidRDefault="008C5013" w:rsidP="00A72D17">
      <w:pPr>
        <w:pStyle w:val="SingleTxtG"/>
        <w:ind w:left="2268"/>
        <w:rPr>
          <w:rFonts w:asciiTheme="majorBidi" w:hAnsiTheme="majorBidi" w:cstheme="majorBidi"/>
          <w:b/>
          <w:bCs/>
          <w:i/>
          <w:iCs/>
        </w:rPr>
      </w:pPr>
      <w:r w:rsidRPr="00FC4465">
        <w:rPr>
          <w:rFonts w:asciiTheme="majorBidi" w:hAnsiTheme="majorBidi" w:cstheme="majorBidi"/>
          <w:iCs/>
        </w:rPr>
        <w:t>“</w:t>
      </w:r>
      <w:r w:rsidR="00A72D17" w:rsidRPr="00FC4465">
        <w:rPr>
          <w:rFonts w:asciiTheme="majorBidi" w:hAnsiTheme="majorBidi" w:cstheme="majorBidi"/>
          <w:b/>
          <w:bCs/>
        </w:rPr>
        <w:t>3.2.2.5</w:t>
      </w:r>
      <w:r w:rsidR="00A72D17" w:rsidRPr="00FC4465">
        <w:rPr>
          <w:rFonts w:asciiTheme="majorBidi" w:hAnsiTheme="majorBidi" w:cstheme="majorBidi"/>
        </w:rPr>
        <w:tab/>
      </w:r>
      <w:r w:rsidR="00A72D17" w:rsidRPr="00FC4465">
        <w:rPr>
          <w:rFonts w:asciiTheme="majorBidi" w:hAnsiTheme="majorBidi" w:cstheme="majorBidi"/>
          <w:b/>
          <w:bCs/>
          <w:i/>
          <w:iCs/>
        </w:rPr>
        <w:t>Clasificación basada en un pH extremo (pH ≤ 2 o ≥ 11,5) y la reserva ácida/alcalina (etapa 4 en la figura 3.2.1)</w:t>
      </w:r>
    </w:p>
    <w:p w14:paraId="24E03B80" w14:textId="4C410E96" w:rsidR="00A72D17" w:rsidRPr="00FC4465" w:rsidRDefault="00A72D17" w:rsidP="00A72D17">
      <w:pPr>
        <w:pStyle w:val="SingleTxtG"/>
        <w:ind w:left="2268" w:firstLine="567"/>
        <w:rPr>
          <w:rFonts w:asciiTheme="majorBidi" w:hAnsiTheme="majorBidi" w:cstheme="majorBidi"/>
        </w:rPr>
      </w:pPr>
      <w:r w:rsidRPr="00FC4465">
        <w:rPr>
          <w:rFonts w:asciiTheme="majorBidi" w:hAnsiTheme="majorBidi" w:cstheme="majorBidi"/>
        </w:rPr>
        <w:tab/>
      </w:r>
      <w:r w:rsidRPr="00FC4465">
        <w:rPr>
          <w:rFonts w:asciiTheme="majorBidi" w:hAnsiTheme="majorBidi" w:cstheme="majorBidi"/>
        </w:rPr>
        <w:tab/>
        <w:t xml:space="preserve">En general, es de esperar que las sustancias con un pH extremo (pH ≤ 2 o ≥ 11,5) causen efectos importantes en la piel, especialmente cuando se acompañan de una reserva ácida/alcalina significativa. Por consiguiente, se considera que una sustancia con un pH ≤ 2 o ≥ 11,5 causa corrosión cutánea (categoría 1) en esta etapa si tiene una reserva ácida/alcalina significativa o no se dispone de datos sobre la reserva ácida/alcalina. No obstante, si del examen de la reserva ácida/alcalina se desprende que la sustancia pudiera no ser corrosiva a pesar del pH extremo, el resultado se considera no concluyente en esta etapa (véase la figura 3.2.1). Un pH &gt; 2 y &lt; 11,5 se considera no </w:t>
      </w:r>
      <w:r w:rsidRPr="00FC4465">
        <w:rPr>
          <w:rFonts w:asciiTheme="majorBidi" w:hAnsiTheme="majorBidi" w:cstheme="majorBidi"/>
        </w:rPr>
        <w:lastRenderedPageBreak/>
        <w:t>concluyente y no puede utilizarse a efectos de clasificación. La reserva ácida/alcalina y el pH pueden determinarse por varios métodos, como los que se describen en la Directriz 122 de la OCDE y en Young y otros (1988), teniendo en cuenta que existen algunas diferencias entre ellos (véase 3.2.5.3.6). Una autoridad competente podrá decidir qué criterios pueden aplicarse para determinar si una reserva ácida/alcalina es significativa.</w:t>
      </w:r>
      <w:r w:rsidR="008C5013" w:rsidRPr="00FC4465">
        <w:rPr>
          <w:rFonts w:asciiTheme="majorBidi" w:hAnsiTheme="majorBidi" w:cstheme="majorBidi"/>
        </w:rPr>
        <w:t>”</w:t>
      </w:r>
      <w:r w:rsidRPr="00FC4465">
        <w:rPr>
          <w:rFonts w:asciiTheme="majorBidi" w:hAnsiTheme="majorBidi" w:cstheme="majorBidi"/>
        </w:rPr>
        <w:t>.</w:t>
      </w:r>
    </w:p>
    <w:p w14:paraId="49575206" w14:textId="2B3B8ED2" w:rsidR="00A72D17" w:rsidRPr="00FC4465" w:rsidRDefault="00A72D17" w:rsidP="00EB7FC6">
      <w:pPr>
        <w:pStyle w:val="SingleTxtG"/>
        <w:rPr>
          <w:rFonts w:asciiTheme="majorBidi" w:eastAsiaTheme="minorHAnsi" w:hAnsiTheme="majorBidi" w:cstheme="majorBidi"/>
        </w:rPr>
      </w:pPr>
      <w:r w:rsidRPr="00FC4465">
        <w:rPr>
          <w:rFonts w:asciiTheme="majorBidi" w:hAnsiTheme="majorBidi" w:cstheme="majorBidi"/>
        </w:rPr>
        <w:t>3.2.2.6</w:t>
      </w:r>
      <w:r w:rsidRPr="00FC4465">
        <w:rPr>
          <w:rFonts w:asciiTheme="majorBidi" w:hAnsiTheme="majorBidi" w:cstheme="majorBidi"/>
        </w:rPr>
        <w:tab/>
      </w:r>
      <w:r w:rsidRPr="00FC4465">
        <w:rPr>
          <w:rFonts w:asciiTheme="majorBidi" w:hAnsiTheme="majorBidi" w:cstheme="majorBidi"/>
        </w:rPr>
        <w:tab/>
        <w:t xml:space="preserve">Al final del encabezamiento, añádase </w:t>
      </w:r>
      <w:r w:rsidR="008C5013" w:rsidRPr="002C0381">
        <w:rPr>
          <w:rFonts w:asciiTheme="majorBidi" w:hAnsiTheme="majorBidi" w:cstheme="majorBidi"/>
        </w:rPr>
        <w:t>“</w:t>
      </w:r>
      <w:r w:rsidRPr="00FC4465">
        <w:rPr>
          <w:rFonts w:asciiTheme="majorBidi" w:hAnsiTheme="majorBidi" w:cstheme="majorBidi"/>
          <w:b/>
          <w:bCs/>
          <w:i/>
          <w:iCs/>
        </w:rPr>
        <w:t>(etapa 5 en la figura 3.2.1)</w:t>
      </w:r>
      <w:r w:rsidR="008C5013" w:rsidRPr="002C0381">
        <w:rPr>
          <w:rFonts w:asciiTheme="majorBidi" w:hAnsiTheme="majorBidi" w:cstheme="majorBidi"/>
        </w:rPr>
        <w:t>”</w:t>
      </w:r>
      <w:r w:rsidRPr="00FC4465">
        <w:rPr>
          <w:rFonts w:asciiTheme="majorBidi" w:hAnsiTheme="majorBidi" w:cstheme="majorBidi"/>
        </w:rPr>
        <w:t>.</w:t>
      </w:r>
    </w:p>
    <w:p w14:paraId="35F296AF" w14:textId="632BA263" w:rsidR="00A72D17" w:rsidRPr="00FC4465" w:rsidRDefault="00A72D17" w:rsidP="00A72D17">
      <w:pPr>
        <w:pStyle w:val="SingleTxtG"/>
        <w:ind w:left="2268" w:hanging="1134"/>
        <w:rPr>
          <w:rFonts w:asciiTheme="majorBidi" w:hAnsiTheme="majorBidi" w:cstheme="majorBidi"/>
        </w:rPr>
      </w:pPr>
      <w:r w:rsidRPr="00FC4465">
        <w:rPr>
          <w:rFonts w:asciiTheme="majorBidi" w:hAnsiTheme="majorBidi" w:cstheme="majorBidi"/>
        </w:rPr>
        <w:t>3.2.2.6.1</w:t>
      </w:r>
      <w:r w:rsidRPr="00FC4465">
        <w:rPr>
          <w:rFonts w:asciiTheme="majorBidi" w:hAnsiTheme="majorBidi" w:cstheme="majorBidi"/>
        </w:rPr>
        <w:tab/>
        <w:t xml:space="preserve">En la última oración, sustitúyase </w:t>
      </w:r>
      <w:r w:rsidR="008C5013" w:rsidRPr="00FC4465">
        <w:rPr>
          <w:rFonts w:asciiTheme="majorBidi" w:hAnsiTheme="majorBidi" w:cstheme="majorBidi"/>
        </w:rPr>
        <w:t>“</w:t>
      </w:r>
      <w:r w:rsidRPr="00FC4465">
        <w:rPr>
          <w:rFonts w:asciiTheme="majorBidi" w:hAnsiTheme="majorBidi" w:cstheme="majorBidi"/>
        </w:rPr>
        <w:t>Esos métodos</w:t>
      </w:r>
      <w:r w:rsidR="008C5013" w:rsidRPr="00FC4465">
        <w:rPr>
          <w:rFonts w:asciiTheme="majorBidi" w:hAnsiTheme="majorBidi" w:cstheme="majorBidi"/>
        </w:rPr>
        <w:t>”</w:t>
      </w:r>
      <w:r w:rsidRPr="00FC4465">
        <w:rPr>
          <w:rFonts w:asciiTheme="majorBidi" w:hAnsiTheme="majorBidi" w:cstheme="majorBidi"/>
        </w:rPr>
        <w:t xml:space="preserve"> por </w:t>
      </w:r>
      <w:r w:rsidR="008C5013" w:rsidRPr="00FC4465">
        <w:rPr>
          <w:rFonts w:asciiTheme="majorBidi" w:hAnsiTheme="majorBidi" w:cstheme="majorBidi"/>
        </w:rPr>
        <w:t>“</w:t>
      </w:r>
      <w:r w:rsidRPr="00FC4465">
        <w:rPr>
          <w:rFonts w:asciiTheme="majorBidi" w:hAnsiTheme="majorBidi" w:cstheme="majorBidi"/>
        </w:rPr>
        <w:t>Los métodos que no son ensayos</w:t>
      </w:r>
      <w:r w:rsidR="008C5013" w:rsidRPr="00FC4465">
        <w:rPr>
          <w:rFonts w:asciiTheme="majorBidi" w:hAnsiTheme="majorBidi" w:cstheme="majorBidi"/>
        </w:rPr>
        <w:t>”</w:t>
      </w:r>
      <w:r w:rsidRPr="00FC4465">
        <w:rPr>
          <w:rFonts w:asciiTheme="majorBidi" w:hAnsiTheme="majorBidi" w:cstheme="majorBidi"/>
        </w:rPr>
        <w:t xml:space="preserve">, y </w:t>
      </w:r>
      <w:r w:rsidR="008C5013" w:rsidRPr="00FC4465">
        <w:rPr>
          <w:rFonts w:asciiTheme="majorBidi" w:hAnsiTheme="majorBidi" w:cstheme="majorBidi"/>
        </w:rPr>
        <w:t>“</w:t>
      </w:r>
      <w:r w:rsidRPr="00FC4465">
        <w:rPr>
          <w:rFonts w:asciiTheme="majorBidi" w:hAnsiTheme="majorBidi" w:cstheme="majorBidi"/>
        </w:rPr>
        <w:t>(alertas estructurales, SAR) o las relaciones cuantitativas estructura-actividad (QSAR); sistemas informáticos expertos; y</w:t>
      </w:r>
      <w:r w:rsidR="008C5013" w:rsidRPr="00FC4465">
        <w:rPr>
          <w:rFonts w:asciiTheme="majorBidi" w:hAnsiTheme="majorBidi" w:cstheme="majorBidi"/>
        </w:rPr>
        <w:t>”</w:t>
      </w:r>
      <w:r w:rsidRPr="00FC4465">
        <w:rPr>
          <w:rFonts w:asciiTheme="majorBidi" w:hAnsiTheme="majorBidi" w:cstheme="majorBidi"/>
        </w:rPr>
        <w:t xml:space="preserve"> por </w:t>
      </w:r>
      <w:r w:rsidR="008C5013" w:rsidRPr="00FC4465">
        <w:rPr>
          <w:rFonts w:asciiTheme="majorBidi" w:hAnsiTheme="majorBidi" w:cstheme="majorBidi"/>
        </w:rPr>
        <w:t>“</w:t>
      </w:r>
      <w:r w:rsidRPr="00FC4465">
        <w:rPr>
          <w:rFonts w:asciiTheme="majorBidi" w:hAnsiTheme="majorBidi" w:cstheme="majorBidi"/>
        </w:rPr>
        <w:t>(alertas estructurales, SAR) o las relaciones cuantitativas estructura-actividad (QSAR), sistemas informáticos expertos y</w:t>
      </w:r>
      <w:r w:rsidR="008C5013" w:rsidRPr="00FC4465">
        <w:rPr>
          <w:rFonts w:asciiTheme="majorBidi" w:hAnsiTheme="majorBidi" w:cstheme="majorBidi"/>
        </w:rPr>
        <w:t>”</w:t>
      </w:r>
      <w:r w:rsidRPr="00FC4465">
        <w:rPr>
          <w:rFonts w:asciiTheme="majorBidi" w:hAnsiTheme="majorBidi" w:cstheme="majorBidi"/>
        </w:rPr>
        <w:t xml:space="preserve">. </w:t>
      </w:r>
    </w:p>
    <w:p w14:paraId="368B7DA2" w14:textId="77777777" w:rsidR="00A72D17" w:rsidRPr="00FC4465" w:rsidRDefault="00A72D17" w:rsidP="00A72D17">
      <w:pPr>
        <w:pStyle w:val="SingleTxtG"/>
        <w:rPr>
          <w:rFonts w:asciiTheme="majorBidi" w:hAnsiTheme="majorBidi" w:cstheme="majorBidi"/>
        </w:rPr>
      </w:pPr>
      <w:r w:rsidRPr="00FC4465">
        <w:rPr>
          <w:rFonts w:asciiTheme="majorBidi" w:hAnsiTheme="majorBidi" w:cstheme="majorBidi"/>
        </w:rPr>
        <w:t>3.2.2.6.4 (nuevo)</w:t>
      </w:r>
      <w:r w:rsidRPr="00FC4465">
        <w:rPr>
          <w:rFonts w:asciiTheme="majorBidi" w:hAnsiTheme="majorBidi" w:cstheme="majorBidi"/>
        </w:rPr>
        <w:tab/>
        <w:t xml:space="preserve">Añádase un nuevo párrafo que diga: </w:t>
      </w:r>
    </w:p>
    <w:p w14:paraId="205F8353" w14:textId="285C5BED" w:rsidR="00A72D17" w:rsidRPr="00FC4465" w:rsidRDefault="008C5013" w:rsidP="00A72D17">
      <w:pPr>
        <w:pStyle w:val="SingleTxtG"/>
        <w:ind w:left="2268"/>
        <w:rPr>
          <w:rFonts w:asciiTheme="majorBidi" w:hAnsiTheme="majorBidi" w:cstheme="majorBidi"/>
        </w:rPr>
      </w:pPr>
      <w:r w:rsidRPr="00FC4465">
        <w:rPr>
          <w:rFonts w:asciiTheme="majorBidi" w:hAnsiTheme="majorBidi" w:cstheme="majorBidi"/>
        </w:rPr>
        <w:t>“</w:t>
      </w:r>
      <w:r w:rsidR="00A72D17" w:rsidRPr="00FC4465">
        <w:rPr>
          <w:rFonts w:asciiTheme="majorBidi" w:hAnsiTheme="majorBidi" w:cstheme="majorBidi"/>
        </w:rPr>
        <w:t>3.2.2.6.4</w:t>
      </w:r>
      <w:r w:rsidR="00A72D17" w:rsidRPr="00FC4465">
        <w:rPr>
          <w:rFonts w:asciiTheme="majorBidi" w:hAnsiTheme="majorBidi" w:cstheme="majorBidi"/>
        </w:rPr>
        <w:tab/>
        <w:t>Para las conclusiones de no clasificación basadas en la extrapolación de propiedades por similitud estructural y las QSAR, la idoneidad y la solidez del razonamiento científico y de los datos con que este se respalda deberían estar bien fundamentadas, lo que por regla general comporta la existencia de varias sustancias negativas que presenten una buena similitud estructural y física (en términos toxicocinéticos) con la sustancia que se pretende clasificar, así como una ausencia manifiesta de sustancias positivas con una buena similitud estructural y física con esa misma sustancia.</w:t>
      </w:r>
      <w:r w:rsidRPr="00FC4465">
        <w:rPr>
          <w:rFonts w:asciiTheme="majorBidi" w:hAnsiTheme="majorBidi" w:cstheme="majorBidi"/>
        </w:rPr>
        <w:t>”</w:t>
      </w:r>
      <w:r w:rsidR="00A72D17" w:rsidRPr="00FC4465">
        <w:rPr>
          <w:rFonts w:asciiTheme="majorBidi" w:hAnsiTheme="majorBidi" w:cstheme="majorBidi"/>
        </w:rPr>
        <w:t>.</w:t>
      </w:r>
    </w:p>
    <w:p w14:paraId="0B3DC7F8" w14:textId="77777777" w:rsidR="00A72D17" w:rsidRPr="00FC4465" w:rsidRDefault="00A72D17" w:rsidP="00A72D17">
      <w:pPr>
        <w:pStyle w:val="SingleTxtG"/>
        <w:rPr>
          <w:rFonts w:asciiTheme="majorBidi" w:hAnsiTheme="majorBidi" w:cstheme="majorBidi"/>
        </w:rPr>
      </w:pPr>
      <w:r w:rsidRPr="00FC4465">
        <w:rPr>
          <w:rFonts w:asciiTheme="majorBidi" w:hAnsiTheme="majorBidi" w:cstheme="majorBidi"/>
        </w:rPr>
        <w:t>3.2.2.7 (nuevo)</w:t>
      </w:r>
      <w:r w:rsidRPr="00FC4465">
        <w:rPr>
          <w:rFonts w:asciiTheme="majorBidi" w:hAnsiTheme="majorBidi" w:cstheme="majorBidi"/>
        </w:rPr>
        <w:tab/>
        <w:t>Añádase una nueva sección que diga:</w:t>
      </w:r>
    </w:p>
    <w:p w14:paraId="5C2D2D24" w14:textId="4096440A" w:rsidR="00A72D17" w:rsidRPr="00FC4465" w:rsidRDefault="008C5013" w:rsidP="00A72D17">
      <w:pPr>
        <w:pStyle w:val="SingleTxtG"/>
        <w:ind w:left="2268"/>
        <w:rPr>
          <w:rFonts w:asciiTheme="majorBidi" w:hAnsiTheme="majorBidi" w:cstheme="majorBidi"/>
          <w:i/>
          <w:iCs/>
        </w:rPr>
      </w:pPr>
      <w:r w:rsidRPr="00FC4465">
        <w:rPr>
          <w:rFonts w:asciiTheme="majorBidi" w:hAnsiTheme="majorBidi" w:cstheme="majorBidi"/>
        </w:rPr>
        <w:t>“</w:t>
      </w:r>
      <w:r w:rsidR="00A72D17" w:rsidRPr="00FC4465">
        <w:rPr>
          <w:rFonts w:asciiTheme="majorBidi" w:hAnsiTheme="majorBidi" w:cstheme="majorBidi"/>
          <w:b/>
          <w:bCs/>
        </w:rPr>
        <w:t>3.2.2.7</w:t>
      </w:r>
      <w:r w:rsidR="00A72D17" w:rsidRPr="00FC4465">
        <w:rPr>
          <w:rFonts w:asciiTheme="majorBidi" w:hAnsiTheme="majorBidi" w:cstheme="majorBidi"/>
        </w:rPr>
        <w:tab/>
      </w:r>
      <w:r w:rsidR="00A72D17" w:rsidRPr="00FC4465">
        <w:rPr>
          <w:rFonts w:asciiTheme="majorBidi" w:hAnsiTheme="majorBidi" w:cstheme="majorBidi"/>
          <w:b/>
          <w:bCs/>
          <w:i/>
          <w:iCs/>
        </w:rPr>
        <w:t>Clasificación basada en una evaluación del peso total de las pruebas (etapa 6 en la figura 3.2.1)</w:t>
      </w:r>
    </w:p>
    <w:p w14:paraId="4C2992D2" w14:textId="77777777" w:rsidR="00A72D17" w:rsidRPr="00FC4465" w:rsidRDefault="00A72D17" w:rsidP="00A72D17">
      <w:pPr>
        <w:pStyle w:val="SingleTxtG"/>
        <w:ind w:left="2268"/>
        <w:rPr>
          <w:rFonts w:asciiTheme="majorBidi" w:hAnsiTheme="majorBidi" w:cstheme="majorBidi"/>
        </w:rPr>
      </w:pPr>
      <w:r w:rsidRPr="00FC4465">
        <w:rPr>
          <w:rFonts w:asciiTheme="majorBidi" w:hAnsiTheme="majorBidi" w:cstheme="majorBidi"/>
        </w:rPr>
        <w:t>3.2.2.7.1</w:t>
      </w:r>
      <w:r w:rsidRPr="00FC4465">
        <w:rPr>
          <w:rFonts w:asciiTheme="majorBidi" w:hAnsiTheme="majorBidi" w:cstheme="majorBidi"/>
        </w:rPr>
        <w:tab/>
        <w:t>Está indicado realizar una evaluación del peso total de las pruebas recurriendo a la opinión de los expertos cuando ninguna de las etapas precedentes haya arrojado una conclusión definitiva sobre la clasificación. En algunos casos en los que la decisión relativa a la clasificación se haya pospuesto hasta la evaluación del peso total de las pruebas, pero no se disponga de más datos, puede que aún sea posible clasificar la sustancia.</w:t>
      </w:r>
    </w:p>
    <w:p w14:paraId="71F26CD6" w14:textId="1F6DD415" w:rsidR="00A72D17" w:rsidRPr="00FC4465" w:rsidRDefault="00A72D17" w:rsidP="00A72D17">
      <w:pPr>
        <w:pStyle w:val="SingleTxtG"/>
        <w:keepNext/>
        <w:keepLines/>
        <w:ind w:left="2268"/>
        <w:rPr>
          <w:rFonts w:asciiTheme="majorBidi" w:hAnsiTheme="majorBidi" w:cstheme="majorBidi"/>
        </w:rPr>
      </w:pPr>
      <w:r w:rsidRPr="00FC4465">
        <w:rPr>
          <w:rFonts w:asciiTheme="majorBidi" w:hAnsiTheme="majorBidi" w:cstheme="majorBidi"/>
        </w:rPr>
        <w:t>3.2.2.7.2</w:t>
      </w:r>
      <w:r w:rsidRPr="00FC4465">
        <w:rPr>
          <w:rFonts w:asciiTheme="majorBidi" w:hAnsiTheme="majorBidi" w:cstheme="majorBidi"/>
        </w:rPr>
        <w:tab/>
        <w:t>Una sustancia con un pH extremo (pH ≤ 2 o ≥ 11,5) y una reserva ácida/alcalina no significativa (resultado considerado no concluyente en la etapa 4; véase 3.2.2.5) y para la que no se disponga de otra información debería clasificarse en la categoría 1 de corrosión cutánea en esta etapa. Si también se dispone de información no concluyente procedente de otras etapas, pero la evaluación del peso total de las pruebas sigue sin ser concluyente, el resultado relativo al pH extremo (pH ≤ 2 o ≥ 11,5) debería tener prioridad y en esta etapa la sustancia debería clasificarse en la categoría 1 de corrosión cutánea, con independencia de la reserva ácida/alcalina. En el caso de las mezclas se aplica un planteamiento distinto, que se expone con detalle en 3.2.3.1.3.</w:t>
      </w:r>
      <w:r w:rsidR="008C5013" w:rsidRPr="00FC4465">
        <w:rPr>
          <w:rFonts w:asciiTheme="majorBidi" w:hAnsiTheme="majorBidi" w:cstheme="majorBidi"/>
        </w:rPr>
        <w:t>”</w:t>
      </w:r>
      <w:r w:rsidR="00D73F90">
        <w:rPr>
          <w:rFonts w:asciiTheme="majorBidi" w:hAnsiTheme="majorBidi" w:cstheme="majorBidi"/>
        </w:rPr>
        <w:t>.</w:t>
      </w:r>
    </w:p>
    <w:p w14:paraId="7C4632D1" w14:textId="77777777" w:rsidR="00A72D17" w:rsidRPr="00FC4465" w:rsidRDefault="00A72D17" w:rsidP="00A72D17">
      <w:pPr>
        <w:pStyle w:val="SingleTxtG"/>
        <w:rPr>
          <w:rFonts w:asciiTheme="majorBidi" w:hAnsiTheme="majorBidi" w:cstheme="majorBidi"/>
        </w:rPr>
      </w:pPr>
      <w:r w:rsidRPr="00FC4465">
        <w:rPr>
          <w:rFonts w:asciiTheme="majorBidi" w:hAnsiTheme="majorBidi" w:cstheme="majorBidi"/>
        </w:rPr>
        <w:t>Los actuales párrafos 3.2.2.7 a 3.2.2.7.3 pasan a ser los párrafos 3.3.2.8 a 3.2.2.8.3.</w:t>
      </w:r>
    </w:p>
    <w:p w14:paraId="2C187D7A" w14:textId="171A24C6" w:rsidR="00A72D17" w:rsidRPr="00FC4465" w:rsidRDefault="00A72D17" w:rsidP="00A72D17">
      <w:pPr>
        <w:pStyle w:val="SingleTxtG"/>
        <w:rPr>
          <w:rFonts w:asciiTheme="majorBidi" w:hAnsiTheme="majorBidi" w:cstheme="majorBidi"/>
          <w:iCs/>
        </w:rPr>
      </w:pPr>
      <w:r w:rsidRPr="00FC4465">
        <w:rPr>
          <w:rFonts w:asciiTheme="majorBidi" w:hAnsiTheme="majorBidi" w:cstheme="majorBidi"/>
        </w:rPr>
        <w:t>3.2.2.8 (nuevo, antiguo 3.2.2.7)</w:t>
      </w:r>
      <w:r w:rsidRPr="00FC4465">
        <w:rPr>
          <w:rFonts w:asciiTheme="majorBidi" w:hAnsiTheme="majorBidi" w:cstheme="majorBidi"/>
        </w:rPr>
        <w:tab/>
        <w:t xml:space="preserve">Al final del encabezamiento, añádase </w:t>
      </w:r>
      <w:r w:rsidR="008C5013" w:rsidRPr="002C0381">
        <w:rPr>
          <w:rFonts w:asciiTheme="majorBidi" w:hAnsiTheme="majorBidi" w:cstheme="majorBidi"/>
        </w:rPr>
        <w:t>“</w:t>
      </w:r>
      <w:r w:rsidRPr="00FC4465">
        <w:rPr>
          <w:rFonts w:asciiTheme="majorBidi" w:hAnsiTheme="majorBidi" w:cstheme="majorBidi"/>
          <w:b/>
          <w:bCs/>
          <w:i/>
          <w:iCs/>
        </w:rPr>
        <w:t>(figura 3.2.1)</w:t>
      </w:r>
      <w:r w:rsidR="008C5013" w:rsidRPr="002C0381">
        <w:rPr>
          <w:rFonts w:asciiTheme="majorBidi" w:hAnsiTheme="majorBidi" w:cstheme="majorBidi"/>
        </w:rPr>
        <w:t>”</w:t>
      </w:r>
      <w:r w:rsidRPr="002C0381">
        <w:rPr>
          <w:rFonts w:asciiTheme="majorBidi" w:hAnsiTheme="majorBidi" w:cstheme="majorBidi"/>
        </w:rPr>
        <w:t>.</w:t>
      </w:r>
      <w:r w:rsidRPr="00FC4465">
        <w:rPr>
          <w:rFonts w:asciiTheme="majorBidi" w:hAnsiTheme="majorBidi" w:cstheme="majorBidi"/>
        </w:rPr>
        <w:t xml:space="preserve"> </w:t>
      </w:r>
    </w:p>
    <w:p w14:paraId="42928D68" w14:textId="1D0A0EE7" w:rsidR="00A72D17" w:rsidRPr="00FC4465" w:rsidRDefault="00A72D17" w:rsidP="00A72D17">
      <w:pPr>
        <w:pStyle w:val="SingleTxtG"/>
        <w:ind w:left="2268" w:hanging="1134"/>
        <w:rPr>
          <w:rFonts w:asciiTheme="majorBidi" w:hAnsiTheme="majorBidi" w:cstheme="majorBidi"/>
        </w:rPr>
      </w:pPr>
      <w:r w:rsidRPr="00FC4465">
        <w:rPr>
          <w:rFonts w:asciiTheme="majorBidi" w:hAnsiTheme="majorBidi" w:cstheme="majorBidi"/>
        </w:rPr>
        <w:t>3.2.2.8.1 (nuevo, antiguo 3.2.2.7.1)</w:t>
      </w:r>
      <w:r w:rsidR="00D73F90">
        <w:rPr>
          <w:rFonts w:asciiTheme="majorBidi" w:hAnsiTheme="majorBidi" w:cstheme="majorBidi"/>
        </w:rPr>
        <w:t>  </w:t>
      </w:r>
      <w:r w:rsidRPr="00FC4465">
        <w:rPr>
          <w:rFonts w:asciiTheme="majorBidi" w:hAnsiTheme="majorBidi" w:cstheme="majorBidi"/>
        </w:rPr>
        <w:t xml:space="preserve">En la primera oración, suprímase </w:t>
      </w:r>
      <w:r w:rsidR="008C5013" w:rsidRPr="00FC4465">
        <w:rPr>
          <w:rFonts w:asciiTheme="majorBidi" w:hAnsiTheme="majorBidi" w:cstheme="majorBidi"/>
        </w:rPr>
        <w:t>“</w:t>
      </w:r>
      <w:r w:rsidRPr="00FC4465">
        <w:rPr>
          <w:rFonts w:asciiTheme="majorBidi" w:hAnsiTheme="majorBidi" w:cstheme="majorBidi"/>
        </w:rPr>
        <w:t>inicial</w:t>
      </w:r>
      <w:r w:rsidR="008C5013" w:rsidRPr="00FC4465">
        <w:rPr>
          <w:rFonts w:asciiTheme="majorBidi" w:hAnsiTheme="majorBidi" w:cstheme="majorBidi"/>
        </w:rPr>
        <w:t>”</w:t>
      </w:r>
      <w:r w:rsidRPr="00FC4465">
        <w:rPr>
          <w:rFonts w:asciiTheme="majorBidi" w:hAnsiTheme="majorBidi" w:cstheme="majorBidi"/>
        </w:rPr>
        <w:t xml:space="preserve"> y sustitúyase </w:t>
      </w:r>
      <w:r w:rsidR="008C5013" w:rsidRPr="00FC4465">
        <w:rPr>
          <w:rFonts w:asciiTheme="majorBidi" w:hAnsiTheme="majorBidi" w:cstheme="majorBidi"/>
        </w:rPr>
        <w:t>“</w:t>
      </w:r>
      <w:r w:rsidRPr="00FC4465">
        <w:rPr>
          <w:rFonts w:asciiTheme="majorBidi" w:hAnsiTheme="majorBidi" w:cstheme="majorBidi"/>
        </w:rPr>
        <w:t>todos los elementos</w:t>
      </w:r>
      <w:r w:rsidR="008C5013" w:rsidRPr="00FC4465">
        <w:rPr>
          <w:rFonts w:asciiTheme="majorBidi" w:hAnsiTheme="majorBidi" w:cstheme="majorBidi"/>
        </w:rPr>
        <w:t>”</w:t>
      </w:r>
      <w:r w:rsidRPr="00FC4465">
        <w:rPr>
          <w:rFonts w:asciiTheme="majorBidi" w:hAnsiTheme="majorBidi" w:cstheme="majorBidi"/>
        </w:rPr>
        <w:t xml:space="preserve"> por </w:t>
      </w:r>
      <w:r w:rsidR="008C5013" w:rsidRPr="00FC4465">
        <w:rPr>
          <w:rFonts w:asciiTheme="majorBidi" w:hAnsiTheme="majorBidi" w:cstheme="majorBidi"/>
        </w:rPr>
        <w:t>“</w:t>
      </w:r>
      <w:r w:rsidRPr="00FC4465">
        <w:rPr>
          <w:rFonts w:asciiTheme="majorBidi" w:hAnsiTheme="majorBidi" w:cstheme="majorBidi"/>
        </w:rPr>
        <w:t xml:space="preserve">todas las etapas, ni toda la información correspondiente a cada una de las etapas, </w:t>
      </w:r>
      <w:r w:rsidR="00D73F90">
        <w:rPr>
          <w:rFonts w:asciiTheme="majorBidi" w:hAnsiTheme="majorBidi" w:cstheme="majorBidi"/>
        </w:rPr>
        <w:t>”</w:t>
      </w:r>
      <w:r w:rsidRPr="00FC4465">
        <w:rPr>
          <w:rFonts w:asciiTheme="majorBidi" w:hAnsiTheme="majorBidi" w:cstheme="majorBidi"/>
        </w:rPr>
        <w:t>.</w:t>
      </w:r>
    </w:p>
    <w:p w14:paraId="0B47B1B1" w14:textId="4C0A56D0" w:rsidR="00A72D17" w:rsidRPr="00FC4465" w:rsidRDefault="00A72D17" w:rsidP="00A72D17">
      <w:pPr>
        <w:pStyle w:val="SingleTxtG"/>
        <w:rPr>
          <w:rFonts w:asciiTheme="majorBidi" w:hAnsiTheme="majorBidi" w:cstheme="majorBidi"/>
        </w:rPr>
      </w:pPr>
      <w:r w:rsidRPr="00FC4465">
        <w:rPr>
          <w:rFonts w:asciiTheme="majorBidi" w:hAnsiTheme="majorBidi" w:cstheme="majorBidi"/>
        </w:rPr>
        <w:t>3.2.2.8.2 (nuevo, antiguo 3.2.2.7.2)</w:t>
      </w:r>
      <w:r w:rsidR="00D73F90">
        <w:rPr>
          <w:rFonts w:asciiTheme="majorBidi" w:hAnsiTheme="majorBidi" w:cstheme="majorBidi"/>
        </w:rPr>
        <w:t>  </w:t>
      </w:r>
      <w:r w:rsidRPr="00FC4465">
        <w:rPr>
          <w:rFonts w:asciiTheme="majorBidi" w:hAnsiTheme="majorBidi" w:cstheme="majorBidi"/>
        </w:rPr>
        <w:t>Modifíquese la primera oración para que diga:</w:t>
      </w:r>
    </w:p>
    <w:p w14:paraId="58787DC9" w14:textId="1B37CDAA" w:rsidR="00A72D17" w:rsidRPr="00FC4465" w:rsidRDefault="008C5013" w:rsidP="00A72D17">
      <w:pPr>
        <w:pStyle w:val="SingleTxtG"/>
        <w:ind w:left="2268"/>
        <w:rPr>
          <w:rFonts w:asciiTheme="majorBidi" w:hAnsiTheme="majorBidi" w:cstheme="majorBidi"/>
        </w:rPr>
      </w:pPr>
      <w:r w:rsidRPr="00FC4465">
        <w:rPr>
          <w:rFonts w:asciiTheme="majorBidi" w:hAnsiTheme="majorBidi" w:cstheme="majorBidi"/>
        </w:rPr>
        <w:t>“</w:t>
      </w:r>
      <w:r w:rsidR="00A72D17" w:rsidRPr="00FC4465">
        <w:rPr>
          <w:rFonts w:asciiTheme="majorBidi" w:hAnsiTheme="majorBidi" w:cstheme="majorBidi"/>
        </w:rPr>
        <w:t xml:space="preserve">En el enfoque por etapas (figura 3.2.1), los datos disponibles obtenidos en seres humanos y los datos normalizados obtenidos en animales constituyen la etapa superior, seguidos por los datos </w:t>
      </w:r>
      <w:r w:rsidR="00762E66">
        <w:rPr>
          <w:rFonts w:asciiTheme="majorBidi" w:hAnsiTheme="majorBidi" w:cstheme="majorBidi"/>
          <w:i/>
          <w:iCs/>
        </w:rPr>
        <w:t>in vitro</w:t>
      </w:r>
      <w:r w:rsidR="00A72D17" w:rsidRPr="00FC4465">
        <w:rPr>
          <w:rFonts w:asciiTheme="majorBidi" w:hAnsiTheme="majorBidi" w:cstheme="majorBidi"/>
        </w:rPr>
        <w:t>/</w:t>
      </w:r>
      <w:r w:rsidR="00762E66">
        <w:rPr>
          <w:rFonts w:asciiTheme="majorBidi" w:hAnsiTheme="majorBidi" w:cstheme="majorBidi"/>
          <w:i/>
          <w:iCs/>
        </w:rPr>
        <w:t>ex vivo</w:t>
      </w:r>
      <w:r w:rsidR="00A72D17" w:rsidRPr="00FC4465">
        <w:rPr>
          <w:rFonts w:asciiTheme="majorBidi" w:hAnsiTheme="majorBidi" w:cstheme="majorBidi"/>
        </w:rPr>
        <w:t>, los demás datos disponibles sobre los efectos cutáneos en animales, los datos relativos al pH extremo y la reserva ácida/alcalina y, por último, los datos procedentes de métodos que no sean ensayos.</w:t>
      </w:r>
      <w:r w:rsidRPr="00FC4465">
        <w:rPr>
          <w:rFonts w:asciiTheme="majorBidi" w:hAnsiTheme="majorBidi" w:cstheme="majorBidi"/>
        </w:rPr>
        <w:t>”</w:t>
      </w:r>
      <w:r w:rsidR="00A72D17" w:rsidRPr="00FC4465">
        <w:rPr>
          <w:rFonts w:asciiTheme="majorBidi" w:hAnsiTheme="majorBidi" w:cstheme="majorBidi"/>
        </w:rPr>
        <w:t>.</w:t>
      </w:r>
    </w:p>
    <w:p w14:paraId="217E617C" w14:textId="77777777" w:rsidR="00A72D17" w:rsidRPr="00FC4465" w:rsidRDefault="00A72D17" w:rsidP="00A72D17">
      <w:pPr>
        <w:pStyle w:val="SingleTxtG"/>
        <w:ind w:left="2268"/>
        <w:rPr>
          <w:rFonts w:asciiTheme="majorBidi" w:hAnsiTheme="majorBidi" w:cstheme="majorBidi"/>
        </w:rPr>
      </w:pPr>
      <w:r w:rsidRPr="00FC4465">
        <w:rPr>
          <w:rFonts w:asciiTheme="majorBidi" w:hAnsiTheme="majorBidi" w:cstheme="majorBidi"/>
        </w:rPr>
        <w:lastRenderedPageBreak/>
        <w:t xml:space="preserve">La modificación no se aplica al texto en español. </w:t>
      </w:r>
    </w:p>
    <w:p w14:paraId="086EA73E" w14:textId="4B78D35D" w:rsidR="00A72D17" w:rsidRPr="00FC4465" w:rsidRDefault="00A72D17" w:rsidP="00D73F90">
      <w:pPr>
        <w:pStyle w:val="SingleTxtG"/>
        <w:ind w:left="2268" w:hanging="1134"/>
        <w:rPr>
          <w:rFonts w:asciiTheme="majorBidi" w:hAnsiTheme="majorBidi" w:cstheme="majorBidi"/>
        </w:rPr>
      </w:pPr>
      <w:r w:rsidRPr="00FC4465">
        <w:rPr>
          <w:rFonts w:asciiTheme="majorBidi" w:hAnsiTheme="majorBidi" w:cstheme="majorBidi"/>
        </w:rPr>
        <w:t>3.2.2.8.3 (nuevo, antiguo 3.2.2.7.3)</w:t>
      </w:r>
      <w:r w:rsidR="00D73F90">
        <w:rPr>
          <w:rFonts w:asciiTheme="majorBidi" w:hAnsiTheme="majorBidi" w:cstheme="majorBidi"/>
        </w:rPr>
        <w:t>  </w:t>
      </w:r>
      <w:r w:rsidRPr="00FC4465">
        <w:rPr>
          <w:rFonts w:asciiTheme="majorBidi" w:hAnsiTheme="majorBidi" w:cstheme="majorBidi"/>
        </w:rPr>
        <w:t xml:space="preserve">En la segunda oración, sustitúyase </w:t>
      </w:r>
      <w:r w:rsidR="008C5013" w:rsidRPr="00FC4465">
        <w:rPr>
          <w:rFonts w:asciiTheme="majorBidi" w:hAnsiTheme="majorBidi" w:cstheme="majorBidi"/>
        </w:rPr>
        <w:t>“</w:t>
      </w:r>
      <w:r w:rsidRPr="00FC4465">
        <w:rPr>
          <w:rFonts w:asciiTheme="majorBidi" w:hAnsiTheme="majorBidi" w:cstheme="majorBidi"/>
        </w:rPr>
        <w:t>teniendo en cuenta el peso total de las pruebas</w:t>
      </w:r>
      <w:r w:rsidR="008C5013" w:rsidRPr="00FC4465">
        <w:rPr>
          <w:rFonts w:asciiTheme="majorBidi" w:hAnsiTheme="majorBidi" w:cstheme="majorBidi"/>
        </w:rPr>
        <w:t>”</w:t>
      </w:r>
      <w:r w:rsidRPr="00FC4465">
        <w:rPr>
          <w:rFonts w:asciiTheme="majorBidi" w:hAnsiTheme="majorBidi" w:cstheme="majorBidi"/>
        </w:rPr>
        <w:t xml:space="preserve"> por </w:t>
      </w:r>
      <w:r w:rsidR="008C5013" w:rsidRPr="00FC4465">
        <w:rPr>
          <w:rFonts w:asciiTheme="majorBidi" w:hAnsiTheme="majorBidi" w:cstheme="majorBidi"/>
        </w:rPr>
        <w:t>“</w:t>
      </w:r>
      <w:r w:rsidRPr="00FC4465">
        <w:rPr>
          <w:rFonts w:asciiTheme="majorBidi" w:hAnsiTheme="majorBidi" w:cstheme="majorBidi"/>
        </w:rPr>
        <w:t>mediante la evaluación del peso total de las pruebas</w:t>
      </w:r>
      <w:r w:rsidR="008C5013" w:rsidRPr="00FC4465">
        <w:rPr>
          <w:rFonts w:asciiTheme="majorBidi" w:hAnsiTheme="majorBidi" w:cstheme="majorBidi"/>
        </w:rPr>
        <w:t>”</w:t>
      </w:r>
      <w:r w:rsidRPr="00FC4465">
        <w:rPr>
          <w:rFonts w:asciiTheme="majorBidi" w:hAnsiTheme="majorBidi" w:cstheme="majorBidi"/>
        </w:rPr>
        <w:t xml:space="preserve">, y en la tercera, sustitúyase </w:t>
      </w:r>
      <w:r w:rsidR="008C5013" w:rsidRPr="00FC4465">
        <w:rPr>
          <w:rFonts w:asciiTheme="majorBidi" w:hAnsiTheme="majorBidi" w:cstheme="majorBidi"/>
        </w:rPr>
        <w:t>“</w:t>
      </w:r>
      <w:r w:rsidRPr="00FC4465">
        <w:rPr>
          <w:rFonts w:asciiTheme="majorBidi" w:hAnsiTheme="majorBidi" w:cstheme="majorBidi"/>
        </w:rPr>
        <w:t>el criterio del peso total de las pruebas</w:t>
      </w:r>
      <w:r w:rsidR="008C5013" w:rsidRPr="00FC4465">
        <w:rPr>
          <w:rFonts w:asciiTheme="majorBidi" w:hAnsiTheme="majorBidi" w:cstheme="majorBidi"/>
        </w:rPr>
        <w:t>”</w:t>
      </w:r>
      <w:r w:rsidRPr="00FC4465">
        <w:rPr>
          <w:rFonts w:asciiTheme="majorBidi" w:hAnsiTheme="majorBidi" w:cstheme="majorBidi"/>
        </w:rPr>
        <w:t xml:space="preserve"> por </w:t>
      </w:r>
      <w:r w:rsidR="008C5013" w:rsidRPr="00FC4465">
        <w:rPr>
          <w:rFonts w:asciiTheme="majorBidi" w:hAnsiTheme="majorBidi" w:cstheme="majorBidi"/>
        </w:rPr>
        <w:t>“</w:t>
      </w:r>
      <w:r w:rsidRPr="00FC4465">
        <w:rPr>
          <w:rFonts w:asciiTheme="majorBidi" w:hAnsiTheme="majorBidi" w:cstheme="majorBidi"/>
        </w:rPr>
        <w:t>la evaluación del peso total de las pruebas</w:t>
      </w:r>
      <w:r w:rsidR="008C5013" w:rsidRPr="00FC4465">
        <w:rPr>
          <w:rFonts w:asciiTheme="majorBidi" w:hAnsiTheme="majorBidi" w:cstheme="majorBidi"/>
        </w:rPr>
        <w:t>”</w:t>
      </w:r>
      <w:r w:rsidRPr="00FC4465">
        <w:rPr>
          <w:rFonts w:asciiTheme="majorBidi" w:hAnsiTheme="majorBidi" w:cstheme="majorBidi"/>
        </w:rPr>
        <w:t xml:space="preserve"> </w:t>
      </w:r>
    </w:p>
    <w:p w14:paraId="1812BD28" w14:textId="2715DA1C" w:rsidR="00A72D17" w:rsidRPr="00FC4465" w:rsidRDefault="00A72D17" w:rsidP="00A72D17">
      <w:pPr>
        <w:pStyle w:val="SingleTxtG"/>
        <w:ind w:left="2268"/>
        <w:rPr>
          <w:rFonts w:asciiTheme="majorBidi" w:hAnsiTheme="majorBidi" w:cstheme="majorBidi"/>
        </w:rPr>
      </w:pPr>
      <w:r w:rsidRPr="00FC4465">
        <w:rPr>
          <w:rFonts w:asciiTheme="majorBidi" w:hAnsiTheme="majorBidi" w:cstheme="majorBidi"/>
        </w:rPr>
        <w:t xml:space="preserve">Modifíquese la última oración para que diga: </w:t>
      </w:r>
      <w:r w:rsidR="008C5013" w:rsidRPr="00FC4465">
        <w:rPr>
          <w:rFonts w:asciiTheme="majorBidi" w:hAnsiTheme="majorBidi" w:cstheme="majorBidi"/>
        </w:rPr>
        <w:t>“</w:t>
      </w:r>
      <w:r w:rsidRPr="00FC4465">
        <w:rPr>
          <w:rFonts w:asciiTheme="majorBidi" w:hAnsiTheme="majorBidi" w:cstheme="majorBidi"/>
        </w:rPr>
        <w:t xml:space="preserve">Lo mismo ocurrirá si hay datos humanos que indiquen irritación cutánea, pero también se dispone de datos positivos de un ensayo </w:t>
      </w:r>
      <w:r w:rsidR="00762E66">
        <w:rPr>
          <w:rFonts w:asciiTheme="majorBidi" w:hAnsiTheme="majorBidi" w:cstheme="majorBidi"/>
          <w:i/>
          <w:iCs/>
        </w:rPr>
        <w:t>in vitro</w:t>
      </w:r>
      <w:r w:rsidRPr="00FC4465">
        <w:rPr>
          <w:rFonts w:asciiTheme="majorBidi" w:hAnsiTheme="majorBidi" w:cstheme="majorBidi"/>
        </w:rPr>
        <w:t>/</w:t>
      </w:r>
      <w:r w:rsidR="00762E66">
        <w:rPr>
          <w:rFonts w:asciiTheme="majorBidi" w:hAnsiTheme="majorBidi" w:cstheme="majorBidi"/>
          <w:i/>
          <w:iCs/>
        </w:rPr>
        <w:t>ex vivo</w:t>
      </w:r>
      <w:r w:rsidRPr="00FC4465">
        <w:rPr>
          <w:rFonts w:asciiTheme="majorBidi" w:hAnsiTheme="majorBidi" w:cstheme="majorBidi"/>
        </w:rPr>
        <w:t xml:space="preserve"> que indiquen corrosión</w:t>
      </w:r>
      <w:r w:rsidR="008C5013" w:rsidRPr="00FC4465">
        <w:rPr>
          <w:rFonts w:asciiTheme="majorBidi" w:hAnsiTheme="majorBidi" w:cstheme="majorBidi"/>
        </w:rPr>
        <w:t>”</w:t>
      </w:r>
      <w:r w:rsidRPr="00FC4465">
        <w:rPr>
          <w:rFonts w:asciiTheme="majorBidi" w:hAnsiTheme="majorBidi" w:cstheme="majorBidi"/>
        </w:rPr>
        <w:t>.</w:t>
      </w:r>
    </w:p>
    <w:p w14:paraId="21EF73E3" w14:textId="77777777" w:rsidR="00A72D17" w:rsidRPr="00FC4465" w:rsidRDefault="00A72D17" w:rsidP="00A72D17">
      <w:pPr>
        <w:pStyle w:val="SingleTxtG"/>
        <w:rPr>
          <w:rFonts w:asciiTheme="majorBidi" w:hAnsiTheme="majorBidi" w:cstheme="majorBidi"/>
        </w:rPr>
      </w:pPr>
      <w:r w:rsidRPr="00FC4465">
        <w:rPr>
          <w:rFonts w:asciiTheme="majorBidi" w:hAnsiTheme="majorBidi" w:cstheme="majorBidi"/>
        </w:rPr>
        <w:t>Figura 3.2.1</w:t>
      </w:r>
      <w:r w:rsidRPr="00FC4465">
        <w:rPr>
          <w:rFonts w:asciiTheme="majorBidi" w:hAnsiTheme="majorBidi" w:cstheme="majorBidi"/>
        </w:rPr>
        <w:tab/>
        <w:t>Modifíquese como sigue:</w:t>
      </w:r>
    </w:p>
    <w:p w14:paraId="7A3D8276" w14:textId="1B92BBA2" w:rsidR="00A72D17" w:rsidRPr="00FC4465" w:rsidRDefault="00A72D17" w:rsidP="00A72D17">
      <w:pPr>
        <w:pStyle w:val="Bullet1G"/>
        <w:numPr>
          <w:ilvl w:val="0"/>
          <w:numId w:val="0"/>
        </w:numPr>
        <w:ind w:left="2268"/>
        <w:rPr>
          <w:rFonts w:asciiTheme="majorBidi" w:hAnsiTheme="majorBidi" w:cstheme="majorBidi"/>
        </w:rPr>
      </w:pPr>
      <w:r w:rsidRPr="00FC4465">
        <w:rPr>
          <w:rFonts w:asciiTheme="majorBidi" w:hAnsiTheme="majorBidi" w:cstheme="majorBidi"/>
        </w:rPr>
        <w:t xml:space="preserve">Texto entre los recuadros de las etapas 3 y 4: Sustitúyase </w:t>
      </w:r>
      <w:r w:rsidR="008C5013" w:rsidRPr="00D73F90">
        <w:rPr>
          <w:rFonts w:asciiTheme="majorBidi" w:hAnsiTheme="majorBidi" w:cstheme="majorBidi"/>
        </w:rPr>
        <w:t>“</w:t>
      </w:r>
      <w:r w:rsidRPr="00D73F90">
        <w:rPr>
          <w:rFonts w:asciiTheme="majorBidi" w:hAnsiTheme="majorBidi" w:cstheme="majorBidi"/>
          <w:i/>
          <w:iCs/>
        </w:rPr>
        <w:t>Ausencia de datos, datos concluyentes para la no clasificación, o datos no concluyentes</w:t>
      </w:r>
      <w:r w:rsidRPr="00D73F90">
        <w:rPr>
          <w:rFonts w:asciiTheme="majorBidi" w:hAnsiTheme="majorBidi" w:cstheme="majorBidi"/>
          <w:i/>
          <w:iCs/>
          <w:vertAlign w:val="superscript"/>
        </w:rPr>
        <w:t>b</w:t>
      </w:r>
      <w:r w:rsidR="008C5013" w:rsidRPr="00D73F90">
        <w:rPr>
          <w:rFonts w:asciiTheme="majorBidi" w:hAnsiTheme="majorBidi" w:cstheme="majorBidi"/>
        </w:rPr>
        <w:t>”</w:t>
      </w:r>
      <w:r w:rsidRPr="00FC4465">
        <w:rPr>
          <w:rFonts w:asciiTheme="majorBidi" w:hAnsiTheme="majorBidi" w:cstheme="majorBidi"/>
        </w:rPr>
        <w:t xml:space="preserve"> por </w:t>
      </w:r>
      <w:r w:rsidR="008C5013" w:rsidRPr="00D73F90">
        <w:rPr>
          <w:rFonts w:asciiTheme="majorBidi" w:hAnsiTheme="majorBidi" w:cstheme="majorBidi"/>
        </w:rPr>
        <w:t>“</w:t>
      </w:r>
      <w:r w:rsidRPr="00D73F90">
        <w:rPr>
          <w:rFonts w:asciiTheme="majorBidi" w:hAnsiTheme="majorBidi" w:cstheme="majorBidi"/>
          <w:iCs/>
        </w:rPr>
        <w:t>Ausencia de datos, no clasificación por corrosión/irritación cutánea o datos no concluyentes</w:t>
      </w:r>
      <w:r w:rsidRPr="00D73F90">
        <w:rPr>
          <w:rFonts w:asciiTheme="majorBidi" w:hAnsiTheme="majorBidi" w:cstheme="majorBidi"/>
          <w:iCs/>
          <w:vertAlign w:val="superscript"/>
        </w:rPr>
        <w:t>b</w:t>
      </w:r>
      <w:r w:rsidR="008C5013" w:rsidRPr="00D73F90">
        <w:rPr>
          <w:rFonts w:asciiTheme="majorBidi" w:hAnsiTheme="majorBidi" w:cstheme="majorBidi"/>
        </w:rPr>
        <w:t>”</w:t>
      </w:r>
      <w:r w:rsidRPr="00FC4465">
        <w:rPr>
          <w:rFonts w:asciiTheme="majorBidi" w:hAnsiTheme="majorBidi" w:cstheme="majorBidi"/>
        </w:rPr>
        <w:t>.</w:t>
      </w:r>
    </w:p>
    <w:p w14:paraId="24C2CF25" w14:textId="0106E703" w:rsidR="00A72D17" w:rsidRPr="00FC4465" w:rsidRDefault="00A72D17" w:rsidP="00A72D17">
      <w:pPr>
        <w:pStyle w:val="Bullet1G"/>
        <w:numPr>
          <w:ilvl w:val="0"/>
          <w:numId w:val="0"/>
        </w:numPr>
        <w:ind w:left="2268"/>
        <w:rPr>
          <w:rFonts w:asciiTheme="majorBidi" w:hAnsiTheme="majorBidi" w:cstheme="majorBidi"/>
        </w:rPr>
      </w:pPr>
      <w:r w:rsidRPr="00FC4465">
        <w:rPr>
          <w:rFonts w:asciiTheme="majorBidi" w:hAnsiTheme="majorBidi" w:cstheme="majorBidi"/>
        </w:rPr>
        <w:t xml:space="preserve">Texto entre los recuadros de las etapas 4 y 5: Sustitúyase </w:t>
      </w:r>
      <w:r w:rsidR="008C5013" w:rsidRPr="00FC4465">
        <w:rPr>
          <w:rFonts w:asciiTheme="majorBidi" w:hAnsiTheme="majorBidi" w:cstheme="majorBidi"/>
        </w:rPr>
        <w:t>“</w:t>
      </w:r>
      <w:r w:rsidRPr="00FC4465">
        <w:rPr>
          <w:rFonts w:asciiTheme="majorBidi" w:hAnsiTheme="majorBidi" w:cstheme="majorBidi"/>
          <w:i/>
          <w:iCs/>
        </w:rPr>
        <w:t>datos que muestran una reserva ácida/alcalina escasa o nula</w:t>
      </w:r>
      <w:r w:rsidR="008C5013" w:rsidRPr="00FC4465">
        <w:rPr>
          <w:rFonts w:asciiTheme="majorBidi" w:hAnsiTheme="majorBidi" w:cstheme="majorBidi"/>
        </w:rPr>
        <w:t>”</w:t>
      </w:r>
      <w:r w:rsidRPr="00FC4465">
        <w:rPr>
          <w:rFonts w:asciiTheme="majorBidi" w:hAnsiTheme="majorBidi" w:cstheme="majorBidi"/>
        </w:rPr>
        <w:t xml:space="preserve"> por </w:t>
      </w:r>
      <w:r w:rsidR="008C5013" w:rsidRPr="00FC4465">
        <w:rPr>
          <w:rFonts w:asciiTheme="majorBidi" w:hAnsiTheme="majorBidi" w:cstheme="majorBidi"/>
        </w:rPr>
        <w:t>“</w:t>
      </w:r>
      <w:r w:rsidRPr="00FC4465">
        <w:rPr>
          <w:rFonts w:asciiTheme="majorBidi" w:hAnsiTheme="majorBidi" w:cstheme="majorBidi"/>
          <w:i/>
          <w:iCs/>
        </w:rPr>
        <w:t>datos que muestran una reserva ácida/alcalina no significativa</w:t>
      </w:r>
      <w:r w:rsidR="008C5013" w:rsidRPr="00FC4465">
        <w:rPr>
          <w:rFonts w:asciiTheme="majorBidi" w:hAnsiTheme="majorBidi" w:cstheme="majorBidi"/>
        </w:rPr>
        <w:t>”</w:t>
      </w:r>
      <w:r w:rsidRPr="00FC4465">
        <w:rPr>
          <w:rFonts w:asciiTheme="majorBidi" w:hAnsiTheme="majorBidi" w:cstheme="majorBidi"/>
        </w:rPr>
        <w:t>.</w:t>
      </w:r>
    </w:p>
    <w:p w14:paraId="60919608" w14:textId="3B067398" w:rsidR="00A72D17" w:rsidRPr="00FC4465" w:rsidRDefault="00A72D17" w:rsidP="00A72D17">
      <w:pPr>
        <w:pStyle w:val="Bullet1G"/>
        <w:numPr>
          <w:ilvl w:val="0"/>
          <w:numId w:val="0"/>
        </w:numPr>
        <w:ind w:left="2268"/>
        <w:rPr>
          <w:rFonts w:asciiTheme="majorBidi" w:hAnsiTheme="majorBidi" w:cstheme="majorBidi"/>
        </w:rPr>
      </w:pPr>
      <w:r w:rsidRPr="00FC4465">
        <w:rPr>
          <w:rFonts w:asciiTheme="majorBidi" w:hAnsiTheme="majorBidi" w:cstheme="majorBidi"/>
        </w:rPr>
        <w:t xml:space="preserve">Texto del recuadro de la etapa 6: sustitúyase </w:t>
      </w:r>
      <w:r w:rsidR="008C5013" w:rsidRPr="00FC4465">
        <w:rPr>
          <w:rFonts w:asciiTheme="majorBidi" w:hAnsiTheme="majorBidi" w:cstheme="majorBidi"/>
        </w:rPr>
        <w:t>“</w:t>
      </w:r>
      <w:r w:rsidRPr="00FC4465">
        <w:rPr>
          <w:rFonts w:asciiTheme="majorBidi" w:hAnsiTheme="majorBidi" w:cstheme="majorBidi"/>
        </w:rPr>
        <w:t>(véase 3.2.2.7.3)</w:t>
      </w:r>
      <w:r w:rsidR="008C5013" w:rsidRPr="00FC4465">
        <w:rPr>
          <w:rFonts w:asciiTheme="majorBidi" w:hAnsiTheme="majorBidi" w:cstheme="majorBidi"/>
        </w:rPr>
        <w:t>”</w:t>
      </w:r>
      <w:r w:rsidRPr="00FC4465">
        <w:rPr>
          <w:rFonts w:asciiTheme="majorBidi" w:hAnsiTheme="majorBidi" w:cstheme="majorBidi"/>
        </w:rPr>
        <w:t xml:space="preserve"> por </w:t>
      </w:r>
      <w:r w:rsidR="008C5013" w:rsidRPr="00FC4465">
        <w:rPr>
          <w:rFonts w:asciiTheme="majorBidi" w:hAnsiTheme="majorBidi" w:cstheme="majorBidi"/>
        </w:rPr>
        <w:t>“</w:t>
      </w:r>
      <w:r w:rsidRPr="00FC4465">
        <w:rPr>
          <w:rFonts w:asciiTheme="majorBidi" w:hAnsiTheme="majorBidi" w:cstheme="majorBidi"/>
        </w:rPr>
        <w:t>(véase</w:t>
      </w:r>
      <w:r w:rsidR="008A7CA3">
        <w:rPr>
          <w:rFonts w:asciiTheme="majorBidi" w:hAnsiTheme="majorBidi" w:cstheme="majorBidi"/>
        </w:rPr>
        <w:t> </w:t>
      </w:r>
      <w:r w:rsidRPr="00FC4465">
        <w:rPr>
          <w:rFonts w:asciiTheme="majorBidi" w:hAnsiTheme="majorBidi" w:cstheme="majorBidi"/>
        </w:rPr>
        <w:t>3.2.2.7)</w:t>
      </w:r>
      <w:r w:rsidR="008C5013" w:rsidRPr="00FC4465">
        <w:rPr>
          <w:rFonts w:asciiTheme="majorBidi" w:hAnsiTheme="majorBidi" w:cstheme="majorBidi"/>
        </w:rPr>
        <w:t>”</w:t>
      </w:r>
      <w:r w:rsidRPr="00FC4465">
        <w:rPr>
          <w:rFonts w:asciiTheme="majorBidi" w:hAnsiTheme="majorBidi" w:cstheme="majorBidi"/>
        </w:rPr>
        <w:t>.</w:t>
      </w:r>
    </w:p>
    <w:p w14:paraId="4C3597B5" w14:textId="4DAFC40B" w:rsidR="00A72D17" w:rsidRPr="00D73F90" w:rsidRDefault="00A72D17" w:rsidP="00A72D17">
      <w:pPr>
        <w:pStyle w:val="Bullet1G"/>
        <w:numPr>
          <w:ilvl w:val="0"/>
          <w:numId w:val="0"/>
        </w:numPr>
        <w:ind w:left="2268"/>
        <w:rPr>
          <w:rFonts w:asciiTheme="majorBidi" w:hAnsiTheme="majorBidi" w:cstheme="majorBidi"/>
        </w:rPr>
      </w:pPr>
      <w:r w:rsidRPr="00D73F90">
        <w:rPr>
          <w:rFonts w:asciiTheme="majorBidi" w:hAnsiTheme="majorBidi" w:cstheme="majorBidi"/>
        </w:rPr>
        <w:t xml:space="preserve">En el recuadro terminal </w:t>
      </w:r>
      <w:r w:rsidR="008C5013" w:rsidRPr="00D73F90">
        <w:rPr>
          <w:rFonts w:asciiTheme="majorBidi" w:hAnsiTheme="majorBidi" w:cstheme="majorBidi"/>
        </w:rPr>
        <w:t>“</w:t>
      </w:r>
      <w:r w:rsidRPr="00D73F90">
        <w:rPr>
          <w:rFonts w:asciiTheme="majorBidi" w:hAnsiTheme="majorBidi" w:cstheme="majorBidi"/>
        </w:rPr>
        <w:t>Clasificación imposible</w:t>
      </w:r>
      <w:r w:rsidR="008C5013" w:rsidRPr="00D73F90">
        <w:rPr>
          <w:rFonts w:asciiTheme="majorBidi" w:hAnsiTheme="majorBidi" w:cstheme="majorBidi"/>
        </w:rPr>
        <w:t>”</w:t>
      </w:r>
      <w:r w:rsidRPr="00D73F90">
        <w:rPr>
          <w:rFonts w:asciiTheme="majorBidi" w:hAnsiTheme="majorBidi" w:cstheme="majorBidi"/>
        </w:rPr>
        <w:t xml:space="preserve">, modifíquese el texto para que diga: </w:t>
      </w:r>
      <w:r w:rsidR="008C5013" w:rsidRPr="00D73F90">
        <w:rPr>
          <w:rFonts w:asciiTheme="majorBidi" w:hAnsiTheme="majorBidi" w:cstheme="majorBidi"/>
        </w:rPr>
        <w:t>“</w:t>
      </w:r>
      <w:r w:rsidRPr="00D73F90">
        <w:rPr>
          <w:rFonts w:asciiTheme="majorBidi" w:hAnsiTheme="majorBidi" w:cstheme="majorBidi"/>
        </w:rPr>
        <w:t>Clasificación imposible para las sustancias</w:t>
      </w:r>
      <w:r w:rsidRPr="00D73F90">
        <w:rPr>
          <w:rFonts w:asciiTheme="majorBidi" w:hAnsiTheme="majorBidi" w:cstheme="majorBidi"/>
          <w:vertAlign w:val="superscript"/>
        </w:rPr>
        <w:t>c</w:t>
      </w:r>
      <w:r w:rsidR="008C5013" w:rsidRPr="00D73F90">
        <w:rPr>
          <w:rFonts w:asciiTheme="majorBidi" w:hAnsiTheme="majorBidi" w:cstheme="majorBidi"/>
        </w:rPr>
        <w:t>”</w:t>
      </w:r>
      <w:r w:rsidRPr="00D73F90">
        <w:rPr>
          <w:rFonts w:asciiTheme="majorBidi" w:hAnsiTheme="majorBidi" w:cstheme="majorBidi"/>
        </w:rPr>
        <w:t>.</w:t>
      </w:r>
    </w:p>
    <w:p w14:paraId="3F09DCB0" w14:textId="725DA025" w:rsidR="00A72D17" w:rsidRPr="00FC4465" w:rsidRDefault="00A72D17" w:rsidP="00A72D17">
      <w:pPr>
        <w:pStyle w:val="Bullet1G"/>
        <w:numPr>
          <w:ilvl w:val="0"/>
          <w:numId w:val="0"/>
        </w:numPr>
        <w:ind w:left="2268"/>
        <w:rPr>
          <w:rFonts w:asciiTheme="majorBidi" w:hAnsiTheme="majorBidi" w:cstheme="majorBidi"/>
        </w:rPr>
      </w:pPr>
      <w:r w:rsidRPr="00FC4465">
        <w:rPr>
          <w:rFonts w:asciiTheme="majorBidi" w:hAnsiTheme="majorBidi" w:cstheme="majorBidi"/>
        </w:rPr>
        <w:t xml:space="preserve">En el recuadro de la </w:t>
      </w:r>
      <w:r w:rsidRPr="00F37468">
        <w:rPr>
          <w:rFonts w:asciiTheme="majorBidi" w:hAnsiTheme="majorBidi" w:cstheme="majorBidi"/>
        </w:rPr>
        <w:t xml:space="preserve">derecha que comienza con </w:t>
      </w:r>
      <w:r w:rsidR="008C5013" w:rsidRPr="00F37468">
        <w:rPr>
          <w:rFonts w:asciiTheme="majorBidi" w:hAnsiTheme="majorBidi" w:cstheme="majorBidi"/>
        </w:rPr>
        <w:t>“</w:t>
      </w:r>
      <w:r w:rsidRPr="00F37468">
        <w:rPr>
          <w:rFonts w:asciiTheme="majorBidi" w:hAnsiTheme="majorBidi" w:cstheme="majorBidi"/>
        </w:rPr>
        <w:t>Evaluar la coherencia con las etapas inferiores</w:t>
      </w:r>
      <w:r w:rsidR="008C5013" w:rsidRPr="00F37468">
        <w:rPr>
          <w:rFonts w:asciiTheme="majorBidi" w:hAnsiTheme="majorBidi" w:cstheme="majorBidi"/>
        </w:rPr>
        <w:t>”</w:t>
      </w:r>
      <w:r w:rsidRPr="00F37468">
        <w:rPr>
          <w:rFonts w:asciiTheme="majorBidi" w:hAnsiTheme="majorBidi" w:cstheme="majorBidi"/>
        </w:rPr>
        <w:t>, sustit</w:t>
      </w:r>
      <w:r w:rsidRPr="00FC4465">
        <w:rPr>
          <w:rFonts w:asciiTheme="majorBidi" w:hAnsiTheme="majorBidi" w:cstheme="majorBidi"/>
        </w:rPr>
        <w:t xml:space="preserve">úyase </w:t>
      </w:r>
      <w:r w:rsidR="008C5013" w:rsidRPr="00FC4465">
        <w:rPr>
          <w:rFonts w:asciiTheme="majorBidi" w:hAnsiTheme="majorBidi" w:cstheme="majorBidi"/>
        </w:rPr>
        <w:t>“</w:t>
      </w:r>
      <w:r w:rsidRPr="00FC4465">
        <w:rPr>
          <w:rFonts w:asciiTheme="majorBidi" w:hAnsiTheme="majorBidi" w:cstheme="majorBidi"/>
        </w:rPr>
        <w:t>3.2.2.7.3</w:t>
      </w:r>
      <w:r w:rsidR="008C5013" w:rsidRPr="00FC4465">
        <w:rPr>
          <w:rFonts w:asciiTheme="majorBidi" w:hAnsiTheme="majorBidi" w:cstheme="majorBidi"/>
        </w:rPr>
        <w:t>”</w:t>
      </w:r>
      <w:r w:rsidRPr="00FC4465">
        <w:rPr>
          <w:rFonts w:asciiTheme="majorBidi" w:hAnsiTheme="majorBidi" w:cstheme="majorBidi"/>
        </w:rPr>
        <w:t xml:space="preserve"> por </w:t>
      </w:r>
      <w:r w:rsidR="008C5013" w:rsidRPr="00FC4465">
        <w:rPr>
          <w:rFonts w:asciiTheme="majorBidi" w:hAnsiTheme="majorBidi" w:cstheme="majorBidi"/>
        </w:rPr>
        <w:t>“</w:t>
      </w:r>
      <w:r w:rsidRPr="00FC4465">
        <w:rPr>
          <w:rFonts w:asciiTheme="majorBidi" w:hAnsiTheme="majorBidi" w:cstheme="majorBidi"/>
        </w:rPr>
        <w:t>3.2.2.8.3</w:t>
      </w:r>
      <w:r w:rsidR="008C5013" w:rsidRPr="00FC4465">
        <w:rPr>
          <w:rFonts w:asciiTheme="majorBidi" w:hAnsiTheme="majorBidi" w:cstheme="majorBidi"/>
        </w:rPr>
        <w:t>”</w:t>
      </w:r>
      <w:r w:rsidRPr="00FC4465">
        <w:rPr>
          <w:rFonts w:asciiTheme="majorBidi" w:hAnsiTheme="majorBidi" w:cstheme="majorBidi"/>
        </w:rPr>
        <w:t>.</w:t>
      </w:r>
    </w:p>
    <w:p w14:paraId="78640EEC" w14:textId="6770AC2A" w:rsidR="00A72D17" w:rsidRPr="00FC4465" w:rsidRDefault="00A72D17" w:rsidP="00A72D17">
      <w:pPr>
        <w:pStyle w:val="Bullet1G"/>
        <w:numPr>
          <w:ilvl w:val="0"/>
          <w:numId w:val="0"/>
        </w:numPr>
        <w:ind w:left="2268"/>
        <w:rPr>
          <w:rFonts w:asciiTheme="majorBidi" w:hAnsiTheme="majorBidi" w:cstheme="majorBidi"/>
        </w:rPr>
      </w:pPr>
      <w:r w:rsidRPr="00FC4465">
        <w:rPr>
          <w:rFonts w:asciiTheme="majorBidi" w:hAnsiTheme="majorBidi" w:cstheme="majorBidi"/>
        </w:rPr>
        <w:t xml:space="preserve">En la nota </w:t>
      </w:r>
      <w:r w:rsidR="008C5013" w:rsidRPr="00FC4465">
        <w:rPr>
          <w:rFonts w:asciiTheme="majorBidi" w:hAnsiTheme="majorBidi" w:cstheme="majorBidi"/>
        </w:rPr>
        <w:t>“</w:t>
      </w:r>
      <w:r w:rsidRPr="00FC4465">
        <w:rPr>
          <w:rFonts w:asciiTheme="majorBidi" w:hAnsiTheme="majorBidi" w:cstheme="majorBidi"/>
        </w:rPr>
        <w:t>a</w:t>
      </w:r>
      <w:r w:rsidR="008C5013" w:rsidRPr="00FC4465">
        <w:rPr>
          <w:rFonts w:asciiTheme="majorBidi" w:hAnsiTheme="majorBidi" w:cstheme="majorBidi"/>
        </w:rPr>
        <w:t>”</w:t>
      </w:r>
      <w:r w:rsidRPr="00FC4465">
        <w:rPr>
          <w:rFonts w:asciiTheme="majorBidi" w:hAnsiTheme="majorBidi" w:cstheme="majorBidi"/>
        </w:rPr>
        <w:t xml:space="preserve">, sustitúyase </w:t>
      </w:r>
      <w:r w:rsidR="008C5013" w:rsidRPr="00FC4465">
        <w:rPr>
          <w:rFonts w:asciiTheme="majorBidi" w:hAnsiTheme="majorBidi" w:cstheme="majorBidi"/>
        </w:rPr>
        <w:t>“</w:t>
      </w:r>
      <w:r w:rsidRPr="00FC4465">
        <w:rPr>
          <w:rFonts w:asciiTheme="majorBidi" w:hAnsiTheme="majorBidi" w:cstheme="majorBidi"/>
        </w:rPr>
        <w:t>3.2.2.7</w:t>
      </w:r>
      <w:r w:rsidR="008C5013" w:rsidRPr="00FC4465">
        <w:rPr>
          <w:rFonts w:asciiTheme="majorBidi" w:hAnsiTheme="majorBidi" w:cstheme="majorBidi"/>
        </w:rPr>
        <w:t>”</w:t>
      </w:r>
      <w:r w:rsidRPr="00FC4465">
        <w:rPr>
          <w:rFonts w:asciiTheme="majorBidi" w:hAnsiTheme="majorBidi" w:cstheme="majorBidi"/>
        </w:rPr>
        <w:t xml:space="preserve"> por </w:t>
      </w:r>
      <w:r w:rsidR="008C5013" w:rsidRPr="00FC4465">
        <w:rPr>
          <w:rFonts w:asciiTheme="majorBidi" w:hAnsiTheme="majorBidi" w:cstheme="majorBidi"/>
        </w:rPr>
        <w:t>“</w:t>
      </w:r>
      <w:r w:rsidRPr="00FC4465">
        <w:rPr>
          <w:rFonts w:asciiTheme="majorBidi" w:hAnsiTheme="majorBidi" w:cstheme="majorBidi"/>
        </w:rPr>
        <w:t>3.2.2.8</w:t>
      </w:r>
      <w:r w:rsidR="008C5013" w:rsidRPr="00FC4465">
        <w:rPr>
          <w:rFonts w:asciiTheme="majorBidi" w:hAnsiTheme="majorBidi" w:cstheme="majorBidi"/>
        </w:rPr>
        <w:t>”</w:t>
      </w:r>
      <w:r w:rsidRPr="00FC4465">
        <w:rPr>
          <w:rFonts w:asciiTheme="majorBidi" w:hAnsiTheme="majorBidi" w:cstheme="majorBidi"/>
        </w:rPr>
        <w:t>.</w:t>
      </w:r>
    </w:p>
    <w:p w14:paraId="319D5C69" w14:textId="25EA450D" w:rsidR="00A72D17" w:rsidRPr="00FC4465" w:rsidRDefault="00A72D17" w:rsidP="00A72D17">
      <w:pPr>
        <w:pStyle w:val="Bullet1G"/>
        <w:numPr>
          <w:ilvl w:val="0"/>
          <w:numId w:val="0"/>
        </w:numPr>
        <w:ind w:left="2268"/>
        <w:rPr>
          <w:rFonts w:asciiTheme="majorBidi" w:hAnsiTheme="majorBidi" w:cstheme="majorBidi"/>
          <w:i/>
          <w:iCs/>
        </w:rPr>
      </w:pPr>
      <w:r w:rsidRPr="00FC4465">
        <w:rPr>
          <w:rFonts w:asciiTheme="majorBidi" w:hAnsiTheme="majorBidi" w:cstheme="majorBidi"/>
        </w:rPr>
        <w:tab/>
        <w:t xml:space="preserve">Añádase una nueva nota </w:t>
      </w:r>
      <w:r w:rsidR="008C5013" w:rsidRPr="00FC4465">
        <w:rPr>
          <w:rFonts w:asciiTheme="majorBidi" w:hAnsiTheme="majorBidi" w:cstheme="majorBidi"/>
        </w:rPr>
        <w:t>“</w:t>
      </w:r>
      <w:r w:rsidRPr="00FC4465">
        <w:rPr>
          <w:rFonts w:asciiTheme="majorBidi" w:hAnsiTheme="majorBidi" w:cstheme="majorBidi"/>
        </w:rPr>
        <w:t>c</w:t>
      </w:r>
      <w:r w:rsidR="008C5013" w:rsidRPr="00FC4465">
        <w:rPr>
          <w:rFonts w:asciiTheme="majorBidi" w:hAnsiTheme="majorBidi" w:cstheme="majorBidi"/>
        </w:rPr>
        <w:t>”</w:t>
      </w:r>
      <w:r w:rsidRPr="00FC4465">
        <w:rPr>
          <w:rFonts w:asciiTheme="majorBidi" w:hAnsiTheme="majorBidi" w:cstheme="majorBidi"/>
        </w:rPr>
        <w:t xml:space="preserve"> que diga: </w:t>
      </w:r>
      <w:r w:rsidR="008C5013" w:rsidRPr="00FC4465">
        <w:rPr>
          <w:rFonts w:asciiTheme="majorBidi" w:hAnsiTheme="majorBidi" w:cstheme="majorBidi"/>
        </w:rPr>
        <w:t>“</w:t>
      </w:r>
      <w:r w:rsidRPr="00FC4465">
        <w:rPr>
          <w:rFonts w:asciiTheme="majorBidi" w:hAnsiTheme="majorBidi" w:cstheme="majorBidi"/>
          <w:i/>
          <w:iCs/>
          <w:vertAlign w:val="superscript"/>
        </w:rPr>
        <w:t>c</w:t>
      </w:r>
      <w:r w:rsidRPr="00FC4465">
        <w:rPr>
          <w:rFonts w:asciiTheme="majorBidi" w:hAnsiTheme="majorBidi" w:cstheme="majorBidi"/>
          <w:i/>
          <w:iCs/>
        </w:rPr>
        <w:t xml:space="preserve"> En el caso de las mezclas debería aplicarse el diagrama de la figura 3.2.2.</w:t>
      </w:r>
      <w:r w:rsidR="008C5013" w:rsidRPr="00D73F90">
        <w:rPr>
          <w:rFonts w:asciiTheme="majorBidi" w:hAnsiTheme="majorBidi" w:cstheme="majorBidi"/>
          <w:iCs/>
        </w:rPr>
        <w:t>”</w:t>
      </w:r>
      <w:r w:rsidRPr="00FC4465">
        <w:rPr>
          <w:rFonts w:asciiTheme="majorBidi" w:hAnsiTheme="majorBidi" w:cstheme="majorBidi"/>
          <w:i/>
          <w:iCs/>
        </w:rPr>
        <w:t>.</w:t>
      </w:r>
    </w:p>
    <w:p w14:paraId="7CEEF88A" w14:textId="77777777" w:rsidR="00A72D17" w:rsidRPr="00FC4465" w:rsidRDefault="00A72D17" w:rsidP="00D73F90">
      <w:pPr>
        <w:pStyle w:val="Bullet1G"/>
        <w:numPr>
          <w:ilvl w:val="0"/>
          <w:numId w:val="0"/>
        </w:numPr>
        <w:ind w:left="2268" w:hanging="737"/>
        <w:rPr>
          <w:rFonts w:asciiTheme="majorBidi" w:hAnsiTheme="majorBidi" w:cstheme="majorBidi"/>
        </w:rPr>
      </w:pPr>
      <w:r w:rsidRPr="00FC4465">
        <w:rPr>
          <w:rFonts w:asciiTheme="majorBidi" w:hAnsiTheme="majorBidi" w:cstheme="majorBidi"/>
        </w:rPr>
        <w:t>3.2.3</w:t>
      </w:r>
      <w:r w:rsidRPr="00FC4465">
        <w:rPr>
          <w:rFonts w:asciiTheme="majorBidi" w:hAnsiTheme="majorBidi" w:cstheme="majorBidi"/>
        </w:rPr>
        <w:tab/>
        <w:t>Después del encabezamiento, insértese el nuevo texto y la nueva figura siguientes:</w:t>
      </w:r>
    </w:p>
    <w:p w14:paraId="76C1C283" w14:textId="094B852B" w:rsidR="00A72D17" w:rsidRPr="00FC4465" w:rsidRDefault="00A72D17" w:rsidP="00A72D17">
      <w:pPr>
        <w:pStyle w:val="Bullet1G"/>
        <w:numPr>
          <w:ilvl w:val="0"/>
          <w:numId w:val="0"/>
        </w:numPr>
        <w:ind w:left="2268"/>
        <w:rPr>
          <w:rFonts w:asciiTheme="majorBidi" w:hAnsiTheme="majorBidi" w:cstheme="majorBidi"/>
        </w:rPr>
      </w:pPr>
      <w:r w:rsidRPr="00FC4465">
        <w:rPr>
          <w:rFonts w:asciiTheme="majorBidi" w:hAnsiTheme="majorBidi" w:cstheme="majorBidi"/>
        </w:rPr>
        <w:tab/>
      </w:r>
      <w:r w:rsidR="00D73F90">
        <w:rPr>
          <w:rFonts w:asciiTheme="majorBidi" w:hAnsiTheme="majorBidi" w:cstheme="majorBidi"/>
        </w:rPr>
        <w:t>“</w:t>
      </w:r>
      <w:r w:rsidRPr="00FC4465">
        <w:rPr>
          <w:rFonts w:asciiTheme="majorBidi" w:hAnsiTheme="majorBidi" w:cstheme="majorBidi"/>
        </w:rPr>
        <w:t>El procedimiento de clasificación por corrosión/irritación cutánea se realiza por etapas y depende de la cantidad de información disponible para la mezcla en sí y para sus componentes. El diagrama de la figura 3.2.2 siguiente indica el proceso que hay que seguir:</w:t>
      </w:r>
    </w:p>
    <w:p w14:paraId="02500984" w14:textId="041E0BC9" w:rsidR="00A72D17" w:rsidRPr="00FC4465" w:rsidRDefault="00A72D17" w:rsidP="007305F0">
      <w:pPr>
        <w:pStyle w:val="Bullet1G"/>
        <w:keepNext/>
        <w:numPr>
          <w:ilvl w:val="0"/>
          <w:numId w:val="0"/>
        </w:numPr>
        <w:ind w:left="1701"/>
        <w:jc w:val="center"/>
        <w:rPr>
          <w:rFonts w:asciiTheme="majorBidi" w:hAnsiTheme="majorBidi" w:cstheme="majorBidi"/>
          <w:b/>
          <w:bCs/>
        </w:rPr>
      </w:pPr>
      <w:r w:rsidRPr="00FC4465">
        <w:rPr>
          <w:rFonts w:asciiTheme="majorBidi" w:hAnsiTheme="majorBidi" w:cstheme="majorBidi"/>
          <w:b/>
          <w:bCs/>
        </w:rPr>
        <w:lastRenderedPageBreak/>
        <w:t xml:space="preserve">Figura 3.2.2: Procedimiento por etapas para clasificar las mezclas </w:t>
      </w:r>
      <w:r w:rsidR="007305F0" w:rsidRPr="00FC4465">
        <w:rPr>
          <w:rFonts w:asciiTheme="majorBidi" w:hAnsiTheme="majorBidi" w:cstheme="majorBidi"/>
          <w:b/>
          <w:bCs/>
        </w:rPr>
        <w:br/>
      </w:r>
      <w:r w:rsidRPr="00FC4465">
        <w:rPr>
          <w:rFonts w:asciiTheme="majorBidi" w:hAnsiTheme="majorBidi" w:cstheme="majorBidi"/>
          <w:b/>
          <w:bCs/>
        </w:rPr>
        <w:t>en cuanto a la corrosión/irritación cutánea</w:t>
      </w:r>
    </w:p>
    <w:p w14:paraId="5389AC0C" w14:textId="6F5A6BEE" w:rsidR="00A72D17" w:rsidRPr="00FC4465" w:rsidRDefault="00645A23" w:rsidP="00A72D17">
      <w:pPr>
        <w:pStyle w:val="Bullet1G"/>
        <w:numPr>
          <w:ilvl w:val="0"/>
          <w:numId w:val="0"/>
        </w:numPr>
        <w:ind w:left="1701"/>
        <w:rPr>
          <w:rFonts w:asciiTheme="majorBidi" w:hAnsiTheme="majorBidi" w:cstheme="majorBidi"/>
        </w:rPr>
      </w:pPr>
      <w:r w:rsidRPr="00FC4465">
        <w:rPr>
          <w:rFonts w:asciiTheme="majorBidi" w:hAnsiTheme="majorBidi" w:cstheme="majorBidi"/>
        </w:rPr>
        <w:object w:dxaOrig="6871" w:dyaOrig="7816" w14:anchorId="2BF4F4A7">
          <v:shape id="_x0000_i1026" type="#_x0000_t75" style="width:342.75pt;height:390.75pt" o:ole="">
            <v:imagedata r:id="rId10" o:title=""/>
          </v:shape>
          <o:OLEObject Type="Embed" ProgID="Visio.Drawing.15" ShapeID="_x0000_i1026" DrawAspect="Content" ObjectID="_1754120333" r:id="rId11"/>
        </w:object>
      </w:r>
    </w:p>
    <w:p w14:paraId="77361619" w14:textId="5604F67C" w:rsidR="00A72D17" w:rsidRPr="008645FC" w:rsidRDefault="00A72D17" w:rsidP="00A72D17">
      <w:pPr>
        <w:pStyle w:val="Bullet1G"/>
        <w:numPr>
          <w:ilvl w:val="0"/>
          <w:numId w:val="0"/>
        </w:numPr>
        <w:ind w:left="2268"/>
        <w:rPr>
          <w:rFonts w:asciiTheme="majorBidi" w:hAnsiTheme="majorBidi" w:cstheme="majorBidi"/>
          <w:i/>
          <w:iCs/>
          <w:sz w:val="18"/>
          <w:szCs w:val="18"/>
        </w:rPr>
      </w:pPr>
      <w:r w:rsidRPr="008645FC">
        <w:rPr>
          <w:rFonts w:asciiTheme="majorBidi" w:hAnsiTheme="majorBidi" w:cstheme="majorBidi"/>
          <w:sz w:val="18"/>
          <w:szCs w:val="18"/>
          <w:vertAlign w:val="superscript"/>
        </w:rPr>
        <w:t>a</w:t>
      </w:r>
      <w:r w:rsidRPr="008645FC">
        <w:rPr>
          <w:rFonts w:asciiTheme="majorBidi" w:hAnsiTheme="majorBidi" w:cstheme="majorBidi"/>
          <w:sz w:val="18"/>
          <w:szCs w:val="18"/>
        </w:rPr>
        <w:tab/>
      </w:r>
      <w:r w:rsidRPr="008645FC">
        <w:rPr>
          <w:rFonts w:asciiTheme="majorBidi" w:hAnsiTheme="majorBidi" w:cstheme="majorBidi"/>
          <w:i/>
          <w:iCs/>
          <w:sz w:val="18"/>
          <w:szCs w:val="18"/>
        </w:rPr>
        <w:t>Los recuadros discontinuos representan una subetapa particular dentro de la etapa de datos concluyentes sobre la mezcla en su conjunto.</w:t>
      </w:r>
      <w:r w:rsidRPr="008645FC">
        <w:rPr>
          <w:rFonts w:asciiTheme="majorBidi" w:hAnsiTheme="majorBidi" w:cstheme="majorBidi"/>
          <w:sz w:val="18"/>
          <w:szCs w:val="18"/>
        </w:rPr>
        <w:t xml:space="preserve"> </w:t>
      </w:r>
      <w:r w:rsidRPr="008645FC">
        <w:rPr>
          <w:rFonts w:asciiTheme="majorBidi" w:hAnsiTheme="majorBidi" w:cstheme="majorBidi"/>
          <w:i/>
          <w:iCs/>
          <w:sz w:val="18"/>
          <w:szCs w:val="18"/>
        </w:rPr>
        <w:t>Sin embargo, a diferencia de lo que ocurre con las sustancias, en el caso de las mezclas que presentan un valor de pH extremo (pH ≤ 2 o ≥ 11,5) y una reserva ácida/alcalina no significativa, pero para las que no se dispone de otros datos concluyentes sobre la mezcla en su conjunto, o para las que la evaluación del peso total de las pruebas realizada a partir de todos los datos disponibles sobre la mezcla en su conjunto no es concluyente, los datos no se consideran concluyentes en las etapas de datos concluyentes sobre la mezcla en su conjunto.</w:t>
      </w:r>
      <w:r w:rsidRPr="008645FC">
        <w:rPr>
          <w:rFonts w:asciiTheme="majorBidi" w:hAnsiTheme="majorBidi" w:cstheme="majorBidi"/>
          <w:sz w:val="18"/>
          <w:szCs w:val="18"/>
        </w:rPr>
        <w:t xml:space="preserve"> </w:t>
      </w:r>
      <w:r w:rsidRPr="008645FC">
        <w:rPr>
          <w:rFonts w:asciiTheme="majorBidi" w:hAnsiTheme="majorBidi" w:cstheme="majorBidi"/>
          <w:i/>
          <w:iCs/>
          <w:sz w:val="18"/>
          <w:szCs w:val="18"/>
        </w:rPr>
        <w:t>Dichas mezclas deben ser evaluadas según los principios de extrapolación antes de que el pH extremo pueda ser considerado concluyente a efectos de la clasificación.</w:t>
      </w:r>
      <w:r w:rsidR="008C5013" w:rsidRPr="008645FC">
        <w:rPr>
          <w:rFonts w:asciiTheme="majorBidi" w:hAnsiTheme="majorBidi" w:cstheme="majorBidi"/>
          <w:iCs/>
          <w:sz w:val="18"/>
          <w:szCs w:val="18"/>
        </w:rPr>
        <w:t>”</w:t>
      </w:r>
      <w:r w:rsidRPr="008645FC">
        <w:rPr>
          <w:rFonts w:asciiTheme="majorBidi" w:hAnsiTheme="majorBidi" w:cstheme="majorBidi"/>
          <w:iCs/>
          <w:sz w:val="18"/>
          <w:szCs w:val="18"/>
        </w:rPr>
        <w:t>.</w:t>
      </w:r>
    </w:p>
    <w:p w14:paraId="70FAAD66" w14:textId="38C6B07D" w:rsidR="00A72D17" w:rsidRPr="00FC4465" w:rsidRDefault="00A72D17" w:rsidP="008645FC">
      <w:pPr>
        <w:pStyle w:val="SingleTxtG"/>
        <w:ind w:left="2268" w:hanging="1134"/>
        <w:rPr>
          <w:rFonts w:asciiTheme="majorBidi" w:hAnsiTheme="majorBidi" w:cstheme="majorBidi"/>
        </w:rPr>
      </w:pPr>
      <w:r w:rsidRPr="00FC4465">
        <w:rPr>
          <w:rFonts w:asciiTheme="majorBidi" w:hAnsiTheme="majorBidi" w:cstheme="majorBidi"/>
        </w:rPr>
        <w:t>3.2.3.1.1</w:t>
      </w:r>
      <w:r w:rsidRPr="00FC4465">
        <w:rPr>
          <w:rFonts w:asciiTheme="majorBidi" w:hAnsiTheme="majorBidi" w:cstheme="majorBidi"/>
        </w:rPr>
        <w:tab/>
        <w:t xml:space="preserve">En la última oración, sustitúyase </w:t>
      </w:r>
      <w:r w:rsidR="008C5013" w:rsidRPr="00FC4465">
        <w:rPr>
          <w:rFonts w:asciiTheme="majorBidi" w:hAnsiTheme="majorBidi" w:cstheme="majorBidi"/>
        </w:rPr>
        <w:t>“</w:t>
      </w:r>
      <w:r w:rsidRPr="00FC4465">
        <w:rPr>
          <w:rFonts w:asciiTheme="majorBidi" w:hAnsiTheme="majorBidi" w:cstheme="majorBidi"/>
        </w:rPr>
        <w:t>método de cálculo</w:t>
      </w:r>
      <w:r w:rsidR="008C5013" w:rsidRPr="00FC4465">
        <w:rPr>
          <w:rFonts w:asciiTheme="majorBidi" w:hAnsiTheme="majorBidi" w:cstheme="majorBidi"/>
        </w:rPr>
        <w:t>”</w:t>
      </w:r>
      <w:r w:rsidRPr="00FC4465">
        <w:rPr>
          <w:rFonts w:asciiTheme="majorBidi" w:hAnsiTheme="majorBidi" w:cstheme="majorBidi"/>
        </w:rPr>
        <w:t xml:space="preserve"> por </w:t>
      </w:r>
      <w:r w:rsidR="008C5013" w:rsidRPr="00FC4465">
        <w:rPr>
          <w:rFonts w:asciiTheme="majorBidi" w:hAnsiTheme="majorBidi" w:cstheme="majorBidi"/>
        </w:rPr>
        <w:t>“</w:t>
      </w:r>
      <w:r w:rsidRPr="00FC4465">
        <w:rPr>
          <w:rFonts w:asciiTheme="majorBidi" w:hAnsiTheme="majorBidi" w:cstheme="majorBidi"/>
        </w:rPr>
        <w:t>clasificación basada en los componentes</w:t>
      </w:r>
      <w:r w:rsidR="008C5013" w:rsidRPr="00FC4465">
        <w:rPr>
          <w:rFonts w:asciiTheme="majorBidi" w:hAnsiTheme="majorBidi" w:cstheme="majorBidi"/>
        </w:rPr>
        <w:t>”</w:t>
      </w:r>
      <w:r w:rsidRPr="00FC4465">
        <w:rPr>
          <w:rFonts w:asciiTheme="majorBidi" w:hAnsiTheme="majorBidi" w:cstheme="majorBidi"/>
        </w:rPr>
        <w:t>.</w:t>
      </w:r>
    </w:p>
    <w:p w14:paraId="5BDB06AF" w14:textId="5E19B631" w:rsidR="00A72D17" w:rsidRPr="00FC4465" w:rsidRDefault="00A72D17" w:rsidP="008645FC">
      <w:pPr>
        <w:pStyle w:val="SingleTxtG"/>
        <w:ind w:left="2268" w:hanging="1134"/>
        <w:rPr>
          <w:rFonts w:asciiTheme="majorBidi" w:hAnsiTheme="majorBidi" w:cstheme="majorBidi"/>
        </w:rPr>
      </w:pPr>
      <w:bookmarkStart w:id="0" w:name="_Hlk69887375"/>
      <w:r w:rsidRPr="00FC4465">
        <w:rPr>
          <w:rFonts w:asciiTheme="majorBidi" w:hAnsiTheme="majorBidi" w:cstheme="majorBidi"/>
        </w:rPr>
        <w:t>3.2.3.1.2</w:t>
      </w:r>
      <w:r w:rsidRPr="00FC4465">
        <w:rPr>
          <w:rFonts w:asciiTheme="majorBidi" w:hAnsiTheme="majorBidi" w:cstheme="majorBidi"/>
        </w:rPr>
        <w:tab/>
        <w:t xml:space="preserve">En la primera oración, sustitúyase </w:t>
      </w:r>
      <w:r w:rsidR="008C5013" w:rsidRPr="00FC4465">
        <w:rPr>
          <w:rFonts w:asciiTheme="majorBidi" w:hAnsiTheme="majorBidi" w:cstheme="majorBidi"/>
        </w:rPr>
        <w:t>“</w:t>
      </w:r>
      <w:r w:rsidRPr="00FC4465">
        <w:rPr>
          <w:rFonts w:asciiTheme="majorBidi" w:hAnsiTheme="majorBidi" w:cstheme="majorBidi"/>
        </w:rPr>
        <w:t xml:space="preserve">Los datos </w:t>
      </w:r>
      <w:r w:rsidR="00762E66">
        <w:rPr>
          <w:rFonts w:asciiTheme="majorBidi" w:hAnsiTheme="majorBidi" w:cstheme="majorBidi"/>
          <w:i/>
          <w:iCs/>
        </w:rPr>
        <w:t>in vitro</w:t>
      </w:r>
      <w:r w:rsidRPr="00FC4465">
        <w:rPr>
          <w:rFonts w:asciiTheme="majorBidi" w:hAnsiTheme="majorBidi" w:cstheme="majorBidi"/>
        </w:rPr>
        <w:t>/</w:t>
      </w:r>
      <w:r w:rsidR="00762E66">
        <w:rPr>
          <w:rFonts w:asciiTheme="majorBidi" w:hAnsiTheme="majorBidi" w:cstheme="majorBidi"/>
          <w:i/>
          <w:iCs/>
        </w:rPr>
        <w:t>ex vivo</w:t>
      </w:r>
      <w:r w:rsidRPr="00FC4465">
        <w:rPr>
          <w:rFonts w:asciiTheme="majorBidi" w:hAnsiTheme="majorBidi" w:cstheme="majorBidi"/>
        </w:rPr>
        <w:t xml:space="preserve"> generados con métodos de ensayo validados</w:t>
      </w:r>
      <w:r w:rsidR="008C5013" w:rsidRPr="00FC4465">
        <w:rPr>
          <w:rFonts w:asciiTheme="majorBidi" w:hAnsiTheme="majorBidi" w:cstheme="majorBidi"/>
        </w:rPr>
        <w:t>”</w:t>
      </w:r>
      <w:r w:rsidRPr="00FC4465">
        <w:rPr>
          <w:rFonts w:asciiTheme="majorBidi" w:hAnsiTheme="majorBidi" w:cstheme="majorBidi"/>
        </w:rPr>
        <w:t xml:space="preserve"> por </w:t>
      </w:r>
      <w:r w:rsidR="008C5013" w:rsidRPr="00FC4465">
        <w:rPr>
          <w:rFonts w:asciiTheme="majorBidi" w:hAnsiTheme="majorBidi" w:cstheme="majorBidi"/>
        </w:rPr>
        <w:t>“</w:t>
      </w:r>
      <w:r w:rsidRPr="00FC4465">
        <w:rPr>
          <w:rFonts w:asciiTheme="majorBidi" w:hAnsiTheme="majorBidi" w:cstheme="majorBidi"/>
        </w:rPr>
        <w:t xml:space="preserve">Los métodos de ensayo </w:t>
      </w:r>
      <w:r w:rsidR="00762E66">
        <w:rPr>
          <w:rFonts w:asciiTheme="majorBidi" w:hAnsiTheme="majorBidi" w:cstheme="majorBidi"/>
          <w:i/>
          <w:iCs/>
        </w:rPr>
        <w:t>in vitro</w:t>
      </w:r>
      <w:r w:rsidRPr="00FC4465">
        <w:rPr>
          <w:rFonts w:asciiTheme="majorBidi" w:hAnsiTheme="majorBidi" w:cstheme="majorBidi"/>
        </w:rPr>
        <w:t>/</w:t>
      </w:r>
      <w:r w:rsidR="00762E66">
        <w:rPr>
          <w:rFonts w:asciiTheme="majorBidi" w:hAnsiTheme="majorBidi" w:cstheme="majorBidi"/>
          <w:i/>
          <w:iCs/>
        </w:rPr>
        <w:t>ex vivo</w:t>
      </w:r>
      <w:r w:rsidRPr="00FC4465">
        <w:rPr>
          <w:rFonts w:asciiTheme="majorBidi" w:hAnsiTheme="majorBidi" w:cstheme="majorBidi"/>
        </w:rPr>
        <w:t xml:space="preserve"> validados con arreglo a procedimientos internacionales</w:t>
      </w:r>
      <w:r w:rsidR="008C5013" w:rsidRPr="00FC4465">
        <w:rPr>
          <w:rFonts w:asciiTheme="majorBidi" w:hAnsiTheme="majorBidi" w:cstheme="majorBidi"/>
        </w:rPr>
        <w:t>”</w:t>
      </w:r>
      <w:r w:rsidRPr="00FC4465">
        <w:rPr>
          <w:rFonts w:asciiTheme="majorBidi" w:hAnsiTheme="majorBidi" w:cstheme="majorBidi"/>
        </w:rPr>
        <w:t xml:space="preserve"> y </w:t>
      </w:r>
      <w:r w:rsidR="008C5013" w:rsidRPr="00FC4465">
        <w:rPr>
          <w:rFonts w:asciiTheme="majorBidi" w:hAnsiTheme="majorBidi" w:cstheme="majorBidi"/>
        </w:rPr>
        <w:t>“</w:t>
      </w:r>
      <w:r w:rsidRPr="00FC4465">
        <w:rPr>
          <w:rFonts w:asciiTheme="majorBidi" w:hAnsiTheme="majorBidi" w:cstheme="majorBidi"/>
        </w:rPr>
        <w:t>de los métodos de ensayo utilizados</w:t>
      </w:r>
      <w:r w:rsidR="008C5013" w:rsidRPr="00FC4465">
        <w:rPr>
          <w:rFonts w:asciiTheme="majorBidi" w:hAnsiTheme="majorBidi" w:cstheme="majorBidi"/>
        </w:rPr>
        <w:t>”</w:t>
      </w:r>
      <w:r w:rsidRPr="00FC4465">
        <w:rPr>
          <w:rFonts w:asciiTheme="majorBidi" w:hAnsiTheme="majorBidi" w:cstheme="majorBidi"/>
        </w:rPr>
        <w:t xml:space="preserve"> por </w:t>
      </w:r>
      <w:r w:rsidR="008C5013" w:rsidRPr="00FC4465">
        <w:rPr>
          <w:rFonts w:asciiTheme="majorBidi" w:hAnsiTheme="majorBidi" w:cstheme="majorBidi"/>
        </w:rPr>
        <w:t>“</w:t>
      </w:r>
      <w:r w:rsidRPr="00FC4465">
        <w:rPr>
          <w:rFonts w:asciiTheme="majorBidi" w:hAnsiTheme="majorBidi" w:cstheme="majorBidi"/>
        </w:rPr>
        <w:t>del método o métodos de ensayo utilizados</w:t>
      </w:r>
      <w:r w:rsidR="008C5013" w:rsidRPr="00FC4465">
        <w:rPr>
          <w:rFonts w:asciiTheme="majorBidi" w:hAnsiTheme="majorBidi" w:cstheme="majorBidi"/>
        </w:rPr>
        <w:t>”</w:t>
      </w:r>
      <w:r w:rsidRPr="00FC4465">
        <w:rPr>
          <w:rFonts w:asciiTheme="majorBidi" w:hAnsiTheme="majorBidi" w:cstheme="majorBidi"/>
        </w:rPr>
        <w:t>.</w:t>
      </w:r>
    </w:p>
    <w:bookmarkEnd w:id="0"/>
    <w:p w14:paraId="7C9C3F50" w14:textId="77777777" w:rsidR="00A72D17" w:rsidRPr="00FC4465" w:rsidRDefault="00A72D17" w:rsidP="008645FC">
      <w:pPr>
        <w:pStyle w:val="SingleTxtG"/>
        <w:keepNext/>
        <w:keepLines/>
        <w:rPr>
          <w:rFonts w:asciiTheme="majorBidi" w:hAnsiTheme="majorBidi" w:cstheme="majorBidi"/>
        </w:rPr>
      </w:pPr>
      <w:r w:rsidRPr="00FC4465">
        <w:rPr>
          <w:rFonts w:asciiTheme="majorBidi" w:hAnsiTheme="majorBidi" w:cstheme="majorBidi"/>
        </w:rPr>
        <w:lastRenderedPageBreak/>
        <w:t>3.2.3.1.3</w:t>
      </w:r>
      <w:r w:rsidRPr="00FC4465">
        <w:rPr>
          <w:rFonts w:asciiTheme="majorBidi" w:hAnsiTheme="majorBidi" w:cstheme="majorBidi"/>
        </w:rPr>
        <w:tab/>
        <w:t>Modifíquese para que diga:</w:t>
      </w:r>
    </w:p>
    <w:p w14:paraId="1135D4CE" w14:textId="26F52F1C" w:rsidR="00A72D17" w:rsidRPr="00FC4465" w:rsidRDefault="008C5013" w:rsidP="008645FC">
      <w:pPr>
        <w:pStyle w:val="SingleTxtG"/>
        <w:keepNext/>
        <w:keepLines/>
        <w:ind w:left="2268"/>
        <w:rPr>
          <w:rFonts w:asciiTheme="majorBidi" w:hAnsiTheme="majorBidi" w:cstheme="majorBidi"/>
        </w:rPr>
      </w:pPr>
      <w:r w:rsidRPr="00FC4465">
        <w:rPr>
          <w:rFonts w:asciiTheme="majorBidi" w:hAnsiTheme="majorBidi" w:cstheme="majorBidi"/>
        </w:rPr>
        <w:t>“</w:t>
      </w:r>
      <w:r w:rsidR="00A72D17" w:rsidRPr="00FC4465">
        <w:rPr>
          <w:rFonts w:asciiTheme="majorBidi" w:hAnsiTheme="majorBidi" w:cstheme="majorBidi"/>
        </w:rPr>
        <w:t>Una mezcla con un pH extremo (pH ≤ 2 o ≥ 11,5) se considera corrosiva (categoría 1) en la etapa 4 si tiene una reserva ácida/alcalina significativa o no se dispone de datos sobre la reserva ácida/alcalina. No obstante, si del examen de la reserva ácida/alcalina se desprende que la mezcla pudiera no ser corrosiva a pesar del pH extremo, el resultado se considera no concluyente en la etapa 4 (véase la figura 3.2.1). Si la evaluación del peso total de las pruebas sigue sin ser concluyente o no se dispone de más datos que el pH y la reserva ácida/alcalina, las mezclas con un pH extremo (pH ≤ 2 o ≥ 11,5) y una reserva ácida/alcalina no significativa deberían evaluarse aplicando los principios de extrapolación descritos en 3.2.3.2. Si no pueden aplicarse dichos principios, las mezclas con un pH extremo (pH ≤ 2 o ≥ 11,5) y una reserva ácida/alcalina no significativa deberían clasificarse en la categoría 1 cutánea (véase la figura</w:t>
      </w:r>
      <w:r w:rsidR="008A7CA3">
        <w:rPr>
          <w:rFonts w:asciiTheme="majorBidi" w:hAnsiTheme="majorBidi" w:cstheme="majorBidi"/>
        </w:rPr>
        <w:t> </w:t>
      </w:r>
      <w:r w:rsidR="00A72D17" w:rsidRPr="00FC4465">
        <w:rPr>
          <w:rFonts w:asciiTheme="majorBidi" w:hAnsiTheme="majorBidi" w:cstheme="majorBidi"/>
        </w:rPr>
        <w:t>3.2.2). Un pH &gt; 2 y &lt; 11,5 se considera no concluyente y no puede utilizarse a efectos de clasificación. La reserva ácida/alcalina y el pH pueden determinarse por varios métodos, como los que se describen en la Directriz 122 de la OCDE y en Young y otros (1988), teniendo en cuenta que existen algunas diferencias entre ellos (véase 3.2.5.3.6). Una autoridad competente podrá decidir qué criterios pueden aplicarse para determinar si una reserva ácida/alcalina es significativa.</w:t>
      </w:r>
      <w:r w:rsidRPr="00FC4465">
        <w:rPr>
          <w:rFonts w:asciiTheme="majorBidi" w:hAnsiTheme="majorBidi" w:cstheme="majorBidi"/>
        </w:rPr>
        <w:t>”</w:t>
      </w:r>
      <w:r w:rsidR="00A72D17" w:rsidRPr="00FC4465">
        <w:rPr>
          <w:rFonts w:asciiTheme="majorBidi" w:hAnsiTheme="majorBidi" w:cstheme="majorBidi"/>
        </w:rPr>
        <w:t>.</w:t>
      </w:r>
    </w:p>
    <w:p w14:paraId="5931964F" w14:textId="77777777" w:rsidR="00A72D17" w:rsidRPr="00FC4465" w:rsidRDefault="00A72D17" w:rsidP="008645FC">
      <w:pPr>
        <w:pStyle w:val="SingleTxtG"/>
        <w:rPr>
          <w:rFonts w:asciiTheme="majorBidi" w:hAnsiTheme="majorBidi" w:cstheme="majorBidi"/>
        </w:rPr>
      </w:pPr>
      <w:r w:rsidRPr="00FC4465">
        <w:rPr>
          <w:rFonts w:asciiTheme="majorBidi" w:hAnsiTheme="majorBidi" w:cstheme="majorBidi"/>
        </w:rPr>
        <w:t>3.2.3.2.5</w:t>
      </w:r>
      <w:r w:rsidRPr="00FC4465">
        <w:rPr>
          <w:rFonts w:asciiTheme="majorBidi" w:hAnsiTheme="majorBidi" w:cstheme="majorBidi"/>
        </w:rPr>
        <w:tab/>
        <w:t>La modificación no se aplica al texto en español.</w:t>
      </w:r>
    </w:p>
    <w:p w14:paraId="5E604CBC" w14:textId="6BCA5D5A" w:rsidR="00A72D17" w:rsidRPr="00FC4465" w:rsidRDefault="00A72D17" w:rsidP="008645FC">
      <w:pPr>
        <w:pStyle w:val="SingleTxtG"/>
        <w:ind w:left="2268" w:hanging="1134"/>
        <w:rPr>
          <w:rFonts w:asciiTheme="majorBidi" w:hAnsiTheme="majorBidi" w:cstheme="majorBidi"/>
        </w:rPr>
      </w:pPr>
      <w:r w:rsidRPr="00FC4465">
        <w:rPr>
          <w:rFonts w:asciiTheme="majorBidi" w:hAnsiTheme="majorBidi" w:cstheme="majorBidi"/>
        </w:rPr>
        <w:t>3.2.3.2.7</w:t>
      </w:r>
      <w:r w:rsidRPr="00FC4465">
        <w:rPr>
          <w:rFonts w:asciiTheme="majorBidi" w:hAnsiTheme="majorBidi" w:cstheme="majorBidi"/>
        </w:rPr>
        <w:tab/>
        <w:t xml:space="preserve">Al principio de la oración, sustitúyase </w:t>
      </w:r>
      <w:r w:rsidR="008C5013" w:rsidRPr="00FC4465">
        <w:rPr>
          <w:rFonts w:asciiTheme="majorBidi" w:hAnsiTheme="majorBidi" w:cstheme="majorBidi"/>
        </w:rPr>
        <w:t>“</w:t>
      </w:r>
      <w:r w:rsidRPr="00FC4465">
        <w:rPr>
          <w:rFonts w:asciiTheme="majorBidi" w:hAnsiTheme="majorBidi" w:cstheme="majorBidi"/>
        </w:rPr>
        <w:t>Una mezcla en forma de aerosol</w:t>
      </w:r>
      <w:r w:rsidR="008C5013" w:rsidRPr="00FC4465">
        <w:rPr>
          <w:rFonts w:asciiTheme="majorBidi" w:hAnsiTheme="majorBidi" w:cstheme="majorBidi"/>
        </w:rPr>
        <w:t>”</w:t>
      </w:r>
      <w:r w:rsidRPr="00FC4465">
        <w:rPr>
          <w:rFonts w:asciiTheme="majorBidi" w:hAnsiTheme="majorBidi" w:cstheme="majorBidi"/>
        </w:rPr>
        <w:t xml:space="preserve"> por </w:t>
      </w:r>
      <w:r w:rsidR="008C5013" w:rsidRPr="00FC4465">
        <w:rPr>
          <w:rFonts w:asciiTheme="majorBidi" w:hAnsiTheme="majorBidi" w:cstheme="majorBidi"/>
        </w:rPr>
        <w:t>“</w:t>
      </w:r>
      <w:r w:rsidRPr="00FC4465">
        <w:rPr>
          <w:rFonts w:asciiTheme="majorBidi" w:hAnsiTheme="majorBidi" w:cstheme="majorBidi"/>
        </w:rPr>
        <w:t>Una mezcla aerosolizada</w:t>
      </w:r>
      <w:r w:rsidR="008C5013" w:rsidRPr="00FC4465">
        <w:rPr>
          <w:rFonts w:asciiTheme="majorBidi" w:hAnsiTheme="majorBidi" w:cstheme="majorBidi"/>
        </w:rPr>
        <w:t>”</w:t>
      </w:r>
      <w:r w:rsidRPr="00FC4465">
        <w:rPr>
          <w:rFonts w:asciiTheme="majorBidi" w:hAnsiTheme="majorBidi" w:cstheme="majorBidi"/>
        </w:rPr>
        <w:t>.</w:t>
      </w:r>
    </w:p>
    <w:p w14:paraId="2F6CA1B0" w14:textId="1521B5D7" w:rsidR="00A72D17" w:rsidRPr="00FC4465" w:rsidRDefault="00A72D17" w:rsidP="008645FC">
      <w:pPr>
        <w:pStyle w:val="SingleTxtG"/>
        <w:ind w:left="2268" w:hanging="1134"/>
        <w:rPr>
          <w:rFonts w:asciiTheme="majorBidi" w:hAnsiTheme="majorBidi" w:cstheme="majorBidi"/>
        </w:rPr>
      </w:pPr>
      <w:r w:rsidRPr="00FC4465">
        <w:rPr>
          <w:rFonts w:asciiTheme="majorBidi" w:hAnsiTheme="majorBidi" w:cstheme="majorBidi"/>
        </w:rPr>
        <w:t>3.2.3.3.1</w:t>
      </w:r>
      <w:r w:rsidRPr="00FC4465">
        <w:rPr>
          <w:rFonts w:asciiTheme="majorBidi" w:hAnsiTheme="majorBidi" w:cstheme="majorBidi"/>
        </w:rPr>
        <w:tab/>
        <w:t xml:space="preserve">Al final del primer párrafo, después de </w:t>
      </w:r>
      <w:r w:rsidR="008C5013" w:rsidRPr="00FC4465">
        <w:rPr>
          <w:rFonts w:asciiTheme="majorBidi" w:hAnsiTheme="majorBidi" w:cstheme="majorBidi"/>
        </w:rPr>
        <w:t>“</w:t>
      </w:r>
      <w:r w:rsidRPr="00FC4465">
        <w:rPr>
          <w:rFonts w:asciiTheme="majorBidi" w:hAnsiTheme="majorBidi" w:cstheme="majorBidi"/>
        </w:rPr>
        <w:t>procedimiento por etapas</w:t>
      </w:r>
      <w:r w:rsidR="008C5013" w:rsidRPr="00FC4465">
        <w:rPr>
          <w:rFonts w:asciiTheme="majorBidi" w:hAnsiTheme="majorBidi" w:cstheme="majorBidi"/>
        </w:rPr>
        <w:t>”</w:t>
      </w:r>
      <w:r w:rsidRPr="00FC4465">
        <w:rPr>
          <w:rFonts w:asciiTheme="majorBidi" w:hAnsiTheme="majorBidi" w:cstheme="majorBidi"/>
        </w:rPr>
        <w:t xml:space="preserve">, insértese </w:t>
      </w:r>
      <w:r w:rsidR="008C5013" w:rsidRPr="00FC4465">
        <w:rPr>
          <w:rFonts w:asciiTheme="majorBidi" w:hAnsiTheme="majorBidi" w:cstheme="majorBidi"/>
        </w:rPr>
        <w:t>“</w:t>
      </w:r>
      <w:r w:rsidRPr="00FC4465">
        <w:rPr>
          <w:rFonts w:asciiTheme="majorBidi" w:hAnsiTheme="majorBidi" w:cstheme="majorBidi"/>
        </w:rPr>
        <w:t>para las mezclas (véase 1.3.2.3)</w:t>
      </w:r>
      <w:r w:rsidR="008C5013" w:rsidRPr="00FC4465">
        <w:rPr>
          <w:rFonts w:asciiTheme="majorBidi" w:hAnsiTheme="majorBidi" w:cstheme="majorBidi"/>
        </w:rPr>
        <w:t>”</w:t>
      </w:r>
      <w:r w:rsidRPr="00FC4465">
        <w:rPr>
          <w:rFonts w:asciiTheme="majorBidi" w:hAnsiTheme="majorBidi" w:cstheme="majorBidi"/>
        </w:rPr>
        <w:t>.</w:t>
      </w:r>
    </w:p>
    <w:p w14:paraId="7583AB29" w14:textId="04290F75" w:rsidR="00A72D17" w:rsidRPr="00FC4465" w:rsidRDefault="00A72D17" w:rsidP="008645FC">
      <w:pPr>
        <w:pStyle w:val="SingleTxtG"/>
        <w:ind w:left="2268" w:hanging="1134"/>
        <w:rPr>
          <w:rFonts w:asciiTheme="majorBidi" w:hAnsiTheme="majorBidi" w:cstheme="majorBidi"/>
        </w:rPr>
      </w:pPr>
      <w:r w:rsidRPr="00FC4465">
        <w:rPr>
          <w:rFonts w:asciiTheme="majorBidi" w:hAnsiTheme="majorBidi" w:cstheme="majorBidi"/>
        </w:rPr>
        <w:t xml:space="preserve">3.2.3.3.4 </w:t>
      </w:r>
      <w:r w:rsidRPr="00FC4465">
        <w:rPr>
          <w:rFonts w:asciiTheme="majorBidi" w:hAnsiTheme="majorBidi" w:cstheme="majorBidi"/>
        </w:rPr>
        <w:tab/>
        <w:t xml:space="preserve">En la primera oración, sustitúyase </w:t>
      </w:r>
      <w:r w:rsidR="008C5013" w:rsidRPr="00FC4465">
        <w:rPr>
          <w:rFonts w:asciiTheme="majorBidi" w:hAnsiTheme="majorBidi" w:cstheme="majorBidi"/>
        </w:rPr>
        <w:t>“</w:t>
      </w:r>
      <w:r w:rsidRPr="00FC4465">
        <w:rPr>
          <w:rFonts w:asciiTheme="majorBidi" w:hAnsiTheme="majorBidi" w:cstheme="majorBidi"/>
        </w:rPr>
        <w:t>al clasificar ciertos tipos de productos químicos</w:t>
      </w:r>
      <w:r w:rsidR="008C5013" w:rsidRPr="00FC4465">
        <w:rPr>
          <w:rFonts w:asciiTheme="majorBidi" w:hAnsiTheme="majorBidi" w:cstheme="majorBidi"/>
        </w:rPr>
        <w:t>”</w:t>
      </w:r>
      <w:r w:rsidRPr="00FC4465">
        <w:rPr>
          <w:rFonts w:asciiTheme="majorBidi" w:hAnsiTheme="majorBidi" w:cstheme="majorBidi"/>
        </w:rPr>
        <w:t xml:space="preserve"> por </w:t>
      </w:r>
      <w:r w:rsidR="008C5013" w:rsidRPr="00FC4465">
        <w:rPr>
          <w:rFonts w:asciiTheme="majorBidi" w:hAnsiTheme="majorBidi" w:cstheme="majorBidi"/>
        </w:rPr>
        <w:t>“</w:t>
      </w:r>
      <w:r w:rsidRPr="00FC4465">
        <w:rPr>
          <w:rFonts w:asciiTheme="majorBidi" w:hAnsiTheme="majorBidi" w:cstheme="majorBidi"/>
        </w:rPr>
        <w:t>al clasificar mezclas que contengan ciertos tipos de sustancias</w:t>
      </w:r>
      <w:r w:rsidR="008C5013" w:rsidRPr="00FC4465">
        <w:rPr>
          <w:rFonts w:asciiTheme="majorBidi" w:hAnsiTheme="majorBidi" w:cstheme="majorBidi"/>
        </w:rPr>
        <w:t>”</w:t>
      </w:r>
      <w:r w:rsidRPr="00FC4465">
        <w:rPr>
          <w:rFonts w:asciiTheme="majorBidi" w:hAnsiTheme="majorBidi" w:cstheme="majorBidi"/>
        </w:rPr>
        <w:t>.</w:t>
      </w:r>
      <w:r w:rsidR="008C5013" w:rsidRPr="00FC4465">
        <w:rPr>
          <w:rFonts w:asciiTheme="majorBidi" w:hAnsiTheme="majorBidi" w:cstheme="majorBidi"/>
        </w:rPr>
        <w:t xml:space="preserve"> </w:t>
      </w:r>
    </w:p>
    <w:p w14:paraId="574A3602" w14:textId="6BFDD5F7" w:rsidR="00A72D17" w:rsidRPr="00FC4465" w:rsidRDefault="00A72D17" w:rsidP="008645FC">
      <w:pPr>
        <w:pStyle w:val="SingleTxtG"/>
        <w:ind w:left="2268" w:hanging="1134"/>
        <w:rPr>
          <w:rFonts w:asciiTheme="majorBidi" w:hAnsiTheme="majorBidi" w:cstheme="majorBidi"/>
        </w:rPr>
      </w:pPr>
      <w:r w:rsidRPr="00FC4465">
        <w:rPr>
          <w:rFonts w:asciiTheme="majorBidi" w:hAnsiTheme="majorBidi" w:cstheme="majorBidi"/>
        </w:rPr>
        <w:tab/>
      </w:r>
      <w:r w:rsidRPr="00FC4465">
        <w:rPr>
          <w:rFonts w:asciiTheme="majorBidi" w:hAnsiTheme="majorBidi" w:cstheme="majorBidi"/>
        </w:rPr>
        <w:tab/>
        <w:t xml:space="preserve">Modifíquese la parte central de la tercera oración para que diga: </w:t>
      </w:r>
      <w:r w:rsidR="008C5013" w:rsidRPr="00FC4465">
        <w:rPr>
          <w:rFonts w:asciiTheme="majorBidi" w:hAnsiTheme="majorBidi" w:cstheme="majorBidi"/>
        </w:rPr>
        <w:t>“</w:t>
      </w:r>
      <w:r w:rsidRPr="00FC4465">
        <w:rPr>
          <w:rFonts w:asciiTheme="majorBidi" w:hAnsiTheme="majorBidi" w:cstheme="majorBidi"/>
        </w:rPr>
        <w:t>[...] debería usarse el pH como criterio de clasificación (véase 3.2.3.1.3), ya que el pH extremo [...]</w:t>
      </w:r>
      <w:r w:rsidR="008C5013" w:rsidRPr="00FC4465">
        <w:rPr>
          <w:rFonts w:asciiTheme="majorBidi" w:hAnsiTheme="majorBidi" w:cstheme="majorBidi"/>
        </w:rPr>
        <w:t>”</w:t>
      </w:r>
      <w:r w:rsidRPr="00FC4465">
        <w:rPr>
          <w:rFonts w:asciiTheme="majorBidi" w:hAnsiTheme="majorBidi" w:cstheme="majorBidi"/>
        </w:rPr>
        <w:t>.</w:t>
      </w:r>
    </w:p>
    <w:p w14:paraId="5506DD24" w14:textId="77777777" w:rsidR="00A72D17" w:rsidRPr="00FC4465" w:rsidRDefault="00A72D17" w:rsidP="008645FC">
      <w:pPr>
        <w:pStyle w:val="SingleTxtG"/>
        <w:ind w:left="2268" w:hanging="1134"/>
        <w:rPr>
          <w:rFonts w:asciiTheme="majorBidi" w:hAnsiTheme="majorBidi" w:cstheme="majorBidi"/>
        </w:rPr>
      </w:pPr>
      <w:r w:rsidRPr="00FC4465">
        <w:rPr>
          <w:rFonts w:asciiTheme="majorBidi" w:hAnsiTheme="majorBidi" w:cstheme="majorBidi"/>
        </w:rPr>
        <w:t xml:space="preserve">3.2.3.3.5 </w:t>
      </w:r>
      <w:r w:rsidRPr="00FC4465">
        <w:rPr>
          <w:rFonts w:asciiTheme="majorBidi" w:hAnsiTheme="majorBidi" w:cstheme="majorBidi"/>
        </w:rPr>
        <w:tab/>
        <w:t>La modificación no se aplica al texto en español.</w:t>
      </w:r>
    </w:p>
    <w:p w14:paraId="035E95EF" w14:textId="2B0BB6C2" w:rsidR="00A72D17" w:rsidRPr="00FC4465" w:rsidRDefault="00A72D17" w:rsidP="008645FC">
      <w:pPr>
        <w:pStyle w:val="Bullet2G"/>
        <w:numPr>
          <w:ilvl w:val="0"/>
          <w:numId w:val="0"/>
        </w:numPr>
        <w:ind w:left="2268"/>
        <w:rPr>
          <w:rFonts w:asciiTheme="majorBidi" w:hAnsiTheme="majorBidi" w:cstheme="majorBidi"/>
        </w:rPr>
      </w:pPr>
      <w:r w:rsidRPr="00FC4465">
        <w:rPr>
          <w:rFonts w:asciiTheme="majorBidi" w:hAnsiTheme="majorBidi" w:cstheme="majorBidi"/>
        </w:rPr>
        <w:t xml:space="preserve">Suprímase </w:t>
      </w:r>
      <w:r w:rsidR="008C5013" w:rsidRPr="00FC4465">
        <w:rPr>
          <w:rFonts w:asciiTheme="majorBidi" w:hAnsiTheme="majorBidi" w:cstheme="majorBidi"/>
        </w:rPr>
        <w:t>“</w:t>
      </w:r>
      <w:r w:rsidRPr="00FC4465">
        <w:rPr>
          <w:rFonts w:asciiTheme="majorBidi" w:hAnsiTheme="majorBidi" w:cstheme="majorBidi"/>
        </w:rPr>
        <w:t>Clasificación de sustancias y mezclas peligrosas – Uso de valores de corte/límites de concentración</w:t>
      </w:r>
      <w:r w:rsidR="008C5013" w:rsidRPr="00FC4465">
        <w:rPr>
          <w:rFonts w:asciiTheme="majorBidi" w:hAnsiTheme="majorBidi" w:cstheme="majorBidi"/>
        </w:rPr>
        <w:t>”</w:t>
      </w:r>
      <w:r w:rsidRPr="00FC4465">
        <w:rPr>
          <w:rFonts w:asciiTheme="majorBidi" w:hAnsiTheme="majorBidi" w:cstheme="majorBidi"/>
        </w:rPr>
        <w:t xml:space="preserve"> dentro del paréntesis de la segunda oración y suprímanse los paréntesis de </w:t>
      </w:r>
      <w:r w:rsidR="008C5013" w:rsidRPr="00FC4465">
        <w:rPr>
          <w:rFonts w:asciiTheme="majorBidi" w:hAnsiTheme="majorBidi" w:cstheme="majorBidi"/>
        </w:rPr>
        <w:t>“</w:t>
      </w:r>
      <w:r w:rsidRPr="00FC4465">
        <w:rPr>
          <w:rFonts w:asciiTheme="majorBidi" w:hAnsiTheme="majorBidi" w:cstheme="majorBidi"/>
        </w:rPr>
        <w:t>(1.3.3.2)</w:t>
      </w:r>
      <w:r w:rsidR="008C5013" w:rsidRPr="00FC4465">
        <w:rPr>
          <w:rFonts w:asciiTheme="majorBidi" w:hAnsiTheme="majorBidi" w:cstheme="majorBidi"/>
        </w:rPr>
        <w:t>”</w:t>
      </w:r>
      <w:r w:rsidRPr="00FC4465">
        <w:rPr>
          <w:rFonts w:asciiTheme="majorBidi" w:hAnsiTheme="majorBidi" w:cstheme="majorBidi"/>
        </w:rPr>
        <w:t>.</w:t>
      </w:r>
    </w:p>
    <w:p w14:paraId="5EAA9BDC" w14:textId="0978309F" w:rsidR="00A72D17" w:rsidRPr="00FC4465" w:rsidRDefault="00A72D17" w:rsidP="008645FC">
      <w:pPr>
        <w:pStyle w:val="Bullet2G"/>
        <w:numPr>
          <w:ilvl w:val="0"/>
          <w:numId w:val="0"/>
        </w:numPr>
        <w:ind w:left="2268"/>
        <w:rPr>
          <w:rFonts w:asciiTheme="majorBidi" w:hAnsiTheme="majorBidi" w:cstheme="majorBidi"/>
        </w:rPr>
      </w:pPr>
      <w:r w:rsidRPr="00FC4465">
        <w:rPr>
          <w:rFonts w:asciiTheme="majorBidi" w:hAnsiTheme="majorBidi" w:cstheme="majorBidi"/>
        </w:rPr>
        <w:t>La modificación no se aplica al texto en español.</w:t>
      </w:r>
      <w:r w:rsidR="008C5013" w:rsidRPr="00FC4465">
        <w:rPr>
          <w:rFonts w:asciiTheme="majorBidi" w:hAnsiTheme="majorBidi" w:cstheme="majorBidi"/>
        </w:rPr>
        <w:t xml:space="preserve"> </w:t>
      </w:r>
    </w:p>
    <w:p w14:paraId="522A1CF0" w14:textId="1EEBC4ED" w:rsidR="00A72D17" w:rsidRPr="00FC4465" w:rsidRDefault="00A72D17" w:rsidP="008645FC">
      <w:pPr>
        <w:pStyle w:val="SingleTxtG"/>
        <w:ind w:left="2268" w:hanging="1134"/>
        <w:rPr>
          <w:rFonts w:asciiTheme="majorBidi" w:hAnsiTheme="majorBidi" w:cstheme="majorBidi"/>
        </w:rPr>
      </w:pPr>
      <w:r w:rsidRPr="00FC4465">
        <w:rPr>
          <w:rFonts w:asciiTheme="majorBidi" w:hAnsiTheme="majorBidi" w:cstheme="majorBidi"/>
        </w:rPr>
        <w:tab/>
      </w:r>
      <w:r w:rsidRPr="00FC4465">
        <w:rPr>
          <w:rFonts w:asciiTheme="majorBidi" w:hAnsiTheme="majorBidi" w:cstheme="majorBidi"/>
        </w:rPr>
        <w:tab/>
        <w:t>Suprímase la última oración del párrafo (</w:t>
      </w:r>
      <w:r w:rsidR="008C5013" w:rsidRPr="00FC4465">
        <w:rPr>
          <w:rFonts w:asciiTheme="majorBidi" w:hAnsiTheme="majorBidi" w:cstheme="majorBidi"/>
        </w:rPr>
        <w:t>“</w:t>
      </w:r>
      <w:r w:rsidRPr="00FC4465">
        <w:rPr>
          <w:rFonts w:asciiTheme="majorBidi" w:hAnsiTheme="majorBidi" w:cstheme="majorBidi"/>
        </w:rPr>
        <w:t>En esos casos [...] en la figura</w:t>
      </w:r>
      <w:r w:rsidR="008A7CA3">
        <w:rPr>
          <w:rFonts w:asciiTheme="majorBidi" w:hAnsiTheme="majorBidi" w:cstheme="majorBidi"/>
        </w:rPr>
        <w:t> </w:t>
      </w:r>
      <w:r w:rsidRPr="00FC4465">
        <w:rPr>
          <w:rFonts w:asciiTheme="majorBidi" w:hAnsiTheme="majorBidi" w:cstheme="majorBidi"/>
        </w:rPr>
        <w:t>3.2.1.</w:t>
      </w:r>
      <w:r w:rsidR="008C5013" w:rsidRPr="00FC4465">
        <w:rPr>
          <w:rFonts w:asciiTheme="majorBidi" w:hAnsiTheme="majorBidi" w:cstheme="majorBidi"/>
        </w:rPr>
        <w:t>”</w:t>
      </w:r>
      <w:r w:rsidRPr="00FC4465">
        <w:rPr>
          <w:rFonts w:asciiTheme="majorBidi" w:hAnsiTheme="majorBidi" w:cstheme="majorBidi"/>
        </w:rPr>
        <w:t>).</w:t>
      </w:r>
    </w:p>
    <w:p w14:paraId="34A5111C" w14:textId="16722394" w:rsidR="00A72D17" w:rsidRPr="00FC4465" w:rsidRDefault="00A72D17" w:rsidP="008645FC">
      <w:pPr>
        <w:pStyle w:val="SingleTxtG"/>
        <w:ind w:left="2268" w:hanging="1134"/>
        <w:rPr>
          <w:rFonts w:asciiTheme="majorBidi" w:hAnsiTheme="majorBidi" w:cstheme="majorBidi"/>
        </w:rPr>
      </w:pPr>
      <w:r w:rsidRPr="00FC4465">
        <w:rPr>
          <w:rFonts w:asciiTheme="majorBidi" w:hAnsiTheme="majorBidi" w:cstheme="majorBidi"/>
        </w:rPr>
        <w:t>3.2.4</w:t>
      </w:r>
      <w:r w:rsidRPr="00FC4465">
        <w:rPr>
          <w:rFonts w:asciiTheme="majorBidi" w:hAnsiTheme="majorBidi" w:cstheme="majorBidi"/>
        </w:rPr>
        <w:tab/>
      </w:r>
      <w:r w:rsidRPr="00FC4465">
        <w:rPr>
          <w:rFonts w:asciiTheme="majorBidi" w:hAnsiTheme="majorBidi" w:cstheme="majorBidi"/>
        </w:rPr>
        <w:tab/>
        <w:t xml:space="preserve">Modifíquese la última oración para que diga: </w:t>
      </w:r>
      <w:r w:rsidR="008C5013" w:rsidRPr="00FC4465">
        <w:rPr>
          <w:rFonts w:asciiTheme="majorBidi" w:hAnsiTheme="majorBidi" w:cstheme="majorBidi"/>
        </w:rPr>
        <w:t>“</w:t>
      </w:r>
      <w:r w:rsidRPr="00FC4465">
        <w:rPr>
          <w:rFonts w:asciiTheme="majorBidi" w:hAnsiTheme="majorBidi" w:cstheme="majorBidi"/>
        </w:rPr>
        <w:t>La tabla 3.2.5 presenta los elementos específicos que deben figurar en las etiquetas de las sustancias y mezclas clasificadas en esta clase de peligro con arreglo a los criterios indicados en el presente capítulo.</w:t>
      </w:r>
      <w:r w:rsidR="008C5013" w:rsidRPr="00FC4465">
        <w:rPr>
          <w:rFonts w:asciiTheme="majorBidi" w:hAnsiTheme="majorBidi" w:cstheme="majorBidi"/>
        </w:rPr>
        <w:t>”</w:t>
      </w:r>
      <w:r w:rsidRPr="00FC4465">
        <w:rPr>
          <w:rFonts w:asciiTheme="majorBidi" w:hAnsiTheme="majorBidi" w:cstheme="majorBidi"/>
        </w:rPr>
        <w:t>.</w:t>
      </w:r>
    </w:p>
    <w:p w14:paraId="3B8E248E" w14:textId="14D5C06D" w:rsidR="00A72D17" w:rsidRPr="00FC4465" w:rsidRDefault="00A72D17" w:rsidP="008645FC">
      <w:pPr>
        <w:pStyle w:val="SingleTxtG"/>
        <w:ind w:left="2268" w:hanging="1134"/>
        <w:rPr>
          <w:rFonts w:asciiTheme="majorBidi" w:hAnsiTheme="majorBidi" w:cstheme="majorBidi"/>
        </w:rPr>
      </w:pPr>
      <w:r w:rsidRPr="00FC4465">
        <w:rPr>
          <w:rFonts w:asciiTheme="majorBidi" w:hAnsiTheme="majorBidi" w:cstheme="majorBidi"/>
        </w:rPr>
        <w:t>3.2.5.1</w:t>
      </w:r>
      <w:r w:rsidRPr="00FC4465">
        <w:rPr>
          <w:rFonts w:asciiTheme="majorBidi" w:hAnsiTheme="majorBidi" w:cstheme="majorBidi"/>
        </w:rPr>
        <w:tab/>
      </w:r>
      <w:r w:rsidRPr="00FC4465">
        <w:rPr>
          <w:rFonts w:asciiTheme="majorBidi" w:hAnsiTheme="majorBidi" w:cstheme="majorBidi"/>
        </w:rPr>
        <w:tab/>
        <w:t xml:space="preserve">En el procedimiento de decisión 3.2.1, modifíquese la pregunta que empieza por </w:t>
      </w:r>
      <w:r w:rsidR="008C5013" w:rsidRPr="00FC4465">
        <w:rPr>
          <w:rFonts w:asciiTheme="majorBidi" w:hAnsiTheme="majorBidi" w:cstheme="majorBidi"/>
        </w:rPr>
        <w:t>“</w:t>
      </w:r>
      <w:r w:rsidRPr="00FC4465">
        <w:rPr>
          <w:rFonts w:asciiTheme="majorBidi" w:hAnsiTheme="majorBidi" w:cstheme="majorBidi"/>
        </w:rPr>
        <w:t xml:space="preserve">¿Es la </w:t>
      </w:r>
      <w:r w:rsidRPr="00FC4465">
        <w:rPr>
          <w:rFonts w:asciiTheme="majorBidi" w:hAnsiTheme="majorBidi" w:cstheme="majorBidi"/>
          <w:b/>
          <w:bCs/>
        </w:rPr>
        <w:t xml:space="preserve">sustancia o mezcla </w:t>
      </w:r>
      <w:r w:rsidRPr="00FC4465">
        <w:rPr>
          <w:rFonts w:asciiTheme="majorBidi" w:hAnsiTheme="majorBidi" w:cstheme="majorBidi"/>
        </w:rPr>
        <w:t>[…]</w:t>
      </w:r>
      <w:r w:rsidR="008C5013" w:rsidRPr="00FC4465">
        <w:rPr>
          <w:rFonts w:asciiTheme="majorBidi" w:hAnsiTheme="majorBidi" w:cstheme="majorBidi"/>
        </w:rPr>
        <w:t>”</w:t>
      </w:r>
      <w:r w:rsidRPr="00FC4465">
        <w:rPr>
          <w:rFonts w:asciiTheme="majorBidi" w:hAnsiTheme="majorBidi" w:cstheme="majorBidi"/>
        </w:rPr>
        <w:t xml:space="preserve"> para que diga:</w:t>
      </w:r>
    </w:p>
    <w:p w14:paraId="571D3D11" w14:textId="3A325F04" w:rsidR="00A72D17" w:rsidRPr="00FC4465" w:rsidRDefault="008C5013" w:rsidP="008645FC">
      <w:pPr>
        <w:pStyle w:val="SingleTxtG"/>
        <w:ind w:left="2268"/>
        <w:rPr>
          <w:rFonts w:asciiTheme="majorBidi" w:hAnsiTheme="majorBidi" w:cstheme="majorBidi"/>
        </w:rPr>
      </w:pPr>
      <w:r w:rsidRPr="00FC4465">
        <w:rPr>
          <w:rFonts w:asciiTheme="majorBidi" w:hAnsiTheme="majorBidi" w:cstheme="majorBidi"/>
        </w:rPr>
        <w:t>“</w:t>
      </w:r>
      <w:r w:rsidR="00A72D17" w:rsidRPr="00FC4465">
        <w:rPr>
          <w:rFonts w:asciiTheme="majorBidi" w:hAnsiTheme="majorBidi" w:cstheme="majorBidi"/>
        </w:rPr>
        <w:t xml:space="preserve">¿Es la </w:t>
      </w:r>
      <w:r w:rsidR="00A72D17" w:rsidRPr="00FC4465">
        <w:rPr>
          <w:rFonts w:asciiTheme="majorBidi" w:hAnsiTheme="majorBidi" w:cstheme="majorBidi"/>
          <w:b/>
          <w:bCs/>
        </w:rPr>
        <w:t xml:space="preserve">sustancia o mezcla corrosiva, irritante </w:t>
      </w:r>
      <w:r w:rsidR="00A72D17" w:rsidRPr="00FC4465">
        <w:rPr>
          <w:rFonts w:asciiTheme="majorBidi" w:hAnsiTheme="majorBidi" w:cstheme="majorBidi"/>
        </w:rPr>
        <w:t>o</w:t>
      </w:r>
      <w:r w:rsidR="00A72D17" w:rsidRPr="00FC4465">
        <w:rPr>
          <w:rFonts w:asciiTheme="majorBidi" w:hAnsiTheme="majorBidi" w:cstheme="majorBidi"/>
          <w:b/>
          <w:bCs/>
        </w:rPr>
        <w:t xml:space="preserve"> irritante débil</w:t>
      </w:r>
      <w:r w:rsidR="00A72D17" w:rsidRPr="00FC4465">
        <w:rPr>
          <w:rFonts w:asciiTheme="majorBidi" w:hAnsiTheme="majorBidi" w:cstheme="majorBidi"/>
        </w:rPr>
        <w:t xml:space="preserve"> (véanse</w:t>
      </w:r>
      <w:r w:rsidR="008A7CA3">
        <w:rPr>
          <w:rFonts w:asciiTheme="majorBidi" w:hAnsiTheme="majorBidi" w:cstheme="majorBidi"/>
        </w:rPr>
        <w:t> </w:t>
      </w:r>
      <w:r w:rsidR="00A72D17" w:rsidRPr="00FC4465">
        <w:rPr>
          <w:rFonts w:asciiTheme="majorBidi" w:hAnsiTheme="majorBidi" w:cstheme="majorBidi"/>
        </w:rPr>
        <w:t>3.2.2 y 3.2.3.1) con arreglo al procedimiento por etapas (véanse 3.2.2.8 y las figuras 3.2.1 y 3.2.2)?</w:t>
      </w:r>
      <w:r w:rsidRPr="00FC4465">
        <w:rPr>
          <w:rFonts w:asciiTheme="majorBidi" w:hAnsiTheme="majorBidi" w:cstheme="majorBidi"/>
        </w:rPr>
        <w:t>”</w:t>
      </w:r>
      <w:r w:rsidR="00A72D17" w:rsidRPr="00FC4465">
        <w:rPr>
          <w:rFonts w:asciiTheme="majorBidi" w:hAnsiTheme="majorBidi" w:cstheme="majorBidi"/>
        </w:rPr>
        <w:t>.</w:t>
      </w:r>
    </w:p>
    <w:p w14:paraId="17BC9B15" w14:textId="77777777" w:rsidR="00A72D17" w:rsidRPr="00FC4465" w:rsidRDefault="00A72D17" w:rsidP="008645FC">
      <w:pPr>
        <w:keepNext/>
        <w:keepLines/>
        <w:tabs>
          <w:tab w:val="left" w:pos="2268"/>
        </w:tabs>
        <w:spacing w:after="120"/>
        <w:ind w:left="1134"/>
        <w:rPr>
          <w:rFonts w:asciiTheme="majorBidi" w:hAnsiTheme="majorBidi" w:cstheme="majorBidi"/>
          <w:bCs/>
        </w:rPr>
      </w:pPr>
      <w:r w:rsidRPr="00FC4465">
        <w:rPr>
          <w:rFonts w:asciiTheme="majorBidi" w:hAnsiTheme="majorBidi" w:cstheme="majorBidi"/>
        </w:rPr>
        <w:lastRenderedPageBreak/>
        <w:t>3.2.5.2</w:t>
      </w:r>
      <w:r w:rsidRPr="00FC4465">
        <w:rPr>
          <w:rFonts w:asciiTheme="majorBidi" w:hAnsiTheme="majorBidi" w:cstheme="majorBidi"/>
        </w:rPr>
        <w:tab/>
        <w:t>Sustitúyase el procedimiento de decisión 3.2.2 por el siguiente:</w:t>
      </w:r>
    </w:p>
    <w:p w14:paraId="50BB6369" w14:textId="10835A3A" w:rsidR="00A72D17" w:rsidRPr="00FC4465" w:rsidRDefault="008C5013" w:rsidP="00A72D17">
      <w:pPr>
        <w:keepNext/>
        <w:keepLines/>
        <w:tabs>
          <w:tab w:val="left" w:pos="2268"/>
        </w:tabs>
        <w:spacing w:line="240" w:lineRule="auto"/>
        <w:ind w:left="1134"/>
        <w:rPr>
          <w:rFonts w:asciiTheme="majorBidi" w:hAnsiTheme="majorBidi" w:cstheme="majorBidi"/>
          <w:bCs/>
        </w:rPr>
      </w:pPr>
      <w:r w:rsidRPr="00FC4465">
        <w:rPr>
          <w:rFonts w:asciiTheme="majorBidi" w:hAnsiTheme="majorBidi" w:cstheme="majorBidi"/>
        </w:rPr>
        <w:t>“</w:t>
      </w:r>
    </w:p>
    <w:p w14:paraId="3FE19753" w14:textId="6E328D72" w:rsidR="00A72D17" w:rsidRPr="00FC4465" w:rsidRDefault="00DA05BF" w:rsidP="00A72D17">
      <w:pPr>
        <w:pStyle w:val="ListParagraph"/>
        <w:keepNext/>
        <w:keepLines/>
        <w:spacing w:line="240" w:lineRule="auto"/>
        <w:ind w:left="1542"/>
        <w:rPr>
          <w:rFonts w:asciiTheme="majorBidi" w:hAnsiTheme="majorBidi" w:cstheme="majorBidi"/>
          <w:lang w:val="es-ES"/>
        </w:rPr>
      </w:pPr>
      <w:r>
        <w:object w:dxaOrig="7680" w:dyaOrig="11416" w14:anchorId="3AD09009">
          <v:shape id="_x0000_i1027" type="#_x0000_t75" style="width:384pt;height:570.75pt" o:ole="">
            <v:imagedata r:id="rId12" o:title=""/>
          </v:shape>
          <o:OLEObject Type="Embed" ProgID="Visio.Drawing.15" ShapeID="_x0000_i1027" DrawAspect="Content" ObjectID="_1754120334" r:id="rId13"/>
        </w:object>
      </w:r>
    </w:p>
    <w:p w14:paraId="4C771F5F" w14:textId="4EB2684F" w:rsidR="00A72D17" w:rsidRPr="00FC4465" w:rsidRDefault="00865B04" w:rsidP="00A72D17">
      <w:pPr>
        <w:tabs>
          <w:tab w:val="left" w:pos="8505"/>
        </w:tabs>
        <w:spacing w:line="240" w:lineRule="auto"/>
        <w:ind w:left="1134" w:right="1134"/>
        <w:jc w:val="right"/>
        <w:rPr>
          <w:rFonts w:asciiTheme="majorBidi" w:hAnsiTheme="majorBidi" w:cstheme="majorBidi"/>
        </w:rPr>
      </w:pPr>
      <w:r w:rsidRPr="00FC4465">
        <w:rPr>
          <w:rFonts w:asciiTheme="majorBidi" w:hAnsiTheme="majorBidi" w:cstheme="majorBidi"/>
        </w:rPr>
        <w:t>”</w:t>
      </w:r>
      <w:r w:rsidR="00A72D17" w:rsidRPr="00FC4465">
        <w:rPr>
          <w:rFonts w:asciiTheme="majorBidi" w:hAnsiTheme="majorBidi" w:cstheme="majorBidi"/>
        </w:rPr>
        <w:t>.</w:t>
      </w:r>
    </w:p>
    <w:p w14:paraId="459BF777" w14:textId="7AF1C194" w:rsidR="00A72D17" w:rsidRPr="00FC4465" w:rsidRDefault="00A72D17" w:rsidP="008645FC">
      <w:pPr>
        <w:spacing w:after="120"/>
        <w:ind w:left="1134"/>
        <w:jc w:val="both"/>
        <w:rPr>
          <w:rFonts w:asciiTheme="majorBidi" w:hAnsiTheme="majorBidi" w:cstheme="majorBidi"/>
          <w:i/>
        </w:rPr>
      </w:pPr>
      <w:r w:rsidRPr="00FC4465">
        <w:rPr>
          <w:rFonts w:asciiTheme="majorBidi" w:hAnsiTheme="majorBidi" w:cstheme="majorBidi"/>
        </w:rPr>
        <w:t xml:space="preserve">En la nota 2, sustitúyase </w:t>
      </w:r>
      <w:r w:rsidR="008C5013" w:rsidRPr="00FC4465">
        <w:rPr>
          <w:rFonts w:asciiTheme="majorBidi" w:hAnsiTheme="majorBidi" w:cstheme="majorBidi"/>
        </w:rPr>
        <w:t>“</w:t>
      </w:r>
      <w:r w:rsidRPr="00FC4465">
        <w:rPr>
          <w:rFonts w:asciiTheme="majorBidi" w:hAnsiTheme="majorBidi" w:cstheme="majorBidi"/>
          <w:i/>
          <w:iCs/>
        </w:rPr>
        <w:t>véase 3.2.3.3.6</w:t>
      </w:r>
      <w:r w:rsidR="008C5013" w:rsidRPr="00FC4465">
        <w:rPr>
          <w:rFonts w:asciiTheme="majorBidi" w:hAnsiTheme="majorBidi" w:cstheme="majorBidi"/>
        </w:rPr>
        <w:t>”</w:t>
      </w:r>
      <w:r w:rsidRPr="00FC4465">
        <w:rPr>
          <w:rFonts w:asciiTheme="majorBidi" w:hAnsiTheme="majorBidi" w:cstheme="majorBidi"/>
        </w:rPr>
        <w:t xml:space="preserve"> por </w:t>
      </w:r>
      <w:r w:rsidR="008C5013" w:rsidRPr="00FC4465">
        <w:rPr>
          <w:rFonts w:asciiTheme="majorBidi" w:hAnsiTheme="majorBidi" w:cstheme="majorBidi"/>
        </w:rPr>
        <w:t>“</w:t>
      </w:r>
      <w:r w:rsidRPr="00FC4465">
        <w:rPr>
          <w:rFonts w:asciiTheme="majorBidi" w:hAnsiTheme="majorBidi" w:cstheme="majorBidi"/>
          <w:i/>
          <w:iCs/>
        </w:rPr>
        <w:t>véanse 3.2.3.3.5 y 3.2.3.3.6</w:t>
      </w:r>
      <w:r w:rsidR="008C5013" w:rsidRPr="00FC4465">
        <w:rPr>
          <w:rFonts w:asciiTheme="majorBidi" w:hAnsiTheme="majorBidi" w:cstheme="majorBidi"/>
        </w:rPr>
        <w:t>”</w:t>
      </w:r>
      <w:r w:rsidRPr="00FC4465">
        <w:rPr>
          <w:rFonts w:asciiTheme="majorBidi" w:hAnsiTheme="majorBidi" w:cstheme="majorBidi"/>
        </w:rPr>
        <w:t>.</w:t>
      </w:r>
    </w:p>
    <w:p w14:paraId="0B715DA3" w14:textId="4B3CE96F" w:rsidR="00A72D17" w:rsidRPr="00FC4465" w:rsidRDefault="00A72D17" w:rsidP="008645FC">
      <w:pPr>
        <w:pStyle w:val="SingleTxtG"/>
        <w:ind w:left="2268" w:hanging="1134"/>
        <w:rPr>
          <w:rFonts w:asciiTheme="majorBidi" w:hAnsiTheme="majorBidi" w:cstheme="majorBidi"/>
        </w:rPr>
      </w:pPr>
      <w:r w:rsidRPr="00FC4465">
        <w:rPr>
          <w:rFonts w:asciiTheme="majorBidi" w:hAnsiTheme="majorBidi" w:cstheme="majorBidi"/>
        </w:rPr>
        <w:t>3.2.5.3.1</w:t>
      </w:r>
      <w:r w:rsidRPr="00FC4465">
        <w:rPr>
          <w:rFonts w:asciiTheme="majorBidi" w:hAnsiTheme="majorBidi" w:cstheme="majorBidi"/>
        </w:rPr>
        <w:tab/>
        <w:t xml:space="preserve">Sustitúyase </w:t>
      </w:r>
      <w:r w:rsidR="008C5013" w:rsidRPr="00FC4465">
        <w:rPr>
          <w:rFonts w:asciiTheme="majorBidi" w:hAnsiTheme="majorBidi" w:cstheme="majorBidi"/>
        </w:rPr>
        <w:t>“</w:t>
      </w:r>
      <w:r w:rsidRPr="00FC4465">
        <w:rPr>
          <w:rFonts w:asciiTheme="majorBidi" w:hAnsiTheme="majorBidi" w:cstheme="majorBidi"/>
        </w:rPr>
        <w:t>del enfoque del peso de las pruebas</w:t>
      </w:r>
      <w:r w:rsidR="008C5013" w:rsidRPr="00FC4465">
        <w:rPr>
          <w:rFonts w:asciiTheme="majorBidi" w:hAnsiTheme="majorBidi" w:cstheme="majorBidi"/>
        </w:rPr>
        <w:t>”</w:t>
      </w:r>
      <w:r w:rsidRPr="00FC4465">
        <w:rPr>
          <w:rFonts w:asciiTheme="majorBidi" w:hAnsiTheme="majorBidi" w:cstheme="majorBidi"/>
        </w:rPr>
        <w:t xml:space="preserve"> por </w:t>
      </w:r>
      <w:r w:rsidR="008C5013" w:rsidRPr="00FC4465">
        <w:rPr>
          <w:rFonts w:asciiTheme="majorBidi" w:hAnsiTheme="majorBidi" w:cstheme="majorBidi"/>
        </w:rPr>
        <w:t>“</w:t>
      </w:r>
      <w:r w:rsidRPr="00FC4465">
        <w:rPr>
          <w:rFonts w:asciiTheme="majorBidi" w:hAnsiTheme="majorBidi" w:cstheme="majorBidi"/>
        </w:rPr>
        <w:t>de una evaluación del peso de las pruebas</w:t>
      </w:r>
      <w:r w:rsidR="008C5013" w:rsidRPr="00FC4465">
        <w:rPr>
          <w:rFonts w:asciiTheme="majorBidi" w:hAnsiTheme="majorBidi" w:cstheme="majorBidi"/>
        </w:rPr>
        <w:t>”</w:t>
      </w:r>
      <w:r w:rsidRPr="00FC4465">
        <w:rPr>
          <w:rFonts w:asciiTheme="majorBidi" w:hAnsiTheme="majorBidi" w:cstheme="majorBidi"/>
        </w:rPr>
        <w:t xml:space="preserve">. </w:t>
      </w:r>
    </w:p>
    <w:p w14:paraId="1721DBAF" w14:textId="1B219F32" w:rsidR="00A72D17" w:rsidRPr="00FC4465" w:rsidRDefault="00A72D17" w:rsidP="008645FC">
      <w:pPr>
        <w:pStyle w:val="SingleTxtG"/>
        <w:ind w:left="2268" w:hanging="1134"/>
        <w:rPr>
          <w:rFonts w:asciiTheme="majorBidi" w:hAnsiTheme="majorBidi" w:cstheme="majorBidi"/>
        </w:rPr>
      </w:pPr>
      <w:r w:rsidRPr="00FC4465">
        <w:rPr>
          <w:rFonts w:asciiTheme="majorBidi" w:hAnsiTheme="majorBidi" w:cstheme="majorBidi"/>
        </w:rPr>
        <w:t>3.2.5.3.4</w:t>
      </w:r>
      <w:r w:rsidRPr="00FC4465">
        <w:rPr>
          <w:rFonts w:asciiTheme="majorBidi" w:hAnsiTheme="majorBidi" w:cstheme="majorBidi"/>
        </w:rPr>
        <w:tab/>
        <w:t xml:space="preserve">En el encabezamiento, sustitúyase </w:t>
      </w:r>
      <w:r w:rsidR="008C5013" w:rsidRPr="00FC4465">
        <w:rPr>
          <w:rFonts w:asciiTheme="majorBidi" w:hAnsiTheme="majorBidi" w:cstheme="majorBidi"/>
          <w:i/>
        </w:rPr>
        <w:t>“</w:t>
      </w:r>
      <w:r w:rsidRPr="00FC4465">
        <w:rPr>
          <w:rFonts w:asciiTheme="majorBidi" w:hAnsiTheme="majorBidi" w:cstheme="majorBidi"/>
          <w:i/>
          <w:iCs/>
        </w:rPr>
        <w:t>in-vitro</w:t>
      </w:r>
      <w:r w:rsidR="008C5013" w:rsidRPr="00FC4465">
        <w:rPr>
          <w:rFonts w:asciiTheme="majorBidi" w:hAnsiTheme="majorBidi" w:cstheme="majorBidi"/>
          <w:i/>
        </w:rPr>
        <w:t>”</w:t>
      </w:r>
      <w:r w:rsidRPr="00FC4465">
        <w:rPr>
          <w:rFonts w:asciiTheme="majorBidi" w:hAnsiTheme="majorBidi" w:cstheme="majorBidi"/>
        </w:rPr>
        <w:t xml:space="preserve"> por </w:t>
      </w:r>
      <w:r w:rsidR="008C5013" w:rsidRPr="00FC4465">
        <w:rPr>
          <w:rFonts w:asciiTheme="majorBidi" w:hAnsiTheme="majorBidi" w:cstheme="majorBidi"/>
          <w:i/>
        </w:rPr>
        <w:t>“</w:t>
      </w:r>
      <w:r w:rsidR="00762E66">
        <w:rPr>
          <w:rFonts w:asciiTheme="majorBidi" w:hAnsiTheme="majorBidi" w:cstheme="majorBidi"/>
          <w:i/>
          <w:iCs/>
        </w:rPr>
        <w:t>in vitro</w:t>
      </w:r>
      <w:r w:rsidR="008C5013" w:rsidRPr="00FC4465">
        <w:rPr>
          <w:rFonts w:asciiTheme="majorBidi" w:hAnsiTheme="majorBidi" w:cstheme="majorBidi"/>
          <w:i/>
        </w:rPr>
        <w:t>”</w:t>
      </w:r>
      <w:r w:rsidRPr="00FC4465">
        <w:rPr>
          <w:rFonts w:asciiTheme="majorBidi" w:hAnsiTheme="majorBidi" w:cstheme="majorBidi"/>
        </w:rPr>
        <w:t xml:space="preserve">. </w:t>
      </w:r>
    </w:p>
    <w:p w14:paraId="08F57529" w14:textId="77777777" w:rsidR="00A72D17" w:rsidRPr="00FC4465" w:rsidRDefault="00A72D17" w:rsidP="008645FC">
      <w:pPr>
        <w:pStyle w:val="SingleTxtG"/>
        <w:rPr>
          <w:rFonts w:asciiTheme="majorBidi" w:hAnsiTheme="majorBidi" w:cstheme="majorBidi"/>
        </w:rPr>
      </w:pPr>
      <w:r w:rsidRPr="00FC4465">
        <w:rPr>
          <w:rFonts w:asciiTheme="majorBidi" w:hAnsiTheme="majorBidi" w:cstheme="majorBidi"/>
        </w:rPr>
        <w:t>3.2.5.3.5.2.6</w:t>
      </w:r>
      <w:r w:rsidRPr="00FC4465">
        <w:rPr>
          <w:rFonts w:asciiTheme="majorBidi" w:hAnsiTheme="majorBidi" w:cstheme="majorBidi"/>
        </w:rPr>
        <w:tab/>
        <w:t>La modificación no se aplica al texto en español.</w:t>
      </w:r>
    </w:p>
    <w:p w14:paraId="4B9C5C4B" w14:textId="77777777" w:rsidR="00A72D17" w:rsidRPr="00FC4465" w:rsidRDefault="00A72D17" w:rsidP="008645FC">
      <w:pPr>
        <w:pStyle w:val="SingleTxtG"/>
        <w:keepNext/>
        <w:keepLines/>
        <w:ind w:left="2268" w:hanging="1134"/>
        <w:rPr>
          <w:rFonts w:asciiTheme="majorBidi" w:hAnsiTheme="majorBidi" w:cstheme="majorBidi"/>
        </w:rPr>
      </w:pPr>
      <w:r w:rsidRPr="00FC4465">
        <w:rPr>
          <w:rFonts w:asciiTheme="majorBidi" w:hAnsiTheme="majorBidi" w:cstheme="majorBidi"/>
        </w:rPr>
        <w:lastRenderedPageBreak/>
        <w:t>3.2.5.3.6</w:t>
      </w:r>
      <w:r w:rsidRPr="00FC4465">
        <w:rPr>
          <w:rFonts w:asciiTheme="majorBidi" w:hAnsiTheme="majorBidi" w:cstheme="majorBidi"/>
        </w:rPr>
        <w:tab/>
        <w:t>Añádanse los nuevos párrafos siguientes:</w:t>
      </w:r>
    </w:p>
    <w:p w14:paraId="488D7E24" w14:textId="099F99FB" w:rsidR="00A72D17" w:rsidRPr="00FC4465" w:rsidRDefault="008C5013" w:rsidP="008645FC">
      <w:pPr>
        <w:pStyle w:val="SingleTxtG"/>
        <w:keepNext/>
        <w:keepLines/>
        <w:ind w:left="2268"/>
        <w:rPr>
          <w:rFonts w:asciiTheme="majorBidi" w:hAnsiTheme="majorBidi" w:cstheme="majorBidi"/>
          <w:i/>
          <w:iCs/>
        </w:rPr>
      </w:pPr>
      <w:r w:rsidRPr="00FC4465">
        <w:rPr>
          <w:rFonts w:asciiTheme="majorBidi" w:hAnsiTheme="majorBidi" w:cstheme="majorBidi"/>
        </w:rPr>
        <w:t>“</w:t>
      </w:r>
      <w:r w:rsidR="00A72D17" w:rsidRPr="00FC4465">
        <w:rPr>
          <w:rFonts w:asciiTheme="majorBidi" w:hAnsiTheme="majorBidi" w:cstheme="majorBidi"/>
        </w:rPr>
        <w:t>3.2.5.3.6</w:t>
      </w:r>
      <w:r w:rsidR="00A72D17" w:rsidRPr="00FC4465">
        <w:rPr>
          <w:rFonts w:asciiTheme="majorBidi" w:hAnsiTheme="majorBidi" w:cstheme="majorBidi"/>
        </w:rPr>
        <w:tab/>
      </w:r>
      <w:r w:rsidR="00A72D17" w:rsidRPr="00FC4465">
        <w:rPr>
          <w:rFonts w:asciiTheme="majorBidi" w:hAnsiTheme="majorBidi" w:cstheme="majorBidi"/>
          <w:i/>
          <w:iCs/>
        </w:rPr>
        <w:t>Indicaciones complementarias para el uso del pH y la reserva ácida/alcalina en la clasificación relativa a la corrosión o la irritación cutáneas</w:t>
      </w:r>
    </w:p>
    <w:p w14:paraId="772CFD32" w14:textId="2018248A" w:rsidR="00A72D17" w:rsidRPr="00FC4465" w:rsidRDefault="00A72D17" w:rsidP="008645FC">
      <w:pPr>
        <w:pStyle w:val="SingleTxtG"/>
        <w:keepNext/>
        <w:keepLines/>
        <w:ind w:left="2268"/>
        <w:rPr>
          <w:rFonts w:asciiTheme="majorBidi" w:hAnsiTheme="majorBidi" w:cstheme="majorBidi"/>
        </w:rPr>
      </w:pPr>
      <w:r w:rsidRPr="00FC4465">
        <w:rPr>
          <w:rFonts w:asciiTheme="majorBidi" w:hAnsiTheme="majorBidi" w:cstheme="majorBidi"/>
        </w:rPr>
        <w:t>3.2.5.3.6.1</w:t>
      </w:r>
      <w:r w:rsidRPr="00FC4465">
        <w:rPr>
          <w:rFonts w:asciiTheme="majorBidi" w:hAnsiTheme="majorBidi" w:cstheme="majorBidi"/>
        </w:rPr>
        <w:tab/>
        <w:t>Los métodos que permiten determinar el valor del pH, como la Directriz 122 de la OCDE y el método descrito por Young y otros (1988), difieren en cuanto a la concentración de la sustancia o mezcla para la que se determina el pH, que según el caso puede ser del 1</w:t>
      </w:r>
      <w:r w:rsidR="008C5013" w:rsidRPr="00FC4465">
        <w:rPr>
          <w:rFonts w:asciiTheme="majorBidi" w:hAnsiTheme="majorBidi" w:cstheme="majorBidi"/>
        </w:rPr>
        <w:t> %</w:t>
      </w:r>
      <w:r w:rsidRPr="00FC4465">
        <w:rPr>
          <w:rFonts w:asciiTheme="majorBidi" w:hAnsiTheme="majorBidi" w:cstheme="majorBidi"/>
        </w:rPr>
        <w:t>, el 10</w:t>
      </w:r>
      <w:r w:rsidR="008C5013" w:rsidRPr="00FC4465">
        <w:rPr>
          <w:rFonts w:asciiTheme="majorBidi" w:hAnsiTheme="majorBidi" w:cstheme="majorBidi"/>
        </w:rPr>
        <w:t> %</w:t>
      </w:r>
      <w:r w:rsidRPr="00FC4465">
        <w:rPr>
          <w:rFonts w:asciiTheme="majorBidi" w:hAnsiTheme="majorBidi" w:cstheme="majorBidi"/>
        </w:rPr>
        <w:t xml:space="preserve"> o el 100</w:t>
      </w:r>
      <w:r w:rsidR="008C5013" w:rsidRPr="00FC4465">
        <w:rPr>
          <w:rFonts w:asciiTheme="majorBidi" w:hAnsiTheme="majorBidi" w:cstheme="majorBidi"/>
        </w:rPr>
        <w:t> %</w:t>
      </w:r>
      <w:r w:rsidRPr="00FC4465">
        <w:rPr>
          <w:rFonts w:asciiTheme="majorBidi" w:hAnsiTheme="majorBidi" w:cstheme="majorBidi"/>
        </w:rPr>
        <w:t>. También difieren en la forma de determinar la reserva ácida/alcalina: en el caso de la Directriz 122 de la OCDE, se hace a un pH de hasta 7, tanto para los ácidos como para las bases, y en el caso de Young y otros</w:t>
      </w:r>
      <w:r w:rsidR="00DA05BF">
        <w:rPr>
          <w:rFonts w:asciiTheme="majorBidi" w:hAnsiTheme="majorBidi" w:cstheme="majorBidi"/>
        </w:rPr>
        <w:t xml:space="preserve"> (</w:t>
      </w:r>
      <w:r w:rsidRPr="00FC4465">
        <w:rPr>
          <w:rFonts w:asciiTheme="majorBidi" w:hAnsiTheme="majorBidi" w:cstheme="majorBidi"/>
        </w:rPr>
        <w:t>1988</w:t>
      </w:r>
      <w:r w:rsidR="00DA05BF">
        <w:rPr>
          <w:rFonts w:asciiTheme="majorBidi" w:hAnsiTheme="majorBidi" w:cstheme="majorBidi"/>
        </w:rPr>
        <w:t>)</w:t>
      </w:r>
      <w:r w:rsidRPr="00FC4465">
        <w:rPr>
          <w:rFonts w:asciiTheme="majorBidi" w:hAnsiTheme="majorBidi" w:cstheme="majorBidi"/>
        </w:rPr>
        <w:t>, a un pH de hasta 4 para los ácidos y de hasta 10 para las bases. Además, los dos métodos emplean unidades distintas para expresar la reserva ácida/alcalina.</w:t>
      </w:r>
    </w:p>
    <w:p w14:paraId="13FA6A5E" w14:textId="2D2D35EA" w:rsidR="00A72D17" w:rsidRPr="00FC4465" w:rsidRDefault="00A72D17" w:rsidP="008645FC">
      <w:pPr>
        <w:pStyle w:val="SingleTxtG"/>
        <w:ind w:left="2268"/>
        <w:rPr>
          <w:rFonts w:asciiTheme="majorBidi" w:hAnsiTheme="majorBidi" w:cstheme="majorBidi"/>
        </w:rPr>
      </w:pPr>
      <w:r w:rsidRPr="00FC4465">
        <w:rPr>
          <w:rFonts w:asciiTheme="majorBidi" w:hAnsiTheme="majorBidi" w:cstheme="majorBidi"/>
        </w:rPr>
        <w:t>3.2.5.3.6.2</w:t>
      </w:r>
      <w:r w:rsidRPr="00FC4465">
        <w:rPr>
          <w:rFonts w:asciiTheme="majorBidi" w:hAnsiTheme="majorBidi" w:cstheme="majorBidi"/>
        </w:rPr>
        <w:tab/>
        <w:t>Existen criterios para determinar qué sustancias y mezclas deben ser clasificadas en la categoría 1 por sus efectos en la piel sobre la base del pH y la reserva ácida/alcalina (Young y otros, 1988). Dichos criterios se fijaron utilizando una combinación de valores de pH y de reserva ácida/alcalina determinados en unas condiciones concretas (Young y otros, 1988), por lo que pueden no ser directamente aplicables cuando se utilizan otras concentraciones o métodos de ensayo para medir el pH y la reserva ácida/alcalina. Además, la calibración y validación de estos criterios se basó en un conjunto limitado de datos sobre los efectos en la piel, por lo que el valor predictivo de la combinación del pH y la reserva ácida/alcalina para la clasificación en la categoría 1 de efectos en la piel también es limitado, particularmente en el caso de las sustancias y mezclas con un pH extremo pero que presentan una reserva ácida/alcalina no significativa. Los criterios establecidos por Young y otros</w:t>
      </w:r>
      <w:r w:rsidR="008A7CA3">
        <w:rPr>
          <w:rFonts w:asciiTheme="majorBidi" w:hAnsiTheme="majorBidi" w:cstheme="majorBidi"/>
        </w:rPr>
        <w:t> </w:t>
      </w:r>
      <w:r w:rsidRPr="00FC4465">
        <w:rPr>
          <w:rFonts w:asciiTheme="majorBidi" w:hAnsiTheme="majorBidi" w:cstheme="majorBidi"/>
        </w:rPr>
        <w:t>(1988) para la clasificación en la categoría 1 pueden utilizarse como punto de partida para determinar si una sustancia o una mezcla tiene una reserva ácida/alcalina significativa o no significativa. Una autoridad competente podrá decidir qué criterios pueden aplicarse para determinar si una reserva ácida/alcalina es significativa.</w:t>
      </w:r>
    </w:p>
    <w:p w14:paraId="08CF4DBA" w14:textId="77777777" w:rsidR="00A72D17" w:rsidRPr="00FC4465" w:rsidRDefault="00A72D17" w:rsidP="008645FC">
      <w:pPr>
        <w:pStyle w:val="SingleTxtG"/>
        <w:ind w:left="2268"/>
        <w:jc w:val="left"/>
        <w:rPr>
          <w:rFonts w:asciiTheme="majorBidi" w:hAnsiTheme="majorBidi" w:cstheme="majorBidi"/>
        </w:rPr>
      </w:pPr>
      <w:r w:rsidRPr="00FC4465">
        <w:rPr>
          <w:rFonts w:asciiTheme="majorBidi" w:hAnsiTheme="majorBidi" w:cstheme="majorBidi"/>
        </w:rPr>
        <w:t>______________</w:t>
      </w:r>
    </w:p>
    <w:p w14:paraId="13E5872E" w14:textId="77777777" w:rsidR="00A72D17" w:rsidRPr="00FC4465" w:rsidRDefault="00A72D17" w:rsidP="008645FC">
      <w:pPr>
        <w:pStyle w:val="GHSHeading3"/>
        <w:keepNext w:val="0"/>
        <w:tabs>
          <w:tab w:val="clear" w:pos="1418"/>
        </w:tabs>
        <w:spacing w:after="120" w:line="240" w:lineRule="atLeast"/>
        <w:ind w:left="2268"/>
        <w:rPr>
          <w:rFonts w:asciiTheme="majorBidi" w:hAnsiTheme="majorBidi" w:cstheme="majorBidi"/>
          <w:b w:val="0"/>
          <w:bCs w:val="0"/>
          <w:i/>
          <w:color w:val="auto"/>
          <w:sz w:val="20"/>
          <w:szCs w:val="20"/>
          <w:lang w:val="es-ES"/>
        </w:rPr>
      </w:pPr>
      <w:r w:rsidRPr="00FC4465">
        <w:rPr>
          <w:rFonts w:asciiTheme="majorBidi" w:hAnsiTheme="majorBidi" w:cstheme="majorBidi"/>
          <w:b w:val="0"/>
          <w:bCs w:val="0"/>
          <w:lang w:val="es-ES"/>
        </w:rPr>
        <w:t>*</w:t>
      </w:r>
      <w:r w:rsidRPr="00FC4465">
        <w:rPr>
          <w:rFonts w:asciiTheme="majorBidi" w:hAnsiTheme="majorBidi" w:cstheme="majorBidi"/>
          <w:b w:val="0"/>
          <w:bCs w:val="0"/>
          <w:lang w:val="es-ES"/>
        </w:rPr>
        <w:tab/>
      </w:r>
      <w:r w:rsidRPr="00FC4465">
        <w:rPr>
          <w:rFonts w:asciiTheme="majorBidi" w:hAnsiTheme="majorBidi" w:cstheme="majorBidi"/>
          <w:b w:val="0"/>
          <w:bCs w:val="0"/>
          <w:i/>
          <w:iCs/>
          <w:lang w:val="es-ES"/>
        </w:rPr>
        <w:t>Referencias:</w:t>
      </w:r>
    </w:p>
    <w:p w14:paraId="677FA26F" w14:textId="32619F8D" w:rsidR="00A72D17" w:rsidRPr="00FC4465" w:rsidRDefault="00A72D17" w:rsidP="008645FC">
      <w:pPr>
        <w:pStyle w:val="SingleTxtG"/>
        <w:ind w:left="2268"/>
        <w:rPr>
          <w:rFonts w:asciiTheme="majorBidi" w:hAnsiTheme="majorBidi" w:cstheme="majorBidi"/>
        </w:rPr>
      </w:pPr>
      <w:r w:rsidRPr="00FC4465">
        <w:rPr>
          <w:rFonts w:asciiTheme="majorBidi" w:hAnsiTheme="majorBidi" w:cstheme="majorBidi"/>
        </w:rPr>
        <w:t>Young, J.</w:t>
      </w:r>
      <w:r w:rsidR="00156746" w:rsidRPr="00FC4465">
        <w:rPr>
          <w:rFonts w:asciiTheme="majorBidi" w:hAnsiTheme="majorBidi" w:cstheme="majorBidi"/>
        </w:rPr>
        <w:t xml:space="preserve"> </w:t>
      </w:r>
      <w:r w:rsidRPr="00FC4465">
        <w:rPr>
          <w:rFonts w:asciiTheme="majorBidi" w:hAnsiTheme="majorBidi" w:cstheme="majorBidi"/>
        </w:rPr>
        <w:t>R., M.</w:t>
      </w:r>
      <w:r w:rsidR="00156746" w:rsidRPr="00FC4465">
        <w:rPr>
          <w:rFonts w:asciiTheme="majorBidi" w:hAnsiTheme="majorBidi" w:cstheme="majorBidi"/>
        </w:rPr>
        <w:t xml:space="preserve"> </w:t>
      </w:r>
      <w:r w:rsidRPr="00FC4465">
        <w:rPr>
          <w:rFonts w:asciiTheme="majorBidi" w:hAnsiTheme="majorBidi" w:cstheme="majorBidi"/>
        </w:rPr>
        <w:t>J. How, A.</w:t>
      </w:r>
      <w:r w:rsidR="00156746" w:rsidRPr="00FC4465">
        <w:rPr>
          <w:rFonts w:asciiTheme="majorBidi" w:hAnsiTheme="majorBidi" w:cstheme="majorBidi"/>
        </w:rPr>
        <w:t xml:space="preserve"> </w:t>
      </w:r>
      <w:r w:rsidRPr="00FC4465">
        <w:rPr>
          <w:rFonts w:asciiTheme="majorBidi" w:hAnsiTheme="majorBidi" w:cstheme="majorBidi"/>
        </w:rPr>
        <w:t>P. Walker y W.</w:t>
      </w:r>
      <w:r w:rsidR="00156746" w:rsidRPr="00FC4465">
        <w:rPr>
          <w:rFonts w:asciiTheme="majorBidi" w:hAnsiTheme="majorBidi" w:cstheme="majorBidi"/>
        </w:rPr>
        <w:t xml:space="preserve"> </w:t>
      </w:r>
      <w:r w:rsidRPr="00FC4465">
        <w:rPr>
          <w:rFonts w:asciiTheme="majorBidi" w:hAnsiTheme="majorBidi" w:cstheme="majorBidi"/>
        </w:rPr>
        <w:t xml:space="preserve">M. Worth. </w:t>
      </w:r>
      <w:r w:rsidRPr="00FC4465">
        <w:rPr>
          <w:rFonts w:asciiTheme="majorBidi" w:hAnsiTheme="majorBidi" w:cstheme="majorBidi"/>
          <w:i/>
          <w:iCs/>
        </w:rPr>
        <w:t>1988.</w:t>
      </w:r>
      <w:r w:rsidRPr="00FC4465">
        <w:rPr>
          <w:rFonts w:asciiTheme="majorBidi" w:hAnsiTheme="majorBidi" w:cstheme="majorBidi"/>
        </w:rPr>
        <w:t xml:space="preserve"> Classification as corrosive or irritant to skin of preparations containing acidic or alkaline substances, without testing on animals. Toxicol. </w:t>
      </w:r>
      <w:r w:rsidR="00762E66">
        <w:rPr>
          <w:rFonts w:asciiTheme="majorBidi" w:hAnsiTheme="majorBidi" w:cstheme="majorBidi"/>
        </w:rPr>
        <w:t>In vitro</w:t>
      </w:r>
      <w:r w:rsidRPr="00FC4465">
        <w:rPr>
          <w:rFonts w:asciiTheme="majorBidi" w:hAnsiTheme="majorBidi" w:cstheme="majorBidi"/>
        </w:rPr>
        <w:t>, 2(1): 19-26. Doi: 10.1016/0887-2333(88)90032-x.</w:t>
      </w:r>
      <w:r w:rsidR="008C5013" w:rsidRPr="00FC4465">
        <w:rPr>
          <w:rFonts w:asciiTheme="majorBidi" w:hAnsiTheme="majorBidi" w:cstheme="majorBidi"/>
        </w:rPr>
        <w:t>”</w:t>
      </w:r>
      <w:r w:rsidRPr="00FC4465">
        <w:rPr>
          <w:rFonts w:asciiTheme="majorBidi" w:hAnsiTheme="majorBidi" w:cstheme="majorBidi"/>
        </w:rPr>
        <w:t>.</w:t>
      </w:r>
    </w:p>
    <w:p w14:paraId="26877B68" w14:textId="77777777" w:rsidR="00A72D17" w:rsidRPr="00FC4465" w:rsidRDefault="00A72D17" w:rsidP="008645FC">
      <w:pPr>
        <w:pStyle w:val="H1G"/>
      </w:pPr>
      <w:r w:rsidRPr="00FC4465">
        <w:tab/>
      </w:r>
      <w:r w:rsidRPr="00FC4465">
        <w:tab/>
        <w:t>Capítulo 3.3</w:t>
      </w:r>
    </w:p>
    <w:p w14:paraId="3695FAA8" w14:textId="77777777" w:rsidR="00A72D17" w:rsidRPr="00FC4465" w:rsidRDefault="00A72D17" w:rsidP="00A72D17">
      <w:pPr>
        <w:pStyle w:val="SingleTxtG"/>
        <w:rPr>
          <w:rFonts w:asciiTheme="majorBidi" w:hAnsiTheme="majorBidi" w:cstheme="majorBidi"/>
        </w:rPr>
      </w:pPr>
      <w:r w:rsidRPr="00FC4465">
        <w:rPr>
          <w:rFonts w:asciiTheme="majorBidi" w:hAnsiTheme="majorBidi" w:cstheme="majorBidi"/>
        </w:rPr>
        <w:t>3.3.1.2</w:t>
      </w:r>
      <w:r w:rsidRPr="00FC4465">
        <w:rPr>
          <w:rFonts w:asciiTheme="majorBidi" w:hAnsiTheme="majorBidi" w:cstheme="majorBidi"/>
        </w:rPr>
        <w:tab/>
      </w:r>
      <w:r w:rsidRPr="00FC4465">
        <w:rPr>
          <w:rFonts w:asciiTheme="majorBidi" w:hAnsiTheme="majorBidi" w:cstheme="majorBidi"/>
        </w:rPr>
        <w:tab/>
        <w:t>Sustitúyase por:</w:t>
      </w:r>
    </w:p>
    <w:p w14:paraId="32BDC983" w14:textId="7C2D52C9" w:rsidR="00A72D17" w:rsidRPr="00FC4465" w:rsidRDefault="008C5013" w:rsidP="00A72D17">
      <w:pPr>
        <w:pStyle w:val="SingleTxtG"/>
        <w:ind w:left="2268"/>
        <w:rPr>
          <w:rFonts w:asciiTheme="majorBidi" w:hAnsiTheme="majorBidi" w:cstheme="majorBidi"/>
        </w:rPr>
      </w:pPr>
      <w:r w:rsidRPr="00FC4465">
        <w:rPr>
          <w:rFonts w:asciiTheme="majorBidi" w:hAnsiTheme="majorBidi" w:cstheme="majorBidi"/>
        </w:rPr>
        <w:t>“</w:t>
      </w:r>
      <w:r w:rsidR="00A72D17" w:rsidRPr="00FC4465">
        <w:rPr>
          <w:rFonts w:asciiTheme="majorBidi" w:hAnsiTheme="majorBidi" w:cstheme="majorBidi"/>
        </w:rPr>
        <w:t>3.3.1.2</w:t>
      </w:r>
      <w:r w:rsidR="00A72D17" w:rsidRPr="00FC4465">
        <w:rPr>
          <w:rFonts w:asciiTheme="majorBidi" w:hAnsiTheme="majorBidi" w:cstheme="majorBidi"/>
        </w:rPr>
        <w:tab/>
        <w:t>Para los fines de la clasificación, se reúne toda la información disponible y pertinente relativa a lesiones oculares graves/irritación ocular y se evalúa su calidad teniendo en cuenta su idoneidad y fiabilidad. La clasificación debería basarse en datos o resultados aceptables para todas las partes, obtenidos mediante métodos o enfoques definidos que se hayan validado</w:t>
      </w:r>
      <w:r w:rsidR="00A72D17" w:rsidRPr="00FC4465">
        <w:rPr>
          <w:rFonts w:asciiTheme="majorBidi" w:hAnsiTheme="majorBidi" w:cstheme="majorBidi"/>
          <w:vertAlign w:val="superscript"/>
        </w:rPr>
        <w:t>1</w:t>
      </w:r>
      <w:r w:rsidR="00A72D17" w:rsidRPr="00FC4465">
        <w:rPr>
          <w:rFonts w:asciiTheme="majorBidi" w:hAnsiTheme="majorBidi" w:cstheme="majorBidi"/>
        </w:rPr>
        <w:t xml:space="preserve"> con arreglo a procedimientos internacionales, como las directrices de la OCDE o métodos y enfoques definidos equivalentes (véase 1.3.2.4.3). En las secciones</w:t>
      </w:r>
      <w:r w:rsidR="008A7CA3">
        <w:rPr>
          <w:rFonts w:asciiTheme="majorBidi" w:hAnsiTheme="majorBidi" w:cstheme="majorBidi"/>
        </w:rPr>
        <w:t> </w:t>
      </w:r>
      <w:r w:rsidR="00A72D17" w:rsidRPr="00FC4465">
        <w:rPr>
          <w:rFonts w:asciiTheme="majorBidi" w:hAnsiTheme="majorBidi" w:cstheme="majorBidi"/>
        </w:rPr>
        <w:t>3.3.2.1 a 3.3.2.8 se describen los criterios de clasificación para los diferentes tipos de información que pueden estar disponibles.</w:t>
      </w:r>
      <w:r w:rsidRPr="00FC4465">
        <w:rPr>
          <w:rFonts w:asciiTheme="majorBidi" w:hAnsiTheme="majorBidi" w:cstheme="majorBidi"/>
        </w:rPr>
        <w:t>”</w:t>
      </w:r>
      <w:r w:rsidR="00A72D17" w:rsidRPr="00FC4465">
        <w:rPr>
          <w:rFonts w:asciiTheme="majorBidi" w:hAnsiTheme="majorBidi" w:cstheme="majorBidi"/>
        </w:rPr>
        <w:t>.</w:t>
      </w:r>
    </w:p>
    <w:p w14:paraId="35E86F32" w14:textId="77777777" w:rsidR="00A72D17" w:rsidRPr="00FC4465" w:rsidRDefault="00A72D17" w:rsidP="00A72D17">
      <w:pPr>
        <w:pStyle w:val="SingleTxtG"/>
        <w:ind w:left="2268"/>
        <w:rPr>
          <w:rFonts w:asciiTheme="majorBidi" w:hAnsiTheme="majorBidi" w:cstheme="majorBidi"/>
        </w:rPr>
      </w:pPr>
      <w:r w:rsidRPr="00FC4465">
        <w:rPr>
          <w:rFonts w:asciiTheme="majorBidi" w:hAnsiTheme="majorBidi" w:cstheme="majorBidi"/>
        </w:rPr>
        <w:t xml:space="preserve">Añádase una nueva nota a pie de página 1 que diga: </w:t>
      </w:r>
    </w:p>
    <w:p w14:paraId="30FEAB61" w14:textId="6154B74D" w:rsidR="00A72D17" w:rsidRPr="008645FC" w:rsidRDefault="008C5013" w:rsidP="00A72D17">
      <w:pPr>
        <w:pStyle w:val="SingleTxtG"/>
        <w:ind w:left="2268"/>
        <w:rPr>
          <w:rFonts w:asciiTheme="majorBidi" w:hAnsiTheme="majorBidi" w:cstheme="majorBidi"/>
          <w:i/>
          <w:iCs/>
          <w:sz w:val="18"/>
          <w:szCs w:val="18"/>
        </w:rPr>
      </w:pPr>
      <w:r w:rsidRPr="008645FC">
        <w:rPr>
          <w:rFonts w:asciiTheme="majorBidi" w:hAnsiTheme="majorBidi" w:cstheme="majorBidi"/>
          <w:iCs/>
          <w:sz w:val="18"/>
          <w:szCs w:val="18"/>
        </w:rPr>
        <w:t>“</w:t>
      </w:r>
      <w:r w:rsidR="00A72D17" w:rsidRPr="008645FC">
        <w:rPr>
          <w:rFonts w:asciiTheme="majorBidi" w:hAnsiTheme="majorBidi" w:cstheme="majorBidi"/>
          <w:sz w:val="18"/>
          <w:szCs w:val="18"/>
          <w:vertAlign w:val="superscript"/>
        </w:rPr>
        <w:t>1</w:t>
      </w:r>
      <w:r w:rsidR="00A72D17" w:rsidRPr="008645FC">
        <w:rPr>
          <w:rFonts w:asciiTheme="majorBidi" w:hAnsiTheme="majorBidi" w:cstheme="majorBidi"/>
          <w:sz w:val="18"/>
          <w:szCs w:val="18"/>
        </w:rPr>
        <w:tab/>
      </w:r>
      <w:r w:rsidR="00A72D17" w:rsidRPr="008645FC">
        <w:rPr>
          <w:rFonts w:asciiTheme="majorBidi" w:hAnsiTheme="majorBidi" w:cstheme="majorBidi"/>
          <w:i/>
          <w:iCs/>
          <w:sz w:val="18"/>
          <w:szCs w:val="18"/>
        </w:rPr>
        <w:t xml:space="preserve">Según figura en el documento de orientación 255 de la OCDE sobre la notificación de enfoques definidos que pueden aplicarse en el marco de los enfoques integrados de ensayo y evaluación, un enfoque definido de ensayo y evaluación consiste </w:t>
      </w:r>
      <w:r w:rsidR="00A72D17" w:rsidRPr="008645FC">
        <w:rPr>
          <w:rFonts w:asciiTheme="majorBidi" w:hAnsiTheme="majorBidi" w:cstheme="majorBidi"/>
          <w:i/>
          <w:iCs/>
          <w:sz w:val="18"/>
          <w:szCs w:val="18"/>
        </w:rPr>
        <w:lastRenderedPageBreak/>
        <w:t>en un procedimiento determinado de interpretación de datos que se aplica a los datos generados a partir de un conjunto definido de fuentes de información para obtener un resultado que pueda utilizarse por sí solo o junto con otras fuentes de información en el marco de una evaluación del peso total de las pruebas con el objeto de responder a una necesidad concreta en materia de reglamentación.</w:t>
      </w:r>
      <w:r w:rsidRPr="008645FC">
        <w:rPr>
          <w:rFonts w:asciiTheme="majorBidi" w:hAnsiTheme="majorBidi" w:cstheme="majorBidi"/>
          <w:iCs/>
          <w:sz w:val="18"/>
          <w:szCs w:val="18"/>
        </w:rPr>
        <w:t>”</w:t>
      </w:r>
      <w:r w:rsidR="00A72D17" w:rsidRPr="008645FC">
        <w:rPr>
          <w:rFonts w:asciiTheme="majorBidi" w:hAnsiTheme="majorBidi" w:cstheme="majorBidi"/>
          <w:iCs/>
          <w:sz w:val="18"/>
          <w:szCs w:val="18"/>
        </w:rPr>
        <w:t>.</w:t>
      </w:r>
    </w:p>
    <w:p w14:paraId="35017664" w14:textId="77777777" w:rsidR="00A72D17" w:rsidRPr="008645FC" w:rsidRDefault="00A72D17" w:rsidP="008645FC">
      <w:pPr>
        <w:pStyle w:val="SingleTxtG"/>
        <w:rPr>
          <w:rFonts w:asciiTheme="majorBidi" w:hAnsiTheme="majorBidi" w:cstheme="majorBidi"/>
        </w:rPr>
      </w:pPr>
      <w:r w:rsidRPr="008645FC">
        <w:rPr>
          <w:rFonts w:asciiTheme="majorBidi" w:hAnsiTheme="majorBidi" w:cstheme="majorBidi"/>
        </w:rPr>
        <w:t>3.3.1.3 y 3.3.1.4</w:t>
      </w:r>
      <w:r w:rsidRPr="008645FC">
        <w:rPr>
          <w:rFonts w:asciiTheme="majorBidi" w:hAnsiTheme="majorBidi" w:cstheme="majorBidi"/>
        </w:rPr>
        <w:tab/>
        <w:t>Añádanse los dos nuevos párrafos siguientes:</w:t>
      </w:r>
    </w:p>
    <w:p w14:paraId="14279F1E" w14:textId="01EF3340" w:rsidR="00A72D17" w:rsidRPr="008645FC" w:rsidRDefault="008C5013" w:rsidP="008645FC">
      <w:pPr>
        <w:pStyle w:val="SingleTxtG"/>
        <w:ind w:left="2268"/>
        <w:rPr>
          <w:rFonts w:asciiTheme="majorBidi" w:hAnsiTheme="majorBidi" w:cstheme="majorBidi"/>
        </w:rPr>
      </w:pPr>
      <w:bookmarkStart w:id="1" w:name="_Hlk69397739"/>
      <w:r w:rsidRPr="008645FC">
        <w:rPr>
          <w:rFonts w:asciiTheme="majorBidi" w:hAnsiTheme="majorBidi" w:cstheme="majorBidi"/>
        </w:rPr>
        <w:t>“</w:t>
      </w:r>
      <w:r w:rsidR="00A72D17" w:rsidRPr="008645FC">
        <w:rPr>
          <w:rFonts w:asciiTheme="majorBidi" w:hAnsiTheme="majorBidi" w:cstheme="majorBidi"/>
        </w:rPr>
        <w:t>3.3.1.3</w:t>
      </w:r>
      <w:r w:rsidR="00A72D17" w:rsidRPr="008645FC">
        <w:rPr>
          <w:rFonts w:asciiTheme="majorBidi" w:hAnsiTheme="majorBidi" w:cstheme="majorBidi"/>
        </w:rPr>
        <w:tab/>
        <w:t>En el enfoque por etapas (véase 3.3.2.10), la información disponible se organiza en niveles o etapas y la adopción de decisiones se efectúa de manera estructurada y secuencial. Cuando la información satisface todos los criterios, este procedimiento genera directamente la clasificación. En cambio, cuando la información disponible da resultados incoherentes y/o contradictorios dentro de una etapa, la clasificación de la sustancia o la mezcla debe realizarse teniendo en cuenta el peso de las pruebas en esa etapa. En algunos casos en que hay incoherencias y/o resultados contradictorios entre la información de las distintas etapas (véase 3.3.2.10.3), o en que los datos por sí solos no son suficientes para llegar a una conclusión con respecto a la clasificación, se recurre a la evaluación del peso total de las pruebas (véanse</w:t>
      </w:r>
      <w:r w:rsidR="008A7CA3">
        <w:rPr>
          <w:rFonts w:asciiTheme="majorBidi" w:hAnsiTheme="majorBidi" w:cstheme="majorBidi"/>
        </w:rPr>
        <w:t> </w:t>
      </w:r>
      <w:r w:rsidR="00A72D17" w:rsidRPr="008645FC">
        <w:rPr>
          <w:rFonts w:asciiTheme="majorBidi" w:hAnsiTheme="majorBidi" w:cstheme="majorBidi"/>
        </w:rPr>
        <w:t>1.3.2.4.9, 3.3.2.9 y 3.3.5.3.1).</w:t>
      </w:r>
    </w:p>
    <w:p w14:paraId="4F0FEBA2" w14:textId="6F05BEF8" w:rsidR="00A72D17" w:rsidRPr="008645FC" w:rsidRDefault="00A72D17" w:rsidP="008645FC">
      <w:pPr>
        <w:pStyle w:val="SingleTxtG"/>
        <w:ind w:left="2268"/>
        <w:rPr>
          <w:rFonts w:asciiTheme="majorBidi" w:hAnsiTheme="majorBidi" w:cstheme="majorBidi"/>
        </w:rPr>
      </w:pPr>
      <w:r w:rsidRPr="008645FC">
        <w:rPr>
          <w:rFonts w:asciiTheme="majorBidi" w:hAnsiTheme="majorBidi" w:cstheme="majorBidi"/>
        </w:rPr>
        <w:t>3.3.1.4</w:t>
      </w:r>
      <w:r w:rsidRPr="008645FC">
        <w:rPr>
          <w:rFonts w:asciiTheme="majorBidi" w:hAnsiTheme="majorBidi" w:cstheme="majorBidi"/>
        </w:rPr>
        <w:tab/>
      </w:r>
      <w:r w:rsidRPr="008645FC">
        <w:rPr>
          <w:rFonts w:asciiTheme="majorBidi" w:hAnsiTheme="majorBidi" w:cstheme="majorBidi"/>
        </w:rPr>
        <w:tab/>
      </w:r>
      <w:r w:rsidRPr="008645FC">
        <w:rPr>
          <w:rFonts w:asciiTheme="majorBidi" w:hAnsiTheme="majorBidi" w:cstheme="majorBidi"/>
        </w:rPr>
        <w:tab/>
        <w:t>En la sección 3.3.5.3 figuran indicaciones complementarias para la interpretación de los criterios y referencias a los documentos de orientación pertinentes.</w:t>
      </w:r>
      <w:r w:rsidR="008C5013" w:rsidRPr="008645FC">
        <w:rPr>
          <w:rFonts w:asciiTheme="majorBidi" w:hAnsiTheme="majorBidi" w:cstheme="majorBidi"/>
        </w:rPr>
        <w:t>”</w:t>
      </w:r>
      <w:r w:rsidRPr="008645FC">
        <w:rPr>
          <w:rFonts w:asciiTheme="majorBidi" w:hAnsiTheme="majorBidi" w:cstheme="majorBidi"/>
        </w:rPr>
        <w:t>.</w:t>
      </w:r>
    </w:p>
    <w:bookmarkEnd w:id="1"/>
    <w:p w14:paraId="30CF865C" w14:textId="0C68A743" w:rsidR="00A72D17" w:rsidRPr="008645FC" w:rsidRDefault="00A72D17" w:rsidP="008645FC">
      <w:pPr>
        <w:pStyle w:val="SingleTxtG"/>
        <w:ind w:left="2268" w:hanging="1134"/>
        <w:rPr>
          <w:rFonts w:asciiTheme="majorBidi" w:hAnsiTheme="majorBidi" w:cstheme="majorBidi"/>
        </w:rPr>
      </w:pPr>
      <w:r w:rsidRPr="008645FC">
        <w:rPr>
          <w:rFonts w:asciiTheme="majorBidi" w:hAnsiTheme="majorBidi" w:cstheme="majorBidi"/>
        </w:rPr>
        <w:t>3.3.2</w:t>
      </w:r>
      <w:r w:rsidRPr="008645FC">
        <w:rPr>
          <w:rFonts w:asciiTheme="majorBidi" w:hAnsiTheme="majorBidi" w:cstheme="majorBidi"/>
        </w:rPr>
        <w:tab/>
      </w:r>
      <w:r w:rsidRPr="008645FC">
        <w:rPr>
          <w:rFonts w:asciiTheme="majorBidi" w:hAnsiTheme="majorBidi" w:cstheme="majorBidi"/>
        </w:rPr>
        <w:tab/>
        <w:t xml:space="preserve">Suprímanse </w:t>
      </w:r>
      <w:r w:rsidR="008C5013" w:rsidRPr="008645FC">
        <w:rPr>
          <w:rFonts w:asciiTheme="majorBidi" w:hAnsiTheme="majorBidi" w:cstheme="majorBidi"/>
        </w:rPr>
        <w:t>“</w:t>
      </w:r>
      <w:r w:rsidRPr="008645FC">
        <w:rPr>
          <w:rFonts w:asciiTheme="majorBidi" w:hAnsiTheme="majorBidi" w:cstheme="majorBidi"/>
        </w:rPr>
        <w:t>(véase la tabla 3.3.1)</w:t>
      </w:r>
      <w:r w:rsidR="008C5013" w:rsidRPr="008645FC">
        <w:rPr>
          <w:rFonts w:asciiTheme="majorBidi" w:hAnsiTheme="majorBidi" w:cstheme="majorBidi"/>
        </w:rPr>
        <w:t>”</w:t>
      </w:r>
      <w:r w:rsidRPr="008645FC">
        <w:rPr>
          <w:rFonts w:asciiTheme="majorBidi" w:hAnsiTheme="majorBidi" w:cstheme="majorBidi"/>
        </w:rPr>
        <w:t xml:space="preserve"> en el apartado a) y </w:t>
      </w:r>
      <w:r w:rsidR="008C5013" w:rsidRPr="008645FC">
        <w:rPr>
          <w:rFonts w:asciiTheme="majorBidi" w:hAnsiTheme="majorBidi" w:cstheme="majorBidi"/>
        </w:rPr>
        <w:t>“</w:t>
      </w:r>
      <w:r w:rsidRPr="008645FC">
        <w:rPr>
          <w:rFonts w:asciiTheme="majorBidi" w:hAnsiTheme="majorBidi" w:cstheme="majorBidi"/>
        </w:rPr>
        <w:t>(véase la tabla 3.3.2)</w:t>
      </w:r>
      <w:r w:rsidR="008C5013" w:rsidRPr="008645FC">
        <w:rPr>
          <w:rFonts w:asciiTheme="majorBidi" w:hAnsiTheme="majorBidi" w:cstheme="majorBidi"/>
        </w:rPr>
        <w:t>”</w:t>
      </w:r>
      <w:r w:rsidRPr="008645FC">
        <w:rPr>
          <w:rFonts w:asciiTheme="majorBidi" w:hAnsiTheme="majorBidi" w:cstheme="majorBidi"/>
        </w:rPr>
        <w:t xml:space="preserve"> en el apartado b) y en la última oración.</w:t>
      </w:r>
    </w:p>
    <w:p w14:paraId="24624F77" w14:textId="71124E43" w:rsidR="00A72D17" w:rsidRPr="008645FC" w:rsidRDefault="00A72D17" w:rsidP="008645FC">
      <w:pPr>
        <w:pStyle w:val="SingleTxtG"/>
        <w:ind w:left="2268" w:hanging="1134"/>
        <w:rPr>
          <w:rFonts w:asciiTheme="majorBidi" w:hAnsiTheme="majorBidi" w:cstheme="majorBidi"/>
        </w:rPr>
      </w:pPr>
      <w:r w:rsidRPr="008645FC">
        <w:rPr>
          <w:rFonts w:asciiTheme="majorBidi" w:hAnsiTheme="majorBidi" w:cstheme="majorBidi"/>
        </w:rPr>
        <w:t>3.3.2.1</w:t>
      </w:r>
      <w:r w:rsidRPr="008645FC">
        <w:rPr>
          <w:rFonts w:asciiTheme="majorBidi" w:hAnsiTheme="majorBidi" w:cstheme="majorBidi"/>
        </w:rPr>
        <w:tab/>
      </w:r>
      <w:r w:rsidRPr="008645FC">
        <w:rPr>
          <w:rFonts w:asciiTheme="majorBidi" w:hAnsiTheme="majorBidi" w:cstheme="majorBidi"/>
        </w:rPr>
        <w:tab/>
        <w:t xml:space="preserve">Suprímase el encabezamiento </w:t>
      </w:r>
      <w:r w:rsidR="008C5013" w:rsidRPr="008645FC">
        <w:rPr>
          <w:rFonts w:asciiTheme="majorBidi" w:hAnsiTheme="majorBidi" w:cstheme="majorBidi"/>
        </w:rPr>
        <w:t>“</w:t>
      </w:r>
      <w:r w:rsidRPr="008645FC">
        <w:rPr>
          <w:rFonts w:asciiTheme="majorBidi" w:hAnsiTheme="majorBidi" w:cstheme="majorBidi"/>
          <w:i/>
          <w:iCs/>
        </w:rPr>
        <w:t>Clasificación basada en datos de ensayos normalizados con animales</w:t>
      </w:r>
      <w:r w:rsidR="008C5013" w:rsidRPr="008645FC">
        <w:rPr>
          <w:rFonts w:asciiTheme="majorBidi" w:hAnsiTheme="majorBidi" w:cstheme="majorBidi"/>
        </w:rPr>
        <w:t>”</w:t>
      </w:r>
    </w:p>
    <w:p w14:paraId="6A8F4C1D" w14:textId="77777777" w:rsidR="00A72D17" w:rsidRPr="008645FC" w:rsidRDefault="00A72D17" w:rsidP="008645FC">
      <w:pPr>
        <w:pStyle w:val="SingleTxtG"/>
        <w:ind w:left="2268" w:hanging="1134"/>
        <w:rPr>
          <w:rFonts w:asciiTheme="majorBidi" w:hAnsiTheme="majorBidi" w:cstheme="majorBidi"/>
        </w:rPr>
      </w:pPr>
      <w:r w:rsidRPr="008645FC">
        <w:rPr>
          <w:rFonts w:asciiTheme="majorBidi" w:hAnsiTheme="majorBidi" w:cstheme="majorBidi"/>
        </w:rPr>
        <w:t>3.3.2.1 y 3.3.2.2 (nuevos)</w:t>
      </w:r>
      <w:r w:rsidRPr="008645FC">
        <w:rPr>
          <w:rFonts w:asciiTheme="majorBidi" w:hAnsiTheme="majorBidi" w:cstheme="majorBidi"/>
        </w:rPr>
        <w:tab/>
        <w:t>Añádanse los nuevos párrafos siguientes:</w:t>
      </w:r>
    </w:p>
    <w:p w14:paraId="1667E41B" w14:textId="5ACC27FF" w:rsidR="00A72D17" w:rsidRPr="008645FC" w:rsidRDefault="008C5013" w:rsidP="008645FC">
      <w:pPr>
        <w:pStyle w:val="SingleTxtG"/>
        <w:tabs>
          <w:tab w:val="left" w:pos="3402"/>
        </w:tabs>
        <w:ind w:left="2268"/>
        <w:rPr>
          <w:rFonts w:asciiTheme="majorBidi" w:hAnsiTheme="majorBidi" w:cstheme="majorBidi"/>
          <w:b/>
          <w:bCs/>
          <w:i/>
          <w:iCs/>
        </w:rPr>
      </w:pPr>
      <w:r w:rsidRPr="008645FC">
        <w:rPr>
          <w:rFonts w:asciiTheme="majorBidi" w:hAnsiTheme="majorBidi" w:cstheme="majorBidi"/>
        </w:rPr>
        <w:t>“</w:t>
      </w:r>
      <w:r w:rsidR="00A72D17" w:rsidRPr="008645FC">
        <w:rPr>
          <w:rFonts w:asciiTheme="majorBidi" w:hAnsiTheme="majorBidi" w:cstheme="majorBidi"/>
          <w:b/>
          <w:bCs/>
        </w:rPr>
        <w:t>3.3.2.1</w:t>
      </w:r>
      <w:r w:rsidR="00A72D17" w:rsidRPr="008645FC">
        <w:rPr>
          <w:rFonts w:asciiTheme="majorBidi" w:hAnsiTheme="majorBidi" w:cstheme="majorBidi"/>
        </w:rPr>
        <w:tab/>
      </w:r>
      <w:r w:rsidR="00A72D17" w:rsidRPr="008645FC">
        <w:rPr>
          <w:rFonts w:asciiTheme="majorBidi" w:hAnsiTheme="majorBidi" w:cstheme="majorBidi"/>
          <w:b/>
          <w:bCs/>
          <w:i/>
          <w:iCs/>
        </w:rPr>
        <w:t>Clasificación basada en datos obtenidos en seres humanos (etapa 1 en la figura 3.3.1)</w:t>
      </w:r>
    </w:p>
    <w:p w14:paraId="2AA6A50B" w14:textId="6C1B1996" w:rsidR="00A72D17" w:rsidRPr="008645FC" w:rsidRDefault="00A72D17" w:rsidP="008645FC">
      <w:pPr>
        <w:pStyle w:val="SingleTxtG"/>
        <w:tabs>
          <w:tab w:val="clear" w:pos="2268"/>
          <w:tab w:val="clear" w:pos="2835"/>
          <w:tab w:val="left" w:pos="3402"/>
        </w:tabs>
        <w:ind w:left="2268"/>
        <w:rPr>
          <w:rFonts w:asciiTheme="majorBidi" w:hAnsiTheme="majorBidi" w:cstheme="majorBidi"/>
        </w:rPr>
      </w:pPr>
      <w:r w:rsidRPr="008645FC">
        <w:rPr>
          <w:rFonts w:asciiTheme="majorBidi" w:hAnsiTheme="majorBidi" w:cstheme="majorBidi"/>
        </w:rPr>
        <w:tab/>
        <w:t>Los datos fiables y de buena calidad que existan sobre lesiones oculares graves/irritación ocular en seres humanos deben aprovecharse debidamente cuando sean útiles para la clasificación (véase 3.3.5.3.2) y deben constituir la primera línea de evaluación, ya que aportan información directa sobre los efectos en los ojos. Los datos disponibles sobre seres humanos pueden referirse a una exposición única o a exposiciones repetidas, por ejemplo en situaciones laborales, de consumo, de transporte o de respuesta de emergencia, y figurar en estudios epidemiológicos y clínicos y en informes de casos y observaciones bien documentados (véanse 1.1.2.5 c), 1.3.2.4.7 y</w:t>
      </w:r>
      <w:r w:rsidR="008A7CA3">
        <w:rPr>
          <w:rFonts w:asciiTheme="majorBidi" w:hAnsiTheme="majorBidi" w:cstheme="majorBidi"/>
        </w:rPr>
        <w:t> </w:t>
      </w:r>
      <w:r w:rsidRPr="008645FC">
        <w:rPr>
          <w:rFonts w:asciiTheme="majorBidi" w:hAnsiTheme="majorBidi" w:cstheme="majorBidi"/>
        </w:rPr>
        <w:t>1.3.2.4.9). Aunque los datos sobre seres humanos derivados de los accidentes o de las bases de datos de los centros de toxicología pueden servir de prueba para la clasificación, la ausencia de incidentes no constituye de por sí una prueba a favor de la no clasificación, ya que a menudo la exposición pasa desapercibida o es incierta.</w:t>
      </w:r>
    </w:p>
    <w:p w14:paraId="56166A8A" w14:textId="77777777" w:rsidR="00A72D17" w:rsidRPr="008645FC" w:rsidRDefault="00A72D17" w:rsidP="008645FC">
      <w:pPr>
        <w:pStyle w:val="SingleTxtG"/>
        <w:tabs>
          <w:tab w:val="left" w:pos="3402"/>
        </w:tabs>
        <w:ind w:left="2268"/>
        <w:rPr>
          <w:rFonts w:asciiTheme="majorBidi" w:hAnsiTheme="majorBidi" w:cstheme="majorBidi"/>
          <w:b/>
          <w:i/>
          <w:iCs/>
        </w:rPr>
      </w:pPr>
      <w:r w:rsidRPr="008645FC">
        <w:rPr>
          <w:rFonts w:asciiTheme="majorBidi" w:hAnsiTheme="majorBidi" w:cstheme="majorBidi"/>
          <w:b/>
          <w:bCs/>
        </w:rPr>
        <w:t>3.3.2.2</w:t>
      </w:r>
      <w:r w:rsidRPr="008645FC">
        <w:rPr>
          <w:rFonts w:asciiTheme="majorBidi" w:hAnsiTheme="majorBidi" w:cstheme="majorBidi"/>
        </w:rPr>
        <w:tab/>
      </w:r>
      <w:r w:rsidRPr="008645FC">
        <w:rPr>
          <w:rFonts w:asciiTheme="majorBidi" w:hAnsiTheme="majorBidi" w:cstheme="majorBidi"/>
        </w:rPr>
        <w:tab/>
      </w:r>
      <w:r w:rsidRPr="008645FC">
        <w:rPr>
          <w:rFonts w:asciiTheme="majorBidi" w:hAnsiTheme="majorBidi" w:cstheme="majorBidi"/>
          <w:b/>
          <w:bCs/>
          <w:i/>
          <w:iCs/>
        </w:rPr>
        <w:t>Clasificación basada en datos normalizados obtenidos en animales (etapa 1 en la figura 3.3.1)</w:t>
      </w:r>
    </w:p>
    <w:p w14:paraId="35021E47" w14:textId="316E7776" w:rsidR="00A72D17" w:rsidRPr="008645FC" w:rsidRDefault="00A72D17" w:rsidP="008645FC">
      <w:pPr>
        <w:pStyle w:val="SingleTxtG"/>
        <w:tabs>
          <w:tab w:val="left" w:pos="3402"/>
        </w:tabs>
        <w:ind w:left="2268"/>
        <w:rPr>
          <w:rFonts w:asciiTheme="majorBidi" w:hAnsiTheme="majorBidi" w:cstheme="majorBidi"/>
        </w:rPr>
      </w:pPr>
      <w:r w:rsidRPr="008645FC">
        <w:rPr>
          <w:rFonts w:asciiTheme="majorBidi" w:hAnsiTheme="majorBidi" w:cstheme="majorBidi"/>
        </w:rPr>
        <w:tab/>
      </w:r>
      <w:r w:rsidRPr="008645FC">
        <w:rPr>
          <w:rFonts w:asciiTheme="majorBidi" w:hAnsiTheme="majorBidi" w:cstheme="majorBidi"/>
        </w:rPr>
        <w:tab/>
        <w:t>La Directriz 405 de la OCDE es el método de ensayo en animales actualmente disponible y aceptado a nivel internacional para la clasificación por lesiones oculares graves o irritación de los ojos (véanse las tablas 3.3.1 y 3.3.2, respectivamente) y representa el ensayo normalizado en animales. La versión actual de la Directriz 405 de la OCDE utiliza un máximo de tres animales. Los resultados de estudios en animales realizados con arreglo a las versiones anteriores de la Directriz 405 de la OCDE, en que se utilizaban más de tres animales, también se consideran resultados normalizados cuando se interpretan de conformidad con lo dispuesto en 3.3.5.3.3.</w:t>
      </w:r>
      <w:r w:rsidR="008C5013" w:rsidRPr="008645FC">
        <w:rPr>
          <w:rFonts w:asciiTheme="majorBidi" w:hAnsiTheme="majorBidi" w:cstheme="majorBidi"/>
        </w:rPr>
        <w:t>”</w:t>
      </w:r>
      <w:r w:rsidRPr="008645FC">
        <w:rPr>
          <w:rFonts w:asciiTheme="majorBidi" w:hAnsiTheme="majorBidi" w:cstheme="majorBidi"/>
        </w:rPr>
        <w:t>.</w:t>
      </w:r>
    </w:p>
    <w:p w14:paraId="2D506415" w14:textId="77777777" w:rsidR="00A72D17" w:rsidRPr="008645FC" w:rsidRDefault="00A72D17" w:rsidP="008645FC">
      <w:pPr>
        <w:pStyle w:val="SingleTxtG"/>
        <w:ind w:left="2268" w:hanging="1134"/>
        <w:rPr>
          <w:rFonts w:asciiTheme="majorBidi" w:hAnsiTheme="majorBidi" w:cstheme="majorBidi"/>
        </w:rPr>
      </w:pPr>
      <w:r w:rsidRPr="008645FC">
        <w:rPr>
          <w:rFonts w:asciiTheme="majorBidi" w:hAnsiTheme="majorBidi" w:cstheme="majorBidi"/>
        </w:rPr>
        <w:lastRenderedPageBreak/>
        <w:t>3.3.2.1.1 a 3.3.2.1.2.3</w:t>
      </w:r>
      <w:r w:rsidRPr="008645FC">
        <w:rPr>
          <w:rFonts w:asciiTheme="majorBidi" w:hAnsiTheme="majorBidi" w:cstheme="majorBidi"/>
        </w:rPr>
        <w:tab/>
        <w:t>Los actuales párrafos 3.3.2.1.1 a 3.3.2.1.2.3 pasan a ser los nuevos párrafos 3.3.2.2.1 a 3.3.2.2.2.3.</w:t>
      </w:r>
    </w:p>
    <w:p w14:paraId="001C4EC0" w14:textId="434763D4" w:rsidR="00A72D17" w:rsidRPr="008645FC" w:rsidRDefault="00A72D17" w:rsidP="008645FC">
      <w:pPr>
        <w:pStyle w:val="SingleTxtG"/>
        <w:ind w:left="2268" w:hanging="1134"/>
        <w:rPr>
          <w:rFonts w:asciiTheme="majorBidi" w:hAnsiTheme="majorBidi" w:cstheme="majorBidi"/>
        </w:rPr>
      </w:pPr>
      <w:r w:rsidRPr="008645FC">
        <w:rPr>
          <w:rFonts w:asciiTheme="majorBidi" w:hAnsiTheme="majorBidi" w:cstheme="majorBidi"/>
        </w:rPr>
        <w:t>Tabla 3.3.1</w:t>
      </w:r>
      <w:r w:rsidRPr="008645FC">
        <w:rPr>
          <w:rFonts w:asciiTheme="majorBidi" w:hAnsiTheme="majorBidi" w:cstheme="majorBidi"/>
        </w:rPr>
        <w:tab/>
        <w:t xml:space="preserve">Suprímase la nota </w:t>
      </w:r>
      <w:r w:rsidR="008C5013" w:rsidRPr="008645FC">
        <w:rPr>
          <w:rFonts w:asciiTheme="majorBidi" w:hAnsiTheme="majorBidi" w:cstheme="majorBidi"/>
        </w:rPr>
        <w:t>“</w:t>
      </w:r>
      <w:r w:rsidRPr="008645FC">
        <w:rPr>
          <w:rFonts w:asciiTheme="majorBidi" w:hAnsiTheme="majorBidi" w:cstheme="majorBidi"/>
        </w:rPr>
        <w:t>a</w:t>
      </w:r>
      <w:r w:rsidR="008C5013" w:rsidRPr="008645FC">
        <w:rPr>
          <w:rFonts w:asciiTheme="majorBidi" w:hAnsiTheme="majorBidi" w:cstheme="majorBidi"/>
        </w:rPr>
        <w:t>”</w:t>
      </w:r>
      <w:r w:rsidRPr="008645FC">
        <w:rPr>
          <w:rFonts w:asciiTheme="majorBidi" w:hAnsiTheme="majorBidi" w:cstheme="majorBidi"/>
        </w:rPr>
        <w:t xml:space="preserve">. Las actuales notas </w:t>
      </w:r>
      <w:r w:rsidR="008C5013" w:rsidRPr="008645FC">
        <w:rPr>
          <w:rFonts w:asciiTheme="majorBidi" w:hAnsiTheme="majorBidi" w:cstheme="majorBidi"/>
        </w:rPr>
        <w:t>“</w:t>
      </w:r>
      <w:r w:rsidRPr="008645FC">
        <w:rPr>
          <w:rFonts w:asciiTheme="majorBidi" w:hAnsiTheme="majorBidi" w:cstheme="majorBidi"/>
        </w:rPr>
        <w:t>b</w:t>
      </w:r>
      <w:r w:rsidR="008C5013" w:rsidRPr="008645FC">
        <w:rPr>
          <w:rFonts w:asciiTheme="majorBidi" w:hAnsiTheme="majorBidi" w:cstheme="majorBidi"/>
        </w:rPr>
        <w:t>”</w:t>
      </w:r>
      <w:r w:rsidRPr="008645FC">
        <w:rPr>
          <w:rFonts w:asciiTheme="majorBidi" w:hAnsiTheme="majorBidi" w:cstheme="majorBidi"/>
        </w:rPr>
        <w:t xml:space="preserve"> y </w:t>
      </w:r>
      <w:r w:rsidR="008C5013" w:rsidRPr="008645FC">
        <w:rPr>
          <w:rFonts w:asciiTheme="majorBidi" w:hAnsiTheme="majorBidi" w:cstheme="majorBidi"/>
        </w:rPr>
        <w:t>“</w:t>
      </w:r>
      <w:r w:rsidRPr="008645FC">
        <w:rPr>
          <w:rFonts w:asciiTheme="majorBidi" w:hAnsiTheme="majorBidi" w:cstheme="majorBidi"/>
        </w:rPr>
        <w:t>c</w:t>
      </w:r>
      <w:r w:rsidR="008C5013" w:rsidRPr="008645FC">
        <w:rPr>
          <w:rFonts w:asciiTheme="majorBidi" w:hAnsiTheme="majorBidi" w:cstheme="majorBidi"/>
        </w:rPr>
        <w:t>”</w:t>
      </w:r>
      <w:r w:rsidRPr="008645FC">
        <w:rPr>
          <w:rFonts w:asciiTheme="majorBidi" w:hAnsiTheme="majorBidi" w:cstheme="majorBidi"/>
        </w:rPr>
        <w:t xml:space="preserve"> pasan a ser las notas </w:t>
      </w:r>
      <w:r w:rsidR="008C5013" w:rsidRPr="008645FC">
        <w:rPr>
          <w:rFonts w:asciiTheme="majorBidi" w:hAnsiTheme="majorBidi" w:cstheme="majorBidi"/>
        </w:rPr>
        <w:t>“</w:t>
      </w:r>
      <w:r w:rsidRPr="008645FC">
        <w:rPr>
          <w:rFonts w:asciiTheme="majorBidi" w:hAnsiTheme="majorBidi" w:cstheme="majorBidi"/>
        </w:rPr>
        <w:t>a</w:t>
      </w:r>
      <w:r w:rsidR="008C5013" w:rsidRPr="008645FC">
        <w:rPr>
          <w:rFonts w:asciiTheme="majorBidi" w:hAnsiTheme="majorBidi" w:cstheme="majorBidi"/>
        </w:rPr>
        <w:t>”</w:t>
      </w:r>
      <w:r w:rsidRPr="008645FC">
        <w:rPr>
          <w:rFonts w:asciiTheme="majorBidi" w:hAnsiTheme="majorBidi" w:cstheme="majorBidi"/>
        </w:rPr>
        <w:t xml:space="preserve"> y</w:t>
      </w:r>
      <w:r w:rsidR="008A7CA3">
        <w:rPr>
          <w:rFonts w:asciiTheme="majorBidi" w:hAnsiTheme="majorBidi" w:cstheme="majorBidi"/>
        </w:rPr>
        <w:t> </w:t>
      </w:r>
      <w:r w:rsidR="008C5013" w:rsidRPr="008645FC">
        <w:rPr>
          <w:rFonts w:asciiTheme="majorBidi" w:hAnsiTheme="majorBidi" w:cstheme="majorBidi"/>
        </w:rPr>
        <w:t>“</w:t>
      </w:r>
      <w:r w:rsidRPr="008645FC">
        <w:rPr>
          <w:rFonts w:asciiTheme="majorBidi" w:hAnsiTheme="majorBidi" w:cstheme="majorBidi"/>
        </w:rPr>
        <w:t>b</w:t>
      </w:r>
      <w:r w:rsidR="008C5013" w:rsidRPr="008645FC">
        <w:rPr>
          <w:rFonts w:asciiTheme="majorBidi" w:hAnsiTheme="majorBidi" w:cstheme="majorBidi"/>
        </w:rPr>
        <w:t>”</w:t>
      </w:r>
      <w:r w:rsidRPr="008645FC">
        <w:rPr>
          <w:rFonts w:asciiTheme="majorBidi" w:hAnsiTheme="majorBidi" w:cstheme="majorBidi"/>
        </w:rPr>
        <w:t xml:space="preserve">, respectivamente. </w:t>
      </w:r>
    </w:p>
    <w:p w14:paraId="5905DC69" w14:textId="2CA8D023" w:rsidR="00A72D17" w:rsidRPr="008645FC" w:rsidRDefault="00A72D17" w:rsidP="008645FC">
      <w:pPr>
        <w:pStyle w:val="SingleTxtG"/>
        <w:ind w:left="2268"/>
        <w:rPr>
          <w:rFonts w:asciiTheme="majorBidi" w:hAnsiTheme="majorBidi" w:cstheme="majorBidi"/>
        </w:rPr>
      </w:pPr>
      <w:r w:rsidRPr="008645FC">
        <w:rPr>
          <w:rFonts w:asciiTheme="majorBidi" w:hAnsiTheme="majorBidi" w:cstheme="majorBidi"/>
        </w:rPr>
        <w:t xml:space="preserve">En la nota </w:t>
      </w:r>
      <w:r w:rsidR="008C5013" w:rsidRPr="008645FC">
        <w:rPr>
          <w:rFonts w:asciiTheme="majorBidi" w:hAnsiTheme="majorBidi" w:cstheme="majorBidi"/>
        </w:rPr>
        <w:t>“</w:t>
      </w:r>
      <w:r w:rsidRPr="008645FC">
        <w:rPr>
          <w:rFonts w:asciiTheme="majorBidi" w:hAnsiTheme="majorBidi" w:cstheme="majorBidi"/>
        </w:rPr>
        <w:t>b</w:t>
      </w:r>
      <w:r w:rsidR="008C5013" w:rsidRPr="008645FC">
        <w:rPr>
          <w:rFonts w:asciiTheme="majorBidi" w:hAnsiTheme="majorBidi" w:cstheme="majorBidi"/>
        </w:rPr>
        <w:t>”</w:t>
      </w:r>
      <w:r w:rsidRPr="008645FC">
        <w:rPr>
          <w:rFonts w:asciiTheme="majorBidi" w:hAnsiTheme="majorBidi" w:cstheme="majorBidi"/>
        </w:rPr>
        <w:t xml:space="preserve"> (antigua </w:t>
      </w:r>
      <w:r w:rsidR="008C5013" w:rsidRPr="008645FC">
        <w:rPr>
          <w:rFonts w:asciiTheme="majorBidi" w:hAnsiTheme="majorBidi" w:cstheme="majorBidi"/>
        </w:rPr>
        <w:t>“</w:t>
      </w:r>
      <w:r w:rsidRPr="008645FC">
        <w:rPr>
          <w:rFonts w:asciiTheme="majorBidi" w:hAnsiTheme="majorBidi" w:cstheme="majorBidi"/>
        </w:rPr>
        <w:t>c</w:t>
      </w:r>
      <w:r w:rsidR="008C5013" w:rsidRPr="008645FC">
        <w:rPr>
          <w:rFonts w:asciiTheme="majorBidi" w:hAnsiTheme="majorBidi" w:cstheme="majorBidi"/>
        </w:rPr>
        <w:t>”</w:t>
      </w:r>
      <w:r w:rsidRPr="008645FC">
        <w:rPr>
          <w:rFonts w:asciiTheme="majorBidi" w:hAnsiTheme="majorBidi" w:cstheme="majorBidi"/>
        </w:rPr>
        <w:t xml:space="preserve">), sustitúyase </w:t>
      </w:r>
      <w:r w:rsidR="008C5013" w:rsidRPr="008645FC">
        <w:rPr>
          <w:rFonts w:asciiTheme="majorBidi" w:hAnsiTheme="majorBidi" w:cstheme="majorBidi"/>
        </w:rPr>
        <w:t>“</w:t>
      </w:r>
      <w:r w:rsidRPr="008645FC">
        <w:rPr>
          <w:rFonts w:asciiTheme="majorBidi" w:hAnsiTheme="majorBidi" w:cstheme="majorBidi"/>
        </w:rPr>
        <w:t>3.3.5.3</w:t>
      </w:r>
      <w:r w:rsidR="008C5013" w:rsidRPr="008645FC">
        <w:rPr>
          <w:rFonts w:asciiTheme="majorBidi" w:hAnsiTheme="majorBidi" w:cstheme="majorBidi"/>
        </w:rPr>
        <w:t>”</w:t>
      </w:r>
      <w:r w:rsidRPr="008645FC">
        <w:rPr>
          <w:rFonts w:asciiTheme="majorBidi" w:hAnsiTheme="majorBidi" w:cstheme="majorBidi"/>
        </w:rPr>
        <w:t xml:space="preserve"> por </w:t>
      </w:r>
      <w:r w:rsidR="008C5013" w:rsidRPr="008645FC">
        <w:rPr>
          <w:rFonts w:asciiTheme="majorBidi" w:hAnsiTheme="majorBidi" w:cstheme="majorBidi"/>
        </w:rPr>
        <w:t>“</w:t>
      </w:r>
      <w:r w:rsidRPr="008645FC">
        <w:rPr>
          <w:rFonts w:asciiTheme="majorBidi" w:hAnsiTheme="majorBidi" w:cstheme="majorBidi"/>
        </w:rPr>
        <w:t>3.3.5.3.3</w:t>
      </w:r>
      <w:r w:rsidR="008C5013" w:rsidRPr="008645FC">
        <w:rPr>
          <w:rFonts w:asciiTheme="majorBidi" w:hAnsiTheme="majorBidi" w:cstheme="majorBidi"/>
        </w:rPr>
        <w:t>”</w:t>
      </w:r>
      <w:r w:rsidRPr="008645FC">
        <w:rPr>
          <w:rFonts w:asciiTheme="majorBidi" w:hAnsiTheme="majorBidi" w:cstheme="majorBidi"/>
        </w:rPr>
        <w:t>.</w:t>
      </w:r>
    </w:p>
    <w:p w14:paraId="50E59EFB" w14:textId="35B3832E" w:rsidR="00A72D17" w:rsidRPr="008645FC" w:rsidRDefault="00A72D17" w:rsidP="008645FC">
      <w:pPr>
        <w:pStyle w:val="SingleTxtG"/>
        <w:tabs>
          <w:tab w:val="left" w:pos="4253"/>
        </w:tabs>
        <w:ind w:left="2268" w:hanging="1134"/>
        <w:rPr>
          <w:rFonts w:asciiTheme="majorBidi" w:hAnsiTheme="majorBidi" w:cstheme="majorBidi"/>
        </w:rPr>
      </w:pPr>
      <w:r w:rsidRPr="008645FC">
        <w:rPr>
          <w:rFonts w:asciiTheme="majorBidi" w:hAnsiTheme="majorBidi" w:cstheme="majorBidi"/>
        </w:rPr>
        <w:t>3.3.2.2.2.1 (nuevo, antiguo 3.3.2.1.2.1)</w:t>
      </w:r>
      <w:r w:rsidRPr="008645FC">
        <w:rPr>
          <w:rFonts w:asciiTheme="majorBidi" w:hAnsiTheme="majorBidi" w:cstheme="majorBidi"/>
        </w:rPr>
        <w:tab/>
        <w:t xml:space="preserve">En la última oración, sustitúyase </w:t>
      </w:r>
      <w:r w:rsidR="008C5013" w:rsidRPr="008645FC">
        <w:rPr>
          <w:rFonts w:asciiTheme="majorBidi" w:hAnsiTheme="majorBidi" w:cstheme="majorBidi"/>
        </w:rPr>
        <w:t>“</w:t>
      </w:r>
      <w:r w:rsidRPr="008645FC">
        <w:rPr>
          <w:rFonts w:asciiTheme="majorBidi" w:hAnsiTheme="majorBidi" w:cstheme="majorBidi"/>
        </w:rPr>
        <w:t>un producto químico</w:t>
      </w:r>
      <w:r w:rsidR="008C5013" w:rsidRPr="008645FC">
        <w:rPr>
          <w:rFonts w:asciiTheme="majorBidi" w:hAnsiTheme="majorBidi" w:cstheme="majorBidi"/>
        </w:rPr>
        <w:t>”</w:t>
      </w:r>
      <w:r w:rsidRPr="008645FC">
        <w:rPr>
          <w:rFonts w:asciiTheme="majorBidi" w:hAnsiTheme="majorBidi" w:cstheme="majorBidi"/>
        </w:rPr>
        <w:t xml:space="preserve"> por </w:t>
      </w:r>
      <w:r w:rsidR="008C5013" w:rsidRPr="008645FC">
        <w:rPr>
          <w:rFonts w:asciiTheme="majorBidi" w:hAnsiTheme="majorBidi" w:cstheme="majorBidi"/>
        </w:rPr>
        <w:t>“</w:t>
      </w:r>
      <w:r w:rsidRPr="008645FC">
        <w:rPr>
          <w:rFonts w:asciiTheme="majorBidi" w:hAnsiTheme="majorBidi" w:cstheme="majorBidi"/>
        </w:rPr>
        <w:t>una sustancia</w:t>
      </w:r>
      <w:r w:rsidR="008C5013" w:rsidRPr="008645FC">
        <w:rPr>
          <w:rFonts w:asciiTheme="majorBidi" w:hAnsiTheme="majorBidi" w:cstheme="majorBidi"/>
        </w:rPr>
        <w:t>”</w:t>
      </w:r>
      <w:r w:rsidRPr="008645FC">
        <w:rPr>
          <w:rFonts w:asciiTheme="majorBidi" w:hAnsiTheme="majorBidi" w:cstheme="majorBidi"/>
        </w:rPr>
        <w:t>.</w:t>
      </w:r>
    </w:p>
    <w:p w14:paraId="1410EE8F" w14:textId="7FFD4D14" w:rsidR="00A72D17" w:rsidRPr="008645FC" w:rsidRDefault="00A72D17" w:rsidP="008645FC">
      <w:pPr>
        <w:pStyle w:val="SingleTxtG"/>
        <w:tabs>
          <w:tab w:val="left" w:pos="4253"/>
        </w:tabs>
        <w:ind w:left="2268" w:hanging="1134"/>
        <w:rPr>
          <w:rFonts w:asciiTheme="majorBidi" w:hAnsiTheme="majorBidi" w:cstheme="majorBidi"/>
        </w:rPr>
      </w:pPr>
      <w:r w:rsidRPr="008645FC">
        <w:rPr>
          <w:rFonts w:asciiTheme="majorBidi" w:hAnsiTheme="majorBidi" w:cstheme="majorBidi"/>
        </w:rPr>
        <w:t xml:space="preserve">3.3.2.2.2.2 (nuevo, antiguo 3.3.2.1.2.2) </w:t>
      </w:r>
      <w:r w:rsidRPr="008645FC">
        <w:rPr>
          <w:rFonts w:asciiTheme="majorBidi" w:hAnsiTheme="majorBidi" w:cstheme="majorBidi"/>
        </w:rPr>
        <w:tab/>
        <w:t xml:space="preserve">Sustitúyase </w:t>
      </w:r>
      <w:r w:rsidR="008C5013" w:rsidRPr="008645FC">
        <w:rPr>
          <w:rFonts w:asciiTheme="majorBidi" w:hAnsiTheme="majorBidi" w:cstheme="majorBidi"/>
        </w:rPr>
        <w:t>“</w:t>
      </w:r>
      <w:r w:rsidRPr="008645FC">
        <w:rPr>
          <w:rFonts w:asciiTheme="majorBidi" w:hAnsiTheme="majorBidi" w:cstheme="majorBidi"/>
        </w:rPr>
        <w:t>las categorías 2A y 2B</w:t>
      </w:r>
      <w:r w:rsidR="008C5013" w:rsidRPr="008645FC">
        <w:rPr>
          <w:rFonts w:asciiTheme="majorBidi" w:hAnsiTheme="majorBidi" w:cstheme="majorBidi"/>
        </w:rPr>
        <w:t>”</w:t>
      </w:r>
      <w:r w:rsidRPr="008645FC">
        <w:rPr>
          <w:rFonts w:asciiTheme="majorBidi" w:hAnsiTheme="majorBidi" w:cstheme="majorBidi"/>
        </w:rPr>
        <w:t xml:space="preserve"> por </w:t>
      </w:r>
      <w:r w:rsidR="008C5013" w:rsidRPr="008645FC">
        <w:rPr>
          <w:rFonts w:asciiTheme="majorBidi" w:hAnsiTheme="majorBidi" w:cstheme="majorBidi"/>
        </w:rPr>
        <w:t>“</w:t>
      </w:r>
      <w:r w:rsidRPr="008645FC">
        <w:rPr>
          <w:rFonts w:asciiTheme="majorBidi" w:hAnsiTheme="majorBidi" w:cstheme="majorBidi"/>
        </w:rPr>
        <w:t>la</w:t>
      </w:r>
      <w:r w:rsidR="008A7CA3">
        <w:rPr>
          <w:rFonts w:asciiTheme="majorBidi" w:hAnsiTheme="majorBidi" w:cstheme="majorBidi"/>
        </w:rPr>
        <w:t> </w:t>
      </w:r>
      <w:r w:rsidRPr="008645FC">
        <w:rPr>
          <w:rFonts w:asciiTheme="majorBidi" w:hAnsiTheme="majorBidi" w:cstheme="majorBidi"/>
        </w:rPr>
        <w:t>categoría 2A y la categoría 2B</w:t>
      </w:r>
      <w:r w:rsidR="008C5013" w:rsidRPr="008645FC">
        <w:rPr>
          <w:rFonts w:asciiTheme="majorBidi" w:hAnsiTheme="majorBidi" w:cstheme="majorBidi"/>
        </w:rPr>
        <w:t>”</w:t>
      </w:r>
      <w:r w:rsidRPr="008645FC">
        <w:rPr>
          <w:rFonts w:asciiTheme="majorBidi" w:hAnsiTheme="majorBidi" w:cstheme="majorBidi"/>
        </w:rPr>
        <w:t>.</w:t>
      </w:r>
    </w:p>
    <w:p w14:paraId="689CA296" w14:textId="4121552C" w:rsidR="00A72D17" w:rsidRPr="008645FC" w:rsidRDefault="00A72D17" w:rsidP="008645FC">
      <w:pPr>
        <w:pStyle w:val="SingleTxtG"/>
        <w:ind w:left="2268" w:hanging="1134"/>
        <w:rPr>
          <w:rFonts w:asciiTheme="majorBidi" w:hAnsiTheme="majorBidi" w:cstheme="majorBidi"/>
        </w:rPr>
      </w:pPr>
      <w:r w:rsidRPr="008645FC">
        <w:rPr>
          <w:rFonts w:asciiTheme="majorBidi" w:hAnsiTheme="majorBidi" w:cstheme="majorBidi"/>
        </w:rPr>
        <w:t>Tabla 3.3.2</w:t>
      </w:r>
      <w:r w:rsidRPr="008645FC">
        <w:rPr>
          <w:rFonts w:asciiTheme="majorBidi" w:hAnsiTheme="majorBidi" w:cstheme="majorBidi"/>
        </w:rPr>
        <w:tab/>
        <w:t xml:space="preserve">Suprímase la nota </w:t>
      </w:r>
      <w:r w:rsidR="008C5013" w:rsidRPr="008645FC">
        <w:rPr>
          <w:rFonts w:asciiTheme="majorBidi" w:hAnsiTheme="majorBidi" w:cstheme="majorBidi"/>
        </w:rPr>
        <w:t>“</w:t>
      </w:r>
      <w:r w:rsidRPr="008645FC">
        <w:rPr>
          <w:rFonts w:asciiTheme="majorBidi" w:hAnsiTheme="majorBidi" w:cstheme="majorBidi"/>
        </w:rPr>
        <w:t>a</w:t>
      </w:r>
      <w:r w:rsidR="008C5013" w:rsidRPr="008645FC">
        <w:rPr>
          <w:rFonts w:asciiTheme="majorBidi" w:hAnsiTheme="majorBidi" w:cstheme="majorBidi"/>
        </w:rPr>
        <w:t>”</w:t>
      </w:r>
      <w:r w:rsidRPr="008645FC">
        <w:rPr>
          <w:rFonts w:asciiTheme="majorBidi" w:hAnsiTheme="majorBidi" w:cstheme="majorBidi"/>
        </w:rPr>
        <w:t xml:space="preserve">. Las actuales notas </w:t>
      </w:r>
      <w:r w:rsidR="008C5013" w:rsidRPr="008645FC">
        <w:rPr>
          <w:rFonts w:asciiTheme="majorBidi" w:hAnsiTheme="majorBidi" w:cstheme="majorBidi"/>
        </w:rPr>
        <w:t>“</w:t>
      </w:r>
      <w:r w:rsidRPr="008645FC">
        <w:rPr>
          <w:rFonts w:asciiTheme="majorBidi" w:hAnsiTheme="majorBidi" w:cstheme="majorBidi"/>
        </w:rPr>
        <w:t>b</w:t>
      </w:r>
      <w:r w:rsidR="008C5013" w:rsidRPr="008645FC">
        <w:rPr>
          <w:rFonts w:asciiTheme="majorBidi" w:hAnsiTheme="majorBidi" w:cstheme="majorBidi"/>
        </w:rPr>
        <w:t>”</w:t>
      </w:r>
      <w:r w:rsidRPr="008645FC">
        <w:rPr>
          <w:rFonts w:asciiTheme="majorBidi" w:hAnsiTheme="majorBidi" w:cstheme="majorBidi"/>
        </w:rPr>
        <w:t xml:space="preserve"> y </w:t>
      </w:r>
      <w:r w:rsidR="008C5013" w:rsidRPr="008645FC">
        <w:rPr>
          <w:rFonts w:asciiTheme="majorBidi" w:hAnsiTheme="majorBidi" w:cstheme="majorBidi"/>
        </w:rPr>
        <w:t>“</w:t>
      </w:r>
      <w:r w:rsidRPr="008645FC">
        <w:rPr>
          <w:rFonts w:asciiTheme="majorBidi" w:hAnsiTheme="majorBidi" w:cstheme="majorBidi"/>
        </w:rPr>
        <w:t>c</w:t>
      </w:r>
      <w:r w:rsidR="008C5013" w:rsidRPr="008645FC">
        <w:rPr>
          <w:rFonts w:asciiTheme="majorBidi" w:hAnsiTheme="majorBidi" w:cstheme="majorBidi"/>
        </w:rPr>
        <w:t>”</w:t>
      </w:r>
      <w:r w:rsidRPr="008645FC">
        <w:rPr>
          <w:rFonts w:asciiTheme="majorBidi" w:hAnsiTheme="majorBidi" w:cstheme="majorBidi"/>
        </w:rPr>
        <w:t xml:space="preserve"> pasan a ser las notas </w:t>
      </w:r>
      <w:r w:rsidR="008C5013" w:rsidRPr="008645FC">
        <w:rPr>
          <w:rFonts w:asciiTheme="majorBidi" w:hAnsiTheme="majorBidi" w:cstheme="majorBidi"/>
        </w:rPr>
        <w:t>“</w:t>
      </w:r>
      <w:r w:rsidRPr="008645FC">
        <w:rPr>
          <w:rFonts w:asciiTheme="majorBidi" w:hAnsiTheme="majorBidi" w:cstheme="majorBidi"/>
        </w:rPr>
        <w:t>a</w:t>
      </w:r>
      <w:r w:rsidR="008C5013" w:rsidRPr="008645FC">
        <w:rPr>
          <w:rFonts w:asciiTheme="majorBidi" w:hAnsiTheme="majorBidi" w:cstheme="majorBidi"/>
        </w:rPr>
        <w:t>”</w:t>
      </w:r>
      <w:r w:rsidRPr="008645FC">
        <w:rPr>
          <w:rFonts w:asciiTheme="majorBidi" w:hAnsiTheme="majorBidi" w:cstheme="majorBidi"/>
        </w:rPr>
        <w:t xml:space="preserve"> y</w:t>
      </w:r>
      <w:r w:rsidR="008A7CA3">
        <w:rPr>
          <w:rFonts w:asciiTheme="majorBidi" w:hAnsiTheme="majorBidi" w:cstheme="majorBidi"/>
        </w:rPr>
        <w:t> </w:t>
      </w:r>
      <w:r w:rsidR="008C5013" w:rsidRPr="008645FC">
        <w:rPr>
          <w:rFonts w:asciiTheme="majorBidi" w:hAnsiTheme="majorBidi" w:cstheme="majorBidi"/>
        </w:rPr>
        <w:t>“</w:t>
      </w:r>
      <w:r w:rsidRPr="008645FC">
        <w:rPr>
          <w:rFonts w:asciiTheme="majorBidi" w:hAnsiTheme="majorBidi" w:cstheme="majorBidi"/>
        </w:rPr>
        <w:t>b</w:t>
      </w:r>
      <w:r w:rsidR="008C5013" w:rsidRPr="008645FC">
        <w:rPr>
          <w:rFonts w:asciiTheme="majorBidi" w:hAnsiTheme="majorBidi" w:cstheme="majorBidi"/>
        </w:rPr>
        <w:t>”</w:t>
      </w:r>
      <w:r w:rsidRPr="008645FC">
        <w:rPr>
          <w:rFonts w:asciiTheme="majorBidi" w:hAnsiTheme="majorBidi" w:cstheme="majorBidi"/>
        </w:rPr>
        <w:t xml:space="preserve">, respectivamente. </w:t>
      </w:r>
    </w:p>
    <w:p w14:paraId="5C164F00" w14:textId="633E0DD9" w:rsidR="00A72D17" w:rsidRPr="008645FC" w:rsidRDefault="00A72D17" w:rsidP="008645FC">
      <w:pPr>
        <w:pStyle w:val="SingleTxtG"/>
        <w:ind w:left="2268"/>
        <w:rPr>
          <w:rFonts w:asciiTheme="majorBidi" w:hAnsiTheme="majorBidi" w:cstheme="majorBidi"/>
        </w:rPr>
      </w:pPr>
      <w:r w:rsidRPr="008645FC">
        <w:rPr>
          <w:rFonts w:asciiTheme="majorBidi" w:hAnsiTheme="majorBidi" w:cstheme="majorBidi"/>
        </w:rPr>
        <w:t xml:space="preserve">En la nota </w:t>
      </w:r>
      <w:r w:rsidR="008C5013" w:rsidRPr="008645FC">
        <w:rPr>
          <w:rFonts w:asciiTheme="majorBidi" w:hAnsiTheme="majorBidi" w:cstheme="majorBidi"/>
        </w:rPr>
        <w:t>“</w:t>
      </w:r>
      <w:r w:rsidRPr="008645FC">
        <w:rPr>
          <w:rFonts w:asciiTheme="majorBidi" w:hAnsiTheme="majorBidi" w:cstheme="majorBidi"/>
        </w:rPr>
        <w:t>b</w:t>
      </w:r>
      <w:r w:rsidR="008C5013" w:rsidRPr="008645FC">
        <w:rPr>
          <w:rFonts w:asciiTheme="majorBidi" w:hAnsiTheme="majorBidi" w:cstheme="majorBidi"/>
        </w:rPr>
        <w:t>”</w:t>
      </w:r>
      <w:r w:rsidRPr="008645FC">
        <w:rPr>
          <w:rFonts w:asciiTheme="majorBidi" w:hAnsiTheme="majorBidi" w:cstheme="majorBidi"/>
        </w:rPr>
        <w:t xml:space="preserve"> (antigua </w:t>
      </w:r>
      <w:r w:rsidR="008C5013" w:rsidRPr="008645FC">
        <w:rPr>
          <w:rFonts w:asciiTheme="majorBidi" w:hAnsiTheme="majorBidi" w:cstheme="majorBidi"/>
        </w:rPr>
        <w:t>“</w:t>
      </w:r>
      <w:r w:rsidRPr="008645FC">
        <w:rPr>
          <w:rFonts w:asciiTheme="majorBidi" w:hAnsiTheme="majorBidi" w:cstheme="majorBidi"/>
        </w:rPr>
        <w:t>c</w:t>
      </w:r>
      <w:r w:rsidR="008C5013" w:rsidRPr="008645FC">
        <w:rPr>
          <w:rFonts w:asciiTheme="majorBidi" w:hAnsiTheme="majorBidi" w:cstheme="majorBidi"/>
        </w:rPr>
        <w:t>”</w:t>
      </w:r>
      <w:r w:rsidRPr="008645FC">
        <w:rPr>
          <w:rFonts w:asciiTheme="majorBidi" w:hAnsiTheme="majorBidi" w:cstheme="majorBidi"/>
        </w:rPr>
        <w:t xml:space="preserve">), sustitúyase </w:t>
      </w:r>
      <w:r w:rsidR="008C5013" w:rsidRPr="008645FC">
        <w:rPr>
          <w:rFonts w:asciiTheme="majorBidi" w:hAnsiTheme="majorBidi" w:cstheme="majorBidi"/>
        </w:rPr>
        <w:t>“</w:t>
      </w:r>
      <w:r w:rsidRPr="008645FC">
        <w:rPr>
          <w:rFonts w:asciiTheme="majorBidi" w:hAnsiTheme="majorBidi" w:cstheme="majorBidi"/>
        </w:rPr>
        <w:t>3.3.5.3</w:t>
      </w:r>
      <w:r w:rsidR="008C5013" w:rsidRPr="008645FC">
        <w:rPr>
          <w:rFonts w:asciiTheme="majorBidi" w:hAnsiTheme="majorBidi" w:cstheme="majorBidi"/>
        </w:rPr>
        <w:t>”</w:t>
      </w:r>
      <w:r w:rsidRPr="008645FC">
        <w:rPr>
          <w:rFonts w:asciiTheme="majorBidi" w:hAnsiTheme="majorBidi" w:cstheme="majorBidi"/>
        </w:rPr>
        <w:t xml:space="preserve"> por </w:t>
      </w:r>
      <w:r w:rsidR="008C5013" w:rsidRPr="008645FC">
        <w:rPr>
          <w:rFonts w:asciiTheme="majorBidi" w:hAnsiTheme="majorBidi" w:cstheme="majorBidi"/>
        </w:rPr>
        <w:t>“</w:t>
      </w:r>
      <w:r w:rsidRPr="008645FC">
        <w:rPr>
          <w:rFonts w:asciiTheme="majorBidi" w:hAnsiTheme="majorBidi" w:cstheme="majorBidi"/>
        </w:rPr>
        <w:t>3.3.5.3.3</w:t>
      </w:r>
      <w:r w:rsidR="008C5013" w:rsidRPr="008645FC">
        <w:rPr>
          <w:rFonts w:asciiTheme="majorBidi" w:hAnsiTheme="majorBidi" w:cstheme="majorBidi"/>
        </w:rPr>
        <w:t>”</w:t>
      </w:r>
      <w:r w:rsidRPr="008645FC">
        <w:rPr>
          <w:rFonts w:asciiTheme="majorBidi" w:hAnsiTheme="majorBidi" w:cstheme="majorBidi"/>
        </w:rPr>
        <w:t>.</w:t>
      </w:r>
    </w:p>
    <w:p w14:paraId="5EE18C2A" w14:textId="77777777" w:rsidR="00A72D17" w:rsidRPr="008645FC" w:rsidRDefault="00A72D17" w:rsidP="008645FC">
      <w:pPr>
        <w:pStyle w:val="SingleTxtG"/>
        <w:tabs>
          <w:tab w:val="left" w:pos="5670"/>
        </w:tabs>
        <w:rPr>
          <w:rFonts w:asciiTheme="majorBidi" w:hAnsiTheme="majorBidi" w:cstheme="majorBidi"/>
        </w:rPr>
      </w:pPr>
      <w:r w:rsidRPr="008645FC">
        <w:rPr>
          <w:rFonts w:asciiTheme="majorBidi" w:hAnsiTheme="majorBidi" w:cstheme="majorBidi"/>
        </w:rPr>
        <w:t xml:space="preserve">3.3.2.3 a 3.3.2.9 (nuevo) Después de la tabla 3.3.2, insértense los nuevos párrafos siguientes (con las correspondientes notas a pie de página 2 y 3): </w:t>
      </w:r>
    </w:p>
    <w:p w14:paraId="0DCB06F2" w14:textId="2720198D" w:rsidR="00A72D17" w:rsidRPr="008645FC" w:rsidRDefault="008C5013" w:rsidP="008645FC">
      <w:pPr>
        <w:pStyle w:val="SingleTxtG"/>
        <w:ind w:left="2268"/>
        <w:rPr>
          <w:rFonts w:asciiTheme="majorBidi" w:hAnsiTheme="majorBidi" w:cstheme="majorBidi"/>
          <w:b/>
          <w:i/>
        </w:rPr>
      </w:pPr>
      <w:r w:rsidRPr="008645FC">
        <w:rPr>
          <w:rFonts w:asciiTheme="majorBidi" w:hAnsiTheme="majorBidi" w:cstheme="majorBidi"/>
        </w:rPr>
        <w:t>“</w:t>
      </w:r>
      <w:r w:rsidR="00A72D17" w:rsidRPr="008645FC">
        <w:rPr>
          <w:rFonts w:asciiTheme="majorBidi" w:hAnsiTheme="majorBidi" w:cstheme="majorBidi"/>
          <w:b/>
          <w:bCs/>
        </w:rPr>
        <w:t>3.3.2.3</w:t>
      </w:r>
      <w:r w:rsidR="00A72D17" w:rsidRPr="008645FC">
        <w:rPr>
          <w:rFonts w:asciiTheme="majorBidi" w:hAnsiTheme="majorBidi" w:cstheme="majorBidi"/>
        </w:rPr>
        <w:tab/>
      </w:r>
      <w:r w:rsidR="00A72D17" w:rsidRPr="008645FC">
        <w:rPr>
          <w:rFonts w:asciiTheme="majorBidi" w:hAnsiTheme="majorBidi" w:cstheme="majorBidi"/>
          <w:b/>
          <w:bCs/>
          <w:i/>
          <w:iCs/>
        </w:rPr>
        <w:t>Clasificación basada en enfoques definidos (etapa 2 en la figura 3.3.1)</w:t>
      </w:r>
    </w:p>
    <w:p w14:paraId="40D623AB" w14:textId="599FBBB3" w:rsidR="00A72D17" w:rsidRPr="008645FC" w:rsidRDefault="00A72D17" w:rsidP="008645FC">
      <w:pPr>
        <w:pStyle w:val="SingleTxtG"/>
        <w:tabs>
          <w:tab w:val="left" w:pos="3402"/>
        </w:tabs>
        <w:ind w:left="2268"/>
        <w:rPr>
          <w:rFonts w:asciiTheme="majorBidi" w:hAnsiTheme="majorBidi" w:cstheme="majorBidi"/>
        </w:rPr>
      </w:pPr>
      <w:r w:rsidRPr="008645FC">
        <w:rPr>
          <w:rFonts w:asciiTheme="majorBidi" w:hAnsiTheme="majorBidi" w:cstheme="majorBidi"/>
        </w:rPr>
        <w:t>3.3.2.3.1</w:t>
      </w:r>
      <w:r w:rsidRPr="008645FC">
        <w:rPr>
          <w:rFonts w:asciiTheme="majorBidi" w:hAnsiTheme="majorBidi" w:cstheme="majorBidi"/>
        </w:rPr>
        <w:tab/>
      </w:r>
      <w:r w:rsidRPr="008645FC">
        <w:rPr>
          <w:rFonts w:asciiTheme="majorBidi" w:hAnsiTheme="majorBidi" w:cstheme="majorBidi"/>
        </w:rPr>
        <w:tab/>
        <w:t xml:space="preserve">Los enfoques definidos consisten en una combinación basada en reglas de datos obtenidos a partir de un conjunto predefinido de diferentes fuentes de información (por ejemplo, métodos </w:t>
      </w:r>
      <w:r w:rsidR="00762E66" w:rsidRPr="008645FC">
        <w:rPr>
          <w:rFonts w:asciiTheme="majorBidi" w:hAnsiTheme="majorBidi" w:cstheme="majorBidi"/>
          <w:i/>
          <w:iCs/>
        </w:rPr>
        <w:t>in vitro</w:t>
      </w:r>
      <w:r w:rsidRPr="008645FC">
        <w:rPr>
          <w:rFonts w:asciiTheme="majorBidi" w:hAnsiTheme="majorBidi" w:cstheme="majorBidi"/>
        </w:rPr>
        <w:t xml:space="preserve">, métodos </w:t>
      </w:r>
      <w:r w:rsidR="00762E66" w:rsidRPr="008645FC">
        <w:rPr>
          <w:rFonts w:asciiTheme="majorBidi" w:hAnsiTheme="majorBidi" w:cstheme="majorBidi"/>
          <w:i/>
          <w:iCs/>
        </w:rPr>
        <w:t>ex vivo</w:t>
      </w:r>
      <w:r w:rsidRPr="008645FC">
        <w:rPr>
          <w:rFonts w:asciiTheme="majorBidi" w:hAnsiTheme="majorBidi" w:cstheme="majorBidi"/>
        </w:rPr>
        <w:t xml:space="preserve">, propiedades fisicoquímicas, métodos distintos de los ensayos). Cabe reconocer que la mayor parte de los métodos </w:t>
      </w:r>
      <w:r w:rsidR="00762E66" w:rsidRPr="008645FC">
        <w:rPr>
          <w:rFonts w:asciiTheme="majorBidi" w:hAnsiTheme="majorBidi" w:cstheme="majorBidi"/>
          <w:i/>
          <w:iCs/>
        </w:rPr>
        <w:t>in vitro</w:t>
      </w:r>
      <w:r w:rsidRPr="008645FC">
        <w:rPr>
          <w:rFonts w:asciiTheme="majorBidi" w:hAnsiTheme="majorBidi" w:cstheme="majorBidi"/>
        </w:rPr>
        <w:t>/</w:t>
      </w:r>
      <w:r w:rsidR="00762E66" w:rsidRPr="008645FC">
        <w:rPr>
          <w:rFonts w:asciiTheme="majorBidi" w:hAnsiTheme="majorBidi" w:cstheme="majorBidi"/>
          <w:i/>
          <w:iCs/>
        </w:rPr>
        <w:t>ex vivo</w:t>
      </w:r>
      <w:r w:rsidRPr="008645FC">
        <w:rPr>
          <w:rFonts w:asciiTheme="majorBidi" w:hAnsiTheme="majorBidi" w:cstheme="majorBidi"/>
        </w:rPr>
        <w:t xml:space="preserve"> por sí solos no pueden reemplazar completamente a los métodos </w:t>
      </w:r>
      <w:r w:rsidRPr="008645FC">
        <w:rPr>
          <w:rFonts w:asciiTheme="majorBidi" w:hAnsiTheme="majorBidi" w:cstheme="majorBidi"/>
          <w:i/>
          <w:iCs/>
        </w:rPr>
        <w:t>in vivo</w:t>
      </w:r>
      <w:r w:rsidRPr="008645FC">
        <w:rPr>
          <w:rFonts w:asciiTheme="majorBidi" w:hAnsiTheme="majorBidi" w:cstheme="majorBidi"/>
        </w:rPr>
        <w:t xml:space="preserve"> para la mayoría de los criterios terminales de valoración reglamentarios. Por ello, los enfoques definidos pueden servir para combinar datos con el fin de clasificar sustancias y mezclas. Los resultados obtenidos con un enfoque definido validado con arreglo a procedimientos internacionales, como una directriz de la OCDE relativa a un enfoque definido o un enfoque equivalente, son concluyentes para la clasificación de lesiones oculares graves/irritación ocular si se cumplen los criterios establecidos en el enfoque definido (véase 3.3.5.3.4)</w:t>
      </w:r>
      <w:r w:rsidRPr="008645FC">
        <w:rPr>
          <w:rFonts w:asciiTheme="majorBidi" w:hAnsiTheme="majorBidi" w:cstheme="majorBidi"/>
          <w:vertAlign w:val="superscript"/>
        </w:rPr>
        <w:t>2</w:t>
      </w:r>
      <w:r w:rsidRPr="008645FC">
        <w:rPr>
          <w:rFonts w:asciiTheme="majorBidi" w:hAnsiTheme="majorBidi" w:cstheme="majorBidi"/>
        </w:rPr>
        <w:t>. Los datos obtenidos mediante un enfoque definido solo pueden utilizarse para la clasificación cuando la sustancia sometida a ensayo corresponde al ámbito de aplicabilidad del enfoque definido empleado. También deben tenerse en cuenta otras limitaciones descritas en las publicaciones pertinentes.</w:t>
      </w:r>
    </w:p>
    <w:p w14:paraId="722321F9" w14:textId="77777777" w:rsidR="00A72D17" w:rsidRPr="008645FC" w:rsidRDefault="00A72D17" w:rsidP="008645FC">
      <w:pPr>
        <w:pStyle w:val="SingleTxtG"/>
        <w:tabs>
          <w:tab w:val="clear" w:pos="1701"/>
        </w:tabs>
        <w:ind w:left="2268"/>
        <w:rPr>
          <w:rFonts w:asciiTheme="majorBidi" w:hAnsiTheme="majorBidi" w:cstheme="majorBidi"/>
        </w:rPr>
      </w:pPr>
      <w:r w:rsidRPr="008645FC">
        <w:rPr>
          <w:rFonts w:asciiTheme="majorBidi" w:hAnsiTheme="majorBidi" w:cstheme="majorBidi"/>
        </w:rPr>
        <w:t>3.3.2.3.2</w:t>
      </w:r>
      <w:r w:rsidRPr="008645FC">
        <w:rPr>
          <w:rFonts w:asciiTheme="majorBidi" w:hAnsiTheme="majorBidi" w:cstheme="majorBidi"/>
        </w:rPr>
        <w:tab/>
        <w:t>Cuando se atribuye a los resultados de los enfoques definidos un nivel de confianza, un resultado poco fiable de un enfoque definido no puede utilizarse por sí solo para la clasificación, pero puede tenerse en cuenta en combinación con otros datos.</w:t>
      </w:r>
    </w:p>
    <w:p w14:paraId="48DB38E7" w14:textId="77777777" w:rsidR="00A72D17" w:rsidRPr="008645FC" w:rsidRDefault="00A72D17" w:rsidP="008645FC">
      <w:pPr>
        <w:pStyle w:val="SingleTxtG"/>
        <w:tabs>
          <w:tab w:val="clear" w:pos="1701"/>
        </w:tabs>
        <w:ind w:left="2268"/>
        <w:rPr>
          <w:rFonts w:asciiTheme="majorBidi" w:hAnsiTheme="majorBidi" w:cstheme="majorBidi"/>
          <w:i/>
          <w:iCs/>
        </w:rPr>
      </w:pPr>
      <w:r w:rsidRPr="008645FC">
        <w:rPr>
          <w:rFonts w:asciiTheme="majorBidi" w:hAnsiTheme="majorBidi" w:cstheme="majorBidi"/>
        </w:rPr>
        <w:t>3.3.2.3.3</w:t>
      </w:r>
      <w:r w:rsidRPr="008645FC">
        <w:rPr>
          <w:rFonts w:asciiTheme="majorBidi" w:hAnsiTheme="majorBidi" w:cstheme="majorBidi"/>
        </w:rPr>
        <w:tab/>
        <w:t>Una determinada prueba utilizada en el marco de un enfoque definido no debería utilizarse fuera de ese enfoque definido.</w:t>
      </w:r>
    </w:p>
    <w:p w14:paraId="1D22E20B" w14:textId="3130106D" w:rsidR="00A72D17" w:rsidRPr="008645FC" w:rsidRDefault="00A72D17" w:rsidP="008645FC">
      <w:pPr>
        <w:pStyle w:val="SingleTxtG"/>
        <w:tabs>
          <w:tab w:val="left" w:pos="3402"/>
        </w:tabs>
        <w:ind w:left="2268"/>
        <w:rPr>
          <w:rFonts w:asciiTheme="majorBidi" w:hAnsiTheme="majorBidi" w:cstheme="majorBidi"/>
          <w:b/>
          <w:i/>
        </w:rPr>
      </w:pPr>
      <w:r w:rsidRPr="008645FC">
        <w:rPr>
          <w:rFonts w:asciiTheme="majorBidi" w:hAnsiTheme="majorBidi" w:cstheme="majorBidi"/>
          <w:b/>
          <w:bCs/>
        </w:rPr>
        <w:t>3.3.2.4</w:t>
      </w:r>
      <w:r w:rsidRPr="008645FC">
        <w:rPr>
          <w:rFonts w:asciiTheme="majorBidi" w:hAnsiTheme="majorBidi" w:cstheme="majorBidi"/>
        </w:rPr>
        <w:tab/>
      </w:r>
      <w:r w:rsidRPr="008645FC">
        <w:rPr>
          <w:rFonts w:asciiTheme="majorBidi" w:hAnsiTheme="majorBidi" w:cstheme="majorBidi"/>
        </w:rPr>
        <w:tab/>
      </w:r>
      <w:r w:rsidRPr="008645FC">
        <w:rPr>
          <w:rFonts w:asciiTheme="majorBidi" w:hAnsiTheme="majorBidi" w:cstheme="majorBidi"/>
          <w:b/>
          <w:bCs/>
          <w:i/>
          <w:iCs/>
        </w:rPr>
        <w:t xml:space="preserve">Clasificación basada en datos </w:t>
      </w:r>
      <w:r w:rsidR="00762E66" w:rsidRPr="008645FC">
        <w:rPr>
          <w:rFonts w:asciiTheme="majorBidi" w:hAnsiTheme="majorBidi" w:cstheme="majorBidi"/>
          <w:b/>
          <w:bCs/>
        </w:rPr>
        <w:t>in vitro</w:t>
      </w:r>
      <w:r w:rsidRPr="008645FC">
        <w:rPr>
          <w:rFonts w:asciiTheme="majorBidi" w:hAnsiTheme="majorBidi" w:cstheme="majorBidi"/>
          <w:b/>
          <w:bCs/>
          <w:i/>
          <w:iCs/>
        </w:rPr>
        <w:t>/</w:t>
      </w:r>
      <w:r w:rsidR="00762E66" w:rsidRPr="008645FC">
        <w:rPr>
          <w:rFonts w:asciiTheme="majorBidi" w:hAnsiTheme="majorBidi" w:cstheme="majorBidi"/>
          <w:b/>
          <w:bCs/>
        </w:rPr>
        <w:t>ex vivo</w:t>
      </w:r>
      <w:r w:rsidRPr="008645FC">
        <w:rPr>
          <w:rFonts w:asciiTheme="majorBidi" w:hAnsiTheme="majorBidi" w:cstheme="majorBidi"/>
          <w:b/>
          <w:bCs/>
          <w:i/>
          <w:iCs/>
        </w:rPr>
        <w:t xml:space="preserve"> (etapa 2 en la figura 3.3.1)</w:t>
      </w:r>
    </w:p>
    <w:p w14:paraId="5E467797" w14:textId="7F174D00" w:rsidR="00A72D17" w:rsidRPr="008645FC" w:rsidRDefault="00A72D17" w:rsidP="008645FC">
      <w:pPr>
        <w:pStyle w:val="SingleTxtG"/>
        <w:tabs>
          <w:tab w:val="left" w:pos="3402"/>
        </w:tabs>
        <w:ind w:left="2268"/>
        <w:rPr>
          <w:rFonts w:asciiTheme="majorBidi" w:hAnsiTheme="majorBidi" w:cstheme="majorBidi"/>
        </w:rPr>
      </w:pPr>
      <w:r w:rsidRPr="008645FC">
        <w:rPr>
          <w:rFonts w:asciiTheme="majorBidi" w:hAnsiTheme="majorBidi" w:cstheme="majorBidi"/>
        </w:rPr>
        <w:t>3.3.2.4.1</w:t>
      </w:r>
      <w:r w:rsidRPr="008645FC">
        <w:rPr>
          <w:rFonts w:asciiTheme="majorBidi" w:hAnsiTheme="majorBidi" w:cstheme="majorBidi"/>
        </w:rPr>
        <w:tab/>
        <w:t xml:space="preserve">Los criterios de clasificación de los métodos de ensayo </w:t>
      </w:r>
      <w:r w:rsidR="00762E66" w:rsidRPr="008645FC">
        <w:rPr>
          <w:rFonts w:asciiTheme="majorBidi" w:hAnsiTheme="majorBidi" w:cstheme="majorBidi"/>
          <w:i/>
          <w:iCs/>
        </w:rPr>
        <w:t>in vitro</w:t>
      </w:r>
      <w:r w:rsidRPr="008645FC">
        <w:rPr>
          <w:rFonts w:asciiTheme="majorBidi" w:hAnsiTheme="majorBidi" w:cstheme="majorBidi"/>
        </w:rPr>
        <w:t>/</w:t>
      </w:r>
      <w:r w:rsidR="00762E66" w:rsidRPr="008645FC">
        <w:rPr>
          <w:rFonts w:asciiTheme="majorBidi" w:hAnsiTheme="majorBidi" w:cstheme="majorBidi"/>
          <w:i/>
          <w:iCs/>
        </w:rPr>
        <w:t>ex vivo</w:t>
      </w:r>
      <w:r w:rsidRPr="008645FC">
        <w:rPr>
          <w:rFonts w:asciiTheme="majorBidi" w:hAnsiTheme="majorBidi" w:cstheme="majorBidi"/>
        </w:rPr>
        <w:t xml:space="preserve"> actualmente disponibles adoptados por la OCDE en las directrices 437, 438, 460, 491, 492, 494 y 496 se describen en la tabla 3.3.6 (véase 3.3.5.3.5.1). A título individual, estas directrices de la OCDE relativas a ensayos </w:t>
      </w:r>
      <w:r w:rsidR="00762E66" w:rsidRPr="008645FC">
        <w:rPr>
          <w:rFonts w:asciiTheme="majorBidi" w:hAnsiTheme="majorBidi" w:cstheme="majorBidi"/>
          <w:i/>
          <w:iCs/>
        </w:rPr>
        <w:t>in vitro</w:t>
      </w:r>
      <w:r w:rsidRPr="008645FC">
        <w:rPr>
          <w:rFonts w:asciiTheme="majorBidi" w:hAnsiTheme="majorBidi" w:cstheme="majorBidi"/>
        </w:rPr>
        <w:t>/</w:t>
      </w:r>
      <w:r w:rsidR="00762E66" w:rsidRPr="008645FC">
        <w:rPr>
          <w:rFonts w:asciiTheme="majorBidi" w:hAnsiTheme="majorBidi" w:cstheme="majorBidi"/>
          <w:i/>
          <w:iCs/>
        </w:rPr>
        <w:t>ex vivo</w:t>
      </w:r>
      <w:r w:rsidRPr="008645FC">
        <w:rPr>
          <w:rFonts w:asciiTheme="majorBidi" w:hAnsiTheme="majorBidi" w:cstheme="majorBidi"/>
        </w:rPr>
        <w:t xml:space="preserve"> se ocupan de las lesiones oculares graves o la no clasificación por peligro ocular, pero no de la irritación ocular. Por consiguiente, los datos procedentes de un único ensayo </w:t>
      </w:r>
      <w:r w:rsidR="00762E66" w:rsidRPr="008645FC">
        <w:rPr>
          <w:rFonts w:asciiTheme="majorBidi" w:hAnsiTheme="majorBidi" w:cstheme="majorBidi"/>
          <w:i/>
          <w:iCs/>
        </w:rPr>
        <w:t>in vitro</w:t>
      </w:r>
      <w:r w:rsidRPr="008645FC">
        <w:rPr>
          <w:rFonts w:asciiTheme="majorBidi" w:hAnsiTheme="majorBidi" w:cstheme="majorBidi"/>
        </w:rPr>
        <w:t>/</w:t>
      </w:r>
      <w:r w:rsidR="00762E66" w:rsidRPr="008645FC">
        <w:rPr>
          <w:rFonts w:asciiTheme="majorBidi" w:hAnsiTheme="majorBidi" w:cstheme="majorBidi"/>
          <w:i/>
          <w:iCs/>
        </w:rPr>
        <w:t>ex vivo</w:t>
      </w:r>
      <w:r w:rsidRPr="008645FC">
        <w:rPr>
          <w:rFonts w:asciiTheme="majorBidi" w:hAnsiTheme="majorBidi" w:cstheme="majorBidi"/>
        </w:rPr>
        <w:t xml:space="preserve"> con arreglo a una directriz de la OCDE solo pueden utilizarse para concluir la clasificación en la categoría 1 o la no clasificación, pero no para concluir la clasificación en la categoría 2. Cuando el resultado de un único método </w:t>
      </w:r>
      <w:r w:rsidR="00762E66" w:rsidRPr="008645FC">
        <w:rPr>
          <w:rFonts w:asciiTheme="majorBidi" w:hAnsiTheme="majorBidi" w:cstheme="majorBidi"/>
          <w:i/>
          <w:iCs/>
        </w:rPr>
        <w:t>in vitro</w:t>
      </w:r>
      <w:r w:rsidRPr="008645FC">
        <w:rPr>
          <w:rFonts w:asciiTheme="majorBidi" w:hAnsiTheme="majorBidi" w:cstheme="majorBidi"/>
        </w:rPr>
        <w:t>/</w:t>
      </w:r>
      <w:r w:rsidR="00762E66" w:rsidRPr="008645FC">
        <w:rPr>
          <w:rFonts w:asciiTheme="majorBidi" w:hAnsiTheme="majorBidi" w:cstheme="majorBidi"/>
          <w:i/>
          <w:iCs/>
        </w:rPr>
        <w:t>ex vivo</w:t>
      </w:r>
      <w:r w:rsidRPr="008645FC">
        <w:rPr>
          <w:rFonts w:asciiTheme="majorBidi" w:hAnsiTheme="majorBidi" w:cstheme="majorBidi"/>
        </w:rPr>
        <w:t xml:space="preserve"> es </w:t>
      </w:r>
      <w:r w:rsidR="008C5013" w:rsidRPr="008645FC">
        <w:rPr>
          <w:rFonts w:asciiTheme="majorBidi" w:hAnsiTheme="majorBidi" w:cstheme="majorBidi"/>
        </w:rPr>
        <w:t>“</w:t>
      </w:r>
      <w:r w:rsidRPr="008645FC">
        <w:rPr>
          <w:rFonts w:asciiTheme="majorBidi" w:hAnsiTheme="majorBidi" w:cstheme="majorBidi"/>
        </w:rPr>
        <w:t>no puede hacerse ninguna predicción independiente</w:t>
      </w:r>
      <w:r w:rsidR="008C5013" w:rsidRPr="008645FC">
        <w:rPr>
          <w:rFonts w:asciiTheme="majorBidi" w:hAnsiTheme="majorBidi" w:cstheme="majorBidi"/>
        </w:rPr>
        <w:t>”</w:t>
      </w:r>
      <w:r w:rsidRPr="008645FC">
        <w:rPr>
          <w:rFonts w:asciiTheme="majorBidi" w:hAnsiTheme="majorBidi" w:cstheme="majorBidi"/>
        </w:rPr>
        <w:t xml:space="preserve"> (por</w:t>
      </w:r>
      <w:r w:rsidR="008A7CA3">
        <w:rPr>
          <w:rFonts w:asciiTheme="majorBidi" w:hAnsiTheme="majorBidi" w:cstheme="majorBidi"/>
        </w:rPr>
        <w:t> </w:t>
      </w:r>
      <w:r w:rsidRPr="008645FC">
        <w:rPr>
          <w:rFonts w:asciiTheme="majorBidi" w:hAnsiTheme="majorBidi" w:cstheme="majorBidi"/>
        </w:rPr>
        <w:t xml:space="preserve">ejemplo, véase la tabla 3.3.6), no puede extraerse una conclusión sobre la </w:t>
      </w:r>
      <w:r w:rsidRPr="008645FC">
        <w:rPr>
          <w:rFonts w:asciiTheme="majorBidi" w:hAnsiTheme="majorBidi" w:cstheme="majorBidi"/>
        </w:rPr>
        <w:lastRenderedPageBreak/>
        <w:t>base de ese único resultado, por lo que se necesitan más datos para llevar a cabo la clasificación (véanse 3.3.5.3.4.3 y 3.3.5.3.4.4).</w:t>
      </w:r>
    </w:p>
    <w:p w14:paraId="5066D384" w14:textId="616E1F33" w:rsidR="00A72D17" w:rsidRPr="008645FC" w:rsidRDefault="00A72D17" w:rsidP="008645FC">
      <w:pPr>
        <w:pStyle w:val="SingleTxtG"/>
        <w:tabs>
          <w:tab w:val="clear" w:pos="1701"/>
        </w:tabs>
        <w:ind w:left="2268"/>
        <w:rPr>
          <w:rFonts w:asciiTheme="majorBidi" w:hAnsiTheme="majorBidi" w:cstheme="majorBidi"/>
        </w:rPr>
      </w:pPr>
      <w:bookmarkStart w:id="2" w:name="_Hlk113622132"/>
      <w:r w:rsidRPr="008645FC">
        <w:rPr>
          <w:rFonts w:asciiTheme="majorBidi" w:hAnsiTheme="majorBidi" w:cstheme="majorBidi"/>
        </w:rPr>
        <w:t>3.3.2.4.2</w:t>
      </w:r>
      <w:r w:rsidRPr="008645FC">
        <w:rPr>
          <w:rFonts w:asciiTheme="majorBidi" w:hAnsiTheme="majorBidi" w:cstheme="majorBidi"/>
        </w:rPr>
        <w:tab/>
        <w:t xml:space="preserve">Los métodos </w:t>
      </w:r>
      <w:r w:rsidR="00762E66" w:rsidRPr="008645FC">
        <w:rPr>
          <w:rFonts w:asciiTheme="majorBidi" w:hAnsiTheme="majorBidi" w:cstheme="majorBidi"/>
          <w:i/>
          <w:iCs/>
        </w:rPr>
        <w:t>in vitro</w:t>
      </w:r>
      <w:r w:rsidRPr="008645FC">
        <w:rPr>
          <w:rFonts w:asciiTheme="majorBidi" w:hAnsiTheme="majorBidi" w:cstheme="majorBidi"/>
        </w:rPr>
        <w:t>/</w:t>
      </w:r>
      <w:r w:rsidR="00762E66" w:rsidRPr="008645FC">
        <w:rPr>
          <w:rFonts w:asciiTheme="majorBidi" w:hAnsiTheme="majorBidi" w:cstheme="majorBidi"/>
          <w:i/>
          <w:iCs/>
        </w:rPr>
        <w:t>ex vivo</w:t>
      </w:r>
      <w:r w:rsidRPr="008645FC">
        <w:rPr>
          <w:rFonts w:asciiTheme="majorBidi" w:hAnsiTheme="majorBidi" w:cstheme="majorBidi"/>
        </w:rPr>
        <w:t xml:space="preserve"> mencionados en 3.3.2.4.1 cuyo resultado es </w:t>
      </w:r>
      <w:r w:rsidR="008C5013" w:rsidRPr="008645FC">
        <w:rPr>
          <w:rFonts w:asciiTheme="majorBidi" w:hAnsiTheme="majorBidi" w:cstheme="majorBidi"/>
        </w:rPr>
        <w:t>“</w:t>
      </w:r>
      <w:r w:rsidRPr="008645FC">
        <w:rPr>
          <w:rFonts w:asciiTheme="majorBidi" w:hAnsiTheme="majorBidi" w:cstheme="majorBidi"/>
        </w:rPr>
        <w:t>no puede hacerse ninguna predicción independiente</w:t>
      </w:r>
      <w:r w:rsidR="008C5013" w:rsidRPr="008645FC">
        <w:rPr>
          <w:rFonts w:asciiTheme="majorBidi" w:hAnsiTheme="majorBidi" w:cstheme="majorBidi"/>
        </w:rPr>
        <w:t>”</w:t>
      </w:r>
      <w:r w:rsidRPr="008645FC">
        <w:rPr>
          <w:rFonts w:asciiTheme="majorBidi" w:hAnsiTheme="majorBidi" w:cstheme="majorBidi"/>
        </w:rPr>
        <w:t xml:space="preserve"> no deberían utilizarse en la etapa 2 si no es en combinación con otros tipos de datos en el marco de enfoques definidos. </w:t>
      </w:r>
      <w:bookmarkEnd w:id="2"/>
    </w:p>
    <w:p w14:paraId="13CD4BDE" w14:textId="69D941F9" w:rsidR="00A72D17" w:rsidRPr="008645FC" w:rsidRDefault="00A72D17" w:rsidP="008645FC">
      <w:pPr>
        <w:pStyle w:val="SingleTxtG"/>
        <w:ind w:left="2268"/>
        <w:rPr>
          <w:rFonts w:asciiTheme="majorBidi" w:hAnsiTheme="majorBidi" w:cstheme="majorBidi"/>
        </w:rPr>
      </w:pPr>
      <w:r w:rsidRPr="008645FC">
        <w:rPr>
          <w:rFonts w:asciiTheme="majorBidi" w:hAnsiTheme="majorBidi" w:cstheme="majorBidi"/>
        </w:rPr>
        <w:t>3.3.2.4.3</w:t>
      </w:r>
      <w:r w:rsidRPr="008645FC">
        <w:rPr>
          <w:rFonts w:asciiTheme="majorBidi" w:hAnsiTheme="majorBidi" w:cstheme="majorBidi"/>
        </w:rPr>
        <w:tab/>
        <w:t xml:space="preserve">En 3.3.5.3.5.2 se describen otros métodos de ensayo </w:t>
      </w:r>
      <w:r w:rsidR="00762E66" w:rsidRPr="008645FC">
        <w:rPr>
          <w:rFonts w:asciiTheme="majorBidi" w:hAnsiTheme="majorBidi" w:cstheme="majorBidi"/>
          <w:i/>
          <w:iCs/>
        </w:rPr>
        <w:t>in vitro</w:t>
      </w:r>
      <w:r w:rsidRPr="008645FC">
        <w:rPr>
          <w:rFonts w:asciiTheme="majorBidi" w:hAnsiTheme="majorBidi" w:cstheme="majorBidi"/>
        </w:rPr>
        <w:t>/</w:t>
      </w:r>
      <w:r w:rsidR="00762E66" w:rsidRPr="008645FC">
        <w:rPr>
          <w:rFonts w:asciiTheme="majorBidi" w:hAnsiTheme="majorBidi" w:cstheme="majorBidi"/>
          <w:i/>
          <w:iCs/>
        </w:rPr>
        <w:t>ex vivo</w:t>
      </w:r>
      <w:r w:rsidRPr="008645FC">
        <w:rPr>
          <w:rFonts w:asciiTheme="majorBidi" w:hAnsiTheme="majorBidi" w:cstheme="majorBidi"/>
        </w:rPr>
        <w:t xml:space="preserve"> validados y aceptados por algunas autoridades competentes. Algunos de ellos pueden ser útiles para la clasificación en la categoría 2. Una autoridad competente podrá decidir qué criterios de clasificación deberían aplicarse, si es el caso, a esos métodos de ensayo para llegar a una conclusión sobre la clasificación de la sustancia, que podría ser, entre otras, la de no clasificarla por sus efectos en los ojos.</w:t>
      </w:r>
    </w:p>
    <w:p w14:paraId="45E4401E" w14:textId="71B656E5" w:rsidR="00A72D17" w:rsidRPr="008645FC" w:rsidRDefault="00A72D17" w:rsidP="008645FC">
      <w:pPr>
        <w:pStyle w:val="SingleTxtG"/>
        <w:ind w:left="2268"/>
        <w:rPr>
          <w:rFonts w:asciiTheme="majorBidi" w:hAnsiTheme="majorBidi" w:cstheme="majorBidi"/>
        </w:rPr>
      </w:pPr>
      <w:r w:rsidRPr="008645FC">
        <w:rPr>
          <w:rFonts w:asciiTheme="majorBidi" w:hAnsiTheme="majorBidi" w:cstheme="majorBidi"/>
        </w:rPr>
        <w:t>3.3.2.4.4</w:t>
      </w:r>
      <w:r w:rsidRPr="008645FC">
        <w:rPr>
          <w:rFonts w:asciiTheme="majorBidi" w:hAnsiTheme="majorBidi" w:cstheme="majorBidi"/>
        </w:rPr>
        <w:tab/>
        <w:t xml:space="preserve">Los datos </w:t>
      </w:r>
      <w:r w:rsidR="00762E66" w:rsidRPr="008645FC">
        <w:rPr>
          <w:rFonts w:asciiTheme="majorBidi" w:hAnsiTheme="majorBidi" w:cstheme="majorBidi"/>
          <w:i/>
          <w:iCs/>
        </w:rPr>
        <w:t>in vitro</w:t>
      </w:r>
      <w:r w:rsidRPr="008645FC">
        <w:rPr>
          <w:rFonts w:asciiTheme="majorBidi" w:hAnsiTheme="majorBidi" w:cstheme="majorBidi"/>
        </w:rPr>
        <w:t>/</w:t>
      </w:r>
      <w:r w:rsidR="00762E66" w:rsidRPr="008645FC">
        <w:rPr>
          <w:rFonts w:asciiTheme="majorBidi" w:hAnsiTheme="majorBidi" w:cstheme="majorBidi"/>
          <w:i/>
          <w:iCs/>
        </w:rPr>
        <w:t>ex vivo</w:t>
      </w:r>
      <w:r w:rsidRPr="008645FC">
        <w:rPr>
          <w:rFonts w:asciiTheme="majorBidi" w:hAnsiTheme="majorBidi" w:cstheme="majorBidi"/>
        </w:rPr>
        <w:t xml:space="preserve"> solo pueden utilizarse para la clasificación cuando la sustancia sometida a ensayo corresponde al ámbito de aplicabilidad del método o métodos de ensayo utilizados. También deben tenerse en cuenta otras limitaciones descritas en las publicaciones pertinentes.</w:t>
      </w:r>
    </w:p>
    <w:p w14:paraId="607C88C7" w14:textId="77777777" w:rsidR="00A72D17" w:rsidRPr="008645FC" w:rsidRDefault="00A72D17" w:rsidP="008645FC">
      <w:pPr>
        <w:pStyle w:val="SingleTxtG"/>
        <w:keepNext/>
        <w:keepLines/>
        <w:ind w:left="2268"/>
        <w:rPr>
          <w:rFonts w:asciiTheme="majorBidi" w:hAnsiTheme="majorBidi" w:cstheme="majorBidi"/>
        </w:rPr>
      </w:pPr>
      <w:r w:rsidRPr="008645FC">
        <w:rPr>
          <w:rFonts w:asciiTheme="majorBidi" w:hAnsiTheme="majorBidi" w:cstheme="majorBidi"/>
        </w:rPr>
        <w:t>3.3.2.4.5</w:t>
      </w:r>
      <w:r w:rsidRPr="008645FC">
        <w:rPr>
          <w:rFonts w:asciiTheme="majorBidi" w:hAnsiTheme="majorBidi" w:cstheme="majorBidi"/>
        </w:rPr>
        <w:tab/>
      </w:r>
      <w:r w:rsidRPr="008645FC">
        <w:rPr>
          <w:rFonts w:asciiTheme="majorBidi" w:hAnsiTheme="majorBidi" w:cstheme="majorBidi"/>
          <w:i/>
          <w:iCs/>
        </w:rPr>
        <w:t>Lesiones oculares graves (categoría 1)/efectos irreversibles en los ojos</w:t>
      </w:r>
    </w:p>
    <w:p w14:paraId="249817E1" w14:textId="77777777" w:rsidR="00A72D17" w:rsidRPr="008645FC" w:rsidRDefault="00A72D17" w:rsidP="008645FC">
      <w:pPr>
        <w:pStyle w:val="SingleTxtG"/>
        <w:keepNext/>
        <w:keepLines/>
        <w:ind w:left="2268"/>
        <w:rPr>
          <w:rFonts w:asciiTheme="majorBidi" w:hAnsiTheme="majorBidi" w:cstheme="majorBidi"/>
        </w:rPr>
      </w:pPr>
      <w:r w:rsidRPr="008645FC">
        <w:rPr>
          <w:rFonts w:asciiTheme="majorBidi" w:hAnsiTheme="majorBidi" w:cstheme="majorBidi"/>
        </w:rPr>
        <w:t>3.3.2.4.5.1</w:t>
      </w:r>
      <w:r w:rsidRPr="008645FC">
        <w:rPr>
          <w:rFonts w:asciiTheme="majorBidi" w:hAnsiTheme="majorBidi" w:cstheme="majorBidi"/>
        </w:rPr>
        <w:tab/>
        <w:t>Cuando se hayan realizado ensayos de conformidad con las directrices 437, 438, 460, 491 o 496 de la OCDE, la sustancia se clasificará en la categoría 1 de lesiones oculares graves aplicando los criterios indicados en la tabla 3.3.6 (véase 3.3.5.3.5.1).</w:t>
      </w:r>
    </w:p>
    <w:p w14:paraId="79D8E78E" w14:textId="0EC0C10C" w:rsidR="00A72D17" w:rsidRPr="008645FC" w:rsidRDefault="00A72D17" w:rsidP="008645FC">
      <w:pPr>
        <w:pStyle w:val="SingleTxtG"/>
        <w:ind w:left="2268"/>
        <w:rPr>
          <w:rFonts w:asciiTheme="majorBidi" w:hAnsiTheme="majorBidi" w:cstheme="majorBidi"/>
        </w:rPr>
      </w:pPr>
      <w:r w:rsidRPr="008645FC">
        <w:rPr>
          <w:rFonts w:asciiTheme="majorBidi" w:hAnsiTheme="majorBidi" w:cstheme="majorBidi"/>
        </w:rPr>
        <w:t>3.3.2.4.5.2</w:t>
      </w:r>
      <w:r w:rsidRPr="008645FC">
        <w:rPr>
          <w:rFonts w:asciiTheme="majorBidi" w:hAnsiTheme="majorBidi" w:cstheme="majorBidi"/>
        </w:rPr>
        <w:tab/>
        <w:t xml:space="preserve">Si bien las directrices de la OCDE relativas a los ensayos </w:t>
      </w:r>
      <w:r w:rsidR="00762E66" w:rsidRPr="008645FC">
        <w:rPr>
          <w:rFonts w:asciiTheme="majorBidi" w:hAnsiTheme="majorBidi" w:cstheme="majorBidi"/>
          <w:i/>
          <w:iCs/>
        </w:rPr>
        <w:t>in vitro</w:t>
      </w:r>
      <w:r w:rsidRPr="008645FC">
        <w:rPr>
          <w:rFonts w:asciiTheme="majorBidi" w:hAnsiTheme="majorBidi" w:cstheme="majorBidi"/>
        </w:rPr>
        <w:t>/</w:t>
      </w:r>
      <w:r w:rsidR="00762E66" w:rsidRPr="008645FC">
        <w:rPr>
          <w:rFonts w:asciiTheme="majorBidi" w:hAnsiTheme="majorBidi" w:cstheme="majorBidi"/>
          <w:i/>
          <w:iCs/>
        </w:rPr>
        <w:t>ex vivo</w:t>
      </w:r>
      <w:r w:rsidRPr="008645FC">
        <w:rPr>
          <w:rFonts w:asciiTheme="majorBidi" w:hAnsiTheme="majorBidi" w:cstheme="majorBidi"/>
        </w:rPr>
        <w:t xml:space="preserve"> y los métodos equivalentes actualmente disponibles no han sido concebidos con el objeto de identificar las sustancias que causan decoloración del ojo, en estos ensayos pueden observarse algunos efectos comparables. Por consiguiente, cuando tras el lavado se observe por un método conforme a las directrices 437, 438, 492 o 494 de la OCDE, u otros métodos equivalentes, una decoloración de la córnea o de las células sometidas a ensayo con respecto al control que sugiera un efecto permanente, una autoridad competente podrá exigir la clasificación de la sustancia en la categoría 1 de lesiones oculares graves.</w:t>
      </w:r>
    </w:p>
    <w:p w14:paraId="1138241B" w14:textId="77777777" w:rsidR="00A72D17" w:rsidRPr="008645FC" w:rsidRDefault="00A72D17" w:rsidP="008645FC">
      <w:pPr>
        <w:pStyle w:val="SingleTxtG"/>
        <w:ind w:left="2268"/>
        <w:rPr>
          <w:rFonts w:asciiTheme="majorBidi" w:hAnsiTheme="majorBidi" w:cstheme="majorBidi"/>
          <w:bCs/>
        </w:rPr>
      </w:pPr>
      <w:r w:rsidRPr="008645FC">
        <w:rPr>
          <w:rFonts w:asciiTheme="majorBidi" w:hAnsiTheme="majorBidi" w:cstheme="majorBidi"/>
        </w:rPr>
        <w:t>3.3.2.4.6</w:t>
      </w:r>
      <w:r w:rsidRPr="008645FC">
        <w:rPr>
          <w:rFonts w:asciiTheme="majorBidi" w:hAnsiTheme="majorBidi" w:cstheme="majorBidi"/>
        </w:rPr>
        <w:tab/>
      </w:r>
      <w:r w:rsidRPr="008645FC">
        <w:rPr>
          <w:rFonts w:asciiTheme="majorBidi" w:hAnsiTheme="majorBidi" w:cstheme="majorBidi"/>
          <w:i/>
          <w:iCs/>
        </w:rPr>
        <w:t>Irritación ocular (categoría 2)/Efectos reversibles en el ojo</w:t>
      </w:r>
      <w:r w:rsidRPr="008645FC">
        <w:rPr>
          <w:rFonts w:asciiTheme="majorBidi" w:hAnsiTheme="majorBidi" w:cstheme="majorBidi"/>
        </w:rPr>
        <w:t xml:space="preserve"> </w:t>
      </w:r>
    </w:p>
    <w:p w14:paraId="31CDDA7B" w14:textId="7BA9322F" w:rsidR="00A72D17" w:rsidRPr="008645FC" w:rsidRDefault="00A72D17" w:rsidP="008645FC">
      <w:pPr>
        <w:pStyle w:val="SingleTxtG"/>
        <w:ind w:left="2268"/>
        <w:rPr>
          <w:rFonts w:asciiTheme="majorBidi" w:hAnsiTheme="majorBidi" w:cstheme="majorBidi"/>
        </w:rPr>
      </w:pPr>
      <w:bookmarkStart w:id="3" w:name="_Hlk25673670"/>
      <w:r w:rsidRPr="008645FC">
        <w:rPr>
          <w:rFonts w:asciiTheme="majorBidi" w:hAnsiTheme="majorBidi" w:cstheme="majorBidi"/>
        </w:rPr>
        <w:t>3.3.2.4.6.1</w:t>
      </w:r>
      <w:r w:rsidRPr="008645FC">
        <w:rPr>
          <w:rFonts w:asciiTheme="majorBidi" w:hAnsiTheme="majorBidi" w:cstheme="majorBidi"/>
        </w:rPr>
        <w:tab/>
        <w:t xml:space="preserve">Un resultado positivo en un método de ensayo </w:t>
      </w:r>
      <w:r w:rsidR="00762E66" w:rsidRPr="008645FC">
        <w:rPr>
          <w:rFonts w:asciiTheme="majorBidi" w:hAnsiTheme="majorBidi" w:cstheme="majorBidi"/>
          <w:i/>
          <w:iCs/>
        </w:rPr>
        <w:t>in vitro</w:t>
      </w:r>
      <w:r w:rsidRPr="008645FC">
        <w:rPr>
          <w:rFonts w:asciiTheme="majorBidi" w:hAnsiTheme="majorBidi" w:cstheme="majorBidi"/>
        </w:rPr>
        <w:t>/</w:t>
      </w:r>
      <w:r w:rsidR="00762E66" w:rsidRPr="008645FC">
        <w:rPr>
          <w:rFonts w:asciiTheme="majorBidi" w:hAnsiTheme="majorBidi" w:cstheme="majorBidi"/>
          <w:i/>
          <w:iCs/>
        </w:rPr>
        <w:t>ex vivo</w:t>
      </w:r>
      <w:r w:rsidRPr="008645FC">
        <w:rPr>
          <w:rFonts w:asciiTheme="majorBidi" w:hAnsiTheme="majorBidi" w:cstheme="majorBidi"/>
        </w:rPr>
        <w:t xml:space="preserve"> validado con arreglo a procedimientos internacionales para la identificación de sustancias que causan irritación ocular puede utilizarse para clasificar la sustancia como irritante ocular en la categoría 2/2A</w:t>
      </w:r>
      <w:r w:rsidRPr="008645FC">
        <w:rPr>
          <w:rFonts w:asciiTheme="majorBidi" w:hAnsiTheme="majorBidi" w:cstheme="majorBidi"/>
          <w:vertAlign w:val="superscript"/>
        </w:rPr>
        <w:t>3</w:t>
      </w:r>
      <w:r w:rsidRPr="008645FC">
        <w:rPr>
          <w:rFonts w:asciiTheme="majorBidi" w:hAnsiTheme="majorBidi" w:cstheme="majorBidi"/>
        </w:rPr>
        <w:t>.</w:t>
      </w:r>
      <w:bookmarkEnd w:id="3"/>
    </w:p>
    <w:p w14:paraId="41435CC7" w14:textId="4C81F69B" w:rsidR="00A72D17" w:rsidRPr="008645FC" w:rsidRDefault="00A72D17" w:rsidP="008645FC">
      <w:pPr>
        <w:pStyle w:val="SingleTxtG"/>
        <w:ind w:left="2268"/>
        <w:rPr>
          <w:rFonts w:asciiTheme="majorBidi" w:hAnsiTheme="majorBidi" w:cstheme="majorBidi"/>
        </w:rPr>
      </w:pPr>
      <w:r w:rsidRPr="008645FC">
        <w:rPr>
          <w:rFonts w:asciiTheme="majorBidi" w:hAnsiTheme="majorBidi" w:cstheme="majorBidi"/>
        </w:rPr>
        <w:t>3.3.2.4.6.2</w:t>
      </w:r>
      <w:r w:rsidRPr="008645FC">
        <w:rPr>
          <w:rFonts w:asciiTheme="majorBidi" w:hAnsiTheme="majorBidi" w:cstheme="majorBidi"/>
        </w:rPr>
        <w:tab/>
        <w:t xml:space="preserve">Cabe señalar que, si las autoridades competentes optan por la categoría 2A o la categoría 2B, los métodos de ensayo </w:t>
      </w:r>
      <w:r w:rsidR="00762E66" w:rsidRPr="008645FC">
        <w:rPr>
          <w:rFonts w:asciiTheme="majorBidi" w:hAnsiTheme="majorBidi" w:cstheme="majorBidi"/>
          <w:i/>
          <w:iCs/>
        </w:rPr>
        <w:t>in vitro</w:t>
      </w:r>
      <w:r w:rsidRPr="008645FC">
        <w:rPr>
          <w:rFonts w:asciiTheme="majorBidi" w:hAnsiTheme="majorBidi" w:cstheme="majorBidi"/>
        </w:rPr>
        <w:t>/</w:t>
      </w:r>
      <w:r w:rsidR="00762E66" w:rsidRPr="008645FC">
        <w:rPr>
          <w:rFonts w:asciiTheme="majorBidi" w:hAnsiTheme="majorBidi" w:cstheme="majorBidi"/>
          <w:i/>
          <w:iCs/>
        </w:rPr>
        <w:t>ex vivo</w:t>
      </w:r>
      <w:r w:rsidRPr="008645FC">
        <w:rPr>
          <w:rFonts w:asciiTheme="majorBidi" w:hAnsiTheme="majorBidi" w:cstheme="majorBidi"/>
        </w:rPr>
        <w:t xml:space="preserve"> actualmente validados para evaluar los efectos en los ojos no permiten distinguir entre estas dos categorías. En este caso, si se ha considerado que se cumplen los criterios para la clasificación en la categoría 2 y no se dispone de otra información pertinente, debería optarse por la clasificación en la categoría</w:t>
      </w:r>
      <w:r w:rsidR="008A7CA3">
        <w:rPr>
          <w:rFonts w:asciiTheme="majorBidi" w:hAnsiTheme="majorBidi" w:cstheme="majorBidi"/>
        </w:rPr>
        <w:t> </w:t>
      </w:r>
      <w:r w:rsidRPr="008645FC">
        <w:rPr>
          <w:rFonts w:asciiTheme="majorBidi" w:hAnsiTheme="majorBidi" w:cstheme="majorBidi"/>
        </w:rPr>
        <w:t>2/2A.</w:t>
      </w:r>
    </w:p>
    <w:p w14:paraId="504B0BB1" w14:textId="77777777" w:rsidR="00A72D17" w:rsidRPr="008645FC" w:rsidRDefault="00A72D17" w:rsidP="008645FC">
      <w:pPr>
        <w:pStyle w:val="SingleTxtG"/>
        <w:ind w:left="2268"/>
        <w:rPr>
          <w:rFonts w:asciiTheme="majorBidi" w:hAnsiTheme="majorBidi" w:cstheme="majorBidi"/>
        </w:rPr>
      </w:pPr>
      <w:r w:rsidRPr="008645FC">
        <w:rPr>
          <w:rFonts w:asciiTheme="majorBidi" w:hAnsiTheme="majorBidi" w:cstheme="majorBidi"/>
        </w:rPr>
        <w:t>3.3.2.4.7</w:t>
      </w:r>
      <w:r w:rsidRPr="008645FC">
        <w:rPr>
          <w:rFonts w:asciiTheme="majorBidi" w:hAnsiTheme="majorBidi" w:cstheme="majorBidi"/>
        </w:rPr>
        <w:tab/>
      </w:r>
      <w:r w:rsidRPr="008645FC">
        <w:rPr>
          <w:rFonts w:asciiTheme="majorBidi" w:hAnsiTheme="majorBidi" w:cstheme="majorBidi"/>
          <w:i/>
          <w:iCs/>
        </w:rPr>
        <w:t>No clasificación por efectos en los ojos</w:t>
      </w:r>
    </w:p>
    <w:p w14:paraId="6A0C777D" w14:textId="77777777" w:rsidR="00A72D17" w:rsidRPr="008645FC" w:rsidRDefault="00A72D17" w:rsidP="008645FC">
      <w:pPr>
        <w:pStyle w:val="SingleTxtG"/>
        <w:tabs>
          <w:tab w:val="left" w:pos="3402"/>
        </w:tabs>
        <w:ind w:left="2268"/>
        <w:rPr>
          <w:rFonts w:asciiTheme="majorBidi" w:hAnsiTheme="majorBidi" w:cstheme="majorBidi"/>
        </w:rPr>
      </w:pPr>
      <w:r w:rsidRPr="008645FC">
        <w:rPr>
          <w:rFonts w:asciiTheme="majorBidi" w:hAnsiTheme="majorBidi" w:cstheme="majorBidi"/>
        </w:rPr>
        <w:tab/>
        <w:t>Las directrices 437, 438, 491, 492, 494 y 496 de la OCDE (véase la tabla 3.3.6 en 3.3.5.3.5.1) pueden utilizarse para concluir la no clasificación de una sustancia por sus efectos en los ojos.</w:t>
      </w:r>
    </w:p>
    <w:p w14:paraId="7B50EFB7" w14:textId="744DC9DD" w:rsidR="00A72D17" w:rsidRPr="008645FC" w:rsidRDefault="00A72D17" w:rsidP="008645FC">
      <w:pPr>
        <w:pStyle w:val="SingleTxtG"/>
        <w:ind w:left="2268"/>
        <w:rPr>
          <w:rFonts w:asciiTheme="majorBidi" w:hAnsiTheme="majorBidi" w:cstheme="majorBidi"/>
        </w:rPr>
      </w:pPr>
      <w:r w:rsidRPr="008645FC">
        <w:rPr>
          <w:rFonts w:asciiTheme="majorBidi" w:hAnsiTheme="majorBidi" w:cstheme="majorBidi"/>
          <w:b/>
          <w:bCs/>
        </w:rPr>
        <w:t>3.3.2.5</w:t>
      </w:r>
      <w:r w:rsidRPr="008645FC">
        <w:rPr>
          <w:rFonts w:asciiTheme="majorBidi" w:hAnsiTheme="majorBidi" w:cstheme="majorBidi"/>
        </w:rPr>
        <w:tab/>
      </w:r>
      <w:r w:rsidRPr="008645FC">
        <w:rPr>
          <w:rFonts w:asciiTheme="majorBidi" w:hAnsiTheme="majorBidi" w:cstheme="majorBidi"/>
        </w:rPr>
        <w:tab/>
      </w:r>
      <w:r w:rsidRPr="008645FC">
        <w:rPr>
          <w:rFonts w:asciiTheme="majorBidi" w:hAnsiTheme="majorBidi" w:cstheme="majorBidi"/>
        </w:rPr>
        <w:tab/>
      </w:r>
      <w:r w:rsidRPr="008645FC">
        <w:rPr>
          <w:rFonts w:asciiTheme="majorBidi" w:hAnsiTheme="majorBidi" w:cstheme="majorBidi"/>
          <w:b/>
          <w:bCs/>
          <w:i/>
          <w:iCs/>
        </w:rPr>
        <w:t xml:space="preserve">Clasificación basada en datos obtenidos en seres humanos, datos normalizados obtenidos en animales o datos </w:t>
      </w:r>
      <w:r w:rsidR="00762E66" w:rsidRPr="008645FC">
        <w:rPr>
          <w:rFonts w:asciiTheme="majorBidi" w:hAnsiTheme="majorBidi" w:cstheme="majorBidi"/>
          <w:b/>
          <w:bCs/>
        </w:rPr>
        <w:t>in vitro</w:t>
      </w:r>
      <w:r w:rsidRPr="008645FC">
        <w:rPr>
          <w:rFonts w:asciiTheme="majorBidi" w:hAnsiTheme="majorBidi" w:cstheme="majorBidi"/>
          <w:b/>
          <w:bCs/>
          <w:i/>
          <w:iCs/>
        </w:rPr>
        <w:t>/</w:t>
      </w:r>
      <w:r w:rsidR="00762E66" w:rsidRPr="008645FC">
        <w:rPr>
          <w:rFonts w:asciiTheme="majorBidi" w:hAnsiTheme="majorBidi" w:cstheme="majorBidi"/>
          <w:b/>
          <w:bCs/>
        </w:rPr>
        <w:t>ex vivo</w:t>
      </w:r>
      <w:r w:rsidRPr="008645FC">
        <w:rPr>
          <w:rFonts w:asciiTheme="majorBidi" w:hAnsiTheme="majorBidi" w:cstheme="majorBidi"/>
          <w:b/>
          <w:bCs/>
          <w:i/>
          <w:iCs/>
        </w:rPr>
        <w:t xml:space="preserve"> concluyentes para la corrosión cutánea (etapa 3 en la figura 3.3.1)</w:t>
      </w:r>
    </w:p>
    <w:p w14:paraId="6B09429A" w14:textId="61D381B5" w:rsidR="00A72D17" w:rsidRPr="008645FC" w:rsidRDefault="00A72D17" w:rsidP="008645FC">
      <w:pPr>
        <w:pStyle w:val="SingleTxtG"/>
        <w:tabs>
          <w:tab w:val="left" w:pos="3402"/>
        </w:tabs>
        <w:ind w:left="2268"/>
        <w:rPr>
          <w:rFonts w:asciiTheme="majorBidi" w:hAnsiTheme="majorBidi" w:cstheme="majorBidi"/>
        </w:rPr>
      </w:pPr>
      <w:r w:rsidRPr="008645FC">
        <w:rPr>
          <w:rFonts w:asciiTheme="majorBidi" w:hAnsiTheme="majorBidi" w:cstheme="majorBidi"/>
        </w:rPr>
        <w:lastRenderedPageBreak/>
        <w:tab/>
      </w:r>
      <w:r w:rsidRPr="008645FC">
        <w:rPr>
          <w:rFonts w:asciiTheme="majorBidi" w:hAnsiTheme="majorBidi" w:cstheme="majorBidi"/>
        </w:rPr>
        <w:tab/>
        <w:t xml:space="preserve">Las sustancias clasificadas como corrosivas para la piel (categoría 1 cutánea) sobre la base de datos obtenidos en seres humanos, datos normalizados obtenidos en animales o datos </w:t>
      </w:r>
      <w:r w:rsidR="00762E66" w:rsidRPr="008645FC">
        <w:rPr>
          <w:rFonts w:asciiTheme="majorBidi" w:hAnsiTheme="majorBidi" w:cstheme="majorBidi"/>
          <w:i/>
          <w:iCs/>
        </w:rPr>
        <w:t>in vitro</w:t>
      </w:r>
      <w:r w:rsidRPr="008645FC">
        <w:rPr>
          <w:rFonts w:asciiTheme="majorBidi" w:hAnsiTheme="majorBidi" w:cstheme="majorBidi"/>
        </w:rPr>
        <w:t>/</w:t>
      </w:r>
      <w:r w:rsidR="00762E66" w:rsidRPr="008645FC">
        <w:rPr>
          <w:rFonts w:asciiTheme="majorBidi" w:hAnsiTheme="majorBidi" w:cstheme="majorBidi"/>
          <w:i/>
          <w:iCs/>
        </w:rPr>
        <w:t>ex vivo</w:t>
      </w:r>
      <w:r w:rsidRPr="008645FC">
        <w:rPr>
          <w:rFonts w:asciiTheme="majorBidi" w:hAnsiTheme="majorBidi" w:cstheme="majorBidi"/>
        </w:rPr>
        <w:t xml:space="preserve"> concluyentes para la corrosión cutánea de conformidad con los criterios indicados en el capítulo</w:t>
      </w:r>
      <w:r w:rsidR="008A7CA3">
        <w:rPr>
          <w:rFonts w:asciiTheme="majorBidi" w:hAnsiTheme="majorBidi" w:cstheme="majorBidi"/>
        </w:rPr>
        <w:t> </w:t>
      </w:r>
      <w:r w:rsidRPr="008645FC">
        <w:rPr>
          <w:rFonts w:asciiTheme="majorBidi" w:hAnsiTheme="majorBidi" w:cstheme="majorBidi"/>
        </w:rPr>
        <w:t xml:space="preserve">3.2 también se consideran causantes de lesiones oculares graves (categoría 1 ocular). La irritación cutánea (categoría 2 cutánea), la irritación cutánea leve (categoría 3 cutánea) y la no clasificación por irritación cutánea, así como los datos epicutáneos obtenidos en seres humanos (como se describe en el capítulo 3.2), no pueden utilizarse por sí solos para concluir la irritación ocular o la no clasificación por efectos en los ojos, pero pueden tenerse en cuenta en una evaluación del peso total de las pruebas. </w:t>
      </w:r>
    </w:p>
    <w:p w14:paraId="5D4D095A" w14:textId="77777777" w:rsidR="00A72D17" w:rsidRPr="008645FC" w:rsidRDefault="00A72D17" w:rsidP="008645FC">
      <w:pPr>
        <w:pStyle w:val="SingleTxtG"/>
        <w:tabs>
          <w:tab w:val="left" w:pos="3402"/>
        </w:tabs>
        <w:ind w:left="2268"/>
        <w:rPr>
          <w:rFonts w:asciiTheme="majorBidi" w:hAnsiTheme="majorBidi" w:cstheme="majorBidi"/>
        </w:rPr>
      </w:pPr>
      <w:r w:rsidRPr="008645FC">
        <w:rPr>
          <w:rFonts w:asciiTheme="majorBidi" w:hAnsiTheme="majorBidi" w:cstheme="majorBidi"/>
          <w:b/>
          <w:bCs/>
        </w:rPr>
        <w:t>3.3.2.6</w:t>
      </w:r>
      <w:r w:rsidRPr="008645FC">
        <w:rPr>
          <w:rFonts w:asciiTheme="majorBidi" w:hAnsiTheme="majorBidi" w:cstheme="majorBidi"/>
        </w:rPr>
        <w:tab/>
      </w:r>
      <w:r w:rsidRPr="008645FC">
        <w:rPr>
          <w:rFonts w:asciiTheme="majorBidi" w:hAnsiTheme="majorBidi" w:cstheme="majorBidi"/>
        </w:rPr>
        <w:tab/>
      </w:r>
      <w:r w:rsidRPr="008645FC">
        <w:rPr>
          <w:rFonts w:asciiTheme="majorBidi" w:hAnsiTheme="majorBidi" w:cstheme="majorBidi"/>
          <w:b/>
          <w:bCs/>
          <w:i/>
          <w:iCs/>
        </w:rPr>
        <w:t>Clasificación basada en otros datos disponibles obtenidos en animales sobre los efectos en la piel o los ojos (etapa 4 en la figura 3.3.1)</w:t>
      </w:r>
    </w:p>
    <w:p w14:paraId="6F6CA1D3" w14:textId="0D52F29E" w:rsidR="00A72D17" w:rsidRPr="008645FC" w:rsidRDefault="00A72D17" w:rsidP="008645FC">
      <w:pPr>
        <w:pStyle w:val="SingleTxtG"/>
        <w:tabs>
          <w:tab w:val="left" w:pos="3402"/>
        </w:tabs>
        <w:ind w:left="2268"/>
        <w:rPr>
          <w:rFonts w:asciiTheme="majorBidi" w:hAnsiTheme="majorBidi" w:cstheme="majorBidi"/>
        </w:rPr>
      </w:pPr>
      <w:r w:rsidRPr="008645FC">
        <w:rPr>
          <w:rFonts w:asciiTheme="majorBidi" w:hAnsiTheme="majorBidi" w:cstheme="majorBidi"/>
        </w:rPr>
        <w:tab/>
      </w:r>
      <w:r w:rsidRPr="008645FC">
        <w:rPr>
          <w:rFonts w:asciiTheme="majorBidi" w:hAnsiTheme="majorBidi" w:cstheme="majorBidi"/>
        </w:rPr>
        <w:tab/>
        <w:t>Pueden utilizarse para la clasificación otros datos disponibles obtenidos en animales sobre los efectos en la piel o los ojos, pero hay límites a las conclusiones que se pueden sacar (véase 3.3.5.3.6). Las sustancias clasificadas como corrosivas para la piel (categoría 1 cutánea) sobre la base de otros datos disponibles sobre los efectos en la piel de conformidad con los criterios indicados en el capítulo 3.2 también se consideran causantes de lesiones oculares graves (categoría 1 ocular). Los otros datos disponibles sobre los efectos en la piel que lleven a la clasificación en las categorías 2 o 3 o a la no clasificación no pueden utilizarse por sí solos para concluir la irritación ocular o la no clasificación por los efectos en los ojos, pero pueden tenerse en cuenta en una evaluación del peso total de las pruebas.</w:t>
      </w:r>
    </w:p>
    <w:p w14:paraId="35891D94" w14:textId="77777777" w:rsidR="00A72D17" w:rsidRPr="008645FC" w:rsidRDefault="00A72D17" w:rsidP="008645FC">
      <w:pPr>
        <w:pStyle w:val="SingleTxtG"/>
        <w:tabs>
          <w:tab w:val="left" w:pos="3402"/>
        </w:tabs>
        <w:ind w:left="2268"/>
        <w:rPr>
          <w:rFonts w:asciiTheme="majorBidi" w:hAnsiTheme="majorBidi" w:cstheme="majorBidi"/>
        </w:rPr>
      </w:pPr>
      <w:r w:rsidRPr="008645FC">
        <w:rPr>
          <w:rFonts w:asciiTheme="majorBidi" w:hAnsiTheme="majorBidi" w:cstheme="majorBidi"/>
          <w:b/>
          <w:bCs/>
        </w:rPr>
        <w:t>3.3.2.7</w:t>
      </w:r>
      <w:r w:rsidRPr="008645FC">
        <w:rPr>
          <w:rFonts w:asciiTheme="majorBidi" w:hAnsiTheme="majorBidi" w:cstheme="majorBidi"/>
        </w:rPr>
        <w:tab/>
      </w:r>
      <w:r w:rsidRPr="008645FC">
        <w:rPr>
          <w:rFonts w:asciiTheme="majorBidi" w:hAnsiTheme="majorBidi" w:cstheme="majorBidi"/>
        </w:rPr>
        <w:tab/>
      </w:r>
      <w:r w:rsidRPr="008645FC">
        <w:rPr>
          <w:rFonts w:asciiTheme="majorBidi" w:hAnsiTheme="majorBidi" w:cstheme="majorBidi"/>
          <w:b/>
          <w:bCs/>
          <w:i/>
          <w:iCs/>
        </w:rPr>
        <w:t>Clasificación basada en un pH extremo (pH ≤ 2 o ≥ 11,5) y la reserva ácida/alcalina (etapa 5 en la figura 3.3.1)</w:t>
      </w:r>
    </w:p>
    <w:p w14:paraId="68408F67" w14:textId="77777777" w:rsidR="00A72D17" w:rsidRPr="008645FC" w:rsidRDefault="00A72D17" w:rsidP="008645FC">
      <w:pPr>
        <w:pStyle w:val="SingleTxtG"/>
        <w:tabs>
          <w:tab w:val="left" w:pos="3402"/>
        </w:tabs>
        <w:ind w:left="2268"/>
        <w:rPr>
          <w:rFonts w:asciiTheme="majorBidi" w:hAnsiTheme="majorBidi" w:cstheme="majorBidi"/>
        </w:rPr>
      </w:pPr>
      <w:r w:rsidRPr="008645FC">
        <w:rPr>
          <w:rFonts w:asciiTheme="majorBidi" w:hAnsiTheme="majorBidi" w:cstheme="majorBidi"/>
        </w:rPr>
        <w:tab/>
      </w:r>
      <w:r w:rsidRPr="008645FC">
        <w:rPr>
          <w:rFonts w:asciiTheme="majorBidi" w:hAnsiTheme="majorBidi" w:cstheme="majorBidi"/>
        </w:rPr>
        <w:tab/>
        <w:t>En general, es de esperar que las sustancias con un pH extremo (pH ≤ 2 o ≥ 11,5) causen efectos importantes en los ojos, especialmente cuando se acompañan de una reserva ácida/alcalina significativa. Por consiguiente, se considera que una sustancia con un pH ≤ 2 o ≥ 11,5 causa lesiones oculares graves (categoría 1) en esta etapa si tiene una reserva ácida/alcalina significativa o no se dispone de datos sobre la reserva ácida/alcalina. No obstante, si del examen de la reserva ácida/alcalina se desprende que la sustancia pudiera no causar lesiones oculares graves a pesar del pH extremo, el resultado se considera no concluyente en esta etapa (véase la figura 3.3.1). Un pH &gt; 2 y &lt; 11,5 se considera no concluyente y no puede utilizarse a efectos de clasificación. La reserva ácida/alcalina y el pH pueden determinarse por varios métodos, como los que se describen en la Directriz 122 de la OCDE y en Young y otros (1988), teniendo en cuenta que existen algunas diferencias entre ellos (véase 3.3.5.3.7). Una autoridad competente podrá decidir qué criterios pueden aplicarse para determinar si una reserva ácida/alcalina es significativa.</w:t>
      </w:r>
    </w:p>
    <w:p w14:paraId="0FCA5E0E" w14:textId="77777777" w:rsidR="00A72D17" w:rsidRPr="008645FC" w:rsidRDefault="00A72D17" w:rsidP="008645FC">
      <w:pPr>
        <w:pStyle w:val="SingleTxtG"/>
        <w:tabs>
          <w:tab w:val="left" w:pos="3402"/>
        </w:tabs>
        <w:ind w:left="2268"/>
        <w:rPr>
          <w:rFonts w:asciiTheme="majorBidi" w:hAnsiTheme="majorBidi" w:cstheme="majorBidi"/>
          <w:b/>
          <w:bCs/>
          <w:i/>
          <w:iCs/>
        </w:rPr>
      </w:pPr>
      <w:r w:rsidRPr="008645FC">
        <w:rPr>
          <w:rFonts w:asciiTheme="majorBidi" w:hAnsiTheme="majorBidi" w:cstheme="majorBidi"/>
          <w:b/>
          <w:bCs/>
        </w:rPr>
        <w:t>3.3.2.8</w:t>
      </w:r>
      <w:r w:rsidRPr="008645FC">
        <w:rPr>
          <w:rFonts w:asciiTheme="majorBidi" w:hAnsiTheme="majorBidi" w:cstheme="majorBidi"/>
        </w:rPr>
        <w:tab/>
      </w:r>
      <w:r w:rsidRPr="008645FC">
        <w:rPr>
          <w:rFonts w:asciiTheme="majorBidi" w:hAnsiTheme="majorBidi" w:cstheme="majorBidi"/>
        </w:rPr>
        <w:tab/>
      </w:r>
      <w:r w:rsidRPr="008645FC">
        <w:rPr>
          <w:rFonts w:asciiTheme="majorBidi" w:hAnsiTheme="majorBidi" w:cstheme="majorBidi"/>
          <w:b/>
          <w:bCs/>
          <w:i/>
          <w:iCs/>
        </w:rPr>
        <w:t>Clasificación basada en métodos distintos de los ensayos para lesiones oculares graves/irritación ocular o para corrosión cutánea (etapa 6 en la figura 3.3.1)</w:t>
      </w:r>
    </w:p>
    <w:p w14:paraId="6186E752" w14:textId="1F9A3799" w:rsidR="00A72D17" w:rsidRPr="008645FC" w:rsidRDefault="00A72D17" w:rsidP="008645FC">
      <w:pPr>
        <w:pStyle w:val="SingleTxtG"/>
        <w:tabs>
          <w:tab w:val="clear" w:pos="1701"/>
        </w:tabs>
        <w:ind w:left="2268"/>
        <w:rPr>
          <w:rFonts w:asciiTheme="majorBidi" w:hAnsiTheme="majorBidi" w:cstheme="majorBidi"/>
        </w:rPr>
      </w:pPr>
      <w:r w:rsidRPr="008645FC">
        <w:rPr>
          <w:rFonts w:asciiTheme="majorBidi" w:hAnsiTheme="majorBidi" w:cstheme="majorBidi"/>
        </w:rPr>
        <w:t>3.3.2.8.1</w:t>
      </w:r>
      <w:r w:rsidRPr="008645FC">
        <w:rPr>
          <w:rFonts w:asciiTheme="majorBidi" w:hAnsiTheme="majorBidi" w:cstheme="majorBidi"/>
        </w:rPr>
        <w:tab/>
        <w:t>La clasificación, en la que se incluye la conclusión de no clasificación, puede basarse en métodos que no sean ensayos, teniendo debidamente en cuenta su fiabilidad y aplicabilidad, según las circunstancias de cada caso. Entre los métodos distintos de los ensayos pueden mencionarse los modelos informáticos que predicen las relaciones cualitativas estructura</w:t>
      </w:r>
      <w:r w:rsidR="00C3150E" w:rsidRPr="008645FC">
        <w:rPr>
          <w:rFonts w:asciiTheme="majorBidi" w:hAnsiTheme="majorBidi" w:cstheme="majorBidi"/>
        </w:rPr>
        <w:noBreakHyphen/>
      </w:r>
      <w:r w:rsidRPr="008645FC">
        <w:rPr>
          <w:rFonts w:asciiTheme="majorBidi" w:hAnsiTheme="majorBidi" w:cstheme="majorBidi"/>
        </w:rPr>
        <w:t>actividad (alertas estructurales, SAR) o las relaciones cuantitativas estructura-actividad (QSAR), los sistemas informáticos expertos y la extrapolación de propiedades por similitud estructural, utilizando análogos y categorías.</w:t>
      </w:r>
    </w:p>
    <w:p w14:paraId="0F652363" w14:textId="77777777" w:rsidR="00A72D17" w:rsidRPr="008645FC" w:rsidRDefault="00A72D17" w:rsidP="008645FC">
      <w:pPr>
        <w:pStyle w:val="SingleTxtG"/>
        <w:tabs>
          <w:tab w:val="left" w:pos="3402"/>
        </w:tabs>
        <w:ind w:left="2268"/>
        <w:rPr>
          <w:rFonts w:asciiTheme="majorBidi" w:hAnsiTheme="majorBidi" w:cstheme="majorBidi"/>
        </w:rPr>
      </w:pPr>
      <w:r w:rsidRPr="008645FC">
        <w:rPr>
          <w:rFonts w:asciiTheme="majorBidi" w:hAnsiTheme="majorBidi" w:cstheme="majorBidi"/>
        </w:rPr>
        <w:t>3.3.2.8.2</w:t>
      </w:r>
      <w:r w:rsidRPr="008645FC">
        <w:rPr>
          <w:rFonts w:asciiTheme="majorBidi" w:hAnsiTheme="majorBidi" w:cstheme="majorBidi"/>
        </w:rPr>
        <w:tab/>
        <w:t xml:space="preserve">La extrapolación utilizando análogos y categorías requiere datos experimentales suficientemente fiables sobre una o varias sustancias similares, </w:t>
      </w:r>
      <w:r w:rsidRPr="008645FC">
        <w:rPr>
          <w:rFonts w:asciiTheme="majorBidi" w:hAnsiTheme="majorBidi" w:cstheme="majorBidi"/>
        </w:rPr>
        <w:lastRenderedPageBreak/>
        <w:t xml:space="preserve">y la justificación de la similitud de las sustancias sometidas a ensayo con las que se han de clasificar. Cuando está debidamente justificado, el enfoque de la extrapolación de propiedades por similitud estructural tiene en general más peso que las relaciones estructura-actividad cuantitativas o cualitativas. </w:t>
      </w:r>
    </w:p>
    <w:p w14:paraId="360B4456" w14:textId="2076EA43" w:rsidR="00A72D17" w:rsidRPr="008645FC" w:rsidRDefault="00A72D17" w:rsidP="008645FC">
      <w:pPr>
        <w:pStyle w:val="SingleTxtG"/>
        <w:tabs>
          <w:tab w:val="left" w:pos="3402"/>
        </w:tabs>
        <w:ind w:left="2268"/>
        <w:rPr>
          <w:rFonts w:asciiTheme="majorBidi" w:hAnsiTheme="majorBidi" w:cstheme="majorBidi"/>
        </w:rPr>
      </w:pPr>
      <w:r w:rsidRPr="008645FC">
        <w:rPr>
          <w:rFonts w:asciiTheme="majorBidi" w:hAnsiTheme="majorBidi" w:cstheme="majorBidi"/>
        </w:rPr>
        <w:t>3.3.2.8.3</w:t>
      </w:r>
      <w:r w:rsidRPr="008645FC">
        <w:rPr>
          <w:rFonts w:asciiTheme="majorBidi" w:hAnsiTheme="majorBidi" w:cstheme="majorBidi"/>
        </w:rPr>
        <w:tab/>
        <w:t>La clasificación basada en las QSAR requiere suficientes datos y la validación del modelo. La validez de los modelos informáticos y de la predicción deben evaluarse utilizando principios reconocidos internacionalmente para la validación de las QSAR. Con respecto a la fiabilidad, la ausencia de alertas en una SAR o un sistema experto no es prueba suficiente para la no clasificación.</w:t>
      </w:r>
    </w:p>
    <w:p w14:paraId="694979FF" w14:textId="77777777" w:rsidR="00A72D17" w:rsidRPr="008645FC" w:rsidRDefault="00A72D17" w:rsidP="008645FC">
      <w:pPr>
        <w:pStyle w:val="SingleTxtG"/>
        <w:tabs>
          <w:tab w:val="left" w:pos="3402"/>
        </w:tabs>
        <w:ind w:left="2268"/>
        <w:rPr>
          <w:rFonts w:asciiTheme="majorBidi" w:hAnsiTheme="majorBidi" w:cstheme="majorBidi"/>
        </w:rPr>
      </w:pPr>
      <w:r w:rsidRPr="008645FC">
        <w:rPr>
          <w:rFonts w:asciiTheme="majorBidi" w:hAnsiTheme="majorBidi" w:cstheme="majorBidi"/>
        </w:rPr>
        <w:t>3.3.2.8.4</w:t>
      </w:r>
      <w:r w:rsidRPr="008645FC">
        <w:rPr>
          <w:rFonts w:asciiTheme="majorBidi" w:hAnsiTheme="majorBidi" w:cstheme="majorBidi"/>
        </w:rPr>
        <w:tab/>
        <w:t>Los datos de corrosión cutánea obtenidos por métodos distintos de los ensayos que sean concluyentes pueden utilizarse para la clasificación por los efectos en los ojos. De este modo, las sustancias clasificadas como corrosivas para la piel (categoría 1 cutánea) de conformidad con los criterios indicados en el capítulo 3.2 también se consideran causantes de lesiones oculares graves (categoría 1 ocular). La irritación cutánea (categoría 2 cutánea), la irritación cutánea leve (categoría 3 cutánea) y la no clasificación por irritación cutánea de conformidad con el capítulo 3.2 no pueden utilizarse por sí solos para concluir la irritación ocular o la no clasificación por efectos en los ojos, pero pueden tenerse en cuenta en una evaluación del peso total de las pruebas.</w:t>
      </w:r>
    </w:p>
    <w:p w14:paraId="42DA14E9" w14:textId="32AD6ECE" w:rsidR="00A72D17" w:rsidRPr="008645FC" w:rsidRDefault="00A72D17" w:rsidP="008645FC">
      <w:pPr>
        <w:pStyle w:val="SingleTxtG"/>
        <w:tabs>
          <w:tab w:val="left" w:pos="3402"/>
        </w:tabs>
        <w:ind w:left="2268"/>
        <w:rPr>
          <w:rFonts w:asciiTheme="majorBidi" w:hAnsiTheme="majorBidi" w:cstheme="majorBidi"/>
        </w:rPr>
      </w:pPr>
      <w:r w:rsidRPr="008645FC">
        <w:rPr>
          <w:rFonts w:asciiTheme="majorBidi" w:hAnsiTheme="majorBidi" w:cstheme="majorBidi"/>
        </w:rPr>
        <w:t>3.3.2.8.5</w:t>
      </w:r>
      <w:r w:rsidRPr="008645FC">
        <w:rPr>
          <w:rFonts w:asciiTheme="majorBidi" w:hAnsiTheme="majorBidi" w:cstheme="majorBidi"/>
        </w:rPr>
        <w:tab/>
        <w:t>Para las conclusiones de no clasificación basadas en la extrapolación de propiedades por similitud estructural y las QSAR, la idoneidad y la solidez del razonamiento científico y de los datos con que este se respalda deberían estar bien fundamentadas, lo que por regla general comporta la existencia de varias sustancias negativas que presenten una buena similitud estructural y física (en términos toxicocinéticos) con la sustancia que se pretende clasificar, así como una ausencia manifiesta de sustancias positivas con una buena similitud estructural y física con esa misma sustancia.</w:t>
      </w:r>
    </w:p>
    <w:p w14:paraId="4361105A" w14:textId="77777777" w:rsidR="00A72D17" w:rsidRPr="008645FC" w:rsidRDefault="00A72D17" w:rsidP="008645FC">
      <w:pPr>
        <w:pStyle w:val="SingleTxtG"/>
        <w:tabs>
          <w:tab w:val="left" w:pos="3402"/>
        </w:tabs>
        <w:ind w:left="2268"/>
        <w:rPr>
          <w:rFonts w:asciiTheme="majorBidi" w:hAnsiTheme="majorBidi" w:cstheme="majorBidi"/>
          <w:b/>
          <w:bCs/>
          <w:i/>
          <w:iCs/>
        </w:rPr>
      </w:pPr>
      <w:r w:rsidRPr="008645FC">
        <w:rPr>
          <w:rFonts w:asciiTheme="majorBidi" w:hAnsiTheme="majorBidi" w:cstheme="majorBidi"/>
          <w:b/>
          <w:bCs/>
        </w:rPr>
        <w:t>3.3.2.9</w:t>
      </w:r>
      <w:r w:rsidRPr="008645FC">
        <w:rPr>
          <w:rFonts w:asciiTheme="majorBidi" w:hAnsiTheme="majorBidi" w:cstheme="majorBidi"/>
        </w:rPr>
        <w:tab/>
      </w:r>
      <w:r w:rsidRPr="008645FC">
        <w:rPr>
          <w:rFonts w:asciiTheme="majorBidi" w:hAnsiTheme="majorBidi" w:cstheme="majorBidi"/>
        </w:rPr>
        <w:tab/>
      </w:r>
      <w:r w:rsidRPr="008645FC">
        <w:rPr>
          <w:rFonts w:asciiTheme="majorBidi" w:hAnsiTheme="majorBidi" w:cstheme="majorBidi"/>
          <w:b/>
          <w:bCs/>
          <w:i/>
          <w:iCs/>
        </w:rPr>
        <w:t>Clasificación basada en una evaluación del peso total de las pruebas (etapa 7 en la figura 3.3.1)</w:t>
      </w:r>
    </w:p>
    <w:p w14:paraId="7DBD2123" w14:textId="77777777" w:rsidR="00A72D17" w:rsidRPr="008645FC" w:rsidRDefault="00A72D17" w:rsidP="008645FC">
      <w:pPr>
        <w:pStyle w:val="SingleTxtG"/>
        <w:tabs>
          <w:tab w:val="left" w:pos="3402"/>
        </w:tabs>
        <w:ind w:left="2268"/>
        <w:rPr>
          <w:rFonts w:asciiTheme="majorBidi" w:hAnsiTheme="majorBidi" w:cstheme="majorBidi"/>
        </w:rPr>
      </w:pPr>
      <w:r w:rsidRPr="008645FC">
        <w:rPr>
          <w:rFonts w:asciiTheme="majorBidi" w:hAnsiTheme="majorBidi" w:cstheme="majorBidi"/>
        </w:rPr>
        <w:t>3.3.2.9.1</w:t>
      </w:r>
      <w:r w:rsidRPr="008645FC">
        <w:rPr>
          <w:rFonts w:asciiTheme="majorBidi" w:hAnsiTheme="majorBidi" w:cstheme="majorBidi"/>
        </w:rPr>
        <w:tab/>
        <w:t>Está indicado realizar una evaluación del peso total de las pruebas recurriendo a la opinión de los expertos cuando ninguna de las etapas precedentes haya arrojado una conclusión definitiva sobre la clasificación. En algunos casos en los que la decisión relativa a la clasificación se haya pospuesto hasta la evaluación del peso total de las pruebas, pero no se disponga de más datos, puede que aún sea posible clasificar la sustancia.</w:t>
      </w:r>
    </w:p>
    <w:p w14:paraId="5BAD30C0" w14:textId="421C6808" w:rsidR="00A72D17" w:rsidRPr="008645FC" w:rsidRDefault="00A72D17" w:rsidP="008645FC">
      <w:pPr>
        <w:pStyle w:val="SingleTxtG"/>
        <w:tabs>
          <w:tab w:val="left" w:pos="3402"/>
        </w:tabs>
        <w:ind w:left="2268"/>
        <w:rPr>
          <w:rFonts w:asciiTheme="majorBidi" w:hAnsiTheme="majorBidi" w:cstheme="majorBidi"/>
        </w:rPr>
      </w:pPr>
      <w:r w:rsidRPr="008645FC">
        <w:rPr>
          <w:rFonts w:asciiTheme="majorBidi" w:hAnsiTheme="majorBidi" w:cstheme="majorBidi"/>
        </w:rPr>
        <w:t>3.3.2.9.2</w:t>
      </w:r>
      <w:r w:rsidRPr="008645FC">
        <w:rPr>
          <w:rFonts w:asciiTheme="majorBidi" w:hAnsiTheme="majorBidi" w:cstheme="majorBidi"/>
        </w:rPr>
        <w:tab/>
        <w:t>Una sustancia con un pH extremo (pH ≤ 2 o ≥ 11,5) y una reserva ácida/alcalina no significativa (resultado considerado no concluyente en la etapa 5; véase 3.3.2.7), y para la que no se dispone de ninguna otra información, debería clasificarse en esta etapa en la categoría 1 como causante de lesiones oculares graves. Si también se dispone de información no concluyente procedente de otras etapas, pero la evaluación del peso total de las pruebas sigue sin ser concluyente, el resultado relativo al pH extremo (pH</w:t>
      </w:r>
      <w:r w:rsidR="0018171C" w:rsidRPr="008645FC">
        <w:rPr>
          <w:rFonts w:asciiTheme="majorBidi" w:hAnsiTheme="majorBidi" w:cstheme="majorBidi"/>
        </w:rPr>
        <w:t> </w:t>
      </w:r>
      <w:r w:rsidRPr="008645FC">
        <w:rPr>
          <w:rFonts w:asciiTheme="majorBidi" w:hAnsiTheme="majorBidi" w:cstheme="majorBidi"/>
        </w:rPr>
        <w:t>≤</w:t>
      </w:r>
      <w:r w:rsidR="0018171C" w:rsidRPr="008645FC">
        <w:rPr>
          <w:rFonts w:asciiTheme="majorBidi" w:hAnsiTheme="majorBidi" w:cstheme="majorBidi"/>
        </w:rPr>
        <w:t> </w:t>
      </w:r>
      <w:r w:rsidRPr="008645FC">
        <w:rPr>
          <w:rFonts w:asciiTheme="majorBidi" w:hAnsiTheme="majorBidi" w:cstheme="majorBidi"/>
        </w:rPr>
        <w:t>2</w:t>
      </w:r>
      <w:r w:rsidR="0018171C" w:rsidRPr="008645FC">
        <w:rPr>
          <w:rFonts w:asciiTheme="majorBidi" w:hAnsiTheme="majorBidi" w:cstheme="majorBidi"/>
        </w:rPr>
        <w:t> </w:t>
      </w:r>
      <w:r w:rsidRPr="008645FC">
        <w:rPr>
          <w:rFonts w:asciiTheme="majorBidi" w:hAnsiTheme="majorBidi" w:cstheme="majorBidi"/>
        </w:rPr>
        <w:t>o ≥ 11,5) debería tener prioridad y en esta etapa la sustancia debería clasificarse en la categoría 1 como causante de lesiones oculares graves, con independencia de la reserva ácida/alcalina. En el caso de las mezclas se aplica un planteamiento distinto, que se expone con detalle en 3.3.3.1.3.</w:t>
      </w:r>
      <w:r w:rsidR="008C5013" w:rsidRPr="008645FC">
        <w:rPr>
          <w:rFonts w:asciiTheme="majorBidi" w:hAnsiTheme="majorBidi" w:cstheme="majorBidi"/>
        </w:rPr>
        <w:t>”</w:t>
      </w:r>
      <w:r w:rsidRPr="008645FC">
        <w:rPr>
          <w:rFonts w:asciiTheme="majorBidi" w:hAnsiTheme="majorBidi" w:cstheme="majorBidi"/>
        </w:rPr>
        <w:t>.</w:t>
      </w:r>
    </w:p>
    <w:p w14:paraId="1E342B77" w14:textId="77777777" w:rsidR="00A72D17" w:rsidRPr="008645FC" w:rsidRDefault="00A72D17" w:rsidP="008645FC">
      <w:pPr>
        <w:pStyle w:val="SingleTxtG"/>
        <w:ind w:left="2268" w:hanging="1275"/>
        <w:rPr>
          <w:rFonts w:asciiTheme="majorBidi" w:hAnsiTheme="majorBidi" w:cstheme="majorBidi"/>
        </w:rPr>
      </w:pPr>
      <w:r w:rsidRPr="008645FC">
        <w:rPr>
          <w:rFonts w:asciiTheme="majorBidi" w:hAnsiTheme="majorBidi" w:cstheme="majorBidi"/>
        </w:rPr>
        <w:t>Notas a pie de página</w:t>
      </w:r>
      <w:r w:rsidRPr="008645FC">
        <w:rPr>
          <w:rFonts w:asciiTheme="majorBidi" w:hAnsiTheme="majorBidi" w:cstheme="majorBidi"/>
        </w:rPr>
        <w:tab/>
        <w:t>Insértense las siguientes nuevas notas 2 y 3 a pie de página en relación con los párrafos 3.3.2.3 (para la nota 2) y 3.3.2.4.6.1 (para la nota 3):</w:t>
      </w:r>
    </w:p>
    <w:p w14:paraId="5274356B" w14:textId="768369FD" w:rsidR="00A72D17" w:rsidRPr="0018171C" w:rsidRDefault="008C5013" w:rsidP="008645FC">
      <w:pPr>
        <w:pStyle w:val="SingleTxtG"/>
        <w:tabs>
          <w:tab w:val="left" w:pos="1560"/>
          <w:tab w:val="left" w:pos="2410"/>
        </w:tabs>
        <w:spacing w:after="0"/>
        <w:ind w:left="2268"/>
        <w:rPr>
          <w:rFonts w:asciiTheme="majorBidi" w:hAnsiTheme="majorBidi" w:cstheme="majorBidi"/>
          <w:i/>
          <w:iCs/>
          <w:sz w:val="18"/>
          <w:szCs w:val="18"/>
        </w:rPr>
      </w:pPr>
      <w:r w:rsidRPr="0018171C">
        <w:rPr>
          <w:rFonts w:asciiTheme="majorBidi" w:hAnsiTheme="majorBidi" w:cstheme="majorBidi"/>
          <w:sz w:val="18"/>
          <w:szCs w:val="18"/>
        </w:rPr>
        <w:t>“</w:t>
      </w:r>
      <w:r w:rsidR="00A72D17" w:rsidRPr="0018171C">
        <w:rPr>
          <w:rFonts w:asciiTheme="majorBidi" w:hAnsiTheme="majorBidi" w:cstheme="majorBidi"/>
          <w:sz w:val="18"/>
          <w:szCs w:val="18"/>
          <w:vertAlign w:val="superscript"/>
        </w:rPr>
        <w:t>2</w:t>
      </w:r>
      <w:r w:rsidR="00A72D17" w:rsidRPr="0018171C">
        <w:rPr>
          <w:rFonts w:asciiTheme="majorBidi" w:hAnsiTheme="majorBidi" w:cstheme="majorBidi"/>
          <w:sz w:val="18"/>
          <w:szCs w:val="18"/>
        </w:rPr>
        <w:tab/>
      </w:r>
      <w:r w:rsidR="008645FC">
        <w:rPr>
          <w:rFonts w:asciiTheme="majorBidi" w:hAnsiTheme="majorBidi" w:cstheme="majorBidi"/>
          <w:sz w:val="18"/>
          <w:szCs w:val="18"/>
        </w:rPr>
        <w:tab/>
      </w:r>
      <w:r w:rsidR="00A72D17" w:rsidRPr="0018171C">
        <w:rPr>
          <w:rFonts w:asciiTheme="majorBidi" w:hAnsiTheme="majorBidi" w:cstheme="majorBidi"/>
          <w:i/>
          <w:iCs/>
          <w:sz w:val="18"/>
          <w:szCs w:val="18"/>
        </w:rPr>
        <w:t>Se han propuesto algunos enfoques definidos para las lesiones oculares graves/irritación ocular (Alépée y otros, 2019a, b), pero aún no se han acordado criterios de clasificación a nivel internacional.</w:t>
      </w:r>
      <w:r w:rsidRPr="0018171C">
        <w:rPr>
          <w:rFonts w:asciiTheme="majorBidi" w:hAnsiTheme="majorBidi" w:cstheme="majorBidi"/>
          <w:iCs/>
          <w:sz w:val="18"/>
          <w:szCs w:val="18"/>
        </w:rPr>
        <w:t>”</w:t>
      </w:r>
      <w:r w:rsidR="00A72D17" w:rsidRPr="0018171C">
        <w:rPr>
          <w:rFonts w:asciiTheme="majorBidi" w:hAnsiTheme="majorBidi" w:cstheme="majorBidi"/>
          <w:i/>
          <w:iCs/>
          <w:sz w:val="18"/>
          <w:szCs w:val="18"/>
        </w:rPr>
        <w:t>.</w:t>
      </w:r>
    </w:p>
    <w:p w14:paraId="4F3224C2" w14:textId="442D3CC4" w:rsidR="00A72D17" w:rsidRPr="0018171C" w:rsidRDefault="008C5013" w:rsidP="008645FC">
      <w:pPr>
        <w:pStyle w:val="FootnoteText"/>
        <w:tabs>
          <w:tab w:val="clear" w:pos="1021"/>
          <w:tab w:val="left" w:pos="1560"/>
        </w:tabs>
        <w:spacing w:after="120" w:line="240" w:lineRule="atLeast"/>
        <w:ind w:left="2268" w:firstLine="0"/>
        <w:jc w:val="both"/>
        <w:rPr>
          <w:rFonts w:asciiTheme="majorBidi" w:hAnsiTheme="majorBidi" w:cstheme="majorBidi"/>
          <w:i/>
          <w:iCs/>
          <w:szCs w:val="18"/>
        </w:rPr>
      </w:pPr>
      <w:r w:rsidRPr="0018171C">
        <w:rPr>
          <w:rFonts w:asciiTheme="majorBidi" w:hAnsiTheme="majorBidi" w:cstheme="majorBidi"/>
          <w:szCs w:val="18"/>
        </w:rPr>
        <w:t>“</w:t>
      </w:r>
      <w:r w:rsidR="00A72D17" w:rsidRPr="0018171C">
        <w:rPr>
          <w:rFonts w:asciiTheme="majorBidi" w:hAnsiTheme="majorBidi" w:cstheme="majorBidi"/>
          <w:szCs w:val="18"/>
          <w:vertAlign w:val="superscript"/>
        </w:rPr>
        <w:t>3</w:t>
      </w:r>
      <w:r w:rsidR="00A72D17" w:rsidRPr="0018171C">
        <w:rPr>
          <w:rFonts w:asciiTheme="majorBidi" w:hAnsiTheme="majorBidi" w:cstheme="majorBidi"/>
          <w:szCs w:val="18"/>
        </w:rPr>
        <w:tab/>
      </w:r>
      <w:r w:rsidR="00A72D17" w:rsidRPr="0018171C">
        <w:rPr>
          <w:rFonts w:asciiTheme="majorBidi" w:hAnsiTheme="majorBidi" w:cstheme="majorBidi"/>
          <w:i/>
          <w:iCs/>
          <w:szCs w:val="18"/>
        </w:rPr>
        <w:t xml:space="preserve">Si bien aún no se han acordado criterios de clasificación a nivel internacional para algunos de los métodos de ensayo </w:t>
      </w:r>
      <w:r w:rsidR="00762E66" w:rsidRPr="0018171C">
        <w:rPr>
          <w:rFonts w:asciiTheme="majorBidi" w:hAnsiTheme="majorBidi" w:cstheme="majorBidi"/>
          <w:szCs w:val="18"/>
        </w:rPr>
        <w:t>in vitro</w:t>
      </w:r>
      <w:r w:rsidR="00A72D17" w:rsidRPr="0018171C">
        <w:rPr>
          <w:rFonts w:asciiTheme="majorBidi" w:hAnsiTheme="majorBidi" w:cstheme="majorBidi"/>
          <w:i/>
          <w:iCs/>
          <w:szCs w:val="18"/>
        </w:rPr>
        <w:t>/</w:t>
      </w:r>
      <w:r w:rsidR="00762E66" w:rsidRPr="0018171C">
        <w:rPr>
          <w:rFonts w:asciiTheme="majorBidi" w:hAnsiTheme="majorBidi" w:cstheme="majorBidi"/>
          <w:szCs w:val="18"/>
        </w:rPr>
        <w:t>ex vivo</w:t>
      </w:r>
      <w:r w:rsidR="00A72D17" w:rsidRPr="0018171C">
        <w:rPr>
          <w:rFonts w:asciiTheme="majorBidi" w:hAnsiTheme="majorBidi" w:cstheme="majorBidi"/>
          <w:i/>
          <w:iCs/>
          <w:szCs w:val="18"/>
        </w:rPr>
        <w:t xml:space="preserve"> validados y/o aceptados que se </w:t>
      </w:r>
      <w:r w:rsidR="00A72D17" w:rsidRPr="0018171C">
        <w:rPr>
          <w:rFonts w:asciiTheme="majorBidi" w:hAnsiTheme="majorBidi" w:cstheme="majorBidi"/>
          <w:i/>
          <w:iCs/>
          <w:szCs w:val="18"/>
        </w:rPr>
        <w:lastRenderedPageBreak/>
        <w:t>han propuesto para identificar las sustancias causantes de irritación ocular, estos pueden ser adoptados por algunas autoridades competentes (véase 3.3.2.4.2).</w:t>
      </w:r>
      <w:r w:rsidR="00A72D17" w:rsidRPr="0018171C">
        <w:rPr>
          <w:rFonts w:asciiTheme="majorBidi" w:hAnsiTheme="majorBidi" w:cstheme="majorBidi"/>
          <w:szCs w:val="18"/>
        </w:rPr>
        <w:t xml:space="preserve"> </w:t>
      </w:r>
      <w:r w:rsidR="00A72D17" w:rsidRPr="0018171C">
        <w:rPr>
          <w:rFonts w:asciiTheme="majorBidi" w:hAnsiTheme="majorBidi" w:cstheme="majorBidi"/>
          <w:i/>
          <w:iCs/>
          <w:szCs w:val="18"/>
        </w:rPr>
        <w:t>Si un enfoque definido (véase 3.3.2.3) no está disponible o no es adecuado para la clasificación, los datos procedentes de esos métodos pueden tenerse en cuenta en esta etapa en el marco de una evaluación del peso de las pruebas.</w:t>
      </w:r>
      <w:r w:rsidRPr="0018171C">
        <w:rPr>
          <w:rFonts w:asciiTheme="majorBidi" w:hAnsiTheme="majorBidi" w:cstheme="majorBidi"/>
          <w:iCs/>
          <w:szCs w:val="18"/>
        </w:rPr>
        <w:t>”</w:t>
      </w:r>
      <w:r w:rsidR="00A72D17" w:rsidRPr="0018171C">
        <w:rPr>
          <w:rFonts w:asciiTheme="majorBidi" w:hAnsiTheme="majorBidi" w:cstheme="majorBidi"/>
          <w:i/>
          <w:iCs/>
          <w:szCs w:val="18"/>
        </w:rPr>
        <w:t>.</w:t>
      </w:r>
    </w:p>
    <w:p w14:paraId="51B90CFA" w14:textId="1D25A8CC" w:rsidR="00A72D17" w:rsidRPr="00FC4465" w:rsidRDefault="00A72D17" w:rsidP="00A72D17">
      <w:pPr>
        <w:pStyle w:val="SingleTxtG"/>
        <w:ind w:left="2268" w:hanging="1134"/>
        <w:rPr>
          <w:rFonts w:asciiTheme="majorBidi" w:hAnsiTheme="majorBidi" w:cstheme="majorBidi"/>
        </w:rPr>
      </w:pPr>
      <w:r w:rsidRPr="00FC4465">
        <w:rPr>
          <w:rFonts w:asciiTheme="majorBidi" w:hAnsiTheme="majorBidi" w:cstheme="majorBidi"/>
        </w:rPr>
        <w:t xml:space="preserve">3.3.2.2 y 3.3.2.2.1 </w:t>
      </w:r>
      <w:r w:rsidRPr="00FC4465">
        <w:rPr>
          <w:rFonts w:asciiTheme="majorBidi" w:hAnsiTheme="majorBidi" w:cstheme="majorBidi"/>
        </w:rPr>
        <w:tab/>
      </w:r>
      <w:r w:rsidRPr="00FC4465">
        <w:rPr>
          <w:rFonts w:asciiTheme="majorBidi" w:hAnsiTheme="majorBidi" w:cstheme="majorBidi"/>
        </w:rPr>
        <w:tab/>
        <w:t>Los actuales párrafos 3.3.2.2 y 3.3.2.2.1 pasan a ser los nuevos párrafos</w:t>
      </w:r>
      <w:r w:rsidR="008A7CA3">
        <w:rPr>
          <w:rFonts w:asciiTheme="majorBidi" w:hAnsiTheme="majorBidi" w:cstheme="majorBidi"/>
        </w:rPr>
        <w:t> </w:t>
      </w:r>
      <w:r w:rsidRPr="00FC4465">
        <w:rPr>
          <w:rFonts w:asciiTheme="majorBidi" w:hAnsiTheme="majorBidi" w:cstheme="majorBidi"/>
        </w:rPr>
        <w:t>3.3.2.10 y 3.3.2.10.1.</w:t>
      </w:r>
    </w:p>
    <w:p w14:paraId="4333BF3E" w14:textId="6F4D52AB" w:rsidR="00A72D17" w:rsidRPr="00FC4465" w:rsidRDefault="00A72D17" w:rsidP="00A72D17">
      <w:pPr>
        <w:pStyle w:val="SingleTxtG"/>
        <w:tabs>
          <w:tab w:val="left" w:pos="5670"/>
        </w:tabs>
        <w:ind w:left="2268"/>
        <w:rPr>
          <w:rFonts w:asciiTheme="majorBidi" w:hAnsiTheme="majorBidi" w:cstheme="majorBidi"/>
        </w:rPr>
      </w:pPr>
      <w:r w:rsidRPr="00FC4465">
        <w:rPr>
          <w:rFonts w:asciiTheme="majorBidi" w:hAnsiTheme="majorBidi" w:cstheme="majorBidi"/>
        </w:rPr>
        <w:t>Suprímanse los actuales párrafos 3.3.2.2.2, 3.3.2.2.3, 3.3.2.2.4, 3.3.2.2.5 y</w:t>
      </w:r>
      <w:r w:rsidR="008A7CA3">
        <w:rPr>
          <w:rFonts w:asciiTheme="majorBidi" w:hAnsiTheme="majorBidi" w:cstheme="majorBidi"/>
        </w:rPr>
        <w:t> </w:t>
      </w:r>
      <w:r w:rsidRPr="00FC4465">
        <w:rPr>
          <w:rFonts w:asciiTheme="majorBidi" w:hAnsiTheme="majorBidi" w:cstheme="majorBidi"/>
        </w:rPr>
        <w:t>3.3.2.2.6.</w:t>
      </w:r>
    </w:p>
    <w:p w14:paraId="333C80FF" w14:textId="4ED7C0B0" w:rsidR="00A72D17" w:rsidRPr="00FC4465" w:rsidRDefault="00A72D17" w:rsidP="00A72D17">
      <w:pPr>
        <w:pStyle w:val="SingleTxtG"/>
        <w:keepNext/>
        <w:keepLines/>
        <w:rPr>
          <w:rFonts w:asciiTheme="majorBidi" w:hAnsiTheme="majorBidi" w:cstheme="majorBidi"/>
        </w:rPr>
      </w:pPr>
      <w:r w:rsidRPr="00FC4465">
        <w:rPr>
          <w:rFonts w:asciiTheme="majorBidi" w:hAnsiTheme="majorBidi" w:cstheme="majorBidi"/>
        </w:rPr>
        <w:t>3.3.2.10 y 3.3.2.10.1 (nuevo</w:t>
      </w:r>
      <w:r w:rsidR="002E7607">
        <w:rPr>
          <w:rFonts w:asciiTheme="majorBidi" w:hAnsiTheme="majorBidi" w:cstheme="majorBidi"/>
        </w:rPr>
        <w:t>s</w:t>
      </w:r>
      <w:r w:rsidRPr="00FC4465">
        <w:rPr>
          <w:rFonts w:asciiTheme="majorBidi" w:hAnsiTheme="majorBidi" w:cstheme="majorBidi"/>
        </w:rPr>
        <w:t>, antiguos 3.3.2.2 y 3.3.2.2.1)</w:t>
      </w:r>
      <w:r w:rsidRPr="00FC4465">
        <w:rPr>
          <w:rFonts w:asciiTheme="majorBidi" w:hAnsiTheme="majorBidi" w:cstheme="majorBidi"/>
        </w:rPr>
        <w:tab/>
        <w:t>Modifíquese para que diga:</w:t>
      </w:r>
    </w:p>
    <w:p w14:paraId="332D7773" w14:textId="787AEC5A" w:rsidR="00A72D17" w:rsidRPr="00FC4465" w:rsidRDefault="008C5013" w:rsidP="00A72D17">
      <w:pPr>
        <w:pStyle w:val="SingleTxtG"/>
        <w:keepNext/>
        <w:keepLines/>
        <w:ind w:left="2268"/>
        <w:rPr>
          <w:rFonts w:asciiTheme="majorBidi" w:hAnsiTheme="majorBidi" w:cstheme="majorBidi"/>
          <w:b/>
          <w:i/>
        </w:rPr>
      </w:pPr>
      <w:r w:rsidRPr="00FC4465">
        <w:rPr>
          <w:rFonts w:asciiTheme="majorBidi" w:hAnsiTheme="majorBidi" w:cstheme="majorBidi"/>
        </w:rPr>
        <w:t>“</w:t>
      </w:r>
      <w:r w:rsidR="00A72D17" w:rsidRPr="00FC4465">
        <w:rPr>
          <w:rFonts w:asciiTheme="majorBidi" w:hAnsiTheme="majorBidi" w:cstheme="majorBidi"/>
          <w:b/>
          <w:bCs/>
        </w:rPr>
        <w:t>3.3.2.10</w:t>
      </w:r>
      <w:r w:rsidR="00A72D17" w:rsidRPr="00FC4465">
        <w:rPr>
          <w:rFonts w:asciiTheme="majorBidi" w:hAnsiTheme="majorBidi" w:cstheme="majorBidi"/>
        </w:rPr>
        <w:tab/>
      </w:r>
      <w:r w:rsidR="00A72D17" w:rsidRPr="00FC4465">
        <w:rPr>
          <w:rFonts w:asciiTheme="majorBidi" w:hAnsiTheme="majorBidi" w:cstheme="majorBidi"/>
          <w:b/>
          <w:bCs/>
          <w:i/>
          <w:iCs/>
        </w:rPr>
        <w:t>Clasificación mediante un enfoque por etapas (figura 3.3.1)</w:t>
      </w:r>
    </w:p>
    <w:p w14:paraId="724C552F" w14:textId="4C1002AB" w:rsidR="00A72D17" w:rsidRPr="00FC4465" w:rsidRDefault="00A72D17" w:rsidP="00A72D17">
      <w:pPr>
        <w:pStyle w:val="SingleTxtG"/>
        <w:ind w:left="2268"/>
        <w:rPr>
          <w:rFonts w:asciiTheme="majorBidi" w:hAnsiTheme="majorBidi" w:cstheme="majorBidi"/>
        </w:rPr>
      </w:pPr>
      <w:r w:rsidRPr="00FC4465">
        <w:rPr>
          <w:rFonts w:asciiTheme="majorBidi" w:hAnsiTheme="majorBidi" w:cstheme="majorBidi"/>
        </w:rPr>
        <w:t xml:space="preserve">3.3.2.10.1 </w:t>
      </w:r>
      <w:r w:rsidRPr="00FC4465">
        <w:rPr>
          <w:rFonts w:asciiTheme="majorBidi" w:hAnsiTheme="majorBidi" w:cstheme="majorBidi"/>
        </w:rPr>
        <w:tab/>
        <w:t>Cuando sea pertinente, debería tomarse en consideración la aplicación de un enfoque por etapas (figura 3.3.1) para la evaluación de la información, teniendo en cuenta que no todas las etapas ni toda la información relativa a cada una de las etapas serán necesariamente pertinentes. Sin embargo, deberá examinarse toda la información pertinente y de suficiente calidad que esté disponible para verificar que sea coherente con la clasificación resultante.</w:t>
      </w:r>
      <w:r w:rsidR="008C5013" w:rsidRPr="00FC4465">
        <w:rPr>
          <w:rFonts w:asciiTheme="majorBidi" w:hAnsiTheme="majorBidi" w:cstheme="majorBidi"/>
        </w:rPr>
        <w:t>”</w:t>
      </w:r>
      <w:r w:rsidRPr="00FC4465">
        <w:rPr>
          <w:rFonts w:asciiTheme="majorBidi" w:hAnsiTheme="majorBidi" w:cstheme="majorBidi"/>
        </w:rPr>
        <w:t>.</w:t>
      </w:r>
    </w:p>
    <w:p w14:paraId="756CE72E" w14:textId="77777777" w:rsidR="00A72D17" w:rsidRPr="00FC4465" w:rsidRDefault="00A72D17" w:rsidP="00A72D17">
      <w:pPr>
        <w:pStyle w:val="SingleTxtG"/>
        <w:rPr>
          <w:rFonts w:asciiTheme="majorBidi" w:hAnsiTheme="majorBidi" w:cstheme="majorBidi"/>
        </w:rPr>
      </w:pPr>
      <w:r w:rsidRPr="00FC4465">
        <w:rPr>
          <w:rFonts w:asciiTheme="majorBidi" w:hAnsiTheme="majorBidi" w:cstheme="majorBidi"/>
        </w:rPr>
        <w:t>3.3.2.10.2 y 3.3.2.10.3 (nuevos)</w:t>
      </w:r>
      <w:r w:rsidRPr="00FC4465">
        <w:rPr>
          <w:rFonts w:asciiTheme="majorBidi" w:hAnsiTheme="majorBidi" w:cstheme="majorBidi"/>
        </w:rPr>
        <w:tab/>
        <w:t>Añádanse los dos nuevos párrafos siguientes:</w:t>
      </w:r>
    </w:p>
    <w:p w14:paraId="6DEDBA55" w14:textId="094EB1D1" w:rsidR="00A72D17" w:rsidRPr="00FC4465" w:rsidRDefault="008C5013" w:rsidP="00A72D17">
      <w:pPr>
        <w:pStyle w:val="SingleTxtG"/>
        <w:ind w:left="2268"/>
        <w:rPr>
          <w:rFonts w:asciiTheme="majorBidi" w:hAnsiTheme="majorBidi" w:cstheme="majorBidi"/>
        </w:rPr>
      </w:pPr>
      <w:r w:rsidRPr="00FC4465">
        <w:rPr>
          <w:rFonts w:asciiTheme="majorBidi" w:hAnsiTheme="majorBidi" w:cstheme="majorBidi"/>
        </w:rPr>
        <w:t>“</w:t>
      </w:r>
      <w:r w:rsidR="00A72D17" w:rsidRPr="00FC4465">
        <w:rPr>
          <w:rFonts w:asciiTheme="majorBidi" w:hAnsiTheme="majorBidi" w:cstheme="majorBidi"/>
        </w:rPr>
        <w:t>3.3.2.10.2</w:t>
      </w:r>
      <w:r w:rsidR="00A72D17" w:rsidRPr="00FC4465">
        <w:rPr>
          <w:rFonts w:asciiTheme="majorBidi" w:hAnsiTheme="majorBidi" w:cstheme="majorBidi"/>
        </w:rPr>
        <w:tab/>
        <w:t xml:space="preserve">En el enfoque por etapas (figura 3.3.1), los datos disponibles obtenidos en seres humanos y los datos normalizados obtenidos en animales sobre los efectos oculares constituyen la etapa superior, seguidos por los enfoques definidos y los datos </w:t>
      </w:r>
      <w:r w:rsidR="00762E66">
        <w:rPr>
          <w:rFonts w:asciiTheme="majorBidi" w:hAnsiTheme="majorBidi" w:cstheme="majorBidi"/>
          <w:i/>
          <w:iCs/>
        </w:rPr>
        <w:t>in vitro</w:t>
      </w:r>
      <w:r w:rsidR="00A72D17" w:rsidRPr="00FC4465">
        <w:rPr>
          <w:rFonts w:asciiTheme="majorBidi" w:hAnsiTheme="majorBidi" w:cstheme="majorBidi"/>
        </w:rPr>
        <w:t>/</w:t>
      </w:r>
      <w:r w:rsidR="00762E66">
        <w:rPr>
          <w:rFonts w:asciiTheme="majorBidi" w:hAnsiTheme="majorBidi" w:cstheme="majorBidi"/>
          <w:i/>
          <w:iCs/>
        </w:rPr>
        <w:t>ex vivo</w:t>
      </w:r>
      <w:r w:rsidR="00A72D17" w:rsidRPr="00FC4465">
        <w:rPr>
          <w:rFonts w:asciiTheme="majorBidi" w:hAnsiTheme="majorBidi" w:cstheme="majorBidi"/>
        </w:rPr>
        <w:t xml:space="preserve"> sobre los efectos oculares, los datos disponibles obtenidos en humanos/normalizados obtenidos en animales/</w:t>
      </w:r>
      <w:r w:rsidR="00762E66">
        <w:rPr>
          <w:rFonts w:asciiTheme="majorBidi" w:hAnsiTheme="majorBidi" w:cstheme="majorBidi"/>
          <w:i/>
          <w:iCs/>
        </w:rPr>
        <w:t>in vitro</w:t>
      </w:r>
      <w:r w:rsidR="00A72D17" w:rsidRPr="00FC4465">
        <w:rPr>
          <w:rFonts w:asciiTheme="majorBidi" w:hAnsiTheme="majorBidi" w:cstheme="majorBidi"/>
        </w:rPr>
        <w:t>/</w:t>
      </w:r>
      <w:r w:rsidR="00762E66">
        <w:rPr>
          <w:rFonts w:asciiTheme="majorBidi" w:hAnsiTheme="majorBidi" w:cstheme="majorBidi"/>
          <w:i/>
          <w:iCs/>
        </w:rPr>
        <w:t>ex vivo</w:t>
      </w:r>
      <w:r w:rsidR="00A72D17" w:rsidRPr="00FC4465">
        <w:rPr>
          <w:rFonts w:asciiTheme="majorBidi" w:hAnsiTheme="majorBidi" w:cstheme="majorBidi"/>
        </w:rPr>
        <w:t xml:space="preserve"> sobre la corrosión cutánea, otros datos disponibles obtenidos en animales sobre los efectos en la piel o los ojos, los datos sobre el pH extremo y la reserva ácida/alcalina y, por último, los datos procedentes de métodos que no sean ensayos. Cuando la información aportada por los datos de una misma etapa sea incoherente o contradictoria, la conclusión de esa etapa se adoptará mediante una evaluación del peso de las pruebas.</w:t>
      </w:r>
    </w:p>
    <w:p w14:paraId="54123B00" w14:textId="38778447" w:rsidR="00A72D17" w:rsidRPr="00FC4465" w:rsidRDefault="00A72D17" w:rsidP="00A72D17">
      <w:pPr>
        <w:pStyle w:val="SingleTxtG"/>
        <w:ind w:left="2268"/>
        <w:rPr>
          <w:rFonts w:asciiTheme="majorBidi" w:hAnsiTheme="majorBidi" w:cstheme="majorBidi"/>
        </w:rPr>
      </w:pPr>
      <w:r w:rsidRPr="00FC4465">
        <w:rPr>
          <w:rFonts w:asciiTheme="majorBidi" w:hAnsiTheme="majorBidi" w:cstheme="majorBidi"/>
        </w:rPr>
        <w:t>3.3.2.10.3</w:t>
      </w:r>
      <w:r w:rsidRPr="00FC4465">
        <w:rPr>
          <w:rFonts w:asciiTheme="majorBidi" w:hAnsiTheme="majorBidi" w:cstheme="majorBidi"/>
        </w:rPr>
        <w:tab/>
        <w:t xml:space="preserve">Cuando la información de diferentes etapas es incoherente o contradictoria con la clasificación resultante, se da generalmente más peso a la información de suficiente calidad de una etapa superior que a la de una etapa inferior. Sin embargo, si la información de una etapa inferior da lugar a una clasificación más estricta que la información de la etapa superior y preocupa la posibilidad de una clasificación incorrecta, la conclusión se adoptará mediante una evaluación del peso total de las pruebas. Por ejemplo, los encargados de la clasificación que, habiendo consultado debidamente la orientación formulada en la sección 3.3.5.3, estén preocupados por un resultado negativo con respecto a las lesiones oculares graves en un estudio </w:t>
      </w:r>
      <w:r w:rsidR="00762E66">
        <w:rPr>
          <w:rFonts w:asciiTheme="majorBidi" w:hAnsiTheme="majorBidi" w:cstheme="majorBidi"/>
          <w:i/>
          <w:iCs/>
        </w:rPr>
        <w:t>in vitro</w:t>
      </w:r>
      <w:r w:rsidRPr="00FC4465">
        <w:rPr>
          <w:rFonts w:asciiTheme="majorBidi" w:hAnsiTheme="majorBidi" w:cstheme="majorBidi"/>
        </w:rPr>
        <w:t>/</w:t>
      </w:r>
      <w:r w:rsidR="00762E66">
        <w:rPr>
          <w:rFonts w:asciiTheme="majorBidi" w:hAnsiTheme="majorBidi" w:cstheme="majorBidi"/>
          <w:i/>
          <w:iCs/>
        </w:rPr>
        <w:t>ex vivo</w:t>
      </w:r>
      <w:r w:rsidRPr="00FC4465">
        <w:rPr>
          <w:rFonts w:asciiTheme="majorBidi" w:hAnsiTheme="majorBidi" w:cstheme="majorBidi"/>
        </w:rPr>
        <w:t xml:space="preserve">, siendo así que existe un resultado positivo de lesiones oculares graves en otros datos disponibles sobre efectos oculares en animales, recurrirán a una evaluación del peso total de las pruebas. Lo mismo ocurrirá si se dispone de datos obtenidos en seres humanos que indiquen irritación ocular, pero también de datos positivos procedentes de un ensayo </w:t>
      </w:r>
      <w:r w:rsidR="00762E66">
        <w:rPr>
          <w:rFonts w:asciiTheme="majorBidi" w:hAnsiTheme="majorBidi" w:cstheme="majorBidi"/>
          <w:i/>
          <w:iCs/>
        </w:rPr>
        <w:t>in vitro</w:t>
      </w:r>
      <w:r w:rsidRPr="00FC4465">
        <w:rPr>
          <w:rFonts w:asciiTheme="majorBidi" w:hAnsiTheme="majorBidi" w:cstheme="majorBidi"/>
        </w:rPr>
        <w:t>/</w:t>
      </w:r>
      <w:r w:rsidR="00762E66">
        <w:rPr>
          <w:rFonts w:asciiTheme="majorBidi" w:hAnsiTheme="majorBidi" w:cstheme="majorBidi"/>
          <w:i/>
          <w:iCs/>
        </w:rPr>
        <w:t>ex vivo</w:t>
      </w:r>
      <w:r w:rsidRPr="00FC4465">
        <w:rPr>
          <w:rFonts w:asciiTheme="majorBidi" w:hAnsiTheme="majorBidi" w:cstheme="majorBidi"/>
        </w:rPr>
        <w:t xml:space="preserve"> que indiquen lesiones oculares graves.</w:t>
      </w:r>
      <w:r w:rsidR="008C5013" w:rsidRPr="00FC4465">
        <w:rPr>
          <w:rFonts w:asciiTheme="majorBidi" w:hAnsiTheme="majorBidi" w:cstheme="majorBidi"/>
        </w:rPr>
        <w:t>”</w:t>
      </w:r>
      <w:r w:rsidRPr="00FC4465">
        <w:rPr>
          <w:rFonts w:asciiTheme="majorBidi" w:hAnsiTheme="majorBidi" w:cstheme="majorBidi"/>
        </w:rPr>
        <w:t>.</w:t>
      </w:r>
    </w:p>
    <w:p w14:paraId="5A6E4D09" w14:textId="3237C655" w:rsidR="00A72D17" w:rsidRPr="00FC4465" w:rsidRDefault="009A5517" w:rsidP="00A72D17">
      <w:pPr>
        <w:pStyle w:val="SingleTxtG"/>
        <w:keepNext/>
        <w:keepLines/>
        <w:rPr>
          <w:rFonts w:asciiTheme="majorBidi" w:hAnsiTheme="majorBidi" w:cstheme="majorBidi"/>
        </w:rPr>
      </w:pPr>
      <w:r>
        <w:rPr>
          <w:rFonts w:asciiTheme="majorBidi" w:hAnsiTheme="majorBidi" w:cstheme="majorBidi"/>
        </w:rPr>
        <w:lastRenderedPageBreak/>
        <w:t xml:space="preserve">Figura </w:t>
      </w:r>
      <w:r w:rsidR="00A72D17" w:rsidRPr="00FC4465">
        <w:rPr>
          <w:rFonts w:asciiTheme="majorBidi" w:hAnsiTheme="majorBidi" w:cstheme="majorBidi"/>
        </w:rPr>
        <w:t xml:space="preserve">3.3.1: </w:t>
      </w:r>
      <w:r w:rsidR="00A72D17" w:rsidRPr="00FC4465">
        <w:rPr>
          <w:rFonts w:asciiTheme="majorBidi" w:hAnsiTheme="majorBidi" w:cstheme="majorBidi"/>
        </w:rPr>
        <w:tab/>
        <w:t xml:space="preserve">Sustitúyase por: </w:t>
      </w:r>
    </w:p>
    <w:p w14:paraId="548E2A89" w14:textId="665E4C44" w:rsidR="00A72D17" w:rsidRPr="00FC4465" w:rsidRDefault="008C5013" w:rsidP="007305F0">
      <w:pPr>
        <w:pStyle w:val="SingleTxtG"/>
        <w:keepNext/>
        <w:keepLines/>
        <w:ind w:left="1985" w:right="707"/>
        <w:jc w:val="center"/>
        <w:rPr>
          <w:rFonts w:asciiTheme="majorBidi" w:hAnsiTheme="majorBidi" w:cstheme="majorBidi"/>
        </w:rPr>
      </w:pPr>
      <w:r w:rsidRPr="00FC4465">
        <w:rPr>
          <w:rFonts w:asciiTheme="majorBidi" w:hAnsiTheme="majorBidi" w:cstheme="majorBidi"/>
        </w:rPr>
        <w:t>“</w:t>
      </w:r>
      <w:r w:rsidR="00A72D17" w:rsidRPr="00FC4465">
        <w:rPr>
          <w:rFonts w:asciiTheme="majorBidi" w:hAnsiTheme="majorBidi" w:cstheme="majorBidi"/>
          <w:b/>
          <w:bCs/>
        </w:rPr>
        <w:t>Figura 3.3.1: Aplicación del enfoque por etapas para lesiones oculares graves/irritación ocular</w:t>
      </w:r>
      <w:r w:rsidR="00A72D17" w:rsidRPr="00FC4465">
        <w:rPr>
          <w:rFonts w:asciiTheme="majorBidi" w:hAnsiTheme="majorBidi" w:cstheme="majorBidi"/>
          <w:b/>
          <w:bCs/>
          <w:vertAlign w:val="superscript"/>
        </w:rPr>
        <w:t>a</w:t>
      </w:r>
    </w:p>
    <w:p w14:paraId="6D02A28F" w14:textId="450A2C39" w:rsidR="00A72D17" w:rsidRPr="00FC4465" w:rsidRDefault="00173DE8" w:rsidP="00A72D17">
      <w:pPr>
        <w:tabs>
          <w:tab w:val="left" w:pos="2268"/>
        </w:tabs>
        <w:spacing w:after="200" w:line="276" w:lineRule="auto"/>
        <w:ind w:left="1134"/>
        <w:jc w:val="center"/>
        <w:rPr>
          <w:rFonts w:asciiTheme="majorBidi" w:hAnsiTheme="majorBidi" w:cstheme="majorBidi"/>
        </w:rPr>
      </w:pPr>
      <w:r>
        <w:object w:dxaOrig="7140" w:dyaOrig="11011" w14:anchorId="14BD80FD">
          <v:shape id="_x0000_i1028" type="#_x0000_t75" style="width:357pt;height:550.5pt" o:ole="">
            <v:imagedata r:id="rId14" o:title=""/>
          </v:shape>
          <o:OLEObject Type="Embed" ProgID="Visio.Drawing.15" ShapeID="_x0000_i1028" DrawAspect="Content" ObjectID="_1754120335" r:id="rId15"/>
        </w:object>
      </w:r>
      <w:r w:rsidR="0015438E" w:rsidRPr="00FC4465">
        <w:rPr>
          <w:rFonts w:asciiTheme="majorBidi" w:hAnsiTheme="majorBidi" w:cstheme="majorBidi"/>
        </w:rPr>
        <w:t>”</w:t>
      </w:r>
    </w:p>
    <w:p w14:paraId="14EDDD5C" w14:textId="2FBBD501" w:rsidR="00A72D17" w:rsidRPr="00FC4465" w:rsidRDefault="00A72D17" w:rsidP="00A72D17">
      <w:pPr>
        <w:pStyle w:val="SingleTxtG"/>
        <w:keepNext/>
        <w:keepLines/>
        <w:rPr>
          <w:rFonts w:asciiTheme="majorBidi" w:hAnsiTheme="majorBidi" w:cstheme="majorBidi"/>
        </w:rPr>
      </w:pPr>
      <w:bookmarkStart w:id="4" w:name="_Hlk69885616"/>
      <w:r w:rsidRPr="00FC4465">
        <w:rPr>
          <w:rFonts w:asciiTheme="majorBidi" w:hAnsiTheme="majorBidi" w:cstheme="majorBidi"/>
        </w:rPr>
        <w:lastRenderedPageBreak/>
        <w:t xml:space="preserve">Sustitúyanse las actuales notas </w:t>
      </w:r>
      <w:r w:rsidR="008C5013" w:rsidRPr="00FC4465">
        <w:rPr>
          <w:rFonts w:asciiTheme="majorBidi" w:hAnsiTheme="majorBidi" w:cstheme="majorBidi"/>
        </w:rPr>
        <w:t>“</w:t>
      </w:r>
      <w:r w:rsidRPr="00FC4465">
        <w:rPr>
          <w:rFonts w:asciiTheme="majorBidi" w:hAnsiTheme="majorBidi" w:cstheme="majorBidi"/>
        </w:rPr>
        <w:t>a</w:t>
      </w:r>
      <w:r w:rsidR="008C5013" w:rsidRPr="00FC4465">
        <w:rPr>
          <w:rFonts w:asciiTheme="majorBidi" w:hAnsiTheme="majorBidi" w:cstheme="majorBidi"/>
        </w:rPr>
        <w:t>”</w:t>
      </w:r>
      <w:r w:rsidRPr="00FC4465">
        <w:rPr>
          <w:rFonts w:asciiTheme="majorBidi" w:hAnsiTheme="majorBidi" w:cstheme="majorBidi"/>
        </w:rPr>
        <w:t xml:space="preserve">, </w:t>
      </w:r>
      <w:r w:rsidR="008C5013" w:rsidRPr="00FC4465">
        <w:rPr>
          <w:rFonts w:asciiTheme="majorBidi" w:hAnsiTheme="majorBidi" w:cstheme="majorBidi"/>
        </w:rPr>
        <w:t>“</w:t>
      </w:r>
      <w:r w:rsidRPr="00FC4465">
        <w:rPr>
          <w:rFonts w:asciiTheme="majorBidi" w:hAnsiTheme="majorBidi" w:cstheme="majorBidi"/>
        </w:rPr>
        <w:t>b</w:t>
      </w:r>
      <w:r w:rsidR="008C5013" w:rsidRPr="00FC4465">
        <w:rPr>
          <w:rFonts w:asciiTheme="majorBidi" w:hAnsiTheme="majorBidi" w:cstheme="majorBidi"/>
        </w:rPr>
        <w:t>”</w:t>
      </w:r>
      <w:r w:rsidRPr="00FC4465">
        <w:rPr>
          <w:rFonts w:asciiTheme="majorBidi" w:hAnsiTheme="majorBidi" w:cstheme="majorBidi"/>
        </w:rPr>
        <w:t xml:space="preserve">, </w:t>
      </w:r>
      <w:r w:rsidR="008C5013" w:rsidRPr="00FC4465">
        <w:rPr>
          <w:rFonts w:asciiTheme="majorBidi" w:hAnsiTheme="majorBidi" w:cstheme="majorBidi"/>
        </w:rPr>
        <w:t>“</w:t>
      </w:r>
      <w:r w:rsidRPr="00FC4465">
        <w:rPr>
          <w:rFonts w:asciiTheme="majorBidi" w:hAnsiTheme="majorBidi" w:cstheme="majorBidi"/>
        </w:rPr>
        <w:t>c</w:t>
      </w:r>
      <w:r w:rsidR="008C5013" w:rsidRPr="00FC4465">
        <w:rPr>
          <w:rFonts w:asciiTheme="majorBidi" w:hAnsiTheme="majorBidi" w:cstheme="majorBidi"/>
        </w:rPr>
        <w:t>”</w:t>
      </w:r>
      <w:r w:rsidRPr="00FC4465">
        <w:rPr>
          <w:rFonts w:asciiTheme="majorBidi" w:hAnsiTheme="majorBidi" w:cstheme="majorBidi"/>
        </w:rPr>
        <w:t xml:space="preserve"> y </w:t>
      </w:r>
      <w:r w:rsidR="008C5013" w:rsidRPr="00FC4465">
        <w:rPr>
          <w:rFonts w:asciiTheme="majorBidi" w:hAnsiTheme="majorBidi" w:cstheme="majorBidi"/>
        </w:rPr>
        <w:t>“</w:t>
      </w:r>
      <w:r w:rsidRPr="00FC4465">
        <w:rPr>
          <w:rFonts w:asciiTheme="majorBidi" w:hAnsiTheme="majorBidi" w:cstheme="majorBidi"/>
        </w:rPr>
        <w:t>d</w:t>
      </w:r>
      <w:r w:rsidR="008C5013" w:rsidRPr="00FC4465">
        <w:rPr>
          <w:rFonts w:asciiTheme="majorBidi" w:hAnsiTheme="majorBidi" w:cstheme="majorBidi"/>
        </w:rPr>
        <w:t>”</w:t>
      </w:r>
      <w:r w:rsidRPr="00FC4465">
        <w:rPr>
          <w:rFonts w:asciiTheme="majorBidi" w:hAnsiTheme="majorBidi" w:cstheme="majorBidi"/>
        </w:rPr>
        <w:t xml:space="preserve"> de la figura 3.3.1 por las siguientes, y suprímanse las notas </w:t>
      </w:r>
      <w:r w:rsidR="008C5013" w:rsidRPr="00FC4465">
        <w:rPr>
          <w:rFonts w:asciiTheme="majorBidi" w:hAnsiTheme="majorBidi" w:cstheme="majorBidi"/>
        </w:rPr>
        <w:t>“</w:t>
      </w:r>
      <w:r w:rsidRPr="00FC4465">
        <w:rPr>
          <w:rFonts w:asciiTheme="majorBidi" w:hAnsiTheme="majorBidi" w:cstheme="majorBidi"/>
        </w:rPr>
        <w:t>e</w:t>
      </w:r>
      <w:r w:rsidR="008C5013" w:rsidRPr="00FC4465">
        <w:rPr>
          <w:rFonts w:asciiTheme="majorBidi" w:hAnsiTheme="majorBidi" w:cstheme="majorBidi"/>
        </w:rPr>
        <w:t>”</w:t>
      </w:r>
      <w:r w:rsidRPr="00FC4465">
        <w:rPr>
          <w:rFonts w:asciiTheme="majorBidi" w:hAnsiTheme="majorBidi" w:cstheme="majorBidi"/>
        </w:rPr>
        <w:t xml:space="preserve"> y </w:t>
      </w:r>
      <w:r w:rsidR="008C5013" w:rsidRPr="00FC4465">
        <w:rPr>
          <w:rFonts w:asciiTheme="majorBidi" w:hAnsiTheme="majorBidi" w:cstheme="majorBidi"/>
        </w:rPr>
        <w:t>“</w:t>
      </w:r>
      <w:r w:rsidRPr="00FC4465">
        <w:rPr>
          <w:rFonts w:asciiTheme="majorBidi" w:hAnsiTheme="majorBidi" w:cstheme="majorBidi"/>
        </w:rPr>
        <w:t>f</w:t>
      </w:r>
      <w:r w:rsidR="008C5013" w:rsidRPr="00FC4465">
        <w:rPr>
          <w:rFonts w:asciiTheme="majorBidi" w:hAnsiTheme="majorBidi" w:cstheme="majorBidi"/>
        </w:rPr>
        <w:t>”</w:t>
      </w:r>
      <w:r w:rsidRPr="00FC4465">
        <w:rPr>
          <w:rFonts w:asciiTheme="majorBidi" w:hAnsiTheme="majorBidi" w:cstheme="majorBidi"/>
        </w:rPr>
        <w:t xml:space="preserve">: </w:t>
      </w:r>
      <w:bookmarkEnd w:id="4"/>
    </w:p>
    <w:p w14:paraId="0451E24D" w14:textId="58FBBC86" w:rsidR="00A72D17" w:rsidRPr="002A1391" w:rsidRDefault="008C5013" w:rsidP="008645FC">
      <w:pPr>
        <w:pStyle w:val="SingleTxtG"/>
        <w:keepNext/>
        <w:keepLines/>
        <w:tabs>
          <w:tab w:val="left" w:pos="1985"/>
        </w:tabs>
        <w:ind w:left="1701"/>
        <w:rPr>
          <w:rFonts w:asciiTheme="majorBidi" w:hAnsiTheme="majorBidi" w:cstheme="majorBidi"/>
          <w:i/>
          <w:iCs/>
          <w:sz w:val="18"/>
          <w:szCs w:val="18"/>
        </w:rPr>
      </w:pPr>
      <w:r w:rsidRPr="002A1391">
        <w:rPr>
          <w:rFonts w:asciiTheme="majorBidi" w:hAnsiTheme="majorBidi" w:cstheme="majorBidi"/>
          <w:smallCaps/>
          <w:sz w:val="18"/>
          <w:szCs w:val="18"/>
        </w:rPr>
        <w:t>“</w:t>
      </w:r>
      <w:r w:rsidR="00A72D17" w:rsidRPr="004B7533">
        <w:rPr>
          <w:rFonts w:asciiTheme="majorBidi" w:hAnsiTheme="majorBidi" w:cstheme="majorBidi"/>
          <w:iCs/>
          <w:sz w:val="18"/>
          <w:szCs w:val="18"/>
          <w:vertAlign w:val="superscript"/>
        </w:rPr>
        <w:t>a</w:t>
      </w:r>
      <w:r w:rsidR="00A72D17" w:rsidRPr="002A1391">
        <w:rPr>
          <w:rFonts w:asciiTheme="majorBidi" w:hAnsiTheme="majorBidi" w:cstheme="majorBidi"/>
          <w:i/>
          <w:sz w:val="18"/>
          <w:szCs w:val="18"/>
        </w:rPr>
        <w:tab/>
      </w:r>
      <w:r w:rsidR="00A72D17" w:rsidRPr="002A1391">
        <w:rPr>
          <w:rFonts w:asciiTheme="majorBidi" w:hAnsiTheme="majorBidi" w:cstheme="majorBidi"/>
          <w:i/>
          <w:iCs/>
          <w:sz w:val="18"/>
          <w:szCs w:val="18"/>
        </w:rPr>
        <w:t>Antes de aplicar este enfoque, deberían consultarse el texto explicativo que figura en</w:t>
      </w:r>
      <w:r w:rsidR="008A7CA3">
        <w:rPr>
          <w:rFonts w:asciiTheme="majorBidi" w:hAnsiTheme="majorBidi" w:cstheme="majorBidi"/>
          <w:i/>
          <w:iCs/>
          <w:sz w:val="18"/>
          <w:szCs w:val="18"/>
        </w:rPr>
        <w:t> </w:t>
      </w:r>
      <w:r w:rsidR="00A72D17" w:rsidRPr="002A1391">
        <w:rPr>
          <w:rFonts w:asciiTheme="majorBidi" w:hAnsiTheme="majorBidi" w:cstheme="majorBidi"/>
          <w:i/>
          <w:iCs/>
          <w:sz w:val="18"/>
          <w:szCs w:val="18"/>
        </w:rPr>
        <w:t>3.3.2.10 y la orientación ofrecida en 3.3.5.3.</w:t>
      </w:r>
      <w:r w:rsidR="00A72D17" w:rsidRPr="002A1391">
        <w:rPr>
          <w:rFonts w:asciiTheme="majorBidi" w:hAnsiTheme="majorBidi" w:cstheme="majorBidi"/>
          <w:i/>
          <w:sz w:val="18"/>
          <w:szCs w:val="18"/>
        </w:rPr>
        <w:t xml:space="preserve"> </w:t>
      </w:r>
      <w:r w:rsidR="00A72D17" w:rsidRPr="002A1391">
        <w:rPr>
          <w:rFonts w:asciiTheme="majorBidi" w:hAnsiTheme="majorBidi" w:cstheme="majorBidi"/>
          <w:i/>
          <w:iCs/>
          <w:sz w:val="18"/>
          <w:szCs w:val="18"/>
        </w:rPr>
        <w:t>En el enfoque por etapas deberían incluirse solo datos adecuados, fiables y de suficiente calidad.</w:t>
      </w:r>
    </w:p>
    <w:p w14:paraId="54634936" w14:textId="77777777" w:rsidR="00A72D17" w:rsidRPr="002A1391" w:rsidRDefault="00A72D17" w:rsidP="008645FC">
      <w:pPr>
        <w:keepNext/>
        <w:keepLines/>
        <w:tabs>
          <w:tab w:val="left" w:pos="1985"/>
        </w:tabs>
        <w:spacing w:after="120"/>
        <w:ind w:left="1701"/>
        <w:rPr>
          <w:rFonts w:asciiTheme="majorBidi" w:hAnsiTheme="majorBidi" w:cstheme="majorBidi"/>
          <w:i/>
          <w:iCs/>
          <w:sz w:val="18"/>
          <w:szCs w:val="18"/>
        </w:rPr>
      </w:pPr>
      <w:r w:rsidRPr="004B7533">
        <w:rPr>
          <w:rFonts w:asciiTheme="majorBidi" w:hAnsiTheme="majorBidi" w:cstheme="majorBidi"/>
          <w:sz w:val="18"/>
          <w:szCs w:val="18"/>
          <w:vertAlign w:val="superscript"/>
        </w:rPr>
        <w:t>b</w:t>
      </w:r>
      <w:r w:rsidRPr="002A1391">
        <w:rPr>
          <w:rFonts w:asciiTheme="majorBidi" w:hAnsiTheme="majorBidi" w:cstheme="majorBidi"/>
          <w:i/>
          <w:sz w:val="18"/>
          <w:szCs w:val="18"/>
        </w:rPr>
        <w:tab/>
      </w:r>
      <w:r w:rsidRPr="002A1391">
        <w:rPr>
          <w:rFonts w:asciiTheme="majorBidi" w:hAnsiTheme="majorBidi" w:cstheme="majorBidi"/>
          <w:i/>
          <w:iCs/>
          <w:sz w:val="18"/>
          <w:szCs w:val="18"/>
        </w:rPr>
        <w:t>La información puede no ser concluyente por varias razones, como:</w:t>
      </w:r>
    </w:p>
    <w:p w14:paraId="7FFC8104" w14:textId="4A136BF6" w:rsidR="00A72D17" w:rsidRPr="002A1391" w:rsidRDefault="007305F0" w:rsidP="008645FC">
      <w:pPr>
        <w:pStyle w:val="SingleTxtG"/>
        <w:tabs>
          <w:tab w:val="left" w:pos="1985"/>
        </w:tabs>
        <w:ind w:left="2268" w:hanging="283"/>
        <w:rPr>
          <w:rFonts w:asciiTheme="majorBidi" w:hAnsiTheme="majorBidi" w:cstheme="majorBidi"/>
          <w:i/>
          <w:iCs/>
          <w:sz w:val="18"/>
          <w:szCs w:val="18"/>
        </w:rPr>
      </w:pPr>
      <w:r w:rsidRPr="002A1391">
        <w:rPr>
          <w:rFonts w:asciiTheme="majorBidi" w:hAnsiTheme="majorBidi" w:cstheme="majorBidi"/>
          <w:i/>
          <w:iCs/>
          <w:sz w:val="18"/>
          <w:szCs w:val="18"/>
        </w:rPr>
        <w:t>-</w:t>
      </w:r>
      <w:r w:rsidRPr="002A1391">
        <w:rPr>
          <w:rFonts w:asciiTheme="majorBidi" w:hAnsiTheme="majorBidi" w:cstheme="majorBidi"/>
          <w:i/>
          <w:iCs/>
          <w:sz w:val="18"/>
          <w:szCs w:val="18"/>
        </w:rPr>
        <w:tab/>
      </w:r>
      <w:r w:rsidR="00A72D17" w:rsidRPr="002A1391">
        <w:rPr>
          <w:rFonts w:asciiTheme="majorBidi" w:hAnsiTheme="majorBidi" w:cstheme="majorBidi"/>
          <w:i/>
          <w:iCs/>
          <w:sz w:val="18"/>
          <w:szCs w:val="18"/>
        </w:rPr>
        <w:t>Los datos pueden no ser de calidad suficientemente buena, o ser insuficientes o inadecuados a los fines de la clasificación por otras razones, por ejemplo debido a problemas de calidad relacionados con el diseño del experimento y/o con la información presentada al respecto;</w:t>
      </w:r>
    </w:p>
    <w:p w14:paraId="14EE85F2" w14:textId="3119461A" w:rsidR="00A72D17" w:rsidRPr="002A1391" w:rsidRDefault="007305F0" w:rsidP="008645FC">
      <w:pPr>
        <w:pStyle w:val="SingleTxtG"/>
        <w:ind w:left="2268" w:hanging="283"/>
        <w:rPr>
          <w:rFonts w:asciiTheme="majorBidi" w:hAnsiTheme="majorBidi" w:cstheme="majorBidi"/>
          <w:i/>
          <w:iCs/>
          <w:sz w:val="18"/>
          <w:szCs w:val="18"/>
        </w:rPr>
      </w:pPr>
      <w:r w:rsidRPr="002A1391">
        <w:rPr>
          <w:rFonts w:asciiTheme="majorBidi" w:hAnsiTheme="majorBidi" w:cstheme="majorBidi"/>
          <w:i/>
          <w:iCs/>
          <w:sz w:val="18"/>
          <w:szCs w:val="18"/>
        </w:rPr>
        <w:t>-</w:t>
      </w:r>
      <w:r w:rsidRPr="002A1391">
        <w:rPr>
          <w:rFonts w:asciiTheme="majorBidi" w:hAnsiTheme="majorBidi" w:cstheme="majorBidi"/>
          <w:i/>
          <w:iCs/>
          <w:sz w:val="18"/>
          <w:szCs w:val="18"/>
        </w:rPr>
        <w:tab/>
      </w:r>
      <w:r w:rsidR="00A72D17" w:rsidRPr="002A1391">
        <w:rPr>
          <w:rFonts w:asciiTheme="majorBidi" w:hAnsiTheme="majorBidi" w:cstheme="majorBidi"/>
          <w:i/>
          <w:iCs/>
          <w:sz w:val="18"/>
          <w:szCs w:val="18"/>
        </w:rPr>
        <w:t>Los datos disponibles pueden ser insuficientes para determinar la clasificación, por ejemplo si indican ausencia de lesiones oculares graves pero no son suficientes para demostrar irritación ocular;</w:t>
      </w:r>
    </w:p>
    <w:p w14:paraId="1D954266" w14:textId="57F10A86" w:rsidR="00A72D17" w:rsidRPr="002A1391" w:rsidRDefault="007305F0" w:rsidP="008645FC">
      <w:pPr>
        <w:pStyle w:val="SingleTxtG"/>
        <w:ind w:left="2268" w:hanging="283"/>
        <w:rPr>
          <w:rFonts w:asciiTheme="majorBidi" w:hAnsiTheme="majorBidi" w:cstheme="majorBidi"/>
          <w:i/>
          <w:iCs/>
          <w:sz w:val="18"/>
          <w:szCs w:val="18"/>
        </w:rPr>
      </w:pPr>
      <w:r w:rsidRPr="002A1391">
        <w:rPr>
          <w:rFonts w:asciiTheme="majorBidi" w:hAnsiTheme="majorBidi" w:cstheme="majorBidi"/>
          <w:i/>
          <w:iCs/>
          <w:sz w:val="18"/>
          <w:szCs w:val="18"/>
        </w:rPr>
        <w:t>-</w:t>
      </w:r>
      <w:r w:rsidRPr="002A1391">
        <w:rPr>
          <w:rFonts w:asciiTheme="majorBidi" w:hAnsiTheme="majorBidi" w:cstheme="majorBidi"/>
          <w:i/>
          <w:iCs/>
          <w:sz w:val="18"/>
          <w:szCs w:val="18"/>
        </w:rPr>
        <w:tab/>
      </w:r>
      <w:r w:rsidR="00A72D17" w:rsidRPr="002A1391">
        <w:rPr>
          <w:rFonts w:asciiTheme="majorBidi" w:hAnsiTheme="majorBidi" w:cstheme="majorBidi"/>
          <w:i/>
          <w:iCs/>
          <w:sz w:val="18"/>
          <w:szCs w:val="18"/>
        </w:rPr>
        <w:t>Cuando las autoridades competentes aplican las categorías 2A y 2B de irritación ocular, es posible que los datos disponibles no permitan distinguir entre ambas categorías.</w:t>
      </w:r>
    </w:p>
    <w:p w14:paraId="0221005A" w14:textId="77777777" w:rsidR="00A72D17" w:rsidRPr="002A1391" w:rsidRDefault="00A72D17" w:rsidP="008645FC">
      <w:pPr>
        <w:pStyle w:val="SingleTxtG"/>
        <w:ind w:left="1985" w:hanging="284"/>
        <w:rPr>
          <w:rFonts w:asciiTheme="majorBidi" w:hAnsiTheme="majorBidi" w:cstheme="majorBidi"/>
          <w:i/>
          <w:iCs/>
          <w:sz w:val="18"/>
          <w:szCs w:val="18"/>
        </w:rPr>
      </w:pPr>
      <w:r w:rsidRPr="004B7533">
        <w:rPr>
          <w:rFonts w:asciiTheme="majorBidi" w:hAnsiTheme="majorBidi" w:cstheme="majorBidi"/>
          <w:sz w:val="18"/>
          <w:szCs w:val="18"/>
          <w:vertAlign w:val="superscript"/>
        </w:rPr>
        <w:t>c</w:t>
      </w:r>
      <w:r w:rsidRPr="002A1391">
        <w:rPr>
          <w:rFonts w:asciiTheme="majorBidi" w:hAnsiTheme="majorBidi" w:cstheme="majorBidi"/>
          <w:i/>
          <w:sz w:val="18"/>
          <w:szCs w:val="18"/>
        </w:rPr>
        <w:tab/>
      </w:r>
      <w:r w:rsidRPr="002A1391">
        <w:rPr>
          <w:rFonts w:asciiTheme="majorBidi" w:hAnsiTheme="majorBidi" w:cstheme="majorBidi"/>
          <w:i/>
          <w:iCs/>
          <w:sz w:val="18"/>
          <w:szCs w:val="18"/>
        </w:rPr>
        <w:t>Cabe señalar que no todas las sustancias que son irritantes para la piel lo son también necesariamente para los ojos, del mismo modo que no todas las sustancias que no son irritantes para la piel tampoco lo son necesariamente para los ojos (véanse 3.3.2.5, 3.3.2.6, 3.3.2.8.4 y 3.3.2.9.1).</w:t>
      </w:r>
    </w:p>
    <w:p w14:paraId="47172023" w14:textId="29B914F3" w:rsidR="00A72D17" w:rsidRPr="00173DE8" w:rsidRDefault="00A72D17" w:rsidP="008645FC">
      <w:pPr>
        <w:pStyle w:val="SingleTxtG"/>
        <w:ind w:left="1985" w:hanging="284"/>
        <w:rPr>
          <w:rFonts w:asciiTheme="majorBidi" w:hAnsiTheme="majorBidi" w:cstheme="majorBidi"/>
          <w:i/>
          <w:iCs/>
          <w:sz w:val="18"/>
          <w:szCs w:val="18"/>
        </w:rPr>
      </w:pPr>
      <w:r w:rsidRPr="004B7533">
        <w:rPr>
          <w:rFonts w:asciiTheme="majorBidi" w:hAnsiTheme="majorBidi" w:cstheme="majorBidi"/>
          <w:sz w:val="18"/>
          <w:szCs w:val="18"/>
          <w:vertAlign w:val="superscript"/>
        </w:rPr>
        <w:t>d</w:t>
      </w:r>
      <w:r w:rsidRPr="002A1391">
        <w:rPr>
          <w:rFonts w:asciiTheme="majorBidi" w:hAnsiTheme="majorBidi" w:cstheme="majorBidi"/>
          <w:i/>
          <w:sz w:val="18"/>
          <w:szCs w:val="18"/>
        </w:rPr>
        <w:tab/>
      </w:r>
      <w:r w:rsidRPr="002A1391">
        <w:rPr>
          <w:rFonts w:asciiTheme="majorBidi" w:hAnsiTheme="majorBidi" w:cstheme="majorBidi"/>
          <w:i/>
          <w:iCs/>
          <w:sz w:val="18"/>
          <w:szCs w:val="18"/>
        </w:rPr>
        <w:t>En el caso de las mezclas, debería aplicarse el diagrama de la figura 3.3.2.</w:t>
      </w:r>
      <w:r w:rsidR="008C5013" w:rsidRPr="00173DE8">
        <w:rPr>
          <w:rFonts w:asciiTheme="majorBidi" w:hAnsiTheme="majorBidi" w:cstheme="majorBidi"/>
          <w:iCs/>
          <w:sz w:val="18"/>
          <w:szCs w:val="18"/>
        </w:rPr>
        <w:t>”</w:t>
      </w:r>
      <w:r w:rsidRPr="00173DE8">
        <w:rPr>
          <w:rFonts w:asciiTheme="majorBidi" w:hAnsiTheme="majorBidi" w:cstheme="majorBidi"/>
          <w:iCs/>
          <w:sz w:val="18"/>
          <w:szCs w:val="18"/>
        </w:rPr>
        <w:t>.</w:t>
      </w:r>
    </w:p>
    <w:p w14:paraId="5D38B555" w14:textId="77777777" w:rsidR="00A72D17" w:rsidRPr="00FC4465" w:rsidRDefault="00A72D17" w:rsidP="00A72D17">
      <w:pPr>
        <w:pStyle w:val="SingleTxtG"/>
        <w:rPr>
          <w:rFonts w:asciiTheme="majorBidi" w:hAnsiTheme="majorBidi" w:cstheme="majorBidi"/>
        </w:rPr>
      </w:pPr>
      <w:r w:rsidRPr="00FC4465">
        <w:rPr>
          <w:rFonts w:asciiTheme="majorBidi" w:hAnsiTheme="majorBidi" w:cstheme="majorBidi"/>
        </w:rPr>
        <w:t>3.3.3</w:t>
      </w:r>
      <w:r w:rsidRPr="00FC4465">
        <w:rPr>
          <w:rFonts w:asciiTheme="majorBidi" w:hAnsiTheme="majorBidi" w:cstheme="majorBidi"/>
        </w:rPr>
        <w:tab/>
      </w:r>
      <w:r w:rsidRPr="00FC4465">
        <w:rPr>
          <w:rFonts w:asciiTheme="majorBidi" w:hAnsiTheme="majorBidi" w:cstheme="majorBidi"/>
        </w:rPr>
        <w:tab/>
        <w:t>Modifíquese para que diga:</w:t>
      </w:r>
    </w:p>
    <w:p w14:paraId="63916DD2" w14:textId="1AFBFCEA" w:rsidR="00A72D17" w:rsidRPr="00FC4465" w:rsidRDefault="008C5013" w:rsidP="00A72D17">
      <w:pPr>
        <w:pStyle w:val="SingleTxtG"/>
        <w:ind w:left="2268"/>
        <w:rPr>
          <w:rFonts w:asciiTheme="majorBidi" w:hAnsiTheme="majorBidi" w:cstheme="majorBidi"/>
          <w:b/>
          <w:bCs/>
        </w:rPr>
      </w:pPr>
      <w:bookmarkStart w:id="5" w:name="_Hlk69885708"/>
      <w:r w:rsidRPr="00FC4465">
        <w:rPr>
          <w:rFonts w:asciiTheme="majorBidi" w:hAnsiTheme="majorBidi" w:cstheme="majorBidi"/>
        </w:rPr>
        <w:t>“</w:t>
      </w:r>
      <w:r w:rsidR="00A72D17" w:rsidRPr="00FC4465">
        <w:rPr>
          <w:rFonts w:asciiTheme="majorBidi" w:hAnsiTheme="majorBidi" w:cstheme="majorBidi"/>
          <w:b/>
          <w:bCs/>
        </w:rPr>
        <w:t>3.3.3</w:t>
      </w:r>
      <w:r w:rsidR="00A72D17" w:rsidRPr="00FC4465">
        <w:rPr>
          <w:rFonts w:asciiTheme="majorBidi" w:hAnsiTheme="majorBidi" w:cstheme="majorBidi"/>
        </w:rPr>
        <w:tab/>
      </w:r>
      <w:r w:rsidR="00A72D17" w:rsidRPr="00FC4465">
        <w:rPr>
          <w:rFonts w:asciiTheme="majorBidi" w:hAnsiTheme="majorBidi" w:cstheme="majorBidi"/>
        </w:rPr>
        <w:tab/>
      </w:r>
      <w:r w:rsidR="00A72D17" w:rsidRPr="00FC4465">
        <w:rPr>
          <w:rFonts w:asciiTheme="majorBidi" w:hAnsiTheme="majorBidi" w:cstheme="majorBidi"/>
        </w:rPr>
        <w:tab/>
      </w:r>
      <w:r w:rsidR="00A72D17" w:rsidRPr="00FC4465">
        <w:rPr>
          <w:rFonts w:asciiTheme="majorBidi" w:hAnsiTheme="majorBidi" w:cstheme="majorBidi"/>
          <w:b/>
          <w:bCs/>
        </w:rPr>
        <w:t>Criterios de clasificación para las mezclas</w:t>
      </w:r>
    </w:p>
    <w:p w14:paraId="5D2EF95D" w14:textId="77777777" w:rsidR="00A72D17" w:rsidRPr="00FC4465" w:rsidRDefault="00A72D17" w:rsidP="00A72D17">
      <w:pPr>
        <w:pStyle w:val="SingleTxtG"/>
        <w:tabs>
          <w:tab w:val="left" w:pos="3402"/>
        </w:tabs>
        <w:ind w:left="2268"/>
        <w:rPr>
          <w:rFonts w:asciiTheme="majorBidi" w:hAnsiTheme="majorBidi" w:cstheme="majorBidi"/>
        </w:rPr>
      </w:pPr>
      <w:r w:rsidRPr="00FC4465">
        <w:rPr>
          <w:rFonts w:asciiTheme="majorBidi" w:hAnsiTheme="majorBidi" w:cstheme="majorBidi"/>
        </w:rPr>
        <w:tab/>
      </w:r>
      <w:r w:rsidRPr="00FC4465">
        <w:rPr>
          <w:rFonts w:asciiTheme="majorBidi" w:hAnsiTheme="majorBidi" w:cstheme="majorBidi"/>
        </w:rPr>
        <w:tab/>
        <w:t>El procedimiento de clasificación por lesiones oculares graves/irritación ocular se realiza por etapas y depende de la cantidad de información disponible para la mezcla en sí y para sus componentes. El diagrama de la figura 3.3.2 siguiente indica el proceso que hay que seguir:</w:t>
      </w:r>
      <w:bookmarkEnd w:id="5"/>
    </w:p>
    <w:p w14:paraId="6E214A16" w14:textId="68BBCA1C" w:rsidR="00A72D17" w:rsidRPr="00FC4465" w:rsidRDefault="00A72D17" w:rsidP="0038217B">
      <w:pPr>
        <w:pStyle w:val="StyleGHSHeading410pt"/>
        <w:ind w:left="1418" w:right="1416"/>
        <w:jc w:val="center"/>
        <w:rPr>
          <w:rFonts w:asciiTheme="majorBidi" w:hAnsiTheme="majorBidi" w:cstheme="majorBidi"/>
          <w:color w:val="auto"/>
          <w:lang w:val="es-ES"/>
        </w:rPr>
      </w:pPr>
      <w:r w:rsidRPr="00FC4465">
        <w:rPr>
          <w:rFonts w:asciiTheme="majorBidi" w:hAnsiTheme="majorBidi" w:cstheme="majorBidi"/>
          <w:lang w:val="es-ES"/>
        </w:rPr>
        <w:lastRenderedPageBreak/>
        <w:t>Figura 3.3.2: Procedimiento por etapas para clasificar las mezclas en cuanto</w:t>
      </w:r>
      <w:r w:rsidR="007305F0" w:rsidRPr="00FC4465">
        <w:rPr>
          <w:rFonts w:asciiTheme="majorBidi" w:hAnsiTheme="majorBidi" w:cstheme="majorBidi"/>
          <w:lang w:val="es-ES"/>
        </w:rPr>
        <w:br/>
      </w:r>
      <w:r w:rsidRPr="00FC4465">
        <w:rPr>
          <w:rFonts w:asciiTheme="majorBidi" w:hAnsiTheme="majorBidi" w:cstheme="majorBidi"/>
          <w:lang w:val="es-ES"/>
        </w:rPr>
        <w:t>a las lesiones oculares graves/irritación ocular</w:t>
      </w:r>
    </w:p>
    <w:p w14:paraId="0E241E03" w14:textId="7A0A2E8E" w:rsidR="00A72D17" w:rsidRPr="00FC4465" w:rsidRDefault="002A1391" w:rsidP="00A72D17">
      <w:pPr>
        <w:pStyle w:val="SingleTxtG"/>
        <w:tabs>
          <w:tab w:val="left" w:pos="1418"/>
        </w:tabs>
        <w:jc w:val="center"/>
        <w:rPr>
          <w:rFonts w:asciiTheme="majorBidi" w:hAnsiTheme="majorBidi" w:cstheme="majorBidi"/>
          <w:b/>
          <w:i/>
          <w:iCs/>
          <w:shd w:val="clear" w:color="auto" w:fill="FFFFFF"/>
          <w:vertAlign w:val="superscript"/>
        </w:rPr>
      </w:pPr>
      <w:r>
        <w:object w:dxaOrig="6871" w:dyaOrig="7816" w14:anchorId="4D7419AF">
          <v:shape id="_x0000_i1029" type="#_x0000_t75" style="width:343.5pt;height:390.75pt" o:ole="">
            <v:imagedata r:id="rId16" o:title=""/>
          </v:shape>
          <o:OLEObject Type="Embed" ProgID="Visio.Drawing.15" ShapeID="_x0000_i1029" DrawAspect="Content" ObjectID="_1754120336" r:id="rId17"/>
        </w:object>
      </w:r>
    </w:p>
    <w:p w14:paraId="49B822B0" w14:textId="50764B35" w:rsidR="00A72D17" w:rsidRPr="004B7533" w:rsidRDefault="00A72D17" w:rsidP="00A72D17">
      <w:pPr>
        <w:pStyle w:val="SingleTxtG"/>
        <w:tabs>
          <w:tab w:val="left" w:pos="1418"/>
        </w:tabs>
        <w:rPr>
          <w:rFonts w:asciiTheme="majorBidi" w:hAnsiTheme="majorBidi" w:cstheme="majorBidi"/>
          <w:i/>
          <w:iCs/>
          <w:sz w:val="18"/>
          <w:szCs w:val="18"/>
        </w:rPr>
      </w:pPr>
      <w:r w:rsidRPr="004B7533">
        <w:rPr>
          <w:rFonts w:asciiTheme="majorBidi" w:hAnsiTheme="majorBidi" w:cstheme="majorBidi"/>
          <w:sz w:val="18"/>
          <w:szCs w:val="18"/>
          <w:vertAlign w:val="superscript"/>
        </w:rPr>
        <w:t>a</w:t>
      </w:r>
      <w:r w:rsidRPr="004B7533">
        <w:rPr>
          <w:rFonts w:asciiTheme="majorBidi" w:hAnsiTheme="majorBidi" w:cstheme="majorBidi"/>
          <w:sz w:val="18"/>
          <w:szCs w:val="18"/>
        </w:rPr>
        <w:tab/>
      </w:r>
      <w:r w:rsidRPr="004B7533">
        <w:rPr>
          <w:rFonts w:asciiTheme="majorBidi" w:hAnsiTheme="majorBidi" w:cstheme="majorBidi"/>
          <w:i/>
          <w:iCs/>
          <w:sz w:val="18"/>
          <w:szCs w:val="18"/>
        </w:rPr>
        <w:t>Los recuadros discontinuos representan una subetapa particular dentro de la etapa de datos concluyentes sobre la mezcla en su conjunto.</w:t>
      </w:r>
      <w:r w:rsidRPr="004B7533">
        <w:rPr>
          <w:rFonts w:asciiTheme="majorBidi" w:hAnsiTheme="majorBidi" w:cstheme="majorBidi"/>
          <w:sz w:val="18"/>
          <w:szCs w:val="18"/>
        </w:rPr>
        <w:t xml:space="preserve"> </w:t>
      </w:r>
      <w:r w:rsidRPr="004B7533">
        <w:rPr>
          <w:rFonts w:asciiTheme="majorBidi" w:hAnsiTheme="majorBidi" w:cstheme="majorBidi"/>
          <w:i/>
          <w:iCs/>
          <w:sz w:val="18"/>
          <w:szCs w:val="18"/>
        </w:rPr>
        <w:t>Sin embargo, a diferencia de lo que ocurre con las sustancias, en el caso de las mezclas que presentan un valor de pH extremo (pH ≤ 2 o ≥ 11,5) y una reserva ácida/alcalina no significativa, pero para las que no se dispone de otros datos concluyentes sobre la mezcla en su conjunto, o para las que la evaluación del peso total de las pruebas realizada a partir de todos los datos disponibles sobre la mezcla en su conjunto no es concluyente, los datos no se consideran concluyentes en las etapas de datos concluyentes sobre la mezcla en su conjunto.</w:t>
      </w:r>
      <w:r w:rsidRPr="004B7533">
        <w:rPr>
          <w:rFonts w:asciiTheme="majorBidi" w:hAnsiTheme="majorBidi" w:cstheme="majorBidi"/>
          <w:sz w:val="18"/>
          <w:szCs w:val="18"/>
        </w:rPr>
        <w:t xml:space="preserve"> </w:t>
      </w:r>
      <w:r w:rsidRPr="004B7533">
        <w:rPr>
          <w:rFonts w:asciiTheme="majorBidi" w:hAnsiTheme="majorBidi" w:cstheme="majorBidi"/>
          <w:i/>
          <w:iCs/>
          <w:sz w:val="18"/>
          <w:szCs w:val="18"/>
        </w:rPr>
        <w:t>Dichas mezclas deben ser evaluadas según los principios de extrapolación antes de que el pH extremo pueda ser considerado concluyente a efectos de la clasificación.</w:t>
      </w:r>
      <w:r w:rsidR="008C5013" w:rsidRPr="004B7533">
        <w:rPr>
          <w:rFonts w:asciiTheme="majorBidi" w:hAnsiTheme="majorBidi" w:cstheme="majorBidi"/>
          <w:iCs/>
          <w:sz w:val="18"/>
          <w:szCs w:val="18"/>
        </w:rPr>
        <w:t>”</w:t>
      </w:r>
      <w:r w:rsidRPr="004B7533">
        <w:rPr>
          <w:rFonts w:asciiTheme="majorBidi" w:hAnsiTheme="majorBidi" w:cstheme="majorBidi"/>
          <w:iCs/>
          <w:sz w:val="18"/>
          <w:szCs w:val="18"/>
        </w:rPr>
        <w:t>.</w:t>
      </w:r>
    </w:p>
    <w:p w14:paraId="3817A23D" w14:textId="77777777" w:rsidR="00A72D17" w:rsidRPr="00FC4465" w:rsidRDefault="00A72D17" w:rsidP="00A72D17">
      <w:pPr>
        <w:pStyle w:val="SingleTxtG"/>
        <w:rPr>
          <w:rFonts w:asciiTheme="majorBidi" w:hAnsiTheme="majorBidi" w:cstheme="majorBidi"/>
        </w:rPr>
      </w:pPr>
      <w:r w:rsidRPr="00FC4465">
        <w:rPr>
          <w:rFonts w:asciiTheme="majorBidi" w:hAnsiTheme="majorBidi" w:cstheme="majorBidi"/>
        </w:rPr>
        <w:t>3.3.3.1.1 y 3.3.3.1.2</w:t>
      </w:r>
      <w:r w:rsidRPr="00FC4465">
        <w:rPr>
          <w:rFonts w:asciiTheme="majorBidi" w:hAnsiTheme="majorBidi" w:cstheme="majorBidi"/>
        </w:rPr>
        <w:tab/>
        <w:t xml:space="preserve">Modifíquese para que diga: </w:t>
      </w:r>
    </w:p>
    <w:p w14:paraId="7DB7D200" w14:textId="57C6507E" w:rsidR="00A72D17" w:rsidRPr="00FC4465" w:rsidRDefault="008C5013" w:rsidP="00A72D17">
      <w:pPr>
        <w:pStyle w:val="SingleTxtG"/>
        <w:ind w:left="2268"/>
        <w:rPr>
          <w:rFonts w:asciiTheme="majorBidi" w:hAnsiTheme="majorBidi" w:cstheme="majorBidi"/>
        </w:rPr>
      </w:pPr>
      <w:bookmarkStart w:id="6" w:name="_Hlk69885839"/>
      <w:r w:rsidRPr="00FC4465">
        <w:rPr>
          <w:rFonts w:asciiTheme="majorBidi" w:hAnsiTheme="majorBidi" w:cstheme="majorBidi"/>
        </w:rPr>
        <w:t>“</w:t>
      </w:r>
      <w:r w:rsidR="00A72D17" w:rsidRPr="00FC4465">
        <w:rPr>
          <w:rFonts w:asciiTheme="majorBidi" w:hAnsiTheme="majorBidi" w:cstheme="majorBidi"/>
        </w:rPr>
        <w:t>3.3.3.1.1</w:t>
      </w:r>
      <w:r w:rsidR="00A72D17" w:rsidRPr="00FC4465">
        <w:rPr>
          <w:rFonts w:asciiTheme="majorBidi" w:hAnsiTheme="majorBidi" w:cstheme="majorBidi"/>
        </w:rPr>
        <w:tab/>
        <w:t>En general, las mezclas deberían clasificarse sobre la base de los mismos criterios que se aplican a las sustancias, teniendo en cuenta el enfoque por etapas al evaluar los datos para esta clase de peligro (como se ilustra en la figura 3.3.1), así como los párrafos siguientes 3.2.3.1.2 y 3.2.3.1.3. Si el enfoque por etapas no permite la clasificación, debería utilizarse el método descrito en 3.3.3.2 (principios de extrapolación) o, si ello no es posible, en</w:t>
      </w:r>
      <w:r w:rsidR="008A7CA3">
        <w:rPr>
          <w:rFonts w:asciiTheme="majorBidi" w:hAnsiTheme="majorBidi" w:cstheme="majorBidi"/>
        </w:rPr>
        <w:t> </w:t>
      </w:r>
      <w:r w:rsidR="00A72D17" w:rsidRPr="00FC4465">
        <w:rPr>
          <w:rFonts w:asciiTheme="majorBidi" w:hAnsiTheme="majorBidi" w:cstheme="majorBidi"/>
        </w:rPr>
        <w:t>3.3.3.3 (clasificación basada en los componentes).</w:t>
      </w:r>
      <w:bookmarkStart w:id="7" w:name="_Hlk69885903"/>
      <w:bookmarkEnd w:id="6"/>
      <w:bookmarkEnd w:id="7"/>
    </w:p>
    <w:p w14:paraId="10005405" w14:textId="7AC5E534" w:rsidR="00A72D17" w:rsidRPr="00FC4465" w:rsidRDefault="00A72D17" w:rsidP="00A72D17">
      <w:pPr>
        <w:pStyle w:val="SingleTxtG"/>
        <w:ind w:left="2268"/>
        <w:rPr>
          <w:rFonts w:asciiTheme="majorBidi" w:hAnsiTheme="majorBidi" w:cstheme="majorBidi"/>
        </w:rPr>
      </w:pPr>
      <w:r w:rsidRPr="00FC4465">
        <w:rPr>
          <w:rFonts w:asciiTheme="majorBidi" w:hAnsiTheme="majorBidi" w:cstheme="majorBidi"/>
        </w:rPr>
        <w:t>3.3.3.1.2</w:t>
      </w:r>
      <w:r w:rsidRPr="00FC4465">
        <w:rPr>
          <w:rFonts w:asciiTheme="majorBidi" w:hAnsiTheme="majorBidi" w:cstheme="majorBidi"/>
        </w:rPr>
        <w:tab/>
        <w:t xml:space="preserve">Los enfoques definidos o los métodos de ensayo </w:t>
      </w:r>
      <w:r w:rsidR="00762E66">
        <w:rPr>
          <w:rFonts w:asciiTheme="majorBidi" w:hAnsiTheme="majorBidi" w:cstheme="majorBidi"/>
          <w:i/>
          <w:iCs/>
        </w:rPr>
        <w:t>in vitro</w:t>
      </w:r>
      <w:r w:rsidRPr="00FC4465">
        <w:rPr>
          <w:rFonts w:asciiTheme="majorBidi" w:hAnsiTheme="majorBidi" w:cstheme="majorBidi"/>
        </w:rPr>
        <w:t>/</w:t>
      </w:r>
      <w:r w:rsidR="00762E66">
        <w:rPr>
          <w:rFonts w:asciiTheme="majorBidi" w:hAnsiTheme="majorBidi" w:cstheme="majorBidi"/>
          <w:i/>
          <w:iCs/>
        </w:rPr>
        <w:t>ex vivo</w:t>
      </w:r>
      <w:r w:rsidRPr="00FC4465">
        <w:rPr>
          <w:rFonts w:asciiTheme="majorBidi" w:hAnsiTheme="majorBidi" w:cstheme="majorBidi"/>
        </w:rPr>
        <w:t xml:space="preserve"> validados con arreglo a procedimientos internacionales pueden no haber sido validados utilizando mezclas; aunque estos enfoques o métodos se consideran en términos generales aplicables a las mezclas, solo pueden emplearse para su clasificación si todos los componentes corresponden al ámbito de aplicabilidad </w:t>
      </w:r>
      <w:r w:rsidRPr="00FC4465">
        <w:rPr>
          <w:rFonts w:asciiTheme="majorBidi" w:hAnsiTheme="majorBidi" w:cstheme="majorBidi"/>
        </w:rPr>
        <w:lastRenderedPageBreak/>
        <w:t>del enfoque definido o del método o métodos de ensayo utilizados. Las limitaciones específicas del ámbito de aplicabilidad se describen en los respectivos enfoques definidos y métodos de ensayo, y deberían tomarse en consideración, junto con cualquier otra información sobre esas limitaciones que se haya publicado. Cuando haya motivos para suponer, o pruebas que indiquen, que el ámbito de aplicabilidad de un determinado enfoque definido o método de ensayo es limitado, debería procederse con cautela al interpretar los datos, o considerarse que los resultados no son aplicables.</w:t>
      </w:r>
      <w:r w:rsidR="008C5013" w:rsidRPr="00FC4465">
        <w:rPr>
          <w:rFonts w:asciiTheme="majorBidi" w:hAnsiTheme="majorBidi" w:cstheme="majorBidi"/>
        </w:rPr>
        <w:t>”</w:t>
      </w:r>
      <w:r w:rsidRPr="00FC4465">
        <w:rPr>
          <w:rFonts w:asciiTheme="majorBidi" w:hAnsiTheme="majorBidi" w:cstheme="majorBidi"/>
        </w:rPr>
        <w:t>.</w:t>
      </w:r>
    </w:p>
    <w:p w14:paraId="77A40DC4" w14:textId="77777777" w:rsidR="00A72D17" w:rsidRPr="00FC4465" w:rsidRDefault="00A72D17" w:rsidP="00A72D17">
      <w:pPr>
        <w:pStyle w:val="SingleTxtG"/>
        <w:rPr>
          <w:rFonts w:asciiTheme="majorBidi" w:eastAsiaTheme="minorHAnsi" w:hAnsiTheme="majorBidi" w:cstheme="majorBidi"/>
        </w:rPr>
      </w:pPr>
      <w:r w:rsidRPr="00FC4465">
        <w:rPr>
          <w:rFonts w:asciiTheme="majorBidi" w:hAnsiTheme="majorBidi" w:cstheme="majorBidi"/>
        </w:rPr>
        <w:t>3.3.3.1.3 (nuevo)</w:t>
      </w:r>
      <w:r w:rsidRPr="00FC4465">
        <w:rPr>
          <w:rFonts w:asciiTheme="majorBidi" w:hAnsiTheme="majorBidi" w:cstheme="majorBidi"/>
        </w:rPr>
        <w:tab/>
        <w:t>Añádase un nuevo párrafo que diga:</w:t>
      </w:r>
    </w:p>
    <w:p w14:paraId="6BB1231E" w14:textId="30266CB7" w:rsidR="00A72D17" w:rsidRPr="00FC4465" w:rsidRDefault="008C5013" w:rsidP="00A72D17">
      <w:pPr>
        <w:pStyle w:val="SingleTxtG"/>
        <w:ind w:left="2268"/>
        <w:rPr>
          <w:rFonts w:asciiTheme="majorBidi" w:hAnsiTheme="majorBidi" w:cstheme="majorBidi"/>
        </w:rPr>
      </w:pPr>
      <w:r w:rsidRPr="00FC4465">
        <w:rPr>
          <w:rFonts w:asciiTheme="majorBidi" w:hAnsiTheme="majorBidi" w:cstheme="majorBidi"/>
        </w:rPr>
        <w:t>“</w:t>
      </w:r>
      <w:r w:rsidR="00A72D17" w:rsidRPr="00FC4465">
        <w:rPr>
          <w:rFonts w:asciiTheme="majorBidi" w:hAnsiTheme="majorBidi" w:cstheme="majorBidi"/>
        </w:rPr>
        <w:t>3.3.3.1.3</w:t>
      </w:r>
      <w:r w:rsidR="00A72D17" w:rsidRPr="00FC4465">
        <w:rPr>
          <w:rFonts w:asciiTheme="majorBidi" w:hAnsiTheme="majorBidi" w:cstheme="majorBidi"/>
        </w:rPr>
        <w:tab/>
        <w:t>Se considera que una mezcla con un pH extremo (pH</w:t>
      </w:r>
      <w:r w:rsidR="004B7533">
        <w:rPr>
          <w:rFonts w:asciiTheme="majorBidi" w:hAnsiTheme="majorBidi" w:cstheme="majorBidi"/>
        </w:rPr>
        <w:t> </w:t>
      </w:r>
      <w:r w:rsidR="00A72D17" w:rsidRPr="00FC4465">
        <w:rPr>
          <w:rFonts w:asciiTheme="majorBidi" w:hAnsiTheme="majorBidi" w:cstheme="majorBidi"/>
        </w:rPr>
        <w:t>≤</w:t>
      </w:r>
      <w:r w:rsidR="004B7533">
        <w:rPr>
          <w:rFonts w:asciiTheme="majorBidi" w:hAnsiTheme="majorBidi" w:cstheme="majorBidi"/>
        </w:rPr>
        <w:t> </w:t>
      </w:r>
      <w:r w:rsidR="00A72D17" w:rsidRPr="00FC4465">
        <w:rPr>
          <w:rFonts w:asciiTheme="majorBidi" w:hAnsiTheme="majorBidi" w:cstheme="majorBidi"/>
        </w:rPr>
        <w:t>2</w:t>
      </w:r>
      <w:r w:rsidR="004B7533">
        <w:rPr>
          <w:rFonts w:asciiTheme="majorBidi" w:hAnsiTheme="majorBidi" w:cstheme="majorBidi"/>
        </w:rPr>
        <w:t> </w:t>
      </w:r>
      <w:r w:rsidR="00A72D17" w:rsidRPr="00FC4465">
        <w:rPr>
          <w:rFonts w:asciiTheme="majorBidi" w:hAnsiTheme="majorBidi" w:cstheme="majorBidi"/>
        </w:rPr>
        <w:t>o</w:t>
      </w:r>
      <w:r w:rsidR="004B7533">
        <w:rPr>
          <w:rFonts w:asciiTheme="majorBidi" w:hAnsiTheme="majorBidi" w:cstheme="majorBidi"/>
        </w:rPr>
        <w:t> </w:t>
      </w:r>
      <w:r w:rsidR="00A72D17" w:rsidRPr="00FC4465">
        <w:rPr>
          <w:rFonts w:asciiTheme="majorBidi" w:hAnsiTheme="majorBidi" w:cstheme="majorBidi"/>
        </w:rPr>
        <w:t>≥</w:t>
      </w:r>
      <w:r w:rsidR="004B7533">
        <w:rPr>
          <w:rFonts w:asciiTheme="majorBidi" w:hAnsiTheme="majorBidi" w:cstheme="majorBidi"/>
        </w:rPr>
        <w:t> </w:t>
      </w:r>
      <w:r w:rsidR="00A72D17" w:rsidRPr="00FC4465">
        <w:rPr>
          <w:rFonts w:asciiTheme="majorBidi" w:hAnsiTheme="majorBidi" w:cstheme="majorBidi"/>
        </w:rPr>
        <w:t>11,5) causa lesiones oculares graves (categoría 1) en la etapa 5 si tiene una reserva ácida/alcalina significativa o no se dispone de datos sobre la reserva ácida/alcalina. No obstante, si del examen de la reserva ácida/alcalina se desprende que la mezcla pudiera no causar lesiones oculares graves a pesar del pH extremo, el resultado se considera no concluyente en la etapa 5 (véase la figura 3.3.1). Si la evaluación del peso total de las pruebas sigue sin ser concluyente o no se dispone de más datos que el pH y la reserva ácida/alcalina, las mezclas con un pH extremo (pH ≤ 2 o ≥ 11,5) y una reserva ácida/alcalina no significativa deberían evaluarse aplicando los principios de extrapolación descritos en 3.3.3.2. Si no pueden aplicarse dichos principios, las mezclas con un pH extremo (pH ≤ 2 o ≥ 11,5) y una reserva ácida/alcalina no significativa deberían clasificarse en la categoría 1 ocular (véase la figura 3.3.2). Un</w:t>
      </w:r>
      <w:r w:rsidR="008A7CA3">
        <w:rPr>
          <w:rFonts w:asciiTheme="majorBidi" w:hAnsiTheme="majorBidi" w:cstheme="majorBidi"/>
        </w:rPr>
        <w:t> </w:t>
      </w:r>
      <w:r w:rsidR="00A72D17" w:rsidRPr="00FC4465">
        <w:rPr>
          <w:rFonts w:asciiTheme="majorBidi" w:hAnsiTheme="majorBidi" w:cstheme="majorBidi"/>
        </w:rPr>
        <w:t>pH</w:t>
      </w:r>
      <w:r w:rsidR="004B7533">
        <w:rPr>
          <w:rFonts w:asciiTheme="majorBidi" w:hAnsiTheme="majorBidi" w:cstheme="majorBidi"/>
        </w:rPr>
        <w:t> </w:t>
      </w:r>
      <w:r w:rsidR="00A72D17" w:rsidRPr="00FC4465">
        <w:rPr>
          <w:rFonts w:asciiTheme="majorBidi" w:hAnsiTheme="majorBidi" w:cstheme="majorBidi"/>
        </w:rPr>
        <w:t>&gt;</w:t>
      </w:r>
      <w:r w:rsidR="004B7533">
        <w:rPr>
          <w:rFonts w:asciiTheme="majorBidi" w:hAnsiTheme="majorBidi" w:cstheme="majorBidi"/>
        </w:rPr>
        <w:t> </w:t>
      </w:r>
      <w:r w:rsidR="00A72D17" w:rsidRPr="00FC4465">
        <w:rPr>
          <w:rFonts w:asciiTheme="majorBidi" w:hAnsiTheme="majorBidi" w:cstheme="majorBidi"/>
        </w:rPr>
        <w:t>2</w:t>
      </w:r>
      <w:r w:rsidR="004B7533">
        <w:rPr>
          <w:rFonts w:asciiTheme="majorBidi" w:hAnsiTheme="majorBidi" w:cstheme="majorBidi"/>
        </w:rPr>
        <w:t> </w:t>
      </w:r>
      <w:r w:rsidR="00A72D17" w:rsidRPr="00FC4465">
        <w:rPr>
          <w:rFonts w:asciiTheme="majorBidi" w:hAnsiTheme="majorBidi" w:cstheme="majorBidi"/>
        </w:rPr>
        <w:t>y</w:t>
      </w:r>
      <w:r w:rsidR="004B7533">
        <w:rPr>
          <w:rFonts w:asciiTheme="majorBidi" w:hAnsiTheme="majorBidi" w:cstheme="majorBidi"/>
        </w:rPr>
        <w:t> </w:t>
      </w:r>
      <w:r w:rsidR="00A72D17" w:rsidRPr="00FC4465">
        <w:rPr>
          <w:rFonts w:asciiTheme="majorBidi" w:hAnsiTheme="majorBidi" w:cstheme="majorBidi"/>
        </w:rPr>
        <w:t>&lt;</w:t>
      </w:r>
      <w:r w:rsidR="004B7533">
        <w:rPr>
          <w:rFonts w:asciiTheme="majorBidi" w:hAnsiTheme="majorBidi" w:cstheme="majorBidi"/>
        </w:rPr>
        <w:t> </w:t>
      </w:r>
      <w:r w:rsidR="00A72D17" w:rsidRPr="00FC4465">
        <w:rPr>
          <w:rFonts w:asciiTheme="majorBidi" w:hAnsiTheme="majorBidi" w:cstheme="majorBidi"/>
        </w:rPr>
        <w:t>11,5 se considera no concluyente y no puede utilizarse a efectos de clasificación. La reserva ácida/alcalina y el pH pueden determinarse por varios métodos, como los que se describen en la Directriz 122 de la OCDE y en Young y otros (1988), teniendo en cuenta que existen algunas diferencias entre ellos (véase 3.3.5.3.7). Una autoridad competente podrá decidir qué criterios deberán aplicarse para determinar si una reserva ácida/alcalina es significativa.</w:t>
      </w:r>
      <w:r w:rsidRPr="00FC4465">
        <w:rPr>
          <w:rFonts w:asciiTheme="majorBidi" w:hAnsiTheme="majorBidi" w:cstheme="majorBidi"/>
        </w:rPr>
        <w:t>”</w:t>
      </w:r>
      <w:r w:rsidR="00A72D17" w:rsidRPr="00FC4465">
        <w:rPr>
          <w:rFonts w:asciiTheme="majorBidi" w:hAnsiTheme="majorBidi" w:cstheme="majorBidi"/>
        </w:rPr>
        <w:t>.</w:t>
      </w:r>
    </w:p>
    <w:p w14:paraId="059D2D1D" w14:textId="77777777" w:rsidR="00A72D17" w:rsidRPr="00FC4465" w:rsidRDefault="00A72D17" w:rsidP="00A72D17">
      <w:pPr>
        <w:pStyle w:val="SingleTxtG"/>
        <w:ind w:left="2268" w:hanging="1134"/>
        <w:rPr>
          <w:rFonts w:asciiTheme="majorBidi" w:hAnsiTheme="majorBidi" w:cstheme="majorBidi"/>
        </w:rPr>
      </w:pPr>
      <w:r w:rsidRPr="00FC4465">
        <w:rPr>
          <w:rFonts w:asciiTheme="majorBidi" w:hAnsiTheme="majorBidi" w:cstheme="majorBidi"/>
        </w:rPr>
        <w:t>3.3.3.2.6</w:t>
      </w:r>
      <w:r w:rsidRPr="00FC4465">
        <w:rPr>
          <w:rFonts w:asciiTheme="majorBidi" w:hAnsiTheme="majorBidi" w:cstheme="majorBidi"/>
        </w:rPr>
        <w:tab/>
        <w:t>La modificación no se aplica al texto en español.</w:t>
      </w:r>
    </w:p>
    <w:p w14:paraId="79D864B5" w14:textId="0D9F7376" w:rsidR="00A72D17" w:rsidRPr="00FC4465" w:rsidRDefault="00A72D17" w:rsidP="00A72D17">
      <w:pPr>
        <w:pStyle w:val="SingleTxtG"/>
        <w:tabs>
          <w:tab w:val="clear" w:pos="1701"/>
          <w:tab w:val="clear" w:pos="2835"/>
        </w:tabs>
        <w:ind w:left="2268" w:hanging="1134"/>
        <w:rPr>
          <w:rFonts w:asciiTheme="majorBidi" w:hAnsiTheme="majorBidi" w:cstheme="majorBidi"/>
        </w:rPr>
      </w:pPr>
      <w:r w:rsidRPr="00FC4465">
        <w:rPr>
          <w:rFonts w:asciiTheme="majorBidi" w:hAnsiTheme="majorBidi" w:cstheme="majorBidi"/>
        </w:rPr>
        <w:t>3.3.3.2.7</w:t>
      </w:r>
      <w:r w:rsidRPr="00FC4465">
        <w:rPr>
          <w:rFonts w:asciiTheme="majorBidi" w:hAnsiTheme="majorBidi" w:cstheme="majorBidi"/>
        </w:rPr>
        <w:tab/>
      </w:r>
      <w:r w:rsidRPr="00FC4465">
        <w:rPr>
          <w:rFonts w:asciiTheme="majorBidi" w:hAnsiTheme="majorBidi" w:cstheme="majorBidi"/>
        </w:rPr>
        <w:tab/>
        <w:t xml:space="preserve">Sustitúyase </w:t>
      </w:r>
      <w:r w:rsidR="008C5013" w:rsidRPr="00FC4465">
        <w:rPr>
          <w:rFonts w:asciiTheme="majorBidi" w:hAnsiTheme="majorBidi" w:cstheme="majorBidi"/>
        </w:rPr>
        <w:t>“</w:t>
      </w:r>
      <w:r w:rsidRPr="00FC4465">
        <w:rPr>
          <w:rFonts w:asciiTheme="majorBidi" w:hAnsiTheme="majorBidi" w:cstheme="majorBidi"/>
        </w:rPr>
        <w:t>mezcla en forma de aerosol</w:t>
      </w:r>
      <w:r w:rsidR="008C5013" w:rsidRPr="00FC4465">
        <w:rPr>
          <w:rFonts w:asciiTheme="majorBidi" w:hAnsiTheme="majorBidi" w:cstheme="majorBidi"/>
        </w:rPr>
        <w:t>”</w:t>
      </w:r>
      <w:r w:rsidRPr="00FC4465">
        <w:rPr>
          <w:rFonts w:asciiTheme="majorBidi" w:hAnsiTheme="majorBidi" w:cstheme="majorBidi"/>
        </w:rPr>
        <w:t xml:space="preserve"> por </w:t>
      </w:r>
      <w:r w:rsidR="008C5013" w:rsidRPr="00FC4465">
        <w:rPr>
          <w:rFonts w:asciiTheme="majorBidi" w:hAnsiTheme="majorBidi" w:cstheme="majorBidi"/>
        </w:rPr>
        <w:t>“</w:t>
      </w:r>
      <w:r w:rsidRPr="00FC4465">
        <w:rPr>
          <w:rFonts w:asciiTheme="majorBidi" w:hAnsiTheme="majorBidi" w:cstheme="majorBidi"/>
        </w:rPr>
        <w:t>mezcla aerosolizada</w:t>
      </w:r>
      <w:r w:rsidR="008C5013" w:rsidRPr="00FC4465">
        <w:rPr>
          <w:rFonts w:asciiTheme="majorBidi" w:hAnsiTheme="majorBidi" w:cstheme="majorBidi"/>
        </w:rPr>
        <w:t>”</w:t>
      </w:r>
      <w:r w:rsidRPr="00FC4465">
        <w:rPr>
          <w:rFonts w:asciiTheme="majorBidi" w:hAnsiTheme="majorBidi" w:cstheme="majorBidi"/>
        </w:rPr>
        <w:t>.</w:t>
      </w:r>
    </w:p>
    <w:p w14:paraId="7D9C7647" w14:textId="77777777" w:rsidR="00A72D17" w:rsidRPr="00FC4465" w:rsidRDefault="00A72D17" w:rsidP="00A72D17">
      <w:pPr>
        <w:pStyle w:val="SingleTxtG"/>
        <w:ind w:left="2268" w:hanging="170"/>
        <w:rPr>
          <w:rFonts w:asciiTheme="majorBidi" w:hAnsiTheme="majorBidi" w:cstheme="majorBidi"/>
          <w:i/>
          <w:iCs/>
        </w:rPr>
      </w:pPr>
      <w:r w:rsidRPr="00FC4465">
        <w:rPr>
          <w:rFonts w:asciiTheme="majorBidi" w:hAnsiTheme="majorBidi" w:cstheme="majorBidi"/>
        </w:rPr>
        <w:tab/>
        <w:t>La actual nota a pie de página 1 pasa a ser la nota 4.</w:t>
      </w:r>
    </w:p>
    <w:p w14:paraId="76726BD0" w14:textId="1B3F4D87" w:rsidR="00A72D17" w:rsidRPr="00FC4465" w:rsidRDefault="00A72D17" w:rsidP="00A72D17">
      <w:pPr>
        <w:pStyle w:val="SingleTxtG"/>
        <w:tabs>
          <w:tab w:val="clear" w:pos="1701"/>
        </w:tabs>
        <w:ind w:left="2268" w:hanging="1134"/>
        <w:rPr>
          <w:rFonts w:asciiTheme="majorBidi" w:hAnsiTheme="majorBidi" w:cstheme="majorBidi"/>
        </w:rPr>
      </w:pPr>
      <w:r w:rsidRPr="00FC4465">
        <w:rPr>
          <w:rFonts w:asciiTheme="majorBidi" w:hAnsiTheme="majorBidi" w:cstheme="majorBidi"/>
        </w:rPr>
        <w:t>3.3.3.3.1</w:t>
      </w:r>
      <w:r w:rsidRPr="00FC4465">
        <w:rPr>
          <w:rFonts w:asciiTheme="majorBidi" w:hAnsiTheme="majorBidi" w:cstheme="majorBidi"/>
        </w:rPr>
        <w:tab/>
        <w:t xml:space="preserve">Al final del párrafo introductorio, añádase </w:t>
      </w:r>
      <w:r w:rsidR="008C5013" w:rsidRPr="00FC4465">
        <w:rPr>
          <w:rFonts w:asciiTheme="majorBidi" w:hAnsiTheme="majorBidi" w:cstheme="majorBidi"/>
        </w:rPr>
        <w:t>“</w:t>
      </w:r>
      <w:r w:rsidRPr="00FC4465">
        <w:rPr>
          <w:rFonts w:asciiTheme="majorBidi" w:hAnsiTheme="majorBidi" w:cstheme="majorBidi"/>
        </w:rPr>
        <w:t>para mezclas (véase 1.3.2.3):</w:t>
      </w:r>
      <w:r w:rsidR="008C5013" w:rsidRPr="00FC4465">
        <w:rPr>
          <w:rFonts w:asciiTheme="majorBidi" w:hAnsiTheme="majorBidi" w:cstheme="majorBidi"/>
        </w:rPr>
        <w:t>”</w:t>
      </w:r>
      <w:r w:rsidRPr="00FC4465">
        <w:rPr>
          <w:rFonts w:asciiTheme="majorBidi" w:hAnsiTheme="majorBidi" w:cstheme="majorBidi"/>
        </w:rPr>
        <w:t>.</w:t>
      </w:r>
    </w:p>
    <w:p w14:paraId="1E9F0BAB" w14:textId="32365EC6" w:rsidR="00A72D17" w:rsidRPr="00FC4465" w:rsidRDefault="00A72D17" w:rsidP="00A72D17">
      <w:pPr>
        <w:pStyle w:val="SingleTxtG"/>
        <w:ind w:left="2268" w:hanging="1134"/>
        <w:rPr>
          <w:rFonts w:asciiTheme="majorBidi" w:hAnsiTheme="majorBidi" w:cstheme="majorBidi"/>
          <w:snapToGrid w:val="0"/>
        </w:rPr>
      </w:pPr>
      <w:r w:rsidRPr="00FC4465">
        <w:rPr>
          <w:rFonts w:asciiTheme="majorBidi" w:hAnsiTheme="majorBidi" w:cstheme="majorBidi"/>
        </w:rPr>
        <w:t>3.3.3.3.4</w:t>
      </w:r>
      <w:r w:rsidRPr="00FC4465">
        <w:rPr>
          <w:rFonts w:asciiTheme="majorBidi" w:hAnsiTheme="majorBidi" w:cstheme="majorBidi"/>
        </w:rPr>
        <w:tab/>
        <w:t xml:space="preserve">En la primera oración, insértese </w:t>
      </w:r>
      <w:r w:rsidR="008C5013" w:rsidRPr="00FC4465">
        <w:rPr>
          <w:rFonts w:asciiTheme="majorBidi" w:hAnsiTheme="majorBidi" w:cstheme="majorBidi"/>
        </w:rPr>
        <w:t>“</w:t>
      </w:r>
      <w:r w:rsidRPr="00FC4465">
        <w:rPr>
          <w:rFonts w:asciiTheme="majorBidi" w:hAnsiTheme="majorBidi" w:cstheme="majorBidi"/>
        </w:rPr>
        <w:t>mezclas que contengan</w:t>
      </w:r>
      <w:r w:rsidR="008C5013" w:rsidRPr="00FC4465">
        <w:rPr>
          <w:rFonts w:asciiTheme="majorBidi" w:hAnsiTheme="majorBidi" w:cstheme="majorBidi"/>
        </w:rPr>
        <w:t>”</w:t>
      </w:r>
      <w:r w:rsidRPr="00FC4465">
        <w:rPr>
          <w:rFonts w:asciiTheme="majorBidi" w:hAnsiTheme="majorBidi" w:cstheme="majorBidi"/>
        </w:rPr>
        <w:t xml:space="preserve"> después de </w:t>
      </w:r>
      <w:r w:rsidR="008C5013" w:rsidRPr="00FC4465">
        <w:rPr>
          <w:rFonts w:asciiTheme="majorBidi" w:hAnsiTheme="majorBidi" w:cstheme="majorBidi"/>
        </w:rPr>
        <w:t>“</w:t>
      </w:r>
      <w:r w:rsidRPr="00FC4465">
        <w:rPr>
          <w:rFonts w:asciiTheme="majorBidi" w:hAnsiTheme="majorBidi" w:cstheme="majorBidi"/>
        </w:rPr>
        <w:t>al</w:t>
      </w:r>
      <w:r w:rsidR="008A7CA3">
        <w:rPr>
          <w:rFonts w:asciiTheme="majorBidi" w:hAnsiTheme="majorBidi" w:cstheme="majorBidi"/>
        </w:rPr>
        <w:t> </w:t>
      </w:r>
      <w:r w:rsidRPr="00FC4465">
        <w:rPr>
          <w:rFonts w:asciiTheme="majorBidi" w:hAnsiTheme="majorBidi" w:cstheme="majorBidi"/>
        </w:rPr>
        <w:t>clasificar</w:t>
      </w:r>
      <w:r w:rsidR="008C5013" w:rsidRPr="00FC4465">
        <w:rPr>
          <w:rFonts w:asciiTheme="majorBidi" w:hAnsiTheme="majorBidi" w:cstheme="majorBidi"/>
        </w:rPr>
        <w:t>”</w:t>
      </w:r>
      <w:r w:rsidRPr="00FC4465">
        <w:rPr>
          <w:rFonts w:asciiTheme="majorBidi" w:hAnsiTheme="majorBidi" w:cstheme="majorBidi"/>
        </w:rPr>
        <w:t xml:space="preserve"> y sustitúyase </w:t>
      </w:r>
      <w:r w:rsidR="008C5013" w:rsidRPr="00FC4465">
        <w:rPr>
          <w:rFonts w:asciiTheme="majorBidi" w:hAnsiTheme="majorBidi" w:cstheme="majorBidi"/>
        </w:rPr>
        <w:t>“</w:t>
      </w:r>
      <w:r w:rsidRPr="00FC4465">
        <w:rPr>
          <w:rFonts w:asciiTheme="majorBidi" w:hAnsiTheme="majorBidi" w:cstheme="majorBidi"/>
        </w:rPr>
        <w:t>productos químicos</w:t>
      </w:r>
      <w:r w:rsidR="008C5013" w:rsidRPr="00FC4465">
        <w:rPr>
          <w:rFonts w:asciiTheme="majorBidi" w:hAnsiTheme="majorBidi" w:cstheme="majorBidi"/>
        </w:rPr>
        <w:t>”</w:t>
      </w:r>
      <w:r w:rsidRPr="00FC4465">
        <w:rPr>
          <w:rFonts w:asciiTheme="majorBidi" w:hAnsiTheme="majorBidi" w:cstheme="majorBidi"/>
        </w:rPr>
        <w:t xml:space="preserve"> por </w:t>
      </w:r>
      <w:r w:rsidR="008C5013" w:rsidRPr="00FC4465">
        <w:rPr>
          <w:rFonts w:asciiTheme="majorBidi" w:hAnsiTheme="majorBidi" w:cstheme="majorBidi"/>
        </w:rPr>
        <w:t>“</w:t>
      </w:r>
      <w:r w:rsidRPr="00FC4465">
        <w:rPr>
          <w:rFonts w:asciiTheme="majorBidi" w:hAnsiTheme="majorBidi" w:cstheme="majorBidi"/>
        </w:rPr>
        <w:t>sustancias</w:t>
      </w:r>
      <w:r w:rsidR="008C5013" w:rsidRPr="00FC4465">
        <w:rPr>
          <w:rFonts w:asciiTheme="majorBidi" w:hAnsiTheme="majorBidi" w:cstheme="majorBidi"/>
        </w:rPr>
        <w:t>”</w:t>
      </w:r>
      <w:r w:rsidRPr="00FC4465">
        <w:rPr>
          <w:rFonts w:asciiTheme="majorBidi" w:hAnsiTheme="majorBidi" w:cstheme="majorBidi"/>
        </w:rPr>
        <w:t xml:space="preserve">. </w:t>
      </w:r>
    </w:p>
    <w:p w14:paraId="568F5166" w14:textId="6B13DCB6" w:rsidR="00A72D17" w:rsidRPr="00FC4465" w:rsidRDefault="00A72D17" w:rsidP="00A72D17">
      <w:pPr>
        <w:pStyle w:val="SingleTxtG"/>
        <w:ind w:left="2268" w:hanging="1134"/>
        <w:rPr>
          <w:rFonts w:asciiTheme="majorBidi" w:hAnsiTheme="majorBidi" w:cstheme="majorBidi"/>
          <w:snapToGrid w:val="0"/>
        </w:rPr>
      </w:pPr>
      <w:r w:rsidRPr="00FC4465">
        <w:rPr>
          <w:rFonts w:asciiTheme="majorBidi" w:hAnsiTheme="majorBidi" w:cstheme="majorBidi"/>
        </w:rPr>
        <w:tab/>
      </w:r>
      <w:r w:rsidRPr="00FC4465">
        <w:rPr>
          <w:rFonts w:asciiTheme="majorBidi" w:hAnsiTheme="majorBidi" w:cstheme="majorBidi"/>
        </w:rPr>
        <w:tab/>
        <w:t xml:space="preserve">En la tercera oración, sustitúyase </w:t>
      </w:r>
      <w:r w:rsidR="008C5013" w:rsidRPr="00FC4465">
        <w:rPr>
          <w:rFonts w:asciiTheme="majorBidi" w:hAnsiTheme="majorBidi" w:cstheme="majorBidi"/>
        </w:rPr>
        <w:t>“</w:t>
      </w:r>
      <w:r w:rsidRPr="00FC4465">
        <w:rPr>
          <w:rFonts w:asciiTheme="majorBidi" w:hAnsiTheme="majorBidi" w:cstheme="majorBidi"/>
        </w:rPr>
        <w:t>debería usarse el pH como criterio de clasificación (véase 3.3.3.1.2), ya que será</w:t>
      </w:r>
      <w:r w:rsidR="008C5013" w:rsidRPr="00FC4465">
        <w:rPr>
          <w:rFonts w:asciiTheme="majorBidi" w:hAnsiTheme="majorBidi" w:cstheme="majorBidi"/>
        </w:rPr>
        <w:t>”</w:t>
      </w:r>
      <w:r w:rsidRPr="00FC4465">
        <w:rPr>
          <w:rFonts w:asciiTheme="majorBidi" w:hAnsiTheme="majorBidi" w:cstheme="majorBidi"/>
        </w:rPr>
        <w:t xml:space="preserve"> por </w:t>
      </w:r>
      <w:r w:rsidR="008C5013" w:rsidRPr="00FC4465">
        <w:rPr>
          <w:rFonts w:asciiTheme="majorBidi" w:hAnsiTheme="majorBidi" w:cstheme="majorBidi"/>
        </w:rPr>
        <w:t>“</w:t>
      </w:r>
      <w:r w:rsidRPr="00FC4465">
        <w:rPr>
          <w:rFonts w:asciiTheme="majorBidi" w:hAnsiTheme="majorBidi" w:cstheme="majorBidi"/>
        </w:rPr>
        <w:t>el pH debería ser el criterio de clasificación (véase 3.3.3.1.3), ya que el pH extremo será</w:t>
      </w:r>
      <w:r w:rsidR="008C5013" w:rsidRPr="00FC4465">
        <w:rPr>
          <w:rFonts w:asciiTheme="majorBidi" w:hAnsiTheme="majorBidi" w:cstheme="majorBidi"/>
        </w:rPr>
        <w:t>”</w:t>
      </w:r>
      <w:r w:rsidRPr="00FC4465">
        <w:rPr>
          <w:rFonts w:asciiTheme="majorBidi" w:hAnsiTheme="majorBidi" w:cstheme="majorBidi"/>
        </w:rPr>
        <w:t>.</w:t>
      </w:r>
    </w:p>
    <w:p w14:paraId="53328B52" w14:textId="4DB847C5" w:rsidR="00A72D17" w:rsidRPr="00FC4465" w:rsidRDefault="00A72D17" w:rsidP="00A72D17">
      <w:pPr>
        <w:pStyle w:val="SingleTxtG"/>
        <w:ind w:left="2268" w:hanging="1134"/>
        <w:rPr>
          <w:rFonts w:asciiTheme="majorBidi" w:hAnsiTheme="majorBidi" w:cstheme="majorBidi"/>
        </w:rPr>
      </w:pPr>
      <w:r w:rsidRPr="00FC4465">
        <w:rPr>
          <w:rFonts w:asciiTheme="majorBidi" w:hAnsiTheme="majorBidi" w:cstheme="majorBidi"/>
        </w:rPr>
        <w:t>3.3.3.3.5</w:t>
      </w:r>
      <w:r w:rsidRPr="00FC4465">
        <w:rPr>
          <w:rFonts w:asciiTheme="majorBidi" w:hAnsiTheme="majorBidi" w:cstheme="majorBidi"/>
        </w:rPr>
        <w:tab/>
        <w:t xml:space="preserve">En la primera oración, sustitúyase </w:t>
      </w:r>
      <w:r w:rsidR="008C5013" w:rsidRPr="00FC4465">
        <w:rPr>
          <w:rFonts w:asciiTheme="majorBidi" w:hAnsiTheme="majorBidi" w:cstheme="majorBidi"/>
        </w:rPr>
        <w:t>“</w:t>
      </w:r>
      <w:r w:rsidRPr="00FC4465">
        <w:rPr>
          <w:rFonts w:asciiTheme="majorBidi" w:hAnsiTheme="majorBidi" w:cstheme="majorBidi"/>
        </w:rPr>
        <w:t>efectos oculares irreversibles/reversibles evidentes</w:t>
      </w:r>
      <w:r w:rsidR="008C5013" w:rsidRPr="00FC4465">
        <w:rPr>
          <w:rFonts w:asciiTheme="majorBidi" w:hAnsiTheme="majorBidi" w:cstheme="majorBidi"/>
        </w:rPr>
        <w:t>”</w:t>
      </w:r>
      <w:r w:rsidRPr="00FC4465">
        <w:rPr>
          <w:rFonts w:asciiTheme="majorBidi" w:hAnsiTheme="majorBidi" w:cstheme="majorBidi"/>
        </w:rPr>
        <w:t xml:space="preserve"> por </w:t>
      </w:r>
      <w:r w:rsidR="008C5013" w:rsidRPr="00FC4465">
        <w:rPr>
          <w:rFonts w:asciiTheme="majorBidi" w:hAnsiTheme="majorBidi" w:cstheme="majorBidi"/>
        </w:rPr>
        <w:t>“</w:t>
      </w:r>
      <w:r w:rsidRPr="00FC4465">
        <w:rPr>
          <w:rFonts w:asciiTheme="majorBidi" w:hAnsiTheme="majorBidi" w:cstheme="majorBidi"/>
        </w:rPr>
        <w:t>lesiones oculares graves/irritación ocular evidentes</w:t>
      </w:r>
      <w:r w:rsidR="008C5013" w:rsidRPr="00FC4465">
        <w:rPr>
          <w:rFonts w:asciiTheme="majorBidi" w:hAnsiTheme="majorBidi" w:cstheme="majorBidi"/>
        </w:rPr>
        <w:t>”</w:t>
      </w:r>
      <w:r w:rsidRPr="00FC4465">
        <w:rPr>
          <w:rFonts w:asciiTheme="majorBidi" w:hAnsiTheme="majorBidi" w:cstheme="majorBidi"/>
        </w:rPr>
        <w:t>.</w:t>
      </w:r>
      <w:r w:rsidR="008C5013" w:rsidRPr="00FC4465">
        <w:rPr>
          <w:rFonts w:asciiTheme="majorBidi" w:hAnsiTheme="majorBidi" w:cstheme="majorBidi"/>
        </w:rPr>
        <w:t xml:space="preserve"> </w:t>
      </w:r>
    </w:p>
    <w:p w14:paraId="5517BDC0" w14:textId="7A9A27C3" w:rsidR="00A72D17" w:rsidRPr="00FC4465" w:rsidRDefault="00A72D17" w:rsidP="00A72D17">
      <w:pPr>
        <w:pStyle w:val="SingleTxtG"/>
        <w:ind w:left="2268" w:hanging="1134"/>
        <w:rPr>
          <w:rFonts w:asciiTheme="majorBidi" w:hAnsiTheme="majorBidi" w:cstheme="majorBidi"/>
        </w:rPr>
      </w:pPr>
      <w:r w:rsidRPr="00FC4465">
        <w:rPr>
          <w:rFonts w:asciiTheme="majorBidi" w:hAnsiTheme="majorBidi" w:cstheme="majorBidi"/>
        </w:rPr>
        <w:tab/>
      </w:r>
      <w:r w:rsidRPr="00FC4465">
        <w:rPr>
          <w:rFonts w:asciiTheme="majorBidi" w:hAnsiTheme="majorBidi" w:cstheme="majorBidi"/>
        </w:rPr>
        <w:tab/>
        <w:t xml:space="preserve">En la segunda oración, suprímase </w:t>
      </w:r>
      <w:r w:rsidR="008C5013" w:rsidRPr="00FC4465">
        <w:rPr>
          <w:rFonts w:asciiTheme="majorBidi" w:hAnsiTheme="majorBidi" w:cstheme="majorBidi"/>
        </w:rPr>
        <w:t>“</w:t>
      </w:r>
      <w:r w:rsidRPr="00FC4465">
        <w:rPr>
          <w:rFonts w:asciiTheme="majorBidi" w:hAnsiTheme="majorBidi" w:cstheme="majorBidi"/>
        </w:rPr>
        <w:t xml:space="preserve"> – </w:t>
      </w:r>
      <w:r w:rsidR="008C5013" w:rsidRPr="00FC4465">
        <w:rPr>
          <w:rFonts w:asciiTheme="majorBidi" w:hAnsiTheme="majorBidi" w:cstheme="majorBidi"/>
        </w:rPr>
        <w:t>“</w:t>
      </w:r>
      <w:r w:rsidRPr="00FC4465">
        <w:rPr>
          <w:rFonts w:asciiTheme="majorBidi" w:hAnsiTheme="majorBidi" w:cstheme="majorBidi"/>
          <w:i/>
          <w:iCs/>
        </w:rPr>
        <w:t>Uso de valores de corte/límites de concentración</w:t>
      </w:r>
      <w:r w:rsidR="008C5013" w:rsidRPr="00FC4465">
        <w:rPr>
          <w:rFonts w:asciiTheme="majorBidi" w:hAnsiTheme="majorBidi" w:cstheme="majorBidi"/>
        </w:rPr>
        <w:t>”</w:t>
      </w:r>
      <w:r w:rsidR="004B7533">
        <w:rPr>
          <w:rFonts w:asciiTheme="majorBidi" w:hAnsiTheme="majorBidi" w:cstheme="majorBidi"/>
        </w:rPr>
        <w:t>”</w:t>
      </w:r>
      <w:r w:rsidRPr="00FC4465">
        <w:rPr>
          <w:rFonts w:asciiTheme="majorBidi" w:hAnsiTheme="majorBidi" w:cstheme="majorBidi"/>
        </w:rPr>
        <w:t xml:space="preserve"> dentro del paréntesis.</w:t>
      </w:r>
    </w:p>
    <w:p w14:paraId="0AD75D59" w14:textId="66AC561F" w:rsidR="00A72D17" w:rsidRPr="00FC4465" w:rsidRDefault="00A72D17" w:rsidP="00A72D17">
      <w:pPr>
        <w:pStyle w:val="SingleTxtG"/>
        <w:tabs>
          <w:tab w:val="clear" w:pos="1701"/>
        </w:tabs>
        <w:ind w:left="2268" w:hanging="1134"/>
        <w:rPr>
          <w:rFonts w:asciiTheme="majorBidi" w:hAnsiTheme="majorBidi" w:cstheme="majorBidi"/>
        </w:rPr>
      </w:pPr>
      <w:r w:rsidRPr="00FC4465">
        <w:rPr>
          <w:rFonts w:asciiTheme="majorBidi" w:hAnsiTheme="majorBidi" w:cstheme="majorBidi"/>
        </w:rPr>
        <w:tab/>
        <w:t xml:space="preserve">En la tercera oración, sustitúyase </w:t>
      </w:r>
      <w:r w:rsidR="008C5013" w:rsidRPr="00FC4465">
        <w:rPr>
          <w:rFonts w:asciiTheme="majorBidi" w:hAnsiTheme="majorBidi" w:cstheme="majorBidi"/>
        </w:rPr>
        <w:t>“</w:t>
      </w:r>
      <w:r w:rsidRPr="00FC4465">
        <w:rPr>
          <w:rFonts w:asciiTheme="majorBidi" w:hAnsiTheme="majorBidi" w:cstheme="majorBidi"/>
        </w:rPr>
        <w:t>no será evidente la corrosión/irritación cutánea o los efectos oculares irreversibles/reversibles</w:t>
      </w:r>
      <w:r w:rsidR="008C5013" w:rsidRPr="00FC4465">
        <w:rPr>
          <w:rFonts w:asciiTheme="majorBidi" w:hAnsiTheme="majorBidi" w:cstheme="majorBidi"/>
        </w:rPr>
        <w:t>”</w:t>
      </w:r>
      <w:r w:rsidRPr="00FC4465">
        <w:rPr>
          <w:rFonts w:asciiTheme="majorBidi" w:hAnsiTheme="majorBidi" w:cstheme="majorBidi"/>
        </w:rPr>
        <w:t xml:space="preserve"> por </w:t>
      </w:r>
      <w:r w:rsidR="008C5013" w:rsidRPr="00FC4465">
        <w:rPr>
          <w:rFonts w:asciiTheme="majorBidi" w:hAnsiTheme="majorBidi" w:cstheme="majorBidi"/>
        </w:rPr>
        <w:t>“</w:t>
      </w:r>
      <w:r w:rsidRPr="00FC4465">
        <w:rPr>
          <w:rFonts w:asciiTheme="majorBidi" w:hAnsiTheme="majorBidi" w:cstheme="majorBidi"/>
        </w:rPr>
        <w:t>no serán evidentes la corrosión/irritación cutánea o las lesiones oculares graves/irritación ocular</w:t>
      </w:r>
      <w:r w:rsidR="008C5013" w:rsidRPr="00FC4465">
        <w:rPr>
          <w:rFonts w:asciiTheme="majorBidi" w:hAnsiTheme="majorBidi" w:cstheme="majorBidi"/>
        </w:rPr>
        <w:t>”</w:t>
      </w:r>
      <w:r w:rsidRPr="00FC4465">
        <w:rPr>
          <w:rFonts w:asciiTheme="majorBidi" w:hAnsiTheme="majorBidi" w:cstheme="majorBidi"/>
        </w:rPr>
        <w:t xml:space="preserve"> y </w:t>
      </w:r>
      <w:r w:rsidR="008C5013" w:rsidRPr="00FC4465">
        <w:rPr>
          <w:rFonts w:asciiTheme="majorBidi" w:hAnsiTheme="majorBidi" w:cstheme="majorBidi"/>
        </w:rPr>
        <w:t>“</w:t>
      </w:r>
      <w:r w:rsidRPr="00FC4465">
        <w:rPr>
          <w:rFonts w:asciiTheme="majorBidi" w:hAnsiTheme="majorBidi" w:cstheme="majorBidi"/>
        </w:rPr>
        <w:t>valores límite de concentración</w:t>
      </w:r>
      <w:r w:rsidR="008C5013" w:rsidRPr="00FC4465">
        <w:rPr>
          <w:rFonts w:asciiTheme="majorBidi" w:hAnsiTheme="majorBidi" w:cstheme="majorBidi"/>
        </w:rPr>
        <w:t>”</w:t>
      </w:r>
      <w:r w:rsidRPr="00FC4465">
        <w:rPr>
          <w:rFonts w:asciiTheme="majorBidi" w:hAnsiTheme="majorBidi" w:cstheme="majorBidi"/>
        </w:rPr>
        <w:t xml:space="preserve"> por </w:t>
      </w:r>
      <w:r w:rsidR="008C5013" w:rsidRPr="00FC4465">
        <w:rPr>
          <w:rFonts w:asciiTheme="majorBidi" w:hAnsiTheme="majorBidi" w:cstheme="majorBidi"/>
        </w:rPr>
        <w:t>“</w:t>
      </w:r>
      <w:r w:rsidRPr="00FC4465">
        <w:rPr>
          <w:rFonts w:asciiTheme="majorBidi" w:hAnsiTheme="majorBidi" w:cstheme="majorBidi"/>
        </w:rPr>
        <w:t>valores de corte/límites de concentración</w:t>
      </w:r>
      <w:r w:rsidR="008C5013" w:rsidRPr="00FC4465">
        <w:rPr>
          <w:rFonts w:asciiTheme="majorBidi" w:hAnsiTheme="majorBidi" w:cstheme="majorBidi"/>
        </w:rPr>
        <w:t>”</w:t>
      </w:r>
      <w:r w:rsidRPr="00FC4465">
        <w:rPr>
          <w:rFonts w:asciiTheme="majorBidi" w:hAnsiTheme="majorBidi" w:cstheme="majorBidi"/>
        </w:rPr>
        <w:t xml:space="preserve">. </w:t>
      </w:r>
    </w:p>
    <w:p w14:paraId="0324D6B5" w14:textId="48E9C287" w:rsidR="00A72D17" w:rsidRPr="00FC4465" w:rsidRDefault="00A72D17" w:rsidP="00A72D17">
      <w:pPr>
        <w:pStyle w:val="SingleTxtG"/>
        <w:tabs>
          <w:tab w:val="clear" w:pos="1701"/>
        </w:tabs>
        <w:ind w:left="2268" w:hanging="1134"/>
        <w:rPr>
          <w:rFonts w:asciiTheme="majorBidi" w:hAnsiTheme="majorBidi" w:cstheme="majorBidi"/>
        </w:rPr>
      </w:pPr>
      <w:r w:rsidRPr="00FC4465">
        <w:rPr>
          <w:rFonts w:asciiTheme="majorBidi" w:hAnsiTheme="majorBidi" w:cstheme="majorBidi"/>
        </w:rPr>
        <w:tab/>
        <w:t>Suprímase la última oración del párrafo (</w:t>
      </w:r>
      <w:r w:rsidR="008C5013" w:rsidRPr="00FC4465">
        <w:rPr>
          <w:rFonts w:asciiTheme="majorBidi" w:hAnsiTheme="majorBidi" w:cstheme="majorBidi"/>
        </w:rPr>
        <w:t>“</w:t>
      </w:r>
      <w:r w:rsidRPr="00FC4465">
        <w:rPr>
          <w:rFonts w:asciiTheme="majorBidi" w:hAnsiTheme="majorBidi" w:cstheme="majorBidi"/>
        </w:rPr>
        <w:t>En esos casos [...] en el presente capítulo.</w:t>
      </w:r>
      <w:r w:rsidR="008C5013" w:rsidRPr="00FC4465">
        <w:rPr>
          <w:rFonts w:asciiTheme="majorBidi" w:hAnsiTheme="majorBidi" w:cstheme="majorBidi"/>
        </w:rPr>
        <w:t>”</w:t>
      </w:r>
      <w:r w:rsidRPr="00FC4465">
        <w:rPr>
          <w:rFonts w:asciiTheme="majorBidi" w:hAnsiTheme="majorBidi" w:cstheme="majorBidi"/>
        </w:rPr>
        <w:t>).</w:t>
      </w:r>
    </w:p>
    <w:p w14:paraId="374D9A26" w14:textId="5DA6C6AD" w:rsidR="00A72D17" w:rsidRPr="00FC4465" w:rsidRDefault="00A72D17" w:rsidP="00A72D17">
      <w:pPr>
        <w:pStyle w:val="SingleTxtG"/>
        <w:tabs>
          <w:tab w:val="clear" w:pos="1701"/>
          <w:tab w:val="clear" w:pos="2268"/>
        </w:tabs>
        <w:ind w:left="2268" w:hanging="1134"/>
        <w:rPr>
          <w:rFonts w:asciiTheme="majorBidi" w:hAnsiTheme="majorBidi" w:cstheme="majorBidi"/>
        </w:rPr>
      </w:pPr>
      <w:r w:rsidRPr="00FC4465">
        <w:rPr>
          <w:rFonts w:asciiTheme="majorBidi" w:hAnsiTheme="majorBidi" w:cstheme="majorBidi"/>
        </w:rPr>
        <w:t>3.3.4</w:t>
      </w:r>
      <w:r w:rsidRPr="00FC4465">
        <w:rPr>
          <w:rFonts w:asciiTheme="majorBidi" w:hAnsiTheme="majorBidi" w:cstheme="majorBidi"/>
        </w:rPr>
        <w:tab/>
        <w:t xml:space="preserve">Al final del párrafo, añádase: </w:t>
      </w:r>
      <w:r w:rsidR="008C5013" w:rsidRPr="00FC4465">
        <w:rPr>
          <w:rFonts w:asciiTheme="majorBidi" w:hAnsiTheme="majorBidi" w:cstheme="majorBidi"/>
        </w:rPr>
        <w:t>“</w:t>
      </w:r>
      <w:r w:rsidRPr="00FC4465">
        <w:rPr>
          <w:rFonts w:asciiTheme="majorBidi" w:hAnsiTheme="majorBidi" w:cstheme="majorBidi"/>
        </w:rPr>
        <w:t>La tabla 3.3.5 presenta los elementos específicos que deben figurar en las etiquetas de las sustancias y mezclas clasificadas en esta clase de peligro con arreglo a los criterios indicados en el presente capítulo.</w:t>
      </w:r>
      <w:r w:rsidR="008C5013" w:rsidRPr="00FC4465">
        <w:rPr>
          <w:rFonts w:asciiTheme="majorBidi" w:hAnsiTheme="majorBidi" w:cstheme="majorBidi"/>
        </w:rPr>
        <w:t>”</w:t>
      </w:r>
      <w:r w:rsidRPr="00FC4465">
        <w:rPr>
          <w:rFonts w:asciiTheme="majorBidi" w:hAnsiTheme="majorBidi" w:cstheme="majorBidi"/>
        </w:rPr>
        <w:t>.</w:t>
      </w:r>
    </w:p>
    <w:p w14:paraId="371F66B8" w14:textId="462DE1B3" w:rsidR="00A72D17" w:rsidRPr="004B7533" w:rsidRDefault="00A72D17" w:rsidP="00A72D17">
      <w:pPr>
        <w:pStyle w:val="SingleTxtG"/>
        <w:ind w:left="2268" w:hanging="1134"/>
        <w:rPr>
          <w:rFonts w:asciiTheme="majorBidi" w:hAnsiTheme="majorBidi" w:cstheme="majorBidi"/>
        </w:rPr>
      </w:pPr>
      <w:r w:rsidRPr="00FC4465">
        <w:rPr>
          <w:rFonts w:asciiTheme="majorBidi" w:hAnsiTheme="majorBidi" w:cstheme="majorBidi"/>
        </w:rPr>
        <w:lastRenderedPageBreak/>
        <w:t>Tabla 3.3.5, tercera columna</w:t>
      </w:r>
      <w:r w:rsidRPr="00FC4465">
        <w:rPr>
          <w:rFonts w:asciiTheme="majorBidi" w:hAnsiTheme="majorBidi" w:cstheme="majorBidi"/>
        </w:rPr>
        <w:tab/>
      </w:r>
      <w:r w:rsidRPr="004B7533">
        <w:rPr>
          <w:rFonts w:asciiTheme="majorBidi" w:hAnsiTheme="majorBidi" w:cstheme="majorBidi"/>
        </w:rPr>
        <w:t xml:space="preserve">Sustitúyase </w:t>
      </w:r>
      <w:r w:rsidR="008C5013" w:rsidRPr="004B7533">
        <w:rPr>
          <w:rFonts w:asciiTheme="majorBidi" w:hAnsiTheme="majorBidi" w:cstheme="majorBidi"/>
        </w:rPr>
        <w:t>“</w:t>
      </w:r>
      <w:r w:rsidRPr="004B7533">
        <w:rPr>
          <w:rFonts w:asciiTheme="majorBidi" w:hAnsiTheme="majorBidi" w:cstheme="majorBidi"/>
        </w:rPr>
        <w:t>Categoría 2A</w:t>
      </w:r>
      <w:r w:rsidR="008C5013" w:rsidRPr="004B7533">
        <w:rPr>
          <w:rFonts w:asciiTheme="majorBidi" w:hAnsiTheme="majorBidi" w:cstheme="majorBidi"/>
        </w:rPr>
        <w:t>”</w:t>
      </w:r>
      <w:r w:rsidRPr="004B7533">
        <w:rPr>
          <w:rFonts w:asciiTheme="majorBidi" w:hAnsiTheme="majorBidi" w:cstheme="majorBidi"/>
        </w:rPr>
        <w:t xml:space="preserve"> por </w:t>
      </w:r>
      <w:r w:rsidR="008C5013" w:rsidRPr="004B7533">
        <w:rPr>
          <w:rFonts w:asciiTheme="majorBidi" w:hAnsiTheme="majorBidi" w:cstheme="majorBidi"/>
        </w:rPr>
        <w:t>“</w:t>
      </w:r>
      <w:r w:rsidRPr="004B7533">
        <w:rPr>
          <w:rFonts w:asciiTheme="majorBidi" w:hAnsiTheme="majorBidi" w:cstheme="majorBidi"/>
        </w:rPr>
        <w:t>Categoría 2/2A</w:t>
      </w:r>
      <w:r w:rsidR="008C5013" w:rsidRPr="004B7533">
        <w:rPr>
          <w:rFonts w:asciiTheme="majorBidi" w:hAnsiTheme="majorBidi" w:cstheme="majorBidi"/>
        </w:rPr>
        <w:t>”</w:t>
      </w:r>
      <w:r w:rsidRPr="004B7533">
        <w:rPr>
          <w:rFonts w:asciiTheme="majorBidi" w:hAnsiTheme="majorBidi" w:cstheme="majorBidi"/>
        </w:rPr>
        <w:t>.</w:t>
      </w:r>
    </w:p>
    <w:p w14:paraId="4AB47331" w14:textId="77777777" w:rsidR="00A72D17" w:rsidRPr="00FC4465" w:rsidRDefault="00A72D17" w:rsidP="00A72D17">
      <w:pPr>
        <w:pStyle w:val="SingleTxtG"/>
        <w:keepNext/>
        <w:keepLines/>
        <w:ind w:left="2268" w:hanging="1134"/>
        <w:rPr>
          <w:rFonts w:asciiTheme="majorBidi" w:hAnsiTheme="majorBidi" w:cstheme="majorBidi"/>
        </w:rPr>
      </w:pPr>
      <w:r w:rsidRPr="00FC4465">
        <w:rPr>
          <w:rFonts w:asciiTheme="majorBidi" w:hAnsiTheme="majorBidi" w:cstheme="majorBidi"/>
        </w:rPr>
        <w:t>3.3.5.1</w:t>
      </w:r>
      <w:r w:rsidRPr="00FC4465">
        <w:rPr>
          <w:rFonts w:asciiTheme="majorBidi" w:hAnsiTheme="majorBidi" w:cstheme="majorBidi"/>
        </w:rPr>
        <w:tab/>
      </w:r>
      <w:r w:rsidRPr="00FC4465">
        <w:rPr>
          <w:rFonts w:asciiTheme="majorBidi" w:hAnsiTheme="majorBidi" w:cstheme="majorBidi"/>
        </w:rPr>
        <w:tab/>
        <w:t xml:space="preserve">Sustitúyase el procedimiento de decisión 3.3.1 por el siguiente y suprímanse las actuales notas a pie de página 2 y 3: </w:t>
      </w:r>
    </w:p>
    <w:p w14:paraId="07B3EA2F" w14:textId="044DE09F" w:rsidR="00A72D17" w:rsidRPr="00FC4465" w:rsidRDefault="008C5013" w:rsidP="00A72D17">
      <w:pPr>
        <w:pStyle w:val="SingleTxtG"/>
        <w:rPr>
          <w:rFonts w:asciiTheme="majorBidi" w:hAnsiTheme="majorBidi" w:cstheme="majorBidi"/>
        </w:rPr>
      </w:pPr>
      <w:r w:rsidRPr="00FC4465">
        <w:rPr>
          <w:rFonts w:asciiTheme="majorBidi" w:hAnsiTheme="majorBidi" w:cstheme="majorBidi"/>
        </w:rPr>
        <w:t>“</w:t>
      </w:r>
      <w:r w:rsidR="004B7533">
        <w:object w:dxaOrig="7531" w:dyaOrig="7335" w14:anchorId="6929D143">
          <v:shape id="_x0000_i1030" type="#_x0000_t75" style="width:376.5pt;height:366.75pt" o:ole="">
            <v:imagedata r:id="rId18" o:title=""/>
          </v:shape>
          <o:OLEObject Type="Embed" ProgID="Visio.Drawing.15" ShapeID="_x0000_i1030" DrawAspect="Content" ObjectID="_1754120337" r:id="rId19"/>
        </w:object>
      </w:r>
    </w:p>
    <w:p w14:paraId="1C2BB636" w14:textId="799E277A" w:rsidR="00A72D17" w:rsidRPr="00FC4465" w:rsidRDefault="0038217B" w:rsidP="00A72D17">
      <w:pPr>
        <w:spacing w:line="240" w:lineRule="auto"/>
        <w:ind w:left="567" w:right="1134"/>
        <w:jc w:val="right"/>
        <w:rPr>
          <w:rFonts w:asciiTheme="majorBidi" w:hAnsiTheme="majorBidi" w:cstheme="majorBidi"/>
        </w:rPr>
      </w:pPr>
      <w:r w:rsidRPr="00FC4465">
        <w:rPr>
          <w:rFonts w:asciiTheme="majorBidi" w:hAnsiTheme="majorBidi" w:cstheme="majorBidi"/>
        </w:rPr>
        <w:t>”</w:t>
      </w:r>
    </w:p>
    <w:p w14:paraId="6584147A" w14:textId="7C9C7BCE" w:rsidR="00A72D17" w:rsidRPr="00FC4465" w:rsidRDefault="00A72D17" w:rsidP="0038217B">
      <w:pPr>
        <w:spacing w:line="240" w:lineRule="auto"/>
        <w:ind w:left="1182" w:right="1134"/>
        <w:rPr>
          <w:rFonts w:asciiTheme="majorBidi" w:hAnsiTheme="majorBidi" w:cstheme="majorBidi"/>
          <w:sz w:val="16"/>
          <w:szCs w:val="16"/>
        </w:rPr>
      </w:pPr>
    </w:p>
    <w:p w14:paraId="171271A0" w14:textId="77777777" w:rsidR="00A72D17" w:rsidRPr="00FC4465" w:rsidRDefault="00A72D17" w:rsidP="00A72D17">
      <w:pPr>
        <w:rPr>
          <w:rFonts w:asciiTheme="majorBidi" w:hAnsiTheme="majorBidi" w:cstheme="majorBidi"/>
        </w:rPr>
      </w:pPr>
      <w:r w:rsidRPr="00FC4465">
        <w:rPr>
          <w:rFonts w:asciiTheme="majorBidi" w:hAnsiTheme="majorBidi" w:cstheme="majorBidi"/>
        </w:rPr>
        <w:br w:type="page"/>
      </w:r>
    </w:p>
    <w:p w14:paraId="399DD0C8" w14:textId="77777777" w:rsidR="00A72D17" w:rsidRPr="00FC4465" w:rsidRDefault="00A72D17" w:rsidP="00A72D17">
      <w:pPr>
        <w:pStyle w:val="Bullet1G"/>
        <w:numPr>
          <w:ilvl w:val="0"/>
          <w:numId w:val="0"/>
        </w:numPr>
        <w:ind w:left="2098" w:firstLine="170"/>
        <w:rPr>
          <w:rFonts w:asciiTheme="majorBidi" w:hAnsiTheme="majorBidi" w:cstheme="majorBidi"/>
        </w:rPr>
      </w:pPr>
      <w:r w:rsidRPr="00FC4465">
        <w:rPr>
          <w:rFonts w:asciiTheme="majorBidi" w:hAnsiTheme="majorBidi" w:cstheme="majorBidi"/>
        </w:rPr>
        <w:lastRenderedPageBreak/>
        <w:t>3.3.5.2</w:t>
      </w:r>
      <w:r w:rsidRPr="00FC4465">
        <w:rPr>
          <w:rFonts w:asciiTheme="majorBidi" w:hAnsiTheme="majorBidi" w:cstheme="majorBidi"/>
        </w:rPr>
        <w:tab/>
      </w:r>
      <w:r w:rsidRPr="00FC4465">
        <w:rPr>
          <w:rFonts w:asciiTheme="majorBidi" w:hAnsiTheme="majorBidi" w:cstheme="majorBidi"/>
        </w:rPr>
        <w:tab/>
        <w:t xml:space="preserve">Sustitúyase el procedimiento de decisión 3.3.2 por el siguiente: </w:t>
      </w:r>
    </w:p>
    <w:p w14:paraId="765F5155" w14:textId="6127AAD5" w:rsidR="00A72D17" w:rsidRPr="00FC4465" w:rsidRDefault="008C5013" w:rsidP="00A72D17">
      <w:pPr>
        <w:spacing w:line="240" w:lineRule="auto"/>
        <w:ind w:left="1701" w:right="425"/>
        <w:rPr>
          <w:rFonts w:asciiTheme="majorBidi" w:hAnsiTheme="majorBidi" w:cstheme="majorBidi"/>
        </w:rPr>
      </w:pPr>
      <w:r w:rsidRPr="00FC4465">
        <w:rPr>
          <w:rFonts w:asciiTheme="majorBidi" w:hAnsiTheme="majorBidi" w:cstheme="majorBidi"/>
        </w:rPr>
        <w:t>“</w:t>
      </w:r>
    </w:p>
    <w:p w14:paraId="41C0316D" w14:textId="64327C5F" w:rsidR="00A72D17" w:rsidRPr="00FC4465" w:rsidRDefault="00F37468" w:rsidP="00A72D17">
      <w:pPr>
        <w:spacing w:line="240" w:lineRule="auto"/>
        <w:ind w:left="1701" w:right="425"/>
        <w:jc w:val="right"/>
        <w:rPr>
          <w:rFonts w:asciiTheme="majorBidi" w:hAnsiTheme="majorBidi" w:cstheme="majorBidi"/>
        </w:rPr>
      </w:pPr>
      <w:r>
        <w:object w:dxaOrig="7575" w:dyaOrig="9285" w14:anchorId="5E685930">
          <v:shape id="_x0000_i1031" type="#_x0000_t75" style="width:378.75pt;height:464.25pt" o:ole="">
            <v:imagedata r:id="rId20" o:title=""/>
          </v:shape>
          <o:OLEObject Type="Embed" ProgID="Visio.Drawing.15" ShapeID="_x0000_i1031" DrawAspect="Content" ObjectID="_1754120338" r:id="rId21"/>
        </w:object>
      </w:r>
      <w:r w:rsidR="00AF49D3" w:rsidRPr="00FC4465">
        <w:rPr>
          <w:rFonts w:asciiTheme="majorBidi" w:hAnsiTheme="majorBidi" w:cstheme="majorBidi"/>
        </w:rPr>
        <w:t>”</w:t>
      </w:r>
    </w:p>
    <w:p w14:paraId="27E4213C" w14:textId="79D84899" w:rsidR="00A72D17" w:rsidRPr="00FC4465" w:rsidRDefault="00A72D17" w:rsidP="00A72D17">
      <w:pPr>
        <w:pStyle w:val="SingleTxtG"/>
        <w:rPr>
          <w:rFonts w:asciiTheme="majorBidi" w:hAnsiTheme="majorBidi" w:cstheme="majorBidi"/>
        </w:rPr>
      </w:pPr>
      <w:r w:rsidRPr="00FC4465">
        <w:rPr>
          <w:rFonts w:asciiTheme="majorBidi" w:hAnsiTheme="majorBidi" w:cstheme="majorBidi"/>
        </w:rPr>
        <w:t xml:space="preserve">Las actuales notas a pie de página </w:t>
      </w:r>
      <w:r w:rsidR="008C5013" w:rsidRPr="00FC4465">
        <w:rPr>
          <w:rFonts w:asciiTheme="majorBidi" w:hAnsiTheme="majorBidi" w:cstheme="majorBidi"/>
        </w:rPr>
        <w:t>“</w:t>
      </w:r>
      <w:r w:rsidRPr="00FC4465">
        <w:rPr>
          <w:rFonts w:asciiTheme="majorBidi" w:hAnsiTheme="majorBidi" w:cstheme="majorBidi"/>
        </w:rPr>
        <w:t>4</w:t>
      </w:r>
      <w:r w:rsidR="008C5013" w:rsidRPr="00FC4465">
        <w:rPr>
          <w:rFonts w:asciiTheme="majorBidi" w:hAnsiTheme="majorBidi" w:cstheme="majorBidi"/>
        </w:rPr>
        <w:t>”</w:t>
      </w:r>
      <w:r w:rsidRPr="00FC4465">
        <w:rPr>
          <w:rFonts w:asciiTheme="majorBidi" w:hAnsiTheme="majorBidi" w:cstheme="majorBidi"/>
        </w:rPr>
        <w:t xml:space="preserve">, </w:t>
      </w:r>
      <w:r w:rsidR="008C5013" w:rsidRPr="00FC4465">
        <w:rPr>
          <w:rFonts w:asciiTheme="majorBidi" w:hAnsiTheme="majorBidi" w:cstheme="majorBidi"/>
        </w:rPr>
        <w:t>“</w:t>
      </w:r>
      <w:r w:rsidRPr="00FC4465">
        <w:rPr>
          <w:rFonts w:asciiTheme="majorBidi" w:hAnsiTheme="majorBidi" w:cstheme="majorBidi"/>
        </w:rPr>
        <w:t>5</w:t>
      </w:r>
      <w:r w:rsidR="008C5013" w:rsidRPr="00FC4465">
        <w:rPr>
          <w:rFonts w:asciiTheme="majorBidi" w:hAnsiTheme="majorBidi" w:cstheme="majorBidi"/>
        </w:rPr>
        <w:t>”</w:t>
      </w:r>
      <w:r w:rsidRPr="00FC4465">
        <w:rPr>
          <w:rFonts w:asciiTheme="majorBidi" w:hAnsiTheme="majorBidi" w:cstheme="majorBidi"/>
        </w:rPr>
        <w:t xml:space="preserve">, </w:t>
      </w:r>
      <w:r w:rsidR="008C5013" w:rsidRPr="00FC4465">
        <w:rPr>
          <w:rFonts w:asciiTheme="majorBidi" w:hAnsiTheme="majorBidi" w:cstheme="majorBidi"/>
        </w:rPr>
        <w:t>“</w:t>
      </w:r>
      <w:r w:rsidRPr="00FC4465">
        <w:rPr>
          <w:rFonts w:asciiTheme="majorBidi" w:hAnsiTheme="majorBidi" w:cstheme="majorBidi"/>
        </w:rPr>
        <w:t>6</w:t>
      </w:r>
      <w:r w:rsidR="008C5013" w:rsidRPr="00FC4465">
        <w:rPr>
          <w:rFonts w:asciiTheme="majorBidi" w:hAnsiTheme="majorBidi" w:cstheme="majorBidi"/>
        </w:rPr>
        <w:t>”</w:t>
      </w:r>
      <w:r w:rsidRPr="00FC4465">
        <w:rPr>
          <w:rFonts w:asciiTheme="majorBidi" w:hAnsiTheme="majorBidi" w:cstheme="majorBidi"/>
        </w:rPr>
        <w:t xml:space="preserve"> y </w:t>
      </w:r>
      <w:r w:rsidR="008C5013" w:rsidRPr="00FC4465">
        <w:rPr>
          <w:rFonts w:asciiTheme="majorBidi" w:hAnsiTheme="majorBidi" w:cstheme="majorBidi"/>
        </w:rPr>
        <w:t>“</w:t>
      </w:r>
      <w:r w:rsidRPr="00FC4465">
        <w:rPr>
          <w:rFonts w:asciiTheme="majorBidi" w:hAnsiTheme="majorBidi" w:cstheme="majorBidi"/>
        </w:rPr>
        <w:t>7</w:t>
      </w:r>
      <w:r w:rsidR="008C5013" w:rsidRPr="00FC4465">
        <w:rPr>
          <w:rFonts w:asciiTheme="majorBidi" w:hAnsiTheme="majorBidi" w:cstheme="majorBidi"/>
        </w:rPr>
        <w:t>”</w:t>
      </w:r>
      <w:r w:rsidRPr="00FC4465">
        <w:rPr>
          <w:rFonts w:asciiTheme="majorBidi" w:hAnsiTheme="majorBidi" w:cstheme="majorBidi"/>
        </w:rPr>
        <w:t xml:space="preserve"> pasan a ser las notas </w:t>
      </w:r>
      <w:r w:rsidR="008C5013" w:rsidRPr="00FC4465">
        <w:rPr>
          <w:rFonts w:asciiTheme="majorBidi" w:hAnsiTheme="majorBidi" w:cstheme="majorBidi"/>
        </w:rPr>
        <w:t>“</w:t>
      </w:r>
      <w:r w:rsidRPr="00FC4465">
        <w:rPr>
          <w:rFonts w:asciiTheme="majorBidi" w:hAnsiTheme="majorBidi" w:cstheme="majorBidi"/>
        </w:rPr>
        <w:t>5</w:t>
      </w:r>
      <w:r w:rsidR="008C5013" w:rsidRPr="00FC4465">
        <w:rPr>
          <w:rFonts w:asciiTheme="majorBidi" w:hAnsiTheme="majorBidi" w:cstheme="majorBidi"/>
        </w:rPr>
        <w:t>”</w:t>
      </w:r>
      <w:r w:rsidRPr="00FC4465">
        <w:rPr>
          <w:rFonts w:asciiTheme="majorBidi" w:hAnsiTheme="majorBidi" w:cstheme="majorBidi"/>
        </w:rPr>
        <w:t xml:space="preserve">, </w:t>
      </w:r>
      <w:r w:rsidR="008C5013" w:rsidRPr="00FC4465">
        <w:rPr>
          <w:rFonts w:asciiTheme="majorBidi" w:hAnsiTheme="majorBidi" w:cstheme="majorBidi"/>
        </w:rPr>
        <w:t>“</w:t>
      </w:r>
      <w:r w:rsidRPr="00FC4465">
        <w:rPr>
          <w:rFonts w:asciiTheme="majorBidi" w:hAnsiTheme="majorBidi" w:cstheme="majorBidi"/>
        </w:rPr>
        <w:t>6</w:t>
      </w:r>
      <w:r w:rsidR="008C5013" w:rsidRPr="00FC4465">
        <w:rPr>
          <w:rFonts w:asciiTheme="majorBidi" w:hAnsiTheme="majorBidi" w:cstheme="majorBidi"/>
        </w:rPr>
        <w:t>”</w:t>
      </w:r>
      <w:r w:rsidRPr="00FC4465">
        <w:rPr>
          <w:rFonts w:asciiTheme="majorBidi" w:hAnsiTheme="majorBidi" w:cstheme="majorBidi"/>
        </w:rPr>
        <w:t xml:space="preserve">, </w:t>
      </w:r>
      <w:r w:rsidR="008C5013" w:rsidRPr="00FC4465">
        <w:rPr>
          <w:rFonts w:asciiTheme="majorBidi" w:hAnsiTheme="majorBidi" w:cstheme="majorBidi"/>
        </w:rPr>
        <w:t>“</w:t>
      </w:r>
      <w:r w:rsidRPr="00FC4465">
        <w:rPr>
          <w:rFonts w:asciiTheme="majorBidi" w:hAnsiTheme="majorBidi" w:cstheme="majorBidi"/>
        </w:rPr>
        <w:t>7</w:t>
      </w:r>
      <w:r w:rsidR="008C5013" w:rsidRPr="00FC4465">
        <w:rPr>
          <w:rFonts w:asciiTheme="majorBidi" w:hAnsiTheme="majorBidi" w:cstheme="majorBidi"/>
        </w:rPr>
        <w:t>”</w:t>
      </w:r>
      <w:r w:rsidRPr="00FC4465">
        <w:rPr>
          <w:rFonts w:asciiTheme="majorBidi" w:hAnsiTheme="majorBidi" w:cstheme="majorBidi"/>
        </w:rPr>
        <w:t xml:space="preserve"> y</w:t>
      </w:r>
      <w:r w:rsidR="008A7CA3">
        <w:rPr>
          <w:rFonts w:asciiTheme="majorBidi" w:hAnsiTheme="majorBidi" w:cstheme="majorBidi"/>
        </w:rPr>
        <w:t> </w:t>
      </w:r>
      <w:r w:rsidR="008C5013" w:rsidRPr="00FC4465">
        <w:rPr>
          <w:rFonts w:asciiTheme="majorBidi" w:hAnsiTheme="majorBidi" w:cstheme="majorBidi"/>
        </w:rPr>
        <w:t>“</w:t>
      </w:r>
      <w:r w:rsidRPr="00FC4465">
        <w:rPr>
          <w:rFonts w:asciiTheme="majorBidi" w:hAnsiTheme="majorBidi" w:cstheme="majorBidi"/>
        </w:rPr>
        <w:t>8</w:t>
      </w:r>
      <w:r w:rsidR="008C5013" w:rsidRPr="00FC4465">
        <w:rPr>
          <w:rFonts w:asciiTheme="majorBidi" w:hAnsiTheme="majorBidi" w:cstheme="majorBidi"/>
        </w:rPr>
        <w:t>”</w:t>
      </w:r>
      <w:r w:rsidRPr="00FC4465">
        <w:rPr>
          <w:rFonts w:asciiTheme="majorBidi" w:hAnsiTheme="majorBidi" w:cstheme="majorBidi"/>
        </w:rPr>
        <w:t xml:space="preserve">. </w:t>
      </w:r>
    </w:p>
    <w:p w14:paraId="75DBB5B0" w14:textId="77777777" w:rsidR="00A72D17" w:rsidRPr="00FC4465" w:rsidRDefault="00A72D17" w:rsidP="00A72D17">
      <w:pPr>
        <w:pStyle w:val="SingleTxtG"/>
        <w:tabs>
          <w:tab w:val="left" w:pos="3686"/>
        </w:tabs>
        <w:rPr>
          <w:rFonts w:asciiTheme="majorBidi" w:hAnsiTheme="majorBidi" w:cstheme="majorBidi"/>
        </w:rPr>
      </w:pPr>
      <w:r w:rsidRPr="00FC4465">
        <w:rPr>
          <w:rFonts w:asciiTheme="majorBidi" w:hAnsiTheme="majorBidi" w:cstheme="majorBidi"/>
        </w:rPr>
        <w:t>3.3.5.3.1 y 3.3.5.3.2 (nuevos)</w:t>
      </w:r>
      <w:r w:rsidRPr="00FC4465">
        <w:rPr>
          <w:rFonts w:asciiTheme="majorBidi" w:hAnsiTheme="majorBidi" w:cstheme="majorBidi"/>
        </w:rPr>
        <w:tab/>
        <w:t xml:space="preserve">Añádanse los dos nuevos párrafos siguientes: </w:t>
      </w:r>
    </w:p>
    <w:p w14:paraId="08D6184D" w14:textId="14F871A1" w:rsidR="00A72D17" w:rsidRPr="00FC4465" w:rsidRDefault="008C5013" w:rsidP="00A72D17">
      <w:pPr>
        <w:pStyle w:val="SingleTxtG"/>
        <w:ind w:left="2268"/>
        <w:rPr>
          <w:rFonts w:asciiTheme="majorBidi" w:hAnsiTheme="majorBidi" w:cstheme="majorBidi"/>
          <w:i/>
          <w:iCs/>
        </w:rPr>
      </w:pPr>
      <w:bookmarkStart w:id="8" w:name="_Hlk69885998"/>
      <w:r w:rsidRPr="00FC4465">
        <w:rPr>
          <w:rFonts w:asciiTheme="majorBidi" w:hAnsiTheme="majorBidi" w:cstheme="majorBidi"/>
        </w:rPr>
        <w:t>“</w:t>
      </w:r>
      <w:r w:rsidR="00A72D17" w:rsidRPr="00FC4465">
        <w:rPr>
          <w:rFonts w:asciiTheme="majorBidi" w:hAnsiTheme="majorBidi" w:cstheme="majorBidi"/>
        </w:rPr>
        <w:t>3.3.5.3.1</w:t>
      </w:r>
      <w:r w:rsidR="00A72D17" w:rsidRPr="00FC4465">
        <w:rPr>
          <w:rFonts w:asciiTheme="majorBidi" w:hAnsiTheme="majorBidi" w:cstheme="majorBidi"/>
        </w:rPr>
        <w:tab/>
      </w:r>
      <w:r w:rsidR="00A72D17" w:rsidRPr="00FC4465">
        <w:rPr>
          <w:rFonts w:asciiTheme="majorBidi" w:hAnsiTheme="majorBidi" w:cstheme="majorBidi"/>
          <w:i/>
          <w:iCs/>
        </w:rPr>
        <w:t>Documentos de orientación pertinentes</w:t>
      </w:r>
      <w:r w:rsidR="00A72D17" w:rsidRPr="00FC4465">
        <w:rPr>
          <w:rFonts w:asciiTheme="majorBidi" w:hAnsiTheme="majorBidi" w:cstheme="majorBidi"/>
        </w:rPr>
        <w:t xml:space="preserve"> </w:t>
      </w:r>
    </w:p>
    <w:bookmarkEnd w:id="8"/>
    <w:p w14:paraId="186F0317" w14:textId="77777777" w:rsidR="00A72D17" w:rsidRPr="00FC4465" w:rsidRDefault="00A72D17" w:rsidP="00A72D17">
      <w:pPr>
        <w:pStyle w:val="SingleTxtG"/>
        <w:tabs>
          <w:tab w:val="left" w:pos="3402"/>
        </w:tabs>
        <w:ind w:left="2268" w:firstLine="1134"/>
        <w:rPr>
          <w:rFonts w:asciiTheme="majorBidi" w:hAnsiTheme="majorBidi" w:cstheme="majorBidi"/>
        </w:rPr>
      </w:pPr>
      <w:r w:rsidRPr="00FC4465">
        <w:rPr>
          <w:rFonts w:asciiTheme="majorBidi" w:hAnsiTheme="majorBidi" w:cstheme="majorBidi"/>
        </w:rPr>
        <w:t>Pueden encontrarse informaciones útiles sobre los puntos fuertes y débiles de los diferentes métodos de ensayo y otros tipos de métodos, así como indicaciones complementarias que pueden ser de ayuda para realizar una evaluación del peso de las pruebas, en el documento de orientación 263 de la OCDE, relativo a un método integrado de ensayo y evaluación para las lesiones oculares graves y la irritación ocular.</w:t>
      </w:r>
    </w:p>
    <w:p w14:paraId="75D636E9" w14:textId="77777777" w:rsidR="00A72D17" w:rsidRPr="00FC4465" w:rsidRDefault="00A72D17" w:rsidP="00A72D17">
      <w:pPr>
        <w:pStyle w:val="SingleTxtG"/>
        <w:ind w:left="2268"/>
        <w:rPr>
          <w:rFonts w:asciiTheme="majorBidi" w:hAnsiTheme="majorBidi" w:cstheme="majorBidi"/>
          <w:i/>
          <w:iCs/>
        </w:rPr>
      </w:pPr>
      <w:r w:rsidRPr="00FC4465">
        <w:rPr>
          <w:rFonts w:asciiTheme="majorBidi" w:hAnsiTheme="majorBidi" w:cstheme="majorBidi"/>
        </w:rPr>
        <w:t>3.3.5.3.2</w:t>
      </w:r>
      <w:r w:rsidRPr="00FC4465">
        <w:rPr>
          <w:rFonts w:asciiTheme="majorBidi" w:hAnsiTheme="majorBidi" w:cstheme="majorBidi"/>
        </w:rPr>
        <w:tab/>
      </w:r>
      <w:r w:rsidRPr="00FC4465">
        <w:rPr>
          <w:rFonts w:asciiTheme="majorBidi" w:hAnsiTheme="majorBidi" w:cstheme="majorBidi"/>
          <w:i/>
          <w:iCs/>
        </w:rPr>
        <w:t>Indicaciones complementarias para el uso de datos sobre seres humanos en la clasificación relativa a lesiones oculares graves/irritación ocular</w:t>
      </w:r>
    </w:p>
    <w:p w14:paraId="36057345" w14:textId="2A196378" w:rsidR="00A72D17" w:rsidRPr="00FC4465" w:rsidRDefault="00A72D17" w:rsidP="00A72D17">
      <w:pPr>
        <w:pStyle w:val="SingleTxtG"/>
        <w:tabs>
          <w:tab w:val="clear" w:pos="2835"/>
          <w:tab w:val="left" w:pos="3402"/>
        </w:tabs>
        <w:ind w:left="2268"/>
        <w:rPr>
          <w:rFonts w:asciiTheme="majorBidi" w:hAnsiTheme="majorBidi" w:cstheme="majorBidi"/>
        </w:rPr>
      </w:pPr>
      <w:r w:rsidRPr="00FC4465">
        <w:rPr>
          <w:rFonts w:asciiTheme="majorBidi" w:hAnsiTheme="majorBidi" w:cstheme="majorBidi"/>
        </w:rPr>
        <w:tab/>
        <w:t xml:space="preserve">La disponibilidad de datos relativos a lesiones oculares graves/irritación ocular en seres humanos es limitada y los datos de que se </w:t>
      </w:r>
      <w:r w:rsidRPr="00FC4465">
        <w:rPr>
          <w:rFonts w:asciiTheme="majorBidi" w:hAnsiTheme="majorBidi" w:cstheme="majorBidi"/>
        </w:rPr>
        <w:lastRenderedPageBreak/>
        <w:t>dispone pueden presentar cierto grado de incertidumbre. No obstante, cuando esos datos existan, deberían tenerse en cuenta en función de su calidad. Los datos obtenidos en seres humanos pueden proceder de estudios epidemiológicos, de la experiencia humana (por ejemplo, la experiencia de los consumidores), de centros de toxicología, de programas nacionales e internacionales de vigilancia de los accidentes domésticos, de estudios de casos o de la experiencia y los accidentes en el entorno laboral. Los estudios de casos en seres humanos pueden tener un valor predictivo limitado, ya que con frecuencia la presencia de una sustancia o mezcla en el ojo provoca dolor y da lugar al rápido lavado de los ojos. Por consiguiente, los efectos observados pueden hacer que se subestime la capacidad intrínseca de la sustancia o mezcla de afectar al ojo cuando no hay lavado. En el documento de orientación 263 de la OCDE (sección 4.1, módulo 1: Existing human data on serious eye damage and eye irritation) figuran indicaciones detalladas sobre los puntos fuertes y las limitaciones de los datos sobre lesiones oculares graves/irritación ocular en seres humanos.</w:t>
      </w:r>
      <w:r w:rsidR="008C5013" w:rsidRPr="00FC4465">
        <w:rPr>
          <w:rFonts w:asciiTheme="majorBidi" w:hAnsiTheme="majorBidi" w:cstheme="majorBidi"/>
        </w:rPr>
        <w:t>”</w:t>
      </w:r>
      <w:r w:rsidR="004B7533">
        <w:rPr>
          <w:rFonts w:asciiTheme="majorBidi" w:hAnsiTheme="majorBidi" w:cstheme="majorBidi"/>
        </w:rPr>
        <w:t>.</w:t>
      </w:r>
      <w:r w:rsidRPr="00FC4465">
        <w:rPr>
          <w:rFonts w:asciiTheme="majorBidi" w:hAnsiTheme="majorBidi" w:cstheme="majorBidi"/>
        </w:rPr>
        <w:t xml:space="preserve"> </w:t>
      </w:r>
    </w:p>
    <w:p w14:paraId="0A23E3D4" w14:textId="77777777" w:rsidR="00A72D17" w:rsidRPr="00FC4465" w:rsidRDefault="00A72D17" w:rsidP="00A72D17">
      <w:pPr>
        <w:pStyle w:val="SingleTxtG"/>
        <w:rPr>
          <w:rFonts w:asciiTheme="majorBidi" w:hAnsiTheme="majorBidi" w:cstheme="majorBidi"/>
        </w:rPr>
      </w:pPr>
      <w:r w:rsidRPr="00FC4465">
        <w:rPr>
          <w:rFonts w:asciiTheme="majorBidi" w:hAnsiTheme="majorBidi" w:cstheme="majorBidi"/>
        </w:rPr>
        <w:t>3.3.5.3.3</w:t>
      </w:r>
      <w:r w:rsidRPr="00FC4465">
        <w:rPr>
          <w:rFonts w:asciiTheme="majorBidi" w:hAnsiTheme="majorBidi" w:cstheme="majorBidi"/>
        </w:rPr>
        <w:tab/>
        <w:t>Insértese un nuevo encabezamiento que diga:</w:t>
      </w:r>
    </w:p>
    <w:p w14:paraId="1DE7F39D" w14:textId="0E23E467" w:rsidR="00A72D17" w:rsidRPr="00FC4465" w:rsidRDefault="008C5013" w:rsidP="00A72D17">
      <w:pPr>
        <w:pStyle w:val="SingleTxtG"/>
        <w:ind w:left="2268"/>
        <w:rPr>
          <w:rFonts w:asciiTheme="majorBidi" w:hAnsiTheme="majorBidi" w:cstheme="majorBidi"/>
        </w:rPr>
      </w:pPr>
      <w:r w:rsidRPr="00FC4465">
        <w:rPr>
          <w:rFonts w:asciiTheme="majorBidi" w:hAnsiTheme="majorBidi" w:cstheme="majorBidi"/>
        </w:rPr>
        <w:t>“</w:t>
      </w:r>
      <w:r w:rsidR="00A72D17" w:rsidRPr="00FC4465">
        <w:rPr>
          <w:rFonts w:asciiTheme="majorBidi" w:hAnsiTheme="majorBidi" w:cstheme="majorBidi"/>
        </w:rPr>
        <w:t>3.3.5.3.3</w:t>
      </w:r>
      <w:r w:rsidR="00A72D17" w:rsidRPr="00FC4465">
        <w:rPr>
          <w:rFonts w:asciiTheme="majorBidi" w:hAnsiTheme="majorBidi" w:cstheme="majorBidi"/>
        </w:rPr>
        <w:tab/>
      </w:r>
      <w:r w:rsidR="00A72D17" w:rsidRPr="00FC4465">
        <w:rPr>
          <w:rFonts w:asciiTheme="majorBidi" w:hAnsiTheme="majorBidi" w:cstheme="majorBidi"/>
          <w:i/>
          <w:iCs/>
        </w:rPr>
        <w:t>Clasificación basada en ensayos normalizados con más de tres animales</w:t>
      </w:r>
      <w:r w:rsidRPr="00FC4465">
        <w:rPr>
          <w:rFonts w:asciiTheme="majorBidi" w:hAnsiTheme="majorBidi" w:cstheme="majorBidi"/>
        </w:rPr>
        <w:t>”</w:t>
      </w:r>
      <w:r w:rsidR="00A72D17" w:rsidRPr="00FC4465">
        <w:rPr>
          <w:rFonts w:asciiTheme="majorBidi" w:hAnsiTheme="majorBidi" w:cstheme="majorBidi"/>
        </w:rPr>
        <w:t>.</w:t>
      </w:r>
    </w:p>
    <w:p w14:paraId="66799F55" w14:textId="77777777" w:rsidR="00A72D17" w:rsidRPr="00FC4465" w:rsidRDefault="00A72D17" w:rsidP="00A72D17">
      <w:pPr>
        <w:pStyle w:val="SingleTxtG"/>
        <w:tabs>
          <w:tab w:val="left" w:pos="3119"/>
          <w:tab w:val="left" w:pos="3686"/>
        </w:tabs>
        <w:rPr>
          <w:rFonts w:asciiTheme="majorBidi" w:hAnsiTheme="majorBidi" w:cstheme="majorBidi"/>
        </w:rPr>
      </w:pPr>
      <w:r w:rsidRPr="00FC4465">
        <w:rPr>
          <w:rFonts w:asciiTheme="majorBidi" w:hAnsiTheme="majorBidi" w:cstheme="majorBidi"/>
        </w:rPr>
        <w:t>3.3.5.3.1 a 3.3.5.3.5</w:t>
      </w:r>
      <w:r w:rsidRPr="00FC4465">
        <w:rPr>
          <w:rFonts w:asciiTheme="majorBidi" w:hAnsiTheme="majorBidi" w:cstheme="majorBidi"/>
        </w:rPr>
        <w:tab/>
        <w:t>Los actuales párrafos 3.3.5.3.1 a 3.3.5.3.5 pasan a ser los nuevos párrafos 3.3.5.3.3.1 a 3.3.5.3.3.5.</w:t>
      </w:r>
    </w:p>
    <w:p w14:paraId="62E25CCA" w14:textId="7B714CF6" w:rsidR="00A72D17" w:rsidRPr="00FC4465" w:rsidRDefault="00A72D17" w:rsidP="00A72D17">
      <w:pPr>
        <w:pStyle w:val="SingleTxtG"/>
        <w:ind w:left="2268" w:hanging="1134"/>
        <w:rPr>
          <w:rFonts w:asciiTheme="majorBidi" w:hAnsiTheme="majorBidi" w:cstheme="majorBidi"/>
        </w:rPr>
      </w:pPr>
      <w:r w:rsidRPr="00FC4465">
        <w:rPr>
          <w:rFonts w:asciiTheme="majorBidi" w:hAnsiTheme="majorBidi" w:cstheme="majorBidi"/>
        </w:rPr>
        <w:t>3.3.5.3.3.2 (nuevo, antiguo 3.3.5.3.2)</w:t>
      </w:r>
      <w:r w:rsidRPr="00FC4465">
        <w:rPr>
          <w:rFonts w:asciiTheme="majorBidi" w:hAnsiTheme="majorBidi" w:cstheme="majorBidi"/>
        </w:rPr>
        <w:tab/>
        <w:t xml:space="preserve">Sustitúyase </w:t>
      </w:r>
      <w:r w:rsidR="008C5013" w:rsidRPr="00FC4465">
        <w:rPr>
          <w:rFonts w:asciiTheme="majorBidi" w:hAnsiTheme="majorBidi" w:cstheme="majorBidi"/>
        </w:rPr>
        <w:t>“</w:t>
      </w:r>
      <w:r w:rsidRPr="00FC4465">
        <w:rPr>
          <w:rFonts w:asciiTheme="majorBidi" w:hAnsiTheme="majorBidi" w:cstheme="majorBidi"/>
        </w:rPr>
        <w:t>3.2.2.1</w:t>
      </w:r>
      <w:r w:rsidR="008C5013" w:rsidRPr="00FC4465">
        <w:rPr>
          <w:rFonts w:asciiTheme="majorBidi" w:hAnsiTheme="majorBidi" w:cstheme="majorBidi"/>
        </w:rPr>
        <w:t>”</w:t>
      </w:r>
      <w:r w:rsidRPr="00FC4465">
        <w:rPr>
          <w:rFonts w:asciiTheme="majorBidi" w:hAnsiTheme="majorBidi" w:cstheme="majorBidi"/>
        </w:rPr>
        <w:t xml:space="preserve"> por </w:t>
      </w:r>
      <w:r w:rsidR="008C5013" w:rsidRPr="00FC4465">
        <w:rPr>
          <w:rFonts w:asciiTheme="majorBidi" w:hAnsiTheme="majorBidi" w:cstheme="majorBidi"/>
        </w:rPr>
        <w:t>“</w:t>
      </w:r>
      <w:r w:rsidRPr="00FC4465">
        <w:rPr>
          <w:rFonts w:asciiTheme="majorBidi" w:hAnsiTheme="majorBidi" w:cstheme="majorBidi"/>
        </w:rPr>
        <w:t>3.3.2.2</w:t>
      </w:r>
      <w:r w:rsidR="008C5013" w:rsidRPr="00FC4465">
        <w:rPr>
          <w:rFonts w:asciiTheme="majorBidi" w:hAnsiTheme="majorBidi" w:cstheme="majorBidi"/>
        </w:rPr>
        <w:t>”</w:t>
      </w:r>
      <w:r w:rsidRPr="00FC4465">
        <w:rPr>
          <w:rFonts w:asciiTheme="majorBidi" w:hAnsiTheme="majorBidi" w:cstheme="majorBidi"/>
        </w:rPr>
        <w:t xml:space="preserve">. </w:t>
      </w:r>
    </w:p>
    <w:p w14:paraId="210E9437" w14:textId="77777777" w:rsidR="00A72D17" w:rsidRPr="00FC4465" w:rsidRDefault="00A72D17" w:rsidP="00A72D17">
      <w:pPr>
        <w:pStyle w:val="SingleTxtG"/>
        <w:rPr>
          <w:rFonts w:asciiTheme="majorBidi" w:hAnsiTheme="majorBidi" w:cstheme="majorBidi"/>
        </w:rPr>
      </w:pPr>
      <w:r w:rsidRPr="00FC4465">
        <w:rPr>
          <w:rFonts w:asciiTheme="majorBidi" w:hAnsiTheme="majorBidi" w:cstheme="majorBidi"/>
        </w:rPr>
        <w:t>3.3.5.3.4 a 3.3.5.3.7.2</w:t>
      </w:r>
      <w:r w:rsidRPr="00FC4465">
        <w:rPr>
          <w:rFonts w:asciiTheme="majorBidi" w:hAnsiTheme="majorBidi" w:cstheme="majorBidi"/>
        </w:rPr>
        <w:tab/>
        <w:t>Insértense las nuevas secciones siguientes:</w:t>
      </w:r>
    </w:p>
    <w:p w14:paraId="4758CBDC" w14:textId="63F54216" w:rsidR="00A72D17" w:rsidRPr="00FC4465" w:rsidRDefault="008C5013" w:rsidP="00A72D17">
      <w:pPr>
        <w:pStyle w:val="SingleTxtG"/>
        <w:ind w:left="2268"/>
        <w:rPr>
          <w:rFonts w:asciiTheme="majorBidi" w:hAnsiTheme="majorBidi" w:cstheme="majorBidi"/>
        </w:rPr>
      </w:pPr>
      <w:r w:rsidRPr="00FC4465">
        <w:rPr>
          <w:rFonts w:asciiTheme="majorBidi" w:hAnsiTheme="majorBidi" w:cstheme="majorBidi"/>
        </w:rPr>
        <w:t>“</w:t>
      </w:r>
      <w:r w:rsidR="00A72D17" w:rsidRPr="00FC4465">
        <w:rPr>
          <w:rFonts w:asciiTheme="majorBidi" w:hAnsiTheme="majorBidi" w:cstheme="majorBidi"/>
        </w:rPr>
        <w:t>3.3.5.3.4</w:t>
      </w:r>
      <w:r w:rsidR="00A72D17" w:rsidRPr="00FC4465">
        <w:rPr>
          <w:rFonts w:asciiTheme="majorBidi" w:hAnsiTheme="majorBidi" w:cstheme="majorBidi"/>
        </w:rPr>
        <w:tab/>
      </w:r>
      <w:r w:rsidR="00A72D17" w:rsidRPr="00FC4465">
        <w:rPr>
          <w:rFonts w:asciiTheme="majorBidi" w:hAnsiTheme="majorBidi" w:cstheme="majorBidi"/>
          <w:i/>
          <w:iCs/>
        </w:rPr>
        <w:t xml:space="preserve">Indicaciones sobre el uso de enfoques definidos y/o datos </w:t>
      </w:r>
      <w:r w:rsidR="00762E66">
        <w:rPr>
          <w:rFonts w:asciiTheme="majorBidi" w:hAnsiTheme="majorBidi" w:cstheme="majorBidi"/>
        </w:rPr>
        <w:t>in vitro</w:t>
      </w:r>
      <w:r w:rsidR="00A72D17" w:rsidRPr="00FC4465">
        <w:rPr>
          <w:rFonts w:asciiTheme="majorBidi" w:hAnsiTheme="majorBidi" w:cstheme="majorBidi"/>
          <w:i/>
          <w:iCs/>
        </w:rPr>
        <w:t>/</w:t>
      </w:r>
      <w:r w:rsidR="00762E66">
        <w:rPr>
          <w:rFonts w:asciiTheme="majorBidi" w:hAnsiTheme="majorBidi" w:cstheme="majorBidi"/>
        </w:rPr>
        <w:t>ex vivo</w:t>
      </w:r>
      <w:r w:rsidR="00A72D17" w:rsidRPr="00FC4465">
        <w:rPr>
          <w:rFonts w:asciiTheme="majorBidi" w:hAnsiTheme="majorBidi" w:cstheme="majorBidi"/>
          <w:i/>
          <w:iCs/>
        </w:rPr>
        <w:t xml:space="preserve"> para la clasificación en la etapa 2 de la figura 3.3.1</w:t>
      </w:r>
    </w:p>
    <w:p w14:paraId="34919482" w14:textId="5E1BD36E" w:rsidR="00A72D17" w:rsidRPr="00FC4465" w:rsidRDefault="00A72D17" w:rsidP="00A72D17">
      <w:pPr>
        <w:pStyle w:val="SingleTxtG"/>
        <w:ind w:left="2268"/>
        <w:rPr>
          <w:rFonts w:asciiTheme="majorBidi" w:hAnsiTheme="majorBidi" w:cstheme="majorBidi"/>
        </w:rPr>
      </w:pPr>
      <w:r w:rsidRPr="00FC4465">
        <w:rPr>
          <w:rFonts w:asciiTheme="majorBidi" w:hAnsiTheme="majorBidi" w:cstheme="majorBidi"/>
        </w:rPr>
        <w:t>3.3.5.3.4.1</w:t>
      </w:r>
      <w:r w:rsidRPr="00FC4465">
        <w:rPr>
          <w:rFonts w:asciiTheme="majorBidi" w:hAnsiTheme="majorBidi" w:cstheme="majorBidi"/>
        </w:rPr>
        <w:tab/>
        <w:t xml:space="preserve">Los enfoques definidos consisten en un conjunto predefinido de diferentes fuentes de información (por ejemplo, métodos </w:t>
      </w:r>
      <w:r w:rsidR="00762E66">
        <w:rPr>
          <w:rFonts w:asciiTheme="majorBidi" w:hAnsiTheme="majorBidi" w:cstheme="majorBidi"/>
          <w:i/>
          <w:iCs/>
        </w:rPr>
        <w:t>in vitro</w:t>
      </w:r>
      <w:r w:rsidRPr="00FC4465">
        <w:rPr>
          <w:rFonts w:asciiTheme="majorBidi" w:hAnsiTheme="majorBidi" w:cstheme="majorBidi"/>
        </w:rPr>
        <w:t xml:space="preserve">, métodos </w:t>
      </w:r>
      <w:r w:rsidR="00762E66">
        <w:rPr>
          <w:rFonts w:asciiTheme="majorBidi" w:hAnsiTheme="majorBidi" w:cstheme="majorBidi"/>
          <w:i/>
          <w:iCs/>
        </w:rPr>
        <w:t>ex vivo</w:t>
      </w:r>
      <w:r w:rsidRPr="00FC4465">
        <w:rPr>
          <w:rFonts w:asciiTheme="majorBidi" w:hAnsiTheme="majorBidi" w:cstheme="majorBidi"/>
        </w:rPr>
        <w:t>, propiedades fisicoquímicas, métodos distintos de los ensayos) que, combinadas entre sí mediante un procedimiento establecido de interpretación de datos con el fin de convertir los datos de entrada en una predicción (o</w:t>
      </w:r>
      <w:r w:rsidR="008A7CA3">
        <w:rPr>
          <w:rFonts w:asciiTheme="majorBidi" w:hAnsiTheme="majorBidi" w:cstheme="majorBidi"/>
        </w:rPr>
        <w:t> </w:t>
      </w:r>
      <w:r w:rsidRPr="00FC4465">
        <w:rPr>
          <w:rFonts w:asciiTheme="majorBidi" w:hAnsiTheme="majorBidi" w:cstheme="majorBidi"/>
        </w:rPr>
        <w:t>resultado), pueden proporcionar una conclusión sobre la clasificación de una sustancia o mezcla. Un procedimiento establecido de interpretación de datos es un algoritmo establecido para interpretar datos procedentes de una o generalmente varias fuentes de información, y está basado en reglas, en el sentido de que se basa, por ejemplo, en una fórmula o un algoritmo (por</w:t>
      </w:r>
      <w:r w:rsidR="008A7CA3">
        <w:rPr>
          <w:rFonts w:asciiTheme="majorBidi" w:hAnsiTheme="majorBidi" w:cstheme="majorBidi"/>
        </w:rPr>
        <w:t> </w:t>
      </w:r>
      <w:r w:rsidRPr="00FC4465">
        <w:rPr>
          <w:rFonts w:asciiTheme="majorBidi" w:hAnsiTheme="majorBidi" w:cstheme="majorBidi"/>
        </w:rPr>
        <w:t xml:space="preserve">ejemplo, criterios de decisión, una regla o un conjunto de reglas) que no dependen del juicio de un experto. Por regla general, el resultado de un procedimiento de interpretación de datos es una predicción sobre un efecto biológico de interés o un criterio terminal de valoración. En un enfoque definido, las fuentes de información están prescritas y el conjunto de reglas que rigen la manera de integrarlas e interpretarlas está predeterminado, por lo que, al no existir margen para la interpretación subjetiva, distintos evaluadores llegarán a la misma conclusión sobre el mismo conjunto de datos. En cambio, en una evaluación del peso de las pruebas se recurre, según sea necesario, al juicio de los expertos para valorar la información disponible, por lo que la interpretación de los datos, al no estar sometida a reglas fijas, puede dar lugar a conclusiones diferentes. </w:t>
      </w:r>
    </w:p>
    <w:p w14:paraId="4FFB140B" w14:textId="369E3040" w:rsidR="00A72D17" w:rsidRPr="00FC4465" w:rsidRDefault="00A72D17" w:rsidP="00A72D17">
      <w:pPr>
        <w:pStyle w:val="SingleTxtG"/>
        <w:ind w:left="2268"/>
        <w:rPr>
          <w:rFonts w:asciiTheme="majorBidi" w:hAnsiTheme="majorBidi" w:cstheme="majorBidi"/>
        </w:rPr>
      </w:pPr>
      <w:bookmarkStart w:id="9" w:name="_Hlk69886088"/>
      <w:r w:rsidRPr="00FC4465">
        <w:rPr>
          <w:rFonts w:asciiTheme="majorBidi" w:hAnsiTheme="majorBidi" w:cstheme="majorBidi"/>
        </w:rPr>
        <w:t>3.3.5.3.4.2</w:t>
      </w:r>
      <w:r w:rsidRPr="00FC4465">
        <w:rPr>
          <w:rFonts w:asciiTheme="majorBidi" w:hAnsiTheme="majorBidi" w:cstheme="majorBidi"/>
        </w:rPr>
        <w:tab/>
        <w:t xml:space="preserve">Cuando sea pertinente, debería tomarse en consideración la aplicación de un enfoque por etapas (figura 3.3.3) para la evaluación de la información derivada de la etapa 2 de la figura 3.3.1, es decir, de enfoques definidos y/o métodos de ensayo </w:t>
      </w:r>
      <w:r w:rsidR="00762E66">
        <w:rPr>
          <w:rFonts w:asciiTheme="majorBidi" w:hAnsiTheme="majorBidi" w:cstheme="majorBidi"/>
          <w:i/>
          <w:iCs/>
        </w:rPr>
        <w:t>in vitro</w:t>
      </w:r>
      <w:r w:rsidRPr="00FC4465">
        <w:rPr>
          <w:rFonts w:asciiTheme="majorBidi" w:hAnsiTheme="majorBidi" w:cstheme="majorBidi"/>
        </w:rPr>
        <w:t>/</w:t>
      </w:r>
      <w:r w:rsidR="00762E66">
        <w:rPr>
          <w:rFonts w:asciiTheme="majorBidi" w:hAnsiTheme="majorBidi" w:cstheme="majorBidi"/>
          <w:i/>
          <w:iCs/>
        </w:rPr>
        <w:t>ex vivo</w:t>
      </w:r>
      <w:r w:rsidRPr="00FC4465">
        <w:rPr>
          <w:rFonts w:asciiTheme="majorBidi" w:hAnsiTheme="majorBidi" w:cstheme="majorBidi"/>
        </w:rPr>
        <w:t xml:space="preserve">, teniendo en cuenta que no todas las etapas ni toda la información relativa a cada una de las etapas serán necesariamente pertinentes. Sin embargo, deberá examinarse toda la información pertinente y de suficiente calidad que esté disponible para verificar que sea coherente con la clasificación resultante. El resultado de un </w:t>
      </w:r>
      <w:r w:rsidRPr="00FC4465">
        <w:rPr>
          <w:rFonts w:asciiTheme="majorBidi" w:hAnsiTheme="majorBidi" w:cstheme="majorBidi"/>
        </w:rPr>
        <w:lastRenderedPageBreak/>
        <w:t xml:space="preserve">enfoque definido que cuente con datos concluyentes obtenidos en animales o seres humanos también puede tenerse en cuenta durante la evaluación del peso total de las pruebas en la etapa 7 (véase la figura 3.3.1). Cuando la información de diferentes etapas es incoherente o contradictoria con la clasificación resultante, se da generalmente más peso a la información de suficiente calidad de una etapa superior que a la de una etapa inferior. Sin embargo, si la información de una etapa inferior da lugar a una clasificación más estricta que la información de la etapa superior y preocupa la posibilidad de una clasificación incorrecta, la conclusión se adoptará mediante una evaluación del peso de las pruebas dentro de una etapa. Por ejemplo, si los encargados de la clasificación ven con preocupación un resultado negativo de lesiones oculares graves obtenido en un enfoque definido cuando hay un resultado positivo para esas lesiones en un método </w:t>
      </w:r>
      <w:r w:rsidR="00762E66">
        <w:rPr>
          <w:rFonts w:asciiTheme="majorBidi" w:hAnsiTheme="majorBidi" w:cstheme="majorBidi"/>
          <w:i/>
          <w:iCs/>
        </w:rPr>
        <w:t>in vitro</w:t>
      </w:r>
      <w:r w:rsidRPr="00FC4465">
        <w:rPr>
          <w:rFonts w:asciiTheme="majorBidi" w:hAnsiTheme="majorBidi" w:cstheme="majorBidi"/>
        </w:rPr>
        <w:t>/</w:t>
      </w:r>
      <w:r w:rsidR="00762E66">
        <w:rPr>
          <w:rFonts w:asciiTheme="majorBidi" w:hAnsiTheme="majorBidi" w:cstheme="majorBidi"/>
          <w:i/>
          <w:iCs/>
        </w:rPr>
        <w:t>ex vivo</w:t>
      </w:r>
      <w:r w:rsidRPr="00FC4465">
        <w:rPr>
          <w:rFonts w:asciiTheme="majorBidi" w:hAnsiTheme="majorBidi" w:cstheme="majorBidi"/>
        </w:rPr>
        <w:t>, deberían llevar a cabo una evaluación del peso de las pruebas dentro de una etapa.</w:t>
      </w:r>
      <w:bookmarkEnd w:id="9"/>
    </w:p>
    <w:p w14:paraId="6E3CDB83" w14:textId="049BC36C" w:rsidR="00A72D17" w:rsidRPr="00FC4465" w:rsidRDefault="00A72D17" w:rsidP="00A72D17">
      <w:pPr>
        <w:pStyle w:val="SingleTxtG"/>
        <w:keepNext/>
        <w:keepLines/>
        <w:tabs>
          <w:tab w:val="left" w:pos="3402"/>
        </w:tabs>
        <w:ind w:left="2268"/>
        <w:rPr>
          <w:rFonts w:asciiTheme="majorBidi" w:hAnsiTheme="majorBidi" w:cstheme="majorBidi"/>
        </w:rPr>
      </w:pPr>
      <w:r w:rsidRPr="00FC4465">
        <w:rPr>
          <w:rFonts w:asciiTheme="majorBidi" w:hAnsiTheme="majorBidi" w:cstheme="majorBidi"/>
        </w:rPr>
        <w:t>3.3.5.3.4.3</w:t>
      </w:r>
      <w:r w:rsidRPr="00FC4465">
        <w:rPr>
          <w:rFonts w:asciiTheme="majorBidi" w:hAnsiTheme="majorBidi" w:cstheme="majorBidi"/>
        </w:rPr>
        <w:tab/>
      </w:r>
      <w:r w:rsidRPr="00FC4465">
        <w:rPr>
          <w:rFonts w:asciiTheme="majorBidi" w:hAnsiTheme="majorBidi" w:cstheme="majorBidi"/>
        </w:rPr>
        <w:tab/>
        <w:t xml:space="preserve">Los métodos actuales de ensayo </w:t>
      </w:r>
      <w:r w:rsidR="00762E66">
        <w:rPr>
          <w:rFonts w:asciiTheme="majorBidi" w:hAnsiTheme="majorBidi" w:cstheme="majorBidi"/>
          <w:i/>
          <w:iCs/>
        </w:rPr>
        <w:t>in vitro</w:t>
      </w:r>
      <w:r w:rsidRPr="00FC4465">
        <w:rPr>
          <w:rFonts w:asciiTheme="majorBidi" w:hAnsiTheme="majorBidi" w:cstheme="majorBidi"/>
        </w:rPr>
        <w:t>/</w:t>
      </w:r>
      <w:r w:rsidR="00762E66">
        <w:rPr>
          <w:rFonts w:asciiTheme="majorBidi" w:hAnsiTheme="majorBidi" w:cstheme="majorBidi"/>
          <w:i/>
          <w:iCs/>
        </w:rPr>
        <w:t>ex vivo</w:t>
      </w:r>
      <w:r w:rsidRPr="00FC4465">
        <w:rPr>
          <w:rFonts w:asciiTheme="majorBidi" w:hAnsiTheme="majorBidi" w:cstheme="majorBidi"/>
        </w:rPr>
        <w:t xml:space="preserve"> no permiten distinguir entre determinados efectos </w:t>
      </w:r>
      <w:r w:rsidRPr="00FC4465">
        <w:rPr>
          <w:rFonts w:asciiTheme="majorBidi" w:hAnsiTheme="majorBidi" w:cstheme="majorBidi"/>
          <w:i/>
          <w:iCs/>
        </w:rPr>
        <w:t>in vivo</w:t>
      </w:r>
      <w:r w:rsidRPr="00FC4465">
        <w:rPr>
          <w:rFonts w:asciiTheme="majorBidi" w:hAnsiTheme="majorBidi" w:cstheme="majorBidi"/>
        </w:rPr>
        <w:t xml:space="preserve">, como la opacidad corneal, la iritis o la hiperemia o la quemosis conjuntivales, pero han demostrado su capacidad para predecir correctamente qué sustancias provocan lesiones oculares graves/irritación ocular con independencia de los tipos de efectos oculares observados </w:t>
      </w:r>
      <w:r w:rsidRPr="00FC4465">
        <w:rPr>
          <w:rFonts w:asciiTheme="majorBidi" w:hAnsiTheme="majorBidi" w:cstheme="majorBidi"/>
          <w:i/>
          <w:iCs/>
        </w:rPr>
        <w:t>in vivo</w:t>
      </w:r>
      <w:r w:rsidRPr="00FC4465">
        <w:rPr>
          <w:rFonts w:asciiTheme="majorBidi" w:hAnsiTheme="majorBidi" w:cstheme="majorBidi"/>
        </w:rPr>
        <w:t xml:space="preserve">. De este modo, muchos de esos métodos pueden identificar sustancias o mezclas que no requieren clasificación con una elevada sensibilidad, si bien con una especificidad limitada cuando se utilizan para distinguir las sustancias o mezclas no clasificadas de las clasificadas. Así pues, existe una seguridad razonable de que una sustancia o mezcla de la que se haya determinado que no requiere clasificación con arreglo a las directrices 437, 438, 491, 492, 494 o 496 de la OCDE (véase la tabla 3.3.6) no inducirá efectos oculares que justifiquen su clasificación, mientras que esos mismos métodos de ensayo </w:t>
      </w:r>
      <w:r w:rsidR="00762E66">
        <w:rPr>
          <w:rFonts w:asciiTheme="majorBidi" w:hAnsiTheme="majorBidi" w:cstheme="majorBidi"/>
          <w:i/>
          <w:iCs/>
        </w:rPr>
        <w:t>in vitro</w:t>
      </w:r>
      <w:r w:rsidRPr="00FC4465">
        <w:rPr>
          <w:rFonts w:asciiTheme="majorBidi" w:hAnsiTheme="majorBidi" w:cstheme="majorBidi"/>
        </w:rPr>
        <w:t>/</w:t>
      </w:r>
      <w:r w:rsidR="00762E66">
        <w:rPr>
          <w:rFonts w:asciiTheme="majorBidi" w:hAnsiTheme="majorBidi" w:cstheme="majorBidi"/>
          <w:i/>
          <w:iCs/>
        </w:rPr>
        <w:t>ex vivo</w:t>
      </w:r>
      <w:r w:rsidRPr="00FC4465">
        <w:rPr>
          <w:rFonts w:asciiTheme="majorBidi" w:hAnsiTheme="majorBidi" w:cstheme="majorBidi"/>
        </w:rPr>
        <w:t xml:space="preserve">, cuando se apliquen de forma aislada, sobreestimarán algunas sustancias o mezclas que en realidad no requieran clasificación. Además, debe tenerse en cuenta que muchos de esos métodos de ensayo identifican las sustancias que inducen lesiones oculares graves con una especificidad elevada, pero con una sensibilidad limitada cuando se utilizan para distinguir la categoría 1 de la categoría 2 y las sustancias no clasificadas. Por ello, existe una seguridad razonable de que una sustancia o mezcla de la que se haya determinado que corresponde a la categoría 1 con arreglo a las directrices 437, 438, 460, 491 o 496 de la OCDE (véase la tabla 3.3.6) inducirá efectos oculares irreversibles, mientras que esos mismos métodos de ensayo </w:t>
      </w:r>
      <w:r w:rsidR="00762E66">
        <w:rPr>
          <w:rFonts w:asciiTheme="majorBidi" w:hAnsiTheme="majorBidi" w:cstheme="majorBidi"/>
          <w:i/>
          <w:iCs/>
        </w:rPr>
        <w:t>in vitro</w:t>
      </w:r>
      <w:r w:rsidRPr="00FC4465">
        <w:rPr>
          <w:rFonts w:asciiTheme="majorBidi" w:hAnsiTheme="majorBidi" w:cstheme="majorBidi"/>
        </w:rPr>
        <w:t>/</w:t>
      </w:r>
      <w:r w:rsidR="00762E66">
        <w:rPr>
          <w:rFonts w:asciiTheme="majorBidi" w:hAnsiTheme="majorBidi" w:cstheme="majorBidi"/>
          <w:i/>
          <w:iCs/>
        </w:rPr>
        <w:t>ex vivo</w:t>
      </w:r>
      <w:r w:rsidRPr="00FC4465">
        <w:rPr>
          <w:rFonts w:asciiTheme="majorBidi" w:hAnsiTheme="majorBidi" w:cstheme="majorBidi"/>
        </w:rPr>
        <w:t xml:space="preserve">, cuando se apliquen de forma aislada, infraestimarán algunas sustancias o mezclas que en realidad inducen lesiones oculares graves. En consecuencia, un único método de ensayo </w:t>
      </w:r>
      <w:r w:rsidR="00762E66">
        <w:rPr>
          <w:rFonts w:asciiTheme="majorBidi" w:hAnsiTheme="majorBidi" w:cstheme="majorBidi"/>
          <w:i/>
          <w:iCs/>
        </w:rPr>
        <w:t>in vitro</w:t>
      </w:r>
      <w:r w:rsidRPr="00FC4465">
        <w:rPr>
          <w:rFonts w:asciiTheme="majorBidi" w:hAnsiTheme="majorBidi" w:cstheme="majorBidi"/>
        </w:rPr>
        <w:t>/</w:t>
      </w:r>
      <w:r w:rsidR="00762E66">
        <w:rPr>
          <w:rFonts w:asciiTheme="majorBidi" w:hAnsiTheme="majorBidi" w:cstheme="majorBidi"/>
          <w:i/>
          <w:iCs/>
        </w:rPr>
        <w:t>ex vivo</w:t>
      </w:r>
      <w:r w:rsidRPr="00FC4465">
        <w:rPr>
          <w:rFonts w:asciiTheme="majorBidi" w:hAnsiTheme="majorBidi" w:cstheme="majorBidi"/>
        </w:rPr>
        <w:t xml:space="preserve"> que se ajuste a las directrices de la OCDE basta actualmente para concluir la clasificación en la categoría 1 o la no clasificación con arreglo a los criterios indicados en la tabla</w:t>
      </w:r>
      <w:r w:rsidR="008A7CA3">
        <w:rPr>
          <w:rFonts w:asciiTheme="majorBidi" w:hAnsiTheme="majorBidi" w:cstheme="majorBidi"/>
        </w:rPr>
        <w:t> </w:t>
      </w:r>
      <w:r w:rsidRPr="00FC4465">
        <w:rPr>
          <w:rFonts w:asciiTheme="majorBidi" w:hAnsiTheme="majorBidi" w:cstheme="majorBidi"/>
        </w:rPr>
        <w:t xml:space="preserve">3.3.6, pero no para concluir la clasificación en la categoría 2. Cuando el resultado de un método </w:t>
      </w:r>
      <w:r w:rsidR="00762E66">
        <w:rPr>
          <w:rFonts w:asciiTheme="majorBidi" w:hAnsiTheme="majorBidi" w:cstheme="majorBidi"/>
          <w:i/>
          <w:iCs/>
        </w:rPr>
        <w:t>in vitro</w:t>
      </w:r>
      <w:r w:rsidRPr="00FC4465">
        <w:rPr>
          <w:rFonts w:asciiTheme="majorBidi" w:hAnsiTheme="majorBidi" w:cstheme="majorBidi"/>
        </w:rPr>
        <w:t>/</w:t>
      </w:r>
      <w:r w:rsidR="00762E66">
        <w:rPr>
          <w:rFonts w:asciiTheme="majorBidi" w:hAnsiTheme="majorBidi" w:cstheme="majorBidi"/>
          <w:i/>
          <w:iCs/>
        </w:rPr>
        <w:t>ex vivo</w:t>
      </w:r>
      <w:r w:rsidRPr="00FC4465">
        <w:rPr>
          <w:rFonts w:asciiTheme="majorBidi" w:hAnsiTheme="majorBidi" w:cstheme="majorBidi"/>
        </w:rPr>
        <w:t xml:space="preserve"> es </w:t>
      </w:r>
      <w:r w:rsidR="008C5013" w:rsidRPr="00FC4465">
        <w:rPr>
          <w:rFonts w:asciiTheme="majorBidi" w:hAnsiTheme="majorBidi" w:cstheme="majorBidi"/>
        </w:rPr>
        <w:t>“</w:t>
      </w:r>
      <w:r w:rsidRPr="00FC4465">
        <w:rPr>
          <w:rFonts w:asciiTheme="majorBidi" w:hAnsiTheme="majorBidi" w:cstheme="majorBidi"/>
        </w:rPr>
        <w:t>no puede hacerse ninguna predicción sobre la base de este único ensayo</w:t>
      </w:r>
      <w:r w:rsidR="008C5013" w:rsidRPr="00FC4465">
        <w:rPr>
          <w:rFonts w:asciiTheme="majorBidi" w:hAnsiTheme="majorBidi" w:cstheme="majorBidi"/>
        </w:rPr>
        <w:t>”</w:t>
      </w:r>
      <w:r w:rsidRPr="00FC4465">
        <w:rPr>
          <w:rFonts w:asciiTheme="majorBidi" w:hAnsiTheme="majorBidi" w:cstheme="majorBidi"/>
        </w:rPr>
        <w:t xml:space="preserve"> (por ejemplo, véase la tabla</w:t>
      </w:r>
      <w:r w:rsidR="008A7CA3">
        <w:rPr>
          <w:rFonts w:asciiTheme="majorBidi" w:hAnsiTheme="majorBidi" w:cstheme="majorBidi"/>
        </w:rPr>
        <w:t> </w:t>
      </w:r>
      <w:r w:rsidRPr="00FC4465">
        <w:rPr>
          <w:rFonts w:asciiTheme="majorBidi" w:hAnsiTheme="majorBidi" w:cstheme="majorBidi"/>
        </w:rPr>
        <w:t xml:space="preserve">3.3.6), no puede extraerse una conclusión sobre la base de ese único resultado, por lo que se necesitan más datos para llevar a cabo la clasificación. Algunos métodos de ensayo </w:t>
      </w:r>
      <w:r w:rsidR="00762E66">
        <w:rPr>
          <w:rFonts w:asciiTheme="majorBidi" w:hAnsiTheme="majorBidi" w:cstheme="majorBidi"/>
          <w:i/>
          <w:iCs/>
        </w:rPr>
        <w:t>in vitro</w:t>
      </w:r>
      <w:r w:rsidRPr="00FC4465">
        <w:rPr>
          <w:rFonts w:asciiTheme="majorBidi" w:hAnsiTheme="majorBidi" w:cstheme="majorBidi"/>
        </w:rPr>
        <w:t>/</w:t>
      </w:r>
      <w:r w:rsidR="00762E66">
        <w:rPr>
          <w:rFonts w:asciiTheme="majorBidi" w:hAnsiTheme="majorBidi" w:cstheme="majorBidi"/>
          <w:i/>
          <w:iCs/>
        </w:rPr>
        <w:t>ex vivo</w:t>
      </w:r>
      <w:r w:rsidRPr="00FC4465">
        <w:rPr>
          <w:rFonts w:asciiTheme="majorBidi" w:hAnsiTheme="majorBidi" w:cstheme="majorBidi"/>
        </w:rPr>
        <w:t xml:space="preserve"> validados con arreglo a procedimientos internacionales pero no adoptados por la OCDE como directrices para los ensayos pueden ser aceptados por algunas autoridades competentes para la clasificación en la categoría 2 (véase 3.3.5.3.5.2). Además, las combinaciones de métodos </w:t>
      </w:r>
      <w:r w:rsidR="00762E66">
        <w:rPr>
          <w:rFonts w:asciiTheme="majorBidi" w:hAnsiTheme="majorBidi" w:cstheme="majorBidi"/>
          <w:i/>
          <w:iCs/>
        </w:rPr>
        <w:t>in vitro</w:t>
      </w:r>
      <w:r w:rsidRPr="00FC4465">
        <w:rPr>
          <w:rFonts w:asciiTheme="majorBidi" w:hAnsiTheme="majorBidi" w:cstheme="majorBidi"/>
        </w:rPr>
        <w:t>/</w:t>
      </w:r>
      <w:r w:rsidR="00762E66">
        <w:rPr>
          <w:rFonts w:asciiTheme="majorBidi" w:hAnsiTheme="majorBidi" w:cstheme="majorBidi"/>
          <w:i/>
          <w:iCs/>
        </w:rPr>
        <w:t>ex vivo</w:t>
      </w:r>
      <w:r w:rsidRPr="00FC4465">
        <w:rPr>
          <w:rFonts w:asciiTheme="majorBidi" w:hAnsiTheme="majorBidi" w:cstheme="majorBidi"/>
        </w:rPr>
        <w:t xml:space="preserve"> en los enfoques por etapas o su integración en los enfoques definidos (véase 3.3.2.3) pueden reducir el número de predicciones erróneas y ofrecer resultados adecuados a efectos de la clasificación.</w:t>
      </w:r>
    </w:p>
    <w:p w14:paraId="2FBE118C" w14:textId="5B2CED7E" w:rsidR="00A72D17" w:rsidRPr="00FC4465" w:rsidRDefault="00A72D17" w:rsidP="00A72D17">
      <w:pPr>
        <w:pStyle w:val="SingleTxtG"/>
        <w:ind w:left="2268"/>
        <w:rPr>
          <w:rFonts w:asciiTheme="majorBidi" w:hAnsiTheme="majorBidi" w:cstheme="majorBidi"/>
        </w:rPr>
      </w:pPr>
      <w:r w:rsidRPr="00FC4465">
        <w:rPr>
          <w:rFonts w:asciiTheme="majorBidi" w:hAnsiTheme="majorBidi" w:cstheme="majorBidi"/>
        </w:rPr>
        <w:t>3.3.5.3.4.4</w:t>
      </w:r>
      <w:r w:rsidRPr="00FC4465">
        <w:rPr>
          <w:rFonts w:asciiTheme="majorBidi" w:hAnsiTheme="majorBidi" w:cstheme="majorBidi"/>
        </w:rPr>
        <w:tab/>
        <w:t xml:space="preserve">En ausencia de un enfoque definido adecuado (véase 3.3.2.3) o de datos </w:t>
      </w:r>
      <w:r w:rsidR="00762E66">
        <w:rPr>
          <w:rFonts w:asciiTheme="majorBidi" w:hAnsiTheme="majorBidi" w:cstheme="majorBidi"/>
          <w:i/>
          <w:iCs/>
        </w:rPr>
        <w:t>in vitro</w:t>
      </w:r>
      <w:r w:rsidRPr="00FC4465">
        <w:rPr>
          <w:rFonts w:asciiTheme="majorBidi" w:hAnsiTheme="majorBidi" w:cstheme="majorBidi"/>
        </w:rPr>
        <w:t>/</w:t>
      </w:r>
      <w:r w:rsidR="00762E66">
        <w:rPr>
          <w:rFonts w:asciiTheme="majorBidi" w:hAnsiTheme="majorBidi" w:cstheme="majorBidi"/>
          <w:i/>
          <w:iCs/>
        </w:rPr>
        <w:t>ex vivo</w:t>
      </w:r>
      <w:r w:rsidRPr="00FC4465">
        <w:rPr>
          <w:rFonts w:asciiTheme="majorBidi" w:hAnsiTheme="majorBidi" w:cstheme="majorBidi"/>
        </w:rPr>
        <w:t xml:space="preserve"> concluyentes (véanse 3.3.2.4.1 y 3.3.2.4.2), no es posible realizar una predicción independiente. En tales casos, para la </w:t>
      </w:r>
      <w:r w:rsidRPr="00FC4465">
        <w:rPr>
          <w:rFonts w:asciiTheme="majorBidi" w:hAnsiTheme="majorBidi" w:cstheme="majorBidi"/>
        </w:rPr>
        <w:lastRenderedPageBreak/>
        <w:t>clasificación en la etapa 2 será necesario aplicar una evaluación del peso de las pruebas dentro de una misma etapa a los datos procedentes de más de un método. Si dicha evaluación sigue sin ser concluyente, puede ser necesario recurrir a datos de etapas inferiores para llegar a una conclusión (véase la figura</w:t>
      </w:r>
      <w:r w:rsidR="008A7CA3">
        <w:rPr>
          <w:rFonts w:asciiTheme="majorBidi" w:hAnsiTheme="majorBidi" w:cstheme="majorBidi"/>
        </w:rPr>
        <w:t> </w:t>
      </w:r>
      <w:r w:rsidRPr="00FC4465">
        <w:rPr>
          <w:rFonts w:asciiTheme="majorBidi" w:hAnsiTheme="majorBidi" w:cstheme="majorBidi"/>
        </w:rPr>
        <w:t>3.3.1).</w:t>
      </w:r>
    </w:p>
    <w:p w14:paraId="29B40380" w14:textId="77777777" w:rsidR="00A72D17" w:rsidRPr="00FC4465" w:rsidRDefault="00A72D17" w:rsidP="00A72D17">
      <w:pPr>
        <w:rPr>
          <w:rFonts w:asciiTheme="majorBidi" w:hAnsiTheme="majorBidi" w:cstheme="majorBidi"/>
          <w:b/>
        </w:rPr>
      </w:pPr>
      <w:r w:rsidRPr="00FC4465">
        <w:rPr>
          <w:rFonts w:asciiTheme="majorBidi" w:hAnsiTheme="majorBidi" w:cstheme="majorBidi"/>
          <w:b/>
        </w:rPr>
        <w:br w:type="page"/>
      </w:r>
    </w:p>
    <w:p w14:paraId="79F6FE98" w14:textId="5F214FB3" w:rsidR="00A72D17" w:rsidRPr="00FC4465" w:rsidRDefault="00A72D17" w:rsidP="00D4046C">
      <w:pPr>
        <w:pStyle w:val="H23G"/>
        <w:ind w:left="993" w:right="497" w:firstLine="29"/>
        <w:jc w:val="center"/>
      </w:pPr>
      <w:r w:rsidRPr="00FC4465">
        <w:lastRenderedPageBreak/>
        <w:t xml:space="preserve">Figura 3.3.3: Clasificación basada en enfoques definidos y/o datos </w:t>
      </w:r>
      <w:r w:rsidR="00762E66">
        <w:rPr>
          <w:i/>
          <w:iCs/>
        </w:rPr>
        <w:t>in vitro</w:t>
      </w:r>
      <w:r w:rsidRPr="00FC4465">
        <w:t>/</w:t>
      </w:r>
      <w:r w:rsidR="00762E66">
        <w:rPr>
          <w:i/>
          <w:iCs/>
        </w:rPr>
        <w:t>ex vivo</w:t>
      </w:r>
      <w:r w:rsidRPr="00FC4465">
        <w:t xml:space="preserve"> </w:t>
      </w:r>
      <w:r w:rsidR="000D3106" w:rsidRPr="00FC4465">
        <w:br/>
      </w:r>
      <w:r w:rsidRPr="00FC4465">
        <w:t>en el marco de la etapa 2 de la figura 3.3.1</w:t>
      </w:r>
    </w:p>
    <w:p w14:paraId="61B5A109" w14:textId="6F710A4E" w:rsidR="00A72D17" w:rsidRPr="00FC4465" w:rsidRDefault="00D4046C" w:rsidP="00A72D17">
      <w:pPr>
        <w:ind w:left="567"/>
        <w:jc w:val="center"/>
        <w:rPr>
          <w:rFonts w:asciiTheme="majorBidi" w:eastAsiaTheme="minorHAnsi" w:hAnsiTheme="majorBidi" w:cstheme="majorBidi"/>
        </w:rPr>
      </w:pPr>
      <w:r>
        <w:object w:dxaOrig="8235" w:dyaOrig="12225" w14:anchorId="61074864">
          <v:shape id="_x0000_i1032" type="#_x0000_t75" style="width:411.75pt;height:611.25pt" o:ole="">
            <v:imagedata r:id="rId22" o:title=""/>
          </v:shape>
          <o:OLEObject Type="Embed" ProgID="Visio.Drawing.15" ShapeID="_x0000_i1032" DrawAspect="Content" ObjectID="_1754120339" r:id="rId23"/>
        </w:object>
      </w:r>
    </w:p>
    <w:p w14:paraId="57F4C8CF" w14:textId="77777777" w:rsidR="00A72D17" w:rsidRPr="00FC4465" w:rsidRDefault="00A72D17" w:rsidP="00A72D17">
      <w:pPr>
        <w:tabs>
          <w:tab w:val="left" w:pos="1418"/>
        </w:tabs>
        <w:jc w:val="center"/>
        <w:rPr>
          <w:rFonts w:asciiTheme="majorBidi" w:hAnsiTheme="majorBidi" w:cstheme="majorBidi"/>
        </w:rPr>
      </w:pPr>
    </w:p>
    <w:p w14:paraId="64C89D11" w14:textId="155D3C0A" w:rsidR="00A72D17" w:rsidRPr="00D4046C" w:rsidRDefault="00A72D17" w:rsidP="00A72D17">
      <w:pPr>
        <w:pStyle w:val="SingleTxtG"/>
        <w:rPr>
          <w:rFonts w:asciiTheme="majorBidi" w:eastAsiaTheme="minorHAnsi" w:hAnsiTheme="majorBidi" w:cstheme="majorBidi"/>
          <w:i/>
          <w:sz w:val="18"/>
          <w:szCs w:val="18"/>
        </w:rPr>
      </w:pPr>
      <w:r w:rsidRPr="00D4046C">
        <w:rPr>
          <w:rFonts w:asciiTheme="majorBidi" w:hAnsiTheme="majorBidi" w:cstheme="majorBidi"/>
          <w:sz w:val="18"/>
          <w:szCs w:val="18"/>
          <w:vertAlign w:val="superscript"/>
        </w:rPr>
        <w:t>a</w:t>
      </w:r>
      <w:r w:rsidRPr="00D4046C">
        <w:rPr>
          <w:rFonts w:asciiTheme="majorBidi" w:hAnsiTheme="majorBidi" w:cstheme="majorBidi"/>
          <w:sz w:val="18"/>
          <w:szCs w:val="18"/>
        </w:rPr>
        <w:tab/>
      </w:r>
      <w:r w:rsidRPr="00D4046C">
        <w:rPr>
          <w:rFonts w:asciiTheme="majorBidi" w:hAnsiTheme="majorBidi" w:cstheme="majorBidi"/>
          <w:i/>
          <w:iCs/>
          <w:sz w:val="18"/>
          <w:szCs w:val="18"/>
        </w:rPr>
        <w:t xml:space="preserve">Las pruebas se consideran concluyentes si los datos cumplen los criterios del enfoque definido o del método y no se dispone de información </w:t>
      </w:r>
      <w:r w:rsidR="00762E66" w:rsidRPr="00D4046C">
        <w:rPr>
          <w:rFonts w:asciiTheme="majorBidi" w:hAnsiTheme="majorBidi" w:cstheme="majorBidi"/>
          <w:sz w:val="18"/>
          <w:szCs w:val="18"/>
        </w:rPr>
        <w:t>in vitro</w:t>
      </w:r>
      <w:r w:rsidRPr="00D4046C">
        <w:rPr>
          <w:rFonts w:asciiTheme="majorBidi" w:hAnsiTheme="majorBidi" w:cstheme="majorBidi"/>
          <w:i/>
          <w:iCs/>
          <w:sz w:val="18"/>
          <w:szCs w:val="18"/>
        </w:rPr>
        <w:t>/</w:t>
      </w:r>
      <w:r w:rsidR="00762E66" w:rsidRPr="00D4046C">
        <w:rPr>
          <w:rFonts w:asciiTheme="majorBidi" w:hAnsiTheme="majorBidi" w:cstheme="majorBidi"/>
          <w:sz w:val="18"/>
          <w:szCs w:val="18"/>
        </w:rPr>
        <w:t>ex vivo</w:t>
      </w:r>
      <w:r w:rsidRPr="00D4046C">
        <w:rPr>
          <w:rFonts w:asciiTheme="majorBidi" w:hAnsiTheme="majorBidi" w:cstheme="majorBidi"/>
          <w:sz w:val="18"/>
          <w:szCs w:val="18"/>
        </w:rPr>
        <w:t xml:space="preserve"> </w:t>
      </w:r>
      <w:r w:rsidRPr="00D4046C">
        <w:rPr>
          <w:rFonts w:asciiTheme="majorBidi" w:hAnsiTheme="majorBidi" w:cstheme="majorBidi"/>
          <w:i/>
          <w:iCs/>
          <w:sz w:val="18"/>
          <w:szCs w:val="18"/>
        </w:rPr>
        <w:t>que las contradiga.</w:t>
      </w:r>
      <w:r w:rsidRPr="00D4046C">
        <w:rPr>
          <w:rFonts w:asciiTheme="majorBidi" w:hAnsiTheme="majorBidi" w:cstheme="majorBidi"/>
          <w:sz w:val="18"/>
          <w:szCs w:val="18"/>
        </w:rPr>
        <w:t xml:space="preserve"> </w:t>
      </w:r>
      <w:r w:rsidRPr="00D4046C">
        <w:rPr>
          <w:rFonts w:asciiTheme="majorBidi" w:hAnsiTheme="majorBidi" w:cstheme="majorBidi"/>
          <w:i/>
          <w:iCs/>
          <w:sz w:val="18"/>
          <w:szCs w:val="18"/>
        </w:rPr>
        <w:t>Si la información de una etapa inferior da lugar a una clasificación más estricta que la información de la etapa superior y preocupa la posibilidad de una clasificación incorrecta, la conclusión se adoptará mediante una evaluación del peso de las pruebas dentro de una etapa.</w:t>
      </w:r>
    </w:p>
    <w:p w14:paraId="7F3E7648" w14:textId="6BB2F6AD" w:rsidR="00A72D17" w:rsidRPr="00FC4465" w:rsidRDefault="00A72D17" w:rsidP="00A72D17">
      <w:pPr>
        <w:pStyle w:val="SingleTxtG"/>
        <w:keepNext/>
        <w:keepLines/>
        <w:ind w:left="2268"/>
        <w:rPr>
          <w:rFonts w:asciiTheme="majorBidi" w:eastAsiaTheme="minorHAnsi" w:hAnsiTheme="majorBidi" w:cstheme="majorBidi"/>
        </w:rPr>
      </w:pPr>
      <w:r w:rsidRPr="00FC4465">
        <w:rPr>
          <w:rFonts w:asciiTheme="majorBidi" w:hAnsiTheme="majorBidi" w:cstheme="majorBidi"/>
        </w:rPr>
        <w:lastRenderedPageBreak/>
        <w:t>3.3.5.3.5</w:t>
      </w:r>
      <w:r w:rsidRPr="00FC4465">
        <w:rPr>
          <w:rFonts w:asciiTheme="majorBidi" w:hAnsiTheme="majorBidi" w:cstheme="majorBidi"/>
        </w:rPr>
        <w:tab/>
      </w:r>
      <w:r w:rsidRPr="00FC4465">
        <w:rPr>
          <w:rFonts w:asciiTheme="majorBidi" w:hAnsiTheme="majorBidi" w:cstheme="majorBidi"/>
          <w:i/>
          <w:iCs/>
        </w:rPr>
        <w:t xml:space="preserve">Criterios de clasificación basados en datos </w:t>
      </w:r>
      <w:r w:rsidR="00762E66">
        <w:rPr>
          <w:rFonts w:asciiTheme="majorBidi" w:hAnsiTheme="majorBidi" w:cstheme="majorBidi"/>
        </w:rPr>
        <w:t>in vitro</w:t>
      </w:r>
      <w:r w:rsidRPr="00FC4465">
        <w:rPr>
          <w:rFonts w:asciiTheme="majorBidi" w:hAnsiTheme="majorBidi" w:cstheme="majorBidi"/>
          <w:i/>
          <w:iCs/>
        </w:rPr>
        <w:t>/</w:t>
      </w:r>
      <w:r w:rsidR="00762E66">
        <w:rPr>
          <w:rFonts w:asciiTheme="majorBidi" w:hAnsiTheme="majorBidi" w:cstheme="majorBidi"/>
        </w:rPr>
        <w:t>ex vivo</w:t>
      </w:r>
      <w:r w:rsidRPr="00FC4465">
        <w:rPr>
          <w:rFonts w:asciiTheme="majorBidi" w:hAnsiTheme="majorBidi" w:cstheme="majorBidi"/>
        </w:rPr>
        <w:t xml:space="preserve"> </w:t>
      </w:r>
    </w:p>
    <w:p w14:paraId="1A4C9195" w14:textId="75FB40A4" w:rsidR="00A72D17" w:rsidRPr="00FC4465" w:rsidRDefault="00A72D17" w:rsidP="00A72D17">
      <w:pPr>
        <w:pStyle w:val="SingleTxtG"/>
        <w:tabs>
          <w:tab w:val="left" w:pos="3402"/>
        </w:tabs>
        <w:ind w:left="2268"/>
        <w:rPr>
          <w:rFonts w:asciiTheme="majorBidi" w:eastAsiaTheme="minorHAnsi" w:hAnsiTheme="majorBidi" w:cstheme="majorBidi"/>
        </w:rPr>
      </w:pPr>
      <w:r w:rsidRPr="00FC4465">
        <w:rPr>
          <w:rFonts w:asciiTheme="majorBidi" w:hAnsiTheme="majorBidi" w:cstheme="majorBidi"/>
        </w:rPr>
        <w:t>3.3.5.3.5.1</w:t>
      </w:r>
      <w:r w:rsidRPr="00FC4465">
        <w:rPr>
          <w:rFonts w:asciiTheme="majorBidi" w:hAnsiTheme="majorBidi" w:cstheme="majorBidi"/>
        </w:rPr>
        <w:tab/>
      </w:r>
      <w:r w:rsidRPr="00FC4465">
        <w:rPr>
          <w:rFonts w:asciiTheme="majorBidi" w:hAnsiTheme="majorBidi" w:cstheme="majorBidi"/>
        </w:rPr>
        <w:tab/>
        <w:t xml:space="preserve">Cuando se hayan realizado ensayos </w:t>
      </w:r>
      <w:r w:rsidR="00762E66">
        <w:rPr>
          <w:rFonts w:asciiTheme="majorBidi" w:hAnsiTheme="majorBidi" w:cstheme="majorBidi"/>
          <w:i/>
          <w:iCs/>
        </w:rPr>
        <w:t>in vitro</w:t>
      </w:r>
      <w:r w:rsidRPr="00FC4465">
        <w:rPr>
          <w:rFonts w:asciiTheme="majorBidi" w:hAnsiTheme="majorBidi" w:cstheme="majorBidi"/>
        </w:rPr>
        <w:t>/</w:t>
      </w:r>
      <w:r w:rsidR="00762E66">
        <w:rPr>
          <w:rFonts w:asciiTheme="majorBidi" w:hAnsiTheme="majorBidi" w:cstheme="majorBidi"/>
          <w:i/>
          <w:iCs/>
        </w:rPr>
        <w:t>ex vivo</w:t>
      </w:r>
      <w:r w:rsidRPr="00FC4465">
        <w:rPr>
          <w:rFonts w:asciiTheme="majorBidi" w:hAnsiTheme="majorBidi" w:cstheme="majorBidi"/>
        </w:rPr>
        <w:t xml:space="preserve"> de conformidad con las directrices 437, 438, 460, 491, 492, 494 y/o 496 de la OCDE, se aplicarán los criterios para la clasificación en la categoría 1 de lesiones oculares graves/efectos oculares irreversibles y para la no clasificación que figuran en la tabla</w:t>
      </w:r>
      <w:r w:rsidR="008C5013" w:rsidRPr="00FC4465">
        <w:rPr>
          <w:rFonts w:asciiTheme="majorBidi" w:hAnsiTheme="majorBidi" w:cstheme="majorBidi"/>
        </w:rPr>
        <w:t xml:space="preserve"> </w:t>
      </w:r>
      <w:r w:rsidRPr="00FC4465">
        <w:rPr>
          <w:rFonts w:asciiTheme="majorBidi" w:hAnsiTheme="majorBidi" w:cstheme="majorBidi"/>
        </w:rPr>
        <w:t>3.3.6.</w:t>
      </w:r>
    </w:p>
    <w:p w14:paraId="573C4075" w14:textId="77777777" w:rsidR="00A35D48" w:rsidRPr="00FC4465" w:rsidRDefault="00A35D48" w:rsidP="00AE3F83">
      <w:pPr>
        <w:rPr>
          <w:rFonts w:asciiTheme="majorBidi" w:hAnsiTheme="majorBidi" w:cstheme="majorBidi"/>
        </w:rPr>
        <w:sectPr w:rsidR="00A35D48" w:rsidRPr="00FC4465" w:rsidSect="00A72D17">
          <w:headerReference w:type="even" r:id="rId24"/>
          <w:headerReference w:type="default" r:id="rId25"/>
          <w:footerReference w:type="even" r:id="rId26"/>
          <w:footerReference w:type="default" r:id="rId27"/>
          <w:footerReference w:type="first" r:id="rId28"/>
          <w:endnotePr>
            <w:numFmt w:val="decimal"/>
          </w:endnotePr>
          <w:pgSz w:w="11906" w:h="16838" w:code="9"/>
          <w:pgMar w:top="1417" w:right="1134" w:bottom="1134" w:left="1134" w:header="850" w:footer="567" w:gutter="0"/>
          <w:cols w:space="708"/>
          <w:titlePg/>
          <w:docGrid w:linePitch="360"/>
        </w:sectPr>
      </w:pPr>
    </w:p>
    <w:p w14:paraId="75EE6A0F" w14:textId="69683129" w:rsidR="00A35D48" w:rsidRPr="00FC4465" w:rsidRDefault="00A35D48" w:rsidP="00A35D48">
      <w:pPr>
        <w:spacing w:after="120"/>
        <w:jc w:val="center"/>
        <w:rPr>
          <w:rFonts w:asciiTheme="majorBidi" w:eastAsiaTheme="minorHAnsi" w:hAnsiTheme="majorBidi" w:cstheme="majorBidi"/>
        </w:rPr>
      </w:pPr>
      <w:r w:rsidRPr="00FC4465">
        <w:rPr>
          <w:rFonts w:asciiTheme="majorBidi" w:hAnsiTheme="majorBidi" w:cstheme="majorBidi"/>
          <w:b/>
          <w:bCs/>
        </w:rPr>
        <w:lastRenderedPageBreak/>
        <w:t>Tabla 3.3.6: Criterios que indican lesiones oculares graves/efectos irreversibles en los ojos y criterios de no clasificación</w:t>
      </w:r>
      <w:r w:rsidRPr="00FC4465">
        <w:rPr>
          <w:rFonts w:asciiTheme="majorBidi" w:hAnsiTheme="majorBidi" w:cstheme="majorBidi"/>
          <w:b/>
          <w:bCs/>
          <w:vertAlign w:val="superscript"/>
        </w:rPr>
        <w:t>a</w:t>
      </w:r>
      <w:r w:rsidRPr="00FC4465">
        <w:rPr>
          <w:rFonts w:asciiTheme="majorBidi" w:hAnsiTheme="majorBidi" w:cstheme="majorBidi"/>
          <w:b/>
          <w:bCs/>
        </w:rPr>
        <w:t xml:space="preserve"> para los métodos </w:t>
      </w:r>
      <w:r w:rsidR="00762E66">
        <w:rPr>
          <w:rFonts w:asciiTheme="majorBidi" w:hAnsiTheme="majorBidi" w:cstheme="majorBidi"/>
          <w:b/>
          <w:bCs/>
          <w:i/>
          <w:iCs/>
        </w:rPr>
        <w:t>in vitro</w:t>
      </w:r>
      <w:r w:rsidRPr="00FC4465">
        <w:rPr>
          <w:rFonts w:asciiTheme="majorBidi" w:hAnsiTheme="majorBidi" w:cstheme="majorBidi"/>
          <w:b/>
          <w:bCs/>
        </w:rPr>
        <w:t>/</w:t>
      </w:r>
      <w:r w:rsidR="00762E66">
        <w:rPr>
          <w:rFonts w:asciiTheme="majorBidi" w:hAnsiTheme="majorBidi" w:cstheme="majorBidi"/>
          <w:b/>
          <w:bCs/>
          <w:i/>
          <w:iCs/>
        </w:rPr>
        <w:t>ex vivo</w:t>
      </w:r>
    </w:p>
    <w:tbl>
      <w:tblPr>
        <w:tblW w:w="49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705"/>
        <w:gridCol w:w="1985"/>
        <w:gridCol w:w="1982"/>
        <w:gridCol w:w="1642"/>
        <w:gridCol w:w="1761"/>
        <w:gridCol w:w="2693"/>
        <w:gridCol w:w="1430"/>
        <w:gridCol w:w="1959"/>
      </w:tblGrid>
      <w:tr w:rsidR="00A35D48" w:rsidRPr="00FC4465" w14:paraId="3C5F6D56" w14:textId="77777777" w:rsidTr="0097739B">
        <w:trPr>
          <w:tblHeader/>
          <w:jc w:val="center"/>
        </w:trPr>
        <w:tc>
          <w:tcPr>
            <w:tcW w:w="249" w:type="pct"/>
            <w:shd w:val="clear" w:color="auto" w:fill="auto"/>
            <w:tcMar>
              <w:top w:w="57" w:type="dxa"/>
              <w:left w:w="57" w:type="dxa"/>
              <w:bottom w:w="57" w:type="dxa"/>
              <w:right w:w="57" w:type="dxa"/>
            </w:tcMar>
          </w:tcPr>
          <w:p w14:paraId="5667A986" w14:textId="77777777" w:rsidR="00A35D48" w:rsidRPr="00FC4465" w:rsidRDefault="00A35D48" w:rsidP="00C93947">
            <w:pPr>
              <w:spacing w:before="40" w:after="40" w:line="200" w:lineRule="atLeast"/>
              <w:ind w:left="-63" w:right="-58"/>
              <w:contextualSpacing/>
              <w:jc w:val="center"/>
              <w:rPr>
                <w:rFonts w:asciiTheme="majorBidi" w:hAnsiTheme="majorBidi" w:cstheme="majorBidi"/>
                <w:b/>
                <w:bCs/>
                <w:noProof/>
                <w:sz w:val="14"/>
                <w:szCs w:val="14"/>
              </w:rPr>
            </w:pPr>
            <w:r w:rsidRPr="00FC4465">
              <w:rPr>
                <w:rFonts w:asciiTheme="majorBidi" w:hAnsiTheme="majorBidi" w:cstheme="majorBidi"/>
                <w:b/>
                <w:bCs/>
                <w:sz w:val="14"/>
                <w:szCs w:val="14"/>
              </w:rPr>
              <w:t>Categoría</w:t>
            </w:r>
          </w:p>
        </w:tc>
        <w:tc>
          <w:tcPr>
            <w:tcW w:w="701" w:type="pct"/>
            <w:shd w:val="clear" w:color="auto" w:fill="auto"/>
            <w:tcMar>
              <w:top w:w="57" w:type="dxa"/>
              <w:left w:w="57" w:type="dxa"/>
              <w:bottom w:w="57" w:type="dxa"/>
              <w:right w:w="57" w:type="dxa"/>
            </w:tcMar>
          </w:tcPr>
          <w:p w14:paraId="61DF5F0E" w14:textId="77777777" w:rsidR="00A35D48" w:rsidRPr="00FC4465" w:rsidRDefault="00A35D48" w:rsidP="00C93947">
            <w:pPr>
              <w:spacing w:before="40" w:after="40" w:line="200" w:lineRule="atLeast"/>
              <w:contextualSpacing/>
              <w:jc w:val="center"/>
              <w:rPr>
                <w:rFonts w:asciiTheme="majorBidi" w:hAnsiTheme="majorBidi" w:cstheme="majorBidi"/>
                <w:b/>
                <w:bCs/>
                <w:noProof/>
                <w:sz w:val="14"/>
                <w:szCs w:val="14"/>
              </w:rPr>
            </w:pPr>
            <w:r w:rsidRPr="00FC4465">
              <w:rPr>
                <w:rFonts w:asciiTheme="majorBidi" w:hAnsiTheme="majorBidi" w:cstheme="majorBidi"/>
                <w:b/>
                <w:bCs/>
                <w:sz w:val="14"/>
                <w:szCs w:val="14"/>
              </w:rPr>
              <w:t>Directriz 437 de la OCDE</w:t>
            </w:r>
            <w:r w:rsidRPr="00FC4465">
              <w:rPr>
                <w:rFonts w:asciiTheme="majorBidi" w:hAnsiTheme="majorBidi" w:cstheme="majorBidi"/>
                <w:b/>
                <w:bCs/>
                <w:sz w:val="14"/>
                <w:szCs w:val="14"/>
              </w:rPr>
              <w:br/>
              <w:t>Método de ensayo de la opacidad y permeabilidad de la córnea en bovinos</w:t>
            </w:r>
          </w:p>
        </w:tc>
        <w:tc>
          <w:tcPr>
            <w:tcW w:w="700" w:type="pct"/>
            <w:shd w:val="clear" w:color="auto" w:fill="auto"/>
            <w:tcMar>
              <w:top w:w="57" w:type="dxa"/>
              <w:left w:w="57" w:type="dxa"/>
              <w:bottom w:w="57" w:type="dxa"/>
              <w:right w:w="57" w:type="dxa"/>
            </w:tcMar>
          </w:tcPr>
          <w:p w14:paraId="514E9312" w14:textId="77777777" w:rsidR="00A35D48" w:rsidRPr="00FC4465" w:rsidRDefault="00A35D48" w:rsidP="00C93947">
            <w:pPr>
              <w:spacing w:before="40" w:after="40" w:line="200" w:lineRule="atLeast"/>
              <w:contextualSpacing/>
              <w:jc w:val="center"/>
              <w:rPr>
                <w:rFonts w:asciiTheme="majorBidi" w:hAnsiTheme="majorBidi" w:cstheme="majorBidi"/>
                <w:b/>
                <w:bCs/>
                <w:noProof/>
                <w:sz w:val="14"/>
                <w:szCs w:val="14"/>
              </w:rPr>
            </w:pPr>
            <w:r w:rsidRPr="00FC4465">
              <w:rPr>
                <w:rFonts w:asciiTheme="majorBidi" w:hAnsiTheme="majorBidi" w:cstheme="majorBidi"/>
                <w:b/>
                <w:bCs/>
                <w:sz w:val="14"/>
                <w:szCs w:val="14"/>
              </w:rPr>
              <w:t>Directriz 438 de la OCDE</w:t>
            </w:r>
            <w:r w:rsidRPr="00FC4465">
              <w:rPr>
                <w:rFonts w:asciiTheme="majorBidi" w:hAnsiTheme="majorBidi" w:cstheme="majorBidi"/>
                <w:sz w:val="14"/>
                <w:szCs w:val="14"/>
              </w:rPr>
              <w:br/>
            </w:r>
            <w:r w:rsidRPr="00FC4465">
              <w:rPr>
                <w:rFonts w:asciiTheme="majorBidi" w:hAnsiTheme="majorBidi" w:cstheme="majorBidi"/>
                <w:b/>
                <w:bCs/>
                <w:sz w:val="14"/>
                <w:szCs w:val="14"/>
              </w:rPr>
              <w:t>Método de ensayo del ojo de pollo aislado</w:t>
            </w:r>
          </w:p>
        </w:tc>
        <w:tc>
          <w:tcPr>
            <w:tcW w:w="580" w:type="pct"/>
          </w:tcPr>
          <w:p w14:paraId="4E6D0476" w14:textId="77777777" w:rsidR="00A35D48" w:rsidRPr="00FC4465" w:rsidRDefault="00A35D48" w:rsidP="00C93947">
            <w:pPr>
              <w:spacing w:before="40" w:after="40" w:line="200" w:lineRule="atLeast"/>
              <w:contextualSpacing/>
              <w:jc w:val="center"/>
              <w:rPr>
                <w:rFonts w:asciiTheme="majorBidi" w:hAnsiTheme="majorBidi" w:cstheme="majorBidi"/>
                <w:b/>
                <w:bCs/>
                <w:noProof/>
                <w:sz w:val="14"/>
                <w:szCs w:val="14"/>
              </w:rPr>
            </w:pPr>
            <w:r w:rsidRPr="00FC4465">
              <w:rPr>
                <w:rFonts w:asciiTheme="majorBidi" w:hAnsiTheme="majorBidi" w:cstheme="majorBidi"/>
                <w:b/>
                <w:bCs/>
                <w:sz w:val="14"/>
                <w:szCs w:val="14"/>
              </w:rPr>
              <w:t>Directriz 460 de la OCDE</w:t>
            </w:r>
            <w:r w:rsidRPr="00FC4465">
              <w:rPr>
                <w:rFonts w:asciiTheme="majorBidi" w:hAnsiTheme="majorBidi" w:cstheme="majorBidi"/>
                <w:b/>
                <w:bCs/>
                <w:sz w:val="14"/>
                <w:szCs w:val="14"/>
              </w:rPr>
              <w:br/>
              <w:t>Método de ensayo de la difusión de fluoresceína</w:t>
            </w:r>
          </w:p>
        </w:tc>
        <w:tc>
          <w:tcPr>
            <w:tcW w:w="622" w:type="pct"/>
            <w:shd w:val="clear" w:color="auto" w:fill="auto"/>
            <w:tcMar>
              <w:top w:w="57" w:type="dxa"/>
              <w:left w:w="57" w:type="dxa"/>
              <w:bottom w:w="57" w:type="dxa"/>
              <w:right w:w="57" w:type="dxa"/>
            </w:tcMar>
          </w:tcPr>
          <w:p w14:paraId="4751046C" w14:textId="77777777" w:rsidR="00A35D48" w:rsidRPr="00FC4465" w:rsidRDefault="00A35D48" w:rsidP="00C93947">
            <w:pPr>
              <w:spacing w:before="40" w:after="40" w:line="200" w:lineRule="atLeast"/>
              <w:contextualSpacing/>
              <w:jc w:val="center"/>
              <w:rPr>
                <w:rFonts w:asciiTheme="majorBidi" w:hAnsiTheme="majorBidi" w:cstheme="majorBidi"/>
                <w:b/>
                <w:bCs/>
                <w:noProof/>
                <w:sz w:val="14"/>
                <w:szCs w:val="14"/>
              </w:rPr>
            </w:pPr>
            <w:r w:rsidRPr="00FC4465">
              <w:rPr>
                <w:rFonts w:asciiTheme="majorBidi" w:hAnsiTheme="majorBidi" w:cstheme="majorBidi"/>
                <w:b/>
                <w:bCs/>
                <w:sz w:val="14"/>
                <w:szCs w:val="14"/>
              </w:rPr>
              <w:t>Directriz 491 de la OCDE</w:t>
            </w:r>
          </w:p>
          <w:p w14:paraId="0A23901C" w14:textId="77777777" w:rsidR="00A35D48" w:rsidRPr="00FC4465" w:rsidRDefault="00A35D48" w:rsidP="00C93947">
            <w:pPr>
              <w:spacing w:before="40" w:after="40" w:line="200" w:lineRule="atLeast"/>
              <w:contextualSpacing/>
              <w:jc w:val="center"/>
              <w:rPr>
                <w:rFonts w:asciiTheme="majorBidi" w:hAnsiTheme="majorBidi" w:cstheme="majorBidi"/>
                <w:b/>
                <w:bCs/>
                <w:noProof/>
                <w:sz w:val="14"/>
                <w:szCs w:val="14"/>
              </w:rPr>
            </w:pPr>
            <w:r w:rsidRPr="00FC4465">
              <w:rPr>
                <w:rFonts w:asciiTheme="majorBidi" w:hAnsiTheme="majorBidi" w:cstheme="majorBidi"/>
                <w:b/>
                <w:bCs/>
                <w:sz w:val="14"/>
                <w:szCs w:val="14"/>
              </w:rPr>
              <w:t>Método de ensayo de la exposición de corta duración</w:t>
            </w:r>
          </w:p>
        </w:tc>
        <w:tc>
          <w:tcPr>
            <w:tcW w:w="951" w:type="pct"/>
            <w:shd w:val="clear" w:color="auto" w:fill="auto"/>
            <w:tcMar>
              <w:top w:w="57" w:type="dxa"/>
              <w:left w:w="57" w:type="dxa"/>
              <w:bottom w:w="57" w:type="dxa"/>
              <w:right w:w="57" w:type="dxa"/>
            </w:tcMar>
          </w:tcPr>
          <w:p w14:paraId="115C32BB" w14:textId="77777777" w:rsidR="00A35D48" w:rsidRPr="00FC4465" w:rsidRDefault="00A35D48" w:rsidP="00C93947">
            <w:pPr>
              <w:spacing w:before="40" w:after="40" w:line="200" w:lineRule="atLeast"/>
              <w:contextualSpacing/>
              <w:jc w:val="center"/>
              <w:rPr>
                <w:rFonts w:asciiTheme="majorBidi" w:hAnsiTheme="majorBidi" w:cstheme="majorBidi"/>
                <w:b/>
                <w:bCs/>
                <w:noProof/>
                <w:sz w:val="14"/>
                <w:szCs w:val="14"/>
              </w:rPr>
            </w:pPr>
            <w:r w:rsidRPr="00FC4465">
              <w:rPr>
                <w:rFonts w:asciiTheme="majorBidi" w:hAnsiTheme="majorBidi" w:cstheme="majorBidi"/>
                <w:b/>
                <w:bCs/>
                <w:sz w:val="14"/>
                <w:szCs w:val="14"/>
              </w:rPr>
              <w:t>Directriz 492 de la OCDE</w:t>
            </w:r>
            <w:r w:rsidRPr="00FC4465">
              <w:rPr>
                <w:rFonts w:asciiTheme="majorBidi" w:hAnsiTheme="majorBidi" w:cstheme="majorBidi"/>
                <w:b/>
                <w:bCs/>
                <w:sz w:val="14"/>
                <w:szCs w:val="14"/>
              </w:rPr>
              <w:br/>
              <w:t>Métodos de ensayo basados en epitelio corneal humano reconstruido (RhCE): métodos 1, 2, 3 y 4 según la numeración del anexo II de la Directriz 492 de la OCDE</w:t>
            </w:r>
          </w:p>
        </w:tc>
        <w:tc>
          <w:tcPr>
            <w:tcW w:w="505" w:type="pct"/>
          </w:tcPr>
          <w:p w14:paraId="1912D806" w14:textId="77777777" w:rsidR="00A35D48" w:rsidRPr="00FC4465" w:rsidRDefault="00A35D48" w:rsidP="00C93947">
            <w:pPr>
              <w:spacing w:before="40" w:after="40" w:line="200" w:lineRule="atLeast"/>
              <w:contextualSpacing/>
              <w:jc w:val="center"/>
              <w:rPr>
                <w:rFonts w:asciiTheme="majorBidi" w:hAnsiTheme="majorBidi" w:cstheme="majorBidi"/>
                <w:b/>
                <w:bCs/>
                <w:noProof/>
                <w:sz w:val="14"/>
                <w:szCs w:val="14"/>
              </w:rPr>
            </w:pPr>
            <w:r w:rsidRPr="00FC4465">
              <w:rPr>
                <w:rFonts w:asciiTheme="majorBidi" w:hAnsiTheme="majorBidi" w:cstheme="majorBidi"/>
                <w:b/>
                <w:bCs/>
                <w:sz w:val="14"/>
                <w:szCs w:val="14"/>
              </w:rPr>
              <w:t>Directriz 494 de la OCDE</w:t>
            </w:r>
          </w:p>
          <w:p w14:paraId="02F6187A" w14:textId="77777777" w:rsidR="00A35D48" w:rsidRPr="00FC4465" w:rsidRDefault="00A35D48" w:rsidP="00C93947">
            <w:pPr>
              <w:spacing w:before="40" w:after="40" w:line="200" w:lineRule="atLeast"/>
              <w:contextualSpacing/>
              <w:jc w:val="center"/>
              <w:rPr>
                <w:rFonts w:asciiTheme="majorBidi" w:hAnsiTheme="majorBidi" w:cstheme="majorBidi"/>
                <w:b/>
                <w:bCs/>
                <w:noProof/>
                <w:sz w:val="14"/>
                <w:szCs w:val="14"/>
              </w:rPr>
            </w:pPr>
            <w:r w:rsidRPr="00FC4465">
              <w:rPr>
                <w:rFonts w:asciiTheme="majorBidi" w:hAnsiTheme="majorBidi" w:cstheme="majorBidi"/>
                <w:b/>
                <w:bCs/>
                <w:sz w:val="14"/>
                <w:szCs w:val="14"/>
              </w:rPr>
              <w:t>Método de ensayo de irritación ocular Vitrigel</w:t>
            </w:r>
            <w:r w:rsidRPr="00FC4465">
              <w:rPr>
                <w:rFonts w:asciiTheme="majorBidi" w:hAnsiTheme="majorBidi" w:cstheme="majorBidi"/>
                <w:sz w:val="14"/>
                <w:szCs w:val="14"/>
              </w:rPr>
              <w:t xml:space="preserve"> </w:t>
            </w:r>
          </w:p>
        </w:tc>
        <w:tc>
          <w:tcPr>
            <w:tcW w:w="692" w:type="pct"/>
          </w:tcPr>
          <w:p w14:paraId="3615BFEF" w14:textId="77777777" w:rsidR="00A35D48" w:rsidRPr="00FC4465" w:rsidRDefault="00A35D48" w:rsidP="00C93947">
            <w:pPr>
              <w:spacing w:before="40" w:after="40" w:line="200" w:lineRule="atLeast"/>
              <w:contextualSpacing/>
              <w:jc w:val="center"/>
              <w:rPr>
                <w:rFonts w:asciiTheme="majorBidi" w:hAnsiTheme="majorBidi" w:cstheme="majorBidi"/>
                <w:b/>
                <w:bCs/>
                <w:noProof/>
                <w:sz w:val="14"/>
                <w:szCs w:val="14"/>
              </w:rPr>
            </w:pPr>
            <w:bookmarkStart w:id="10" w:name="_Hlk69886218"/>
            <w:r w:rsidRPr="00FC4465">
              <w:rPr>
                <w:rFonts w:asciiTheme="majorBidi" w:hAnsiTheme="majorBidi" w:cstheme="majorBidi"/>
                <w:b/>
                <w:bCs/>
                <w:sz w:val="14"/>
                <w:szCs w:val="14"/>
              </w:rPr>
              <w:t>Directriz 496 de la OCDE</w:t>
            </w:r>
          </w:p>
          <w:p w14:paraId="7B7115D4" w14:textId="4B39B356" w:rsidR="00A35D48" w:rsidRPr="00FC4465" w:rsidRDefault="00A35D48" w:rsidP="00C93947">
            <w:pPr>
              <w:spacing w:before="40" w:after="40" w:line="200" w:lineRule="atLeast"/>
              <w:contextualSpacing/>
              <w:jc w:val="center"/>
              <w:rPr>
                <w:rFonts w:asciiTheme="majorBidi" w:hAnsiTheme="majorBidi" w:cstheme="majorBidi"/>
                <w:b/>
                <w:bCs/>
                <w:noProof/>
                <w:sz w:val="14"/>
                <w:szCs w:val="14"/>
              </w:rPr>
            </w:pPr>
            <w:r w:rsidRPr="00FC4465">
              <w:rPr>
                <w:rFonts w:asciiTheme="majorBidi" w:hAnsiTheme="majorBidi" w:cstheme="majorBidi"/>
                <w:b/>
                <w:bCs/>
                <w:sz w:val="14"/>
                <w:szCs w:val="14"/>
              </w:rPr>
              <w:t xml:space="preserve">Método de ensayo macromolecular </w:t>
            </w:r>
            <w:r w:rsidR="00762E66">
              <w:rPr>
                <w:rFonts w:asciiTheme="majorBidi" w:hAnsiTheme="majorBidi" w:cstheme="majorBidi"/>
                <w:b/>
                <w:bCs/>
                <w:i/>
                <w:iCs/>
                <w:sz w:val="14"/>
                <w:szCs w:val="14"/>
              </w:rPr>
              <w:t>in vitro</w:t>
            </w:r>
            <w:r w:rsidRPr="00FC4465">
              <w:rPr>
                <w:rFonts w:asciiTheme="majorBidi" w:hAnsiTheme="majorBidi" w:cstheme="majorBidi"/>
                <w:b/>
                <w:bCs/>
                <w:sz w:val="14"/>
                <w:szCs w:val="14"/>
              </w:rPr>
              <w:t xml:space="preserve"> (método de ensayo 1)</w:t>
            </w:r>
            <w:bookmarkEnd w:id="10"/>
          </w:p>
        </w:tc>
      </w:tr>
      <w:tr w:rsidR="00A35D48" w:rsidRPr="00FC4465" w14:paraId="654A65AD" w14:textId="77777777" w:rsidTr="0097739B">
        <w:trPr>
          <w:jc w:val="center"/>
        </w:trPr>
        <w:tc>
          <w:tcPr>
            <w:tcW w:w="249" w:type="pct"/>
            <w:shd w:val="clear" w:color="auto" w:fill="auto"/>
            <w:tcMar>
              <w:top w:w="57" w:type="dxa"/>
              <w:left w:w="57" w:type="dxa"/>
              <w:bottom w:w="57" w:type="dxa"/>
              <w:right w:w="57" w:type="dxa"/>
            </w:tcMar>
          </w:tcPr>
          <w:p w14:paraId="33F257E1" w14:textId="77777777" w:rsidR="00A35D48" w:rsidRPr="00FC4465" w:rsidRDefault="00A35D48" w:rsidP="00C93947">
            <w:pPr>
              <w:spacing w:before="40" w:after="40" w:line="200" w:lineRule="atLeast"/>
              <w:ind w:left="-63" w:right="-58"/>
              <w:contextualSpacing/>
              <w:jc w:val="center"/>
              <w:rPr>
                <w:rFonts w:asciiTheme="majorBidi" w:eastAsia="Calibri" w:hAnsiTheme="majorBidi" w:cstheme="majorBidi"/>
                <w:b/>
                <w:bCs/>
                <w:noProof/>
                <w:sz w:val="14"/>
                <w:szCs w:val="14"/>
              </w:rPr>
            </w:pPr>
          </w:p>
        </w:tc>
        <w:tc>
          <w:tcPr>
            <w:tcW w:w="701" w:type="pct"/>
            <w:shd w:val="clear" w:color="auto" w:fill="auto"/>
            <w:tcMar>
              <w:top w:w="57" w:type="dxa"/>
              <w:left w:w="57" w:type="dxa"/>
              <w:bottom w:w="57" w:type="dxa"/>
              <w:right w:w="57" w:type="dxa"/>
            </w:tcMar>
          </w:tcPr>
          <w:p w14:paraId="73223232" w14:textId="0498B09D" w:rsidR="00A35D48" w:rsidRPr="00FC4465" w:rsidRDefault="00A35D48" w:rsidP="00C93947">
            <w:pPr>
              <w:spacing w:before="40" w:after="40" w:line="200" w:lineRule="atLeast"/>
              <w:contextualSpacing/>
              <w:rPr>
                <w:rFonts w:asciiTheme="majorBidi" w:eastAsia="Calibri" w:hAnsiTheme="majorBidi" w:cstheme="majorBidi"/>
                <w:bCs/>
                <w:noProof/>
                <w:sz w:val="14"/>
                <w:szCs w:val="14"/>
              </w:rPr>
            </w:pPr>
            <w:r w:rsidRPr="00FC4465">
              <w:rPr>
                <w:rFonts w:asciiTheme="majorBidi" w:hAnsiTheme="majorBidi" w:cstheme="majorBidi"/>
                <w:sz w:val="14"/>
                <w:szCs w:val="14"/>
              </w:rPr>
              <w:t xml:space="preserve">Ensayo organotípico </w:t>
            </w:r>
            <w:r w:rsidR="00762E66">
              <w:rPr>
                <w:rFonts w:asciiTheme="majorBidi" w:hAnsiTheme="majorBidi" w:cstheme="majorBidi"/>
                <w:i/>
                <w:iCs/>
                <w:sz w:val="14"/>
                <w:szCs w:val="14"/>
              </w:rPr>
              <w:t>ex vivo</w:t>
            </w:r>
            <w:r w:rsidRPr="00FC4465">
              <w:rPr>
                <w:rFonts w:asciiTheme="majorBidi" w:hAnsiTheme="majorBidi" w:cstheme="majorBidi"/>
                <w:sz w:val="14"/>
                <w:szCs w:val="14"/>
              </w:rPr>
              <w:t xml:space="preserve"> en el que se utilizan córneas aisladas de ojos de bovinos recién sacrificados. El producto químico que se somete a ensayo se aplica sobre la superficie epitelial de la córnea. Los daños causados se evalúan mediante la medición cuantitativa de:</w:t>
            </w:r>
          </w:p>
          <w:p w14:paraId="01EC91BE" w14:textId="02806373" w:rsidR="00A35D48" w:rsidRPr="00FC4465" w:rsidRDefault="00A35D48" w:rsidP="00C93947">
            <w:pPr>
              <w:spacing w:before="40" w:after="40" w:line="200" w:lineRule="atLeast"/>
              <w:contextualSpacing/>
              <w:rPr>
                <w:rFonts w:asciiTheme="majorBidi" w:eastAsia="Calibri" w:hAnsiTheme="majorBidi" w:cstheme="majorBidi"/>
                <w:bCs/>
                <w:noProof/>
                <w:sz w:val="14"/>
                <w:szCs w:val="14"/>
              </w:rPr>
            </w:pPr>
            <w:r w:rsidRPr="00FC4465">
              <w:rPr>
                <w:rFonts w:asciiTheme="majorBidi" w:hAnsiTheme="majorBidi" w:cstheme="majorBidi"/>
                <w:sz w:val="14"/>
                <w:szCs w:val="14"/>
              </w:rPr>
              <w:t>- Los cambios en la opacidad de la córnea, medidos con un opacímetro de transmisión de luz (opacímetro 1) o un opacímetro láser (opacímetro 2)</w:t>
            </w:r>
            <w:r w:rsidR="00D4046C">
              <w:rPr>
                <w:rFonts w:asciiTheme="majorBidi" w:hAnsiTheme="majorBidi" w:cstheme="majorBidi"/>
                <w:sz w:val="14"/>
                <w:szCs w:val="14"/>
              </w:rPr>
              <w:t>.</w:t>
            </w:r>
          </w:p>
          <w:p w14:paraId="6B9FD6F3" w14:textId="1273EF66" w:rsidR="00A35D48" w:rsidRPr="00FC4465" w:rsidRDefault="00A35D48" w:rsidP="00C93947">
            <w:pPr>
              <w:spacing w:before="40" w:after="40" w:line="200" w:lineRule="atLeast"/>
              <w:contextualSpacing/>
              <w:rPr>
                <w:rFonts w:asciiTheme="majorBidi" w:eastAsia="Calibri" w:hAnsiTheme="majorBidi" w:cstheme="majorBidi"/>
                <w:bCs/>
                <w:noProof/>
                <w:sz w:val="14"/>
                <w:szCs w:val="14"/>
              </w:rPr>
            </w:pPr>
            <w:r w:rsidRPr="00FC4465">
              <w:rPr>
                <w:rFonts w:asciiTheme="majorBidi" w:hAnsiTheme="majorBidi" w:cstheme="majorBidi"/>
                <w:sz w:val="14"/>
                <w:szCs w:val="14"/>
              </w:rPr>
              <w:t>- La permeabilidad (tinción con fluoresceína sódica)</w:t>
            </w:r>
            <w:r w:rsidR="00D4046C">
              <w:rPr>
                <w:rFonts w:asciiTheme="majorBidi" w:hAnsiTheme="majorBidi" w:cstheme="majorBidi"/>
                <w:sz w:val="14"/>
                <w:szCs w:val="14"/>
              </w:rPr>
              <w:t>.</w:t>
            </w:r>
          </w:p>
          <w:p w14:paraId="6E061992" w14:textId="7CC0E1BA" w:rsidR="00A35D48" w:rsidRPr="00FC4465" w:rsidRDefault="00A35D48" w:rsidP="00C93947">
            <w:pPr>
              <w:spacing w:before="40" w:after="40" w:line="200" w:lineRule="atLeast"/>
              <w:contextualSpacing/>
              <w:rPr>
                <w:rFonts w:asciiTheme="majorBidi" w:eastAsia="Calibri" w:hAnsiTheme="majorBidi" w:cstheme="majorBidi"/>
                <w:b/>
                <w:bCs/>
                <w:noProof/>
                <w:sz w:val="14"/>
                <w:szCs w:val="14"/>
              </w:rPr>
            </w:pPr>
            <w:r w:rsidRPr="00FC4465">
              <w:rPr>
                <w:rFonts w:asciiTheme="majorBidi" w:hAnsiTheme="majorBidi" w:cstheme="majorBidi"/>
                <w:sz w:val="14"/>
                <w:szCs w:val="14"/>
              </w:rPr>
              <w:t xml:space="preserve">Ambas mediciones sirven para calcular la puntuación de irritación </w:t>
            </w:r>
            <w:r w:rsidR="00762E66">
              <w:rPr>
                <w:rFonts w:asciiTheme="majorBidi" w:hAnsiTheme="majorBidi" w:cstheme="majorBidi"/>
                <w:i/>
                <w:iCs/>
                <w:sz w:val="14"/>
                <w:szCs w:val="14"/>
              </w:rPr>
              <w:t>in vitro</w:t>
            </w:r>
            <w:r w:rsidRPr="00FC4465">
              <w:rPr>
                <w:rFonts w:asciiTheme="majorBidi" w:hAnsiTheme="majorBidi" w:cstheme="majorBidi"/>
                <w:sz w:val="14"/>
                <w:szCs w:val="14"/>
              </w:rPr>
              <w:t xml:space="preserve"> (IVIS), en caso de emplearse el opacímetro 1, o la puntuación de irritación por opacímetro láser (LIS), en caso de emplearse el opacímetro 2.</w:t>
            </w:r>
          </w:p>
          <w:p w14:paraId="7B0FD92A" w14:textId="77777777" w:rsidR="00A35D48" w:rsidRPr="00FC4465" w:rsidRDefault="00A35D48" w:rsidP="00C93947">
            <w:pPr>
              <w:spacing w:before="40" w:after="40" w:line="200" w:lineRule="atLeast"/>
              <w:contextualSpacing/>
              <w:rPr>
                <w:rFonts w:asciiTheme="majorBidi" w:eastAsia="Calibri" w:hAnsiTheme="majorBidi" w:cstheme="majorBidi"/>
                <w:bCs/>
                <w:noProof/>
                <w:sz w:val="14"/>
                <w:szCs w:val="14"/>
              </w:rPr>
            </w:pPr>
            <w:r w:rsidRPr="00FC4465">
              <w:rPr>
                <w:rFonts w:asciiTheme="majorBidi" w:hAnsiTheme="majorBidi" w:cstheme="majorBidi"/>
                <w:b/>
                <w:bCs/>
                <w:sz w:val="14"/>
                <w:szCs w:val="14"/>
              </w:rPr>
              <w:t>Criterios basados en las puntuaciones IVIS o LIS.</w:t>
            </w:r>
          </w:p>
        </w:tc>
        <w:tc>
          <w:tcPr>
            <w:tcW w:w="700" w:type="pct"/>
            <w:shd w:val="clear" w:color="auto" w:fill="auto"/>
          </w:tcPr>
          <w:p w14:paraId="2A0B2C73" w14:textId="00DFE094" w:rsidR="00A35D48" w:rsidRPr="00FC4465" w:rsidRDefault="00A35D48" w:rsidP="00C93947">
            <w:pPr>
              <w:spacing w:before="40" w:after="40" w:line="200" w:lineRule="atLeast"/>
              <w:contextualSpacing/>
              <w:rPr>
                <w:rFonts w:asciiTheme="majorBidi" w:eastAsia="Calibri" w:hAnsiTheme="majorBidi" w:cstheme="majorBidi"/>
                <w:bCs/>
                <w:noProof/>
                <w:sz w:val="14"/>
                <w:szCs w:val="14"/>
              </w:rPr>
            </w:pPr>
            <w:r w:rsidRPr="00FC4465">
              <w:rPr>
                <w:rFonts w:asciiTheme="majorBidi" w:hAnsiTheme="majorBidi" w:cstheme="majorBidi"/>
                <w:sz w:val="14"/>
                <w:szCs w:val="14"/>
              </w:rPr>
              <w:t xml:space="preserve">Ensayo organotípico </w:t>
            </w:r>
            <w:r w:rsidR="00762E66">
              <w:rPr>
                <w:rFonts w:asciiTheme="majorBidi" w:hAnsiTheme="majorBidi" w:cstheme="majorBidi"/>
                <w:i/>
                <w:iCs/>
                <w:sz w:val="14"/>
                <w:szCs w:val="14"/>
              </w:rPr>
              <w:t>ex vivo</w:t>
            </w:r>
            <w:r w:rsidRPr="00FC4465">
              <w:rPr>
                <w:rFonts w:asciiTheme="majorBidi" w:hAnsiTheme="majorBidi" w:cstheme="majorBidi"/>
                <w:sz w:val="14"/>
                <w:szCs w:val="14"/>
              </w:rPr>
              <w:t xml:space="preserve"> en el que se conservan ojos de pollo </w:t>
            </w:r>
            <w:r w:rsidR="00762E66">
              <w:rPr>
                <w:rFonts w:asciiTheme="majorBidi" w:hAnsiTheme="majorBidi" w:cstheme="majorBidi"/>
                <w:i/>
                <w:iCs/>
                <w:sz w:val="14"/>
                <w:szCs w:val="14"/>
              </w:rPr>
              <w:t>in vitro</w:t>
            </w:r>
            <w:r w:rsidRPr="00FC4465">
              <w:rPr>
                <w:rFonts w:asciiTheme="majorBidi" w:hAnsiTheme="majorBidi" w:cstheme="majorBidi"/>
                <w:sz w:val="14"/>
                <w:szCs w:val="14"/>
              </w:rPr>
              <w:t xml:space="preserve"> por un breve período. El producto químico que se somete a ensayo se aplica sobre la superficie epitelial de la córnea. Los daños causados se evalúan mediante: i) una medición cuantitativa del aumento del grosor de la córnea (hinchazón); ii) una evaluación cualitativa de la opacidad de la córnea; iii) una evaluación cualitativa de los daños causados al epitelio mediante la aplicación de fluoresceína sobre el ojo; y iv) una evaluación cualitativa de los daños morfológicos macroscópicos causados en la superficie. Puede llevarse a cabo un examen histopatológico para aumentar la sensibilidad del método de identificación de los detergentes y tensioactivos de la categoría 1 a un pH no extremo (2 &lt; pH &lt; 11,5)</w:t>
            </w:r>
            <w:r w:rsidRPr="00FC4465">
              <w:rPr>
                <w:rFonts w:asciiTheme="majorBidi" w:hAnsiTheme="majorBidi" w:cstheme="majorBidi"/>
                <w:sz w:val="14"/>
                <w:szCs w:val="14"/>
                <w:vertAlign w:val="superscript"/>
              </w:rPr>
              <w:t>b</w:t>
            </w:r>
            <w:r w:rsidR="00D4046C" w:rsidRPr="00D4046C">
              <w:rPr>
                <w:rFonts w:asciiTheme="majorBidi" w:hAnsiTheme="majorBidi" w:cstheme="majorBidi"/>
                <w:sz w:val="14"/>
                <w:szCs w:val="14"/>
              </w:rPr>
              <w:t>.</w:t>
            </w:r>
          </w:p>
          <w:p w14:paraId="09B50BED" w14:textId="5258E1E2" w:rsidR="00A35D48" w:rsidRPr="00FC4465" w:rsidRDefault="00A35D48" w:rsidP="00C93947">
            <w:pPr>
              <w:spacing w:before="40" w:after="40" w:line="200" w:lineRule="atLeast"/>
              <w:contextualSpacing/>
              <w:rPr>
                <w:rFonts w:asciiTheme="majorBidi" w:eastAsia="Calibri" w:hAnsiTheme="majorBidi" w:cstheme="majorBidi"/>
                <w:bCs/>
                <w:noProof/>
                <w:sz w:val="14"/>
                <w:szCs w:val="14"/>
              </w:rPr>
            </w:pPr>
            <w:r w:rsidRPr="00FC4465">
              <w:rPr>
                <w:rFonts w:asciiTheme="majorBidi" w:hAnsiTheme="majorBidi" w:cstheme="majorBidi"/>
                <w:b/>
                <w:bCs/>
                <w:sz w:val="14"/>
                <w:szCs w:val="14"/>
              </w:rPr>
              <w:t xml:space="preserve">Criterios basados en las puntuaciones de hinchazón de la córnea, opacidad y retención de fluoresceína, que sirven para asignar las clases </w:t>
            </w:r>
            <w:r w:rsidR="008C5013" w:rsidRPr="00FC4465">
              <w:rPr>
                <w:rFonts w:asciiTheme="majorBidi" w:hAnsiTheme="majorBidi" w:cstheme="majorBidi"/>
                <w:sz w:val="14"/>
                <w:szCs w:val="14"/>
              </w:rPr>
              <w:t>“</w:t>
            </w:r>
            <w:r w:rsidRPr="00FC4465">
              <w:rPr>
                <w:rFonts w:asciiTheme="majorBidi" w:hAnsiTheme="majorBidi" w:cstheme="majorBidi"/>
                <w:b/>
                <w:bCs/>
                <w:sz w:val="14"/>
                <w:szCs w:val="14"/>
              </w:rPr>
              <w:t>isolated chicken eye</w:t>
            </w:r>
            <w:r w:rsidR="008C5013" w:rsidRPr="00FC4465">
              <w:rPr>
                <w:rFonts w:asciiTheme="majorBidi" w:hAnsiTheme="majorBidi" w:cstheme="majorBidi"/>
                <w:sz w:val="14"/>
                <w:szCs w:val="14"/>
              </w:rPr>
              <w:t>”</w:t>
            </w:r>
            <w:r w:rsidRPr="00FC4465">
              <w:rPr>
                <w:rFonts w:asciiTheme="majorBidi" w:hAnsiTheme="majorBidi" w:cstheme="majorBidi"/>
                <w:b/>
                <w:bCs/>
                <w:sz w:val="14"/>
                <w:szCs w:val="14"/>
              </w:rPr>
              <w:t xml:space="preserve"> o ICE</w:t>
            </w:r>
            <w:r w:rsidR="00D4046C">
              <w:rPr>
                <w:rFonts w:asciiTheme="majorBidi" w:hAnsiTheme="majorBidi" w:cstheme="majorBidi"/>
                <w:b/>
                <w:bCs/>
                <w:sz w:val="14"/>
                <w:szCs w:val="14"/>
              </w:rPr>
              <w:br/>
            </w:r>
            <w:r w:rsidRPr="00FC4465">
              <w:rPr>
                <w:rFonts w:asciiTheme="majorBidi" w:hAnsiTheme="majorBidi" w:cstheme="majorBidi"/>
                <w:b/>
                <w:bCs/>
                <w:sz w:val="14"/>
                <w:szCs w:val="14"/>
              </w:rPr>
              <w:t>(I, II, III o IV) a cada criterio terminal, y en la evaluación macroscópica e histopatológica</w:t>
            </w:r>
            <w:r w:rsidRPr="00FC4465">
              <w:rPr>
                <w:rFonts w:asciiTheme="majorBidi" w:hAnsiTheme="majorBidi" w:cstheme="majorBidi"/>
                <w:b/>
                <w:bCs/>
                <w:sz w:val="14"/>
                <w:szCs w:val="14"/>
                <w:vertAlign w:val="superscript"/>
              </w:rPr>
              <w:t>b</w:t>
            </w:r>
            <w:r w:rsidRPr="00FC4465">
              <w:rPr>
                <w:rFonts w:asciiTheme="majorBidi" w:hAnsiTheme="majorBidi" w:cstheme="majorBidi"/>
                <w:b/>
                <w:bCs/>
                <w:sz w:val="14"/>
                <w:szCs w:val="14"/>
              </w:rPr>
              <w:t>.</w:t>
            </w:r>
          </w:p>
        </w:tc>
        <w:tc>
          <w:tcPr>
            <w:tcW w:w="580" w:type="pct"/>
          </w:tcPr>
          <w:p w14:paraId="019735E7" w14:textId="0FE5BE94" w:rsidR="00A35D48" w:rsidRPr="00FC4465" w:rsidRDefault="00A35D48" w:rsidP="00C93947">
            <w:pPr>
              <w:spacing w:before="40" w:after="40" w:line="200" w:lineRule="atLeast"/>
              <w:contextualSpacing/>
              <w:rPr>
                <w:rFonts w:asciiTheme="majorBidi" w:eastAsia="Calibri" w:hAnsiTheme="majorBidi" w:cstheme="majorBidi"/>
                <w:b/>
                <w:bCs/>
                <w:noProof/>
                <w:sz w:val="14"/>
                <w:szCs w:val="14"/>
              </w:rPr>
            </w:pPr>
            <w:r w:rsidRPr="00FC4465">
              <w:rPr>
                <w:rFonts w:asciiTheme="majorBidi" w:hAnsiTheme="majorBidi" w:cstheme="majorBidi"/>
                <w:sz w:val="14"/>
                <w:szCs w:val="14"/>
              </w:rPr>
              <w:t xml:space="preserve">Ensayo </w:t>
            </w:r>
            <w:r w:rsidR="00762E66">
              <w:rPr>
                <w:rFonts w:asciiTheme="majorBidi" w:hAnsiTheme="majorBidi" w:cstheme="majorBidi"/>
                <w:i/>
                <w:iCs/>
                <w:sz w:val="14"/>
                <w:szCs w:val="14"/>
              </w:rPr>
              <w:t>in vitro</w:t>
            </w:r>
            <w:r w:rsidRPr="00FC4465">
              <w:rPr>
                <w:rFonts w:asciiTheme="majorBidi" w:hAnsiTheme="majorBidi" w:cstheme="majorBidi"/>
                <w:i/>
                <w:iCs/>
                <w:sz w:val="14"/>
                <w:szCs w:val="14"/>
              </w:rPr>
              <w:t xml:space="preserve"> </w:t>
            </w:r>
            <w:r w:rsidRPr="00FC4465">
              <w:rPr>
                <w:rFonts w:asciiTheme="majorBidi" w:hAnsiTheme="majorBidi" w:cstheme="majorBidi"/>
                <w:sz w:val="14"/>
                <w:szCs w:val="14"/>
              </w:rPr>
              <w:t>basado en la citotoxicidad y la función celular que se lleva a cabo sobre una monocapa confluente de células epiteliales tubulares MDCK CB997 cultivadas sobre insertos permeables. Los efectos tóxicos del producto químico sometido a ensayo se miden tras un tiempo de exposición breve (1 minuto) determinando el aumento de la permeabilidad de la fluoresceína sódica a través de la monocapa epitelial de células MDCK. La cantidad de fluoresceína que se difunde es proporcional a los daños causados por el producto químico en las uniones estrechas, los desmosomas y las membranas celulares, lo que sirve para estimar la toxicidad potencial del producto químico para el</w:t>
            </w:r>
            <w:r w:rsidR="00D4046C">
              <w:rPr>
                <w:rFonts w:asciiTheme="majorBidi" w:hAnsiTheme="majorBidi" w:cstheme="majorBidi"/>
                <w:sz w:val="14"/>
                <w:szCs w:val="14"/>
              </w:rPr>
              <w:t> </w:t>
            </w:r>
            <w:r w:rsidRPr="00FC4465">
              <w:rPr>
                <w:rFonts w:asciiTheme="majorBidi" w:hAnsiTheme="majorBidi" w:cstheme="majorBidi"/>
                <w:sz w:val="14"/>
                <w:szCs w:val="14"/>
              </w:rPr>
              <w:t xml:space="preserve">ojo. </w:t>
            </w:r>
          </w:p>
          <w:p w14:paraId="20FB983E" w14:textId="77777777" w:rsidR="00A35D48" w:rsidRPr="00FC4465" w:rsidRDefault="00A35D48" w:rsidP="00C93947">
            <w:pPr>
              <w:spacing w:before="40" w:after="40" w:line="200" w:lineRule="atLeast"/>
              <w:contextualSpacing/>
              <w:rPr>
                <w:rFonts w:asciiTheme="majorBidi" w:eastAsia="Calibri" w:hAnsiTheme="majorBidi" w:cstheme="majorBidi"/>
                <w:bCs/>
                <w:noProof/>
                <w:sz w:val="14"/>
                <w:szCs w:val="14"/>
              </w:rPr>
            </w:pPr>
            <w:r w:rsidRPr="00FC4465">
              <w:rPr>
                <w:rFonts w:asciiTheme="majorBidi" w:hAnsiTheme="majorBidi" w:cstheme="majorBidi"/>
                <w:b/>
                <w:bCs/>
                <w:sz w:val="14"/>
                <w:szCs w:val="14"/>
              </w:rPr>
              <w:t>Criterios basados en el porcentaje medio de difusión de la fluoresceína tras un tiempo de exposición definido.</w:t>
            </w:r>
            <w:r w:rsidRPr="00FC4465">
              <w:rPr>
                <w:rFonts w:asciiTheme="majorBidi" w:hAnsiTheme="majorBidi" w:cstheme="majorBidi"/>
                <w:sz w:val="14"/>
                <w:szCs w:val="14"/>
              </w:rPr>
              <w:t xml:space="preserve"> </w:t>
            </w:r>
          </w:p>
        </w:tc>
        <w:tc>
          <w:tcPr>
            <w:tcW w:w="622" w:type="pct"/>
            <w:shd w:val="clear" w:color="auto" w:fill="auto"/>
            <w:tcMar>
              <w:top w:w="57" w:type="dxa"/>
              <w:left w:w="57" w:type="dxa"/>
              <w:bottom w:w="57" w:type="dxa"/>
              <w:right w:w="57" w:type="dxa"/>
            </w:tcMar>
          </w:tcPr>
          <w:p w14:paraId="6F0C3446" w14:textId="5E6091CE" w:rsidR="00A35D48" w:rsidRPr="00FC4465" w:rsidRDefault="00A35D48" w:rsidP="00C93947">
            <w:pPr>
              <w:spacing w:before="40" w:after="40" w:line="200" w:lineRule="atLeast"/>
              <w:contextualSpacing/>
              <w:rPr>
                <w:rFonts w:asciiTheme="majorBidi" w:hAnsiTheme="majorBidi" w:cstheme="majorBidi"/>
                <w:sz w:val="14"/>
                <w:szCs w:val="14"/>
              </w:rPr>
            </w:pPr>
            <w:r w:rsidRPr="00FC4465">
              <w:rPr>
                <w:rFonts w:asciiTheme="majorBidi" w:hAnsiTheme="majorBidi" w:cstheme="majorBidi"/>
                <w:sz w:val="14"/>
                <w:szCs w:val="14"/>
              </w:rPr>
              <w:t xml:space="preserve">Ensayo </w:t>
            </w:r>
            <w:r w:rsidR="00762E66">
              <w:rPr>
                <w:rFonts w:asciiTheme="majorBidi" w:hAnsiTheme="majorBidi" w:cstheme="majorBidi"/>
                <w:i/>
                <w:iCs/>
                <w:sz w:val="14"/>
                <w:szCs w:val="14"/>
              </w:rPr>
              <w:t>in vitro</w:t>
            </w:r>
            <w:r w:rsidRPr="00FC4465">
              <w:rPr>
                <w:rFonts w:asciiTheme="majorBidi" w:hAnsiTheme="majorBidi" w:cstheme="majorBidi"/>
                <w:i/>
                <w:iCs/>
                <w:sz w:val="14"/>
                <w:szCs w:val="14"/>
              </w:rPr>
              <w:t xml:space="preserve"> </w:t>
            </w:r>
            <w:r w:rsidRPr="00FC4465">
              <w:rPr>
                <w:rFonts w:asciiTheme="majorBidi" w:hAnsiTheme="majorBidi" w:cstheme="majorBidi"/>
                <w:sz w:val="14"/>
                <w:szCs w:val="14"/>
              </w:rPr>
              <w:t>de citotoxicidad llevado a cabo en una monocapa confluente de células de córnea de conejo del Statens Serum Institut (SIRC). Cada producto químico se somete al ensayo a una concentración del 5</w:t>
            </w:r>
            <w:r w:rsidR="008C5013" w:rsidRPr="00FC4465">
              <w:rPr>
                <w:rFonts w:asciiTheme="majorBidi" w:hAnsiTheme="majorBidi" w:cstheme="majorBidi"/>
                <w:sz w:val="14"/>
                <w:szCs w:val="14"/>
              </w:rPr>
              <w:t> %</w:t>
            </w:r>
            <w:r w:rsidRPr="00FC4465">
              <w:rPr>
                <w:rFonts w:asciiTheme="majorBidi" w:hAnsiTheme="majorBidi" w:cstheme="majorBidi"/>
                <w:sz w:val="14"/>
                <w:szCs w:val="14"/>
              </w:rPr>
              <w:t xml:space="preserve"> y del 0,05</w:t>
            </w:r>
            <w:r w:rsidR="008C5013" w:rsidRPr="00FC4465">
              <w:rPr>
                <w:rFonts w:asciiTheme="majorBidi" w:hAnsiTheme="majorBidi" w:cstheme="majorBidi"/>
                <w:sz w:val="14"/>
                <w:szCs w:val="14"/>
              </w:rPr>
              <w:t> %</w:t>
            </w:r>
            <w:r w:rsidRPr="00FC4465">
              <w:rPr>
                <w:rFonts w:asciiTheme="majorBidi" w:hAnsiTheme="majorBidi" w:cstheme="majorBidi"/>
                <w:sz w:val="14"/>
                <w:szCs w:val="14"/>
              </w:rPr>
              <w:t>. Tras cinco minutos de exposición, se evalúa la viabilidad celular mediante la extracción y medición cuantitativa de la sal de formazán de color azul formada por las células viables por conversión enzimática del colorante vital MTT.</w:t>
            </w:r>
          </w:p>
          <w:p w14:paraId="423E5E26" w14:textId="77777777" w:rsidR="00A35D48" w:rsidRPr="00FC4465" w:rsidRDefault="00A35D48" w:rsidP="00C93947">
            <w:pPr>
              <w:spacing w:before="40" w:after="40" w:line="200" w:lineRule="atLeast"/>
              <w:contextualSpacing/>
              <w:rPr>
                <w:rFonts w:asciiTheme="majorBidi" w:hAnsiTheme="majorBidi" w:cstheme="majorBidi"/>
                <w:sz w:val="14"/>
                <w:szCs w:val="14"/>
              </w:rPr>
            </w:pPr>
            <w:r w:rsidRPr="00FC4465">
              <w:rPr>
                <w:rFonts w:asciiTheme="majorBidi" w:hAnsiTheme="majorBidi" w:cstheme="majorBidi"/>
                <w:b/>
                <w:bCs/>
                <w:sz w:val="14"/>
                <w:szCs w:val="14"/>
              </w:rPr>
              <w:t>Criterios basados en el porcentaje medio de viabilidad celular tras un tiempo de exposición definido.</w:t>
            </w:r>
          </w:p>
        </w:tc>
        <w:tc>
          <w:tcPr>
            <w:tcW w:w="951" w:type="pct"/>
            <w:shd w:val="clear" w:color="auto" w:fill="auto"/>
          </w:tcPr>
          <w:p w14:paraId="6DAEABA6" w14:textId="111EDD5F" w:rsidR="00A35D48" w:rsidRPr="00FC4465" w:rsidRDefault="00A35D48" w:rsidP="00C93947">
            <w:pPr>
              <w:spacing w:before="40" w:after="40" w:line="200" w:lineRule="atLeast"/>
              <w:contextualSpacing/>
              <w:rPr>
                <w:rFonts w:asciiTheme="majorBidi" w:eastAsia="Calibri" w:hAnsiTheme="majorBidi" w:cstheme="majorBidi"/>
                <w:bCs/>
                <w:noProof/>
                <w:sz w:val="14"/>
                <w:szCs w:val="14"/>
              </w:rPr>
            </w:pPr>
            <w:r w:rsidRPr="00FC4465">
              <w:rPr>
                <w:rFonts w:asciiTheme="majorBidi" w:hAnsiTheme="majorBidi" w:cstheme="majorBidi"/>
                <w:sz w:val="14"/>
                <w:szCs w:val="14"/>
              </w:rPr>
              <w:t>Se reconstruyen modelos tridimensionales de tejidos de RhCE a partir de células humanas primarias o células epiteliales inmortalizadas de córnea humana, cultivadas durante varios días para que se forme un epitelio escamoso estratificado altamente diferenciado, compuesto por al menos 3 capas viables de células y una superficie no queratinizada, que muestra una estructura de tipo corneal morfológicamente parecida a la de la córnea humana. Tras la exposición y un período de incubación posterior al tratamiento, cuando proceda, se evalúa la viabilidad tisular mediante la extracción y medición cuantitativa de la sal de formazán de color azul formada por las células viables por conversión enzimática del colorante vital</w:t>
            </w:r>
            <w:r w:rsidR="00D4046C">
              <w:rPr>
                <w:rFonts w:asciiTheme="majorBidi" w:hAnsiTheme="majorBidi" w:cstheme="majorBidi"/>
                <w:sz w:val="14"/>
                <w:szCs w:val="14"/>
              </w:rPr>
              <w:t> </w:t>
            </w:r>
            <w:r w:rsidRPr="00FC4465">
              <w:rPr>
                <w:rFonts w:asciiTheme="majorBidi" w:hAnsiTheme="majorBidi" w:cstheme="majorBidi"/>
                <w:sz w:val="14"/>
                <w:szCs w:val="14"/>
              </w:rPr>
              <w:t>MTT.</w:t>
            </w:r>
          </w:p>
          <w:p w14:paraId="60FBE2F5" w14:textId="77777777" w:rsidR="00A35D48" w:rsidRPr="00FC4465" w:rsidRDefault="00A35D48" w:rsidP="00C93947">
            <w:pPr>
              <w:spacing w:before="40" w:after="40" w:line="200" w:lineRule="atLeast"/>
              <w:contextualSpacing/>
              <w:rPr>
                <w:rFonts w:asciiTheme="majorBidi" w:eastAsia="Calibri" w:hAnsiTheme="majorBidi" w:cstheme="majorBidi"/>
                <w:b/>
                <w:bCs/>
                <w:noProof/>
                <w:sz w:val="14"/>
                <w:szCs w:val="14"/>
              </w:rPr>
            </w:pPr>
            <w:r w:rsidRPr="00FC4465">
              <w:rPr>
                <w:rFonts w:asciiTheme="majorBidi" w:hAnsiTheme="majorBidi" w:cstheme="majorBidi"/>
                <w:b/>
                <w:bCs/>
                <w:sz w:val="14"/>
                <w:szCs w:val="14"/>
              </w:rPr>
              <w:t>Criterios basados en el porcentaje medio de viabilidad tisular tras un período definido de exposición y un período posterior a esta (cuando proceda).</w:t>
            </w:r>
          </w:p>
        </w:tc>
        <w:tc>
          <w:tcPr>
            <w:tcW w:w="505" w:type="pct"/>
          </w:tcPr>
          <w:p w14:paraId="3A3EC152" w14:textId="0ECC6645" w:rsidR="00A35D48" w:rsidRPr="00FC4465" w:rsidRDefault="00A35D48" w:rsidP="00C93947">
            <w:pPr>
              <w:spacing w:before="40" w:after="40" w:line="200" w:lineRule="atLeast"/>
              <w:contextualSpacing/>
              <w:rPr>
                <w:rFonts w:asciiTheme="majorBidi" w:eastAsia="Calibri" w:hAnsiTheme="majorBidi" w:cstheme="majorBidi"/>
                <w:bCs/>
                <w:noProof/>
                <w:sz w:val="14"/>
                <w:szCs w:val="14"/>
              </w:rPr>
            </w:pPr>
            <w:r w:rsidRPr="00FC4465">
              <w:rPr>
                <w:rFonts w:asciiTheme="majorBidi" w:hAnsiTheme="majorBidi" w:cstheme="majorBidi"/>
                <w:sz w:val="14"/>
                <w:szCs w:val="14"/>
              </w:rPr>
              <w:t xml:space="preserve">Ensayo </w:t>
            </w:r>
            <w:r w:rsidR="00762E66">
              <w:rPr>
                <w:rFonts w:asciiTheme="majorBidi" w:hAnsiTheme="majorBidi" w:cstheme="majorBidi"/>
                <w:i/>
                <w:iCs/>
                <w:sz w:val="14"/>
                <w:szCs w:val="14"/>
              </w:rPr>
              <w:t>in vitro</w:t>
            </w:r>
            <w:r w:rsidRPr="00FC4465">
              <w:rPr>
                <w:rFonts w:asciiTheme="majorBidi" w:hAnsiTheme="majorBidi" w:cstheme="majorBidi"/>
                <w:sz w:val="14"/>
                <w:szCs w:val="14"/>
              </w:rPr>
              <w:t xml:space="preserve"> en el que se emplean modelos de epitelio corneal humano reconstituidos en una cámara que cuenta con una membrana de colágeno vitrigel. El potencial de irritación ocular del producto químico sometido a ensayo se predice analizando los cambios en los valores de resistencia eléctrica transepitelial en función del tiempo utilizando tres índices.</w:t>
            </w:r>
          </w:p>
          <w:p w14:paraId="148B4B59" w14:textId="77777777" w:rsidR="00A35D48" w:rsidRPr="00FC4465" w:rsidRDefault="00A35D48" w:rsidP="00C93947">
            <w:pPr>
              <w:spacing w:before="40" w:after="40" w:line="200" w:lineRule="atLeast"/>
              <w:contextualSpacing/>
              <w:rPr>
                <w:rFonts w:asciiTheme="majorBidi" w:eastAsia="Calibri" w:hAnsiTheme="majorBidi" w:cstheme="majorBidi"/>
                <w:bCs/>
                <w:noProof/>
                <w:sz w:val="14"/>
                <w:szCs w:val="14"/>
              </w:rPr>
            </w:pPr>
            <w:r w:rsidRPr="00FC4465">
              <w:rPr>
                <w:rFonts w:asciiTheme="majorBidi" w:hAnsiTheme="majorBidi" w:cstheme="majorBidi"/>
                <w:sz w:val="14"/>
                <w:szCs w:val="14"/>
              </w:rPr>
              <w:t>Los valores de resistencia se miden a intervalos de 10 segundos durante un período de tres minutos tras la exposición al producto químico.</w:t>
            </w:r>
          </w:p>
          <w:p w14:paraId="3C554EA6" w14:textId="77777777" w:rsidR="00A35D48" w:rsidRPr="00FC4465" w:rsidRDefault="00A35D48" w:rsidP="00C93947">
            <w:pPr>
              <w:spacing w:before="40" w:after="40" w:line="200" w:lineRule="atLeast"/>
              <w:contextualSpacing/>
              <w:rPr>
                <w:rFonts w:asciiTheme="majorBidi" w:eastAsia="Calibri" w:hAnsiTheme="majorBidi" w:cstheme="majorBidi"/>
                <w:bCs/>
                <w:noProof/>
                <w:sz w:val="14"/>
                <w:szCs w:val="14"/>
              </w:rPr>
            </w:pPr>
            <w:r w:rsidRPr="00FC4465">
              <w:rPr>
                <w:rFonts w:asciiTheme="majorBidi" w:hAnsiTheme="majorBidi" w:cstheme="majorBidi"/>
                <w:b/>
                <w:bCs/>
                <w:sz w:val="14"/>
                <w:szCs w:val="14"/>
              </w:rPr>
              <w:t>Criterios basados en los tres índices medidos: tiempo transcurrido, intensidad y nivel de meseta de la resistencia eléctrica.</w:t>
            </w:r>
          </w:p>
        </w:tc>
        <w:tc>
          <w:tcPr>
            <w:tcW w:w="692" w:type="pct"/>
          </w:tcPr>
          <w:p w14:paraId="2FB713BE" w14:textId="7C2B50A8" w:rsidR="00A35D48" w:rsidRPr="00FC4465" w:rsidRDefault="00A35D48" w:rsidP="00C93947">
            <w:pPr>
              <w:spacing w:before="40" w:after="40" w:line="200" w:lineRule="atLeast"/>
              <w:contextualSpacing/>
              <w:rPr>
                <w:rFonts w:asciiTheme="majorBidi" w:eastAsia="Calibri" w:hAnsiTheme="majorBidi" w:cstheme="majorBidi"/>
                <w:bCs/>
                <w:noProof/>
                <w:sz w:val="14"/>
                <w:szCs w:val="14"/>
              </w:rPr>
            </w:pPr>
            <w:r w:rsidRPr="00FC4465">
              <w:rPr>
                <w:rFonts w:asciiTheme="majorBidi" w:hAnsiTheme="majorBidi" w:cstheme="majorBidi"/>
                <w:sz w:val="14"/>
                <w:szCs w:val="14"/>
              </w:rPr>
              <w:t xml:space="preserve">Ensayo </w:t>
            </w:r>
            <w:r w:rsidR="00762E66">
              <w:rPr>
                <w:rFonts w:asciiTheme="majorBidi" w:hAnsiTheme="majorBidi" w:cstheme="majorBidi"/>
                <w:i/>
                <w:iCs/>
                <w:sz w:val="14"/>
                <w:szCs w:val="14"/>
              </w:rPr>
              <w:t>in vitro</w:t>
            </w:r>
            <w:r w:rsidRPr="00FC4465">
              <w:rPr>
                <w:rFonts w:asciiTheme="majorBidi" w:hAnsiTheme="majorBidi" w:cstheme="majorBidi"/>
                <w:sz w:val="14"/>
                <w:szCs w:val="14"/>
              </w:rPr>
              <w:t xml:space="preserve"> en el que se emplea una matriz macromolecular de origen vegetal obtenida a partir del frijol machete o </w:t>
            </w:r>
            <w:r w:rsidRPr="00FC4465">
              <w:rPr>
                <w:rFonts w:asciiTheme="majorBidi" w:hAnsiTheme="majorBidi" w:cstheme="majorBidi"/>
                <w:i/>
                <w:iCs/>
                <w:sz w:val="14"/>
                <w:szCs w:val="14"/>
              </w:rPr>
              <w:t>Canavalis enisformis</w:t>
            </w:r>
            <w:r w:rsidRPr="00FC4465">
              <w:rPr>
                <w:rFonts w:asciiTheme="majorBidi" w:hAnsiTheme="majorBidi" w:cstheme="majorBidi"/>
                <w:sz w:val="14"/>
                <w:szCs w:val="14"/>
              </w:rPr>
              <w:t>. Dicha matriz actúa de diana para el producto químico sometido a ensayo y está compuesta por una mezcla de proteínas, glucoproteínas, hidratos de carbono, lípidos y componentes de bajo peso molecular, que forman una estructura de gel altamente ordenada y transparente tras la rehidratación. Los productos químicos causantes de lesiones oculares provocan que la matriz macromolecular de reactivo, altamente ordenada, se desorganice y se disgregue, lo que confiere turbidez al reactivo macromolecular. Este fenómeno se cuantifica midiendo los cambios en la dispersión de la luz.</w:t>
            </w:r>
            <w:bookmarkStart w:id="11" w:name="_Hlk69886265"/>
            <w:bookmarkEnd w:id="11"/>
          </w:p>
          <w:p w14:paraId="1D7D26E8" w14:textId="77777777" w:rsidR="00A35D48" w:rsidRPr="00FC4465" w:rsidRDefault="00A35D48" w:rsidP="00C93947">
            <w:pPr>
              <w:spacing w:before="40" w:after="40" w:line="200" w:lineRule="atLeast"/>
              <w:contextualSpacing/>
              <w:rPr>
                <w:rFonts w:asciiTheme="majorBidi" w:eastAsia="Calibri" w:hAnsiTheme="majorBidi" w:cstheme="majorBidi"/>
                <w:b/>
                <w:bCs/>
                <w:noProof/>
                <w:sz w:val="14"/>
                <w:szCs w:val="14"/>
              </w:rPr>
            </w:pPr>
            <w:r w:rsidRPr="00FC4465">
              <w:rPr>
                <w:rFonts w:asciiTheme="majorBidi" w:hAnsiTheme="majorBidi" w:cstheme="majorBidi"/>
                <w:b/>
                <w:bCs/>
                <w:sz w:val="14"/>
                <w:szCs w:val="14"/>
              </w:rPr>
              <w:t>Criterios basados en una puntuación máxima cualificada (PMC), calculada mediante un programa informático a partir de las lecturas de densidad óptica a diferentes concentraciones.</w:t>
            </w:r>
          </w:p>
        </w:tc>
      </w:tr>
    </w:tbl>
    <w:p w14:paraId="722B7E0E" w14:textId="77777777" w:rsidR="00A35D48" w:rsidRPr="00FC4465" w:rsidRDefault="00A35D48" w:rsidP="00A35D48">
      <w:pPr>
        <w:rPr>
          <w:rFonts w:asciiTheme="majorBidi" w:hAnsiTheme="majorBidi" w:cstheme="majorBidi"/>
        </w:rPr>
      </w:pPr>
    </w:p>
    <w:p w14:paraId="098FC19F" w14:textId="77777777" w:rsidR="00A35D48" w:rsidRPr="00FC4465" w:rsidRDefault="00A35D48" w:rsidP="00A35D48">
      <w:pPr>
        <w:rPr>
          <w:rFonts w:asciiTheme="majorBidi" w:hAnsiTheme="majorBidi" w:cstheme="majorBidi"/>
        </w:rPr>
      </w:pPr>
      <w:r w:rsidRPr="00FC4465">
        <w:rPr>
          <w:rFonts w:asciiTheme="majorBidi" w:hAnsiTheme="majorBidi" w:cstheme="majorBidi"/>
        </w:rPr>
        <w:br w:type="page"/>
      </w:r>
    </w:p>
    <w:p w14:paraId="6B039ED7" w14:textId="29CF26E8" w:rsidR="00A35D48" w:rsidRPr="00FC4465" w:rsidRDefault="00A35D48" w:rsidP="00A35D48">
      <w:pPr>
        <w:spacing w:after="120"/>
        <w:jc w:val="center"/>
        <w:rPr>
          <w:rFonts w:asciiTheme="majorBidi" w:eastAsiaTheme="minorHAnsi" w:hAnsiTheme="majorBidi" w:cstheme="majorBidi"/>
          <w:b/>
          <w:bCs/>
          <w:i/>
          <w:iCs/>
        </w:rPr>
      </w:pPr>
      <w:r w:rsidRPr="00FC4465">
        <w:rPr>
          <w:rFonts w:asciiTheme="majorBidi" w:hAnsiTheme="majorBidi" w:cstheme="majorBidi"/>
          <w:b/>
          <w:bCs/>
        </w:rPr>
        <w:lastRenderedPageBreak/>
        <w:t>Tabla 3.3.6: Criterios que indican lesiones oculares graves/efectos irreversibles en los ojos y criterios de no clasificación</w:t>
      </w:r>
      <w:r w:rsidRPr="00FC4465">
        <w:rPr>
          <w:rFonts w:asciiTheme="majorBidi" w:hAnsiTheme="majorBidi" w:cstheme="majorBidi"/>
          <w:b/>
          <w:bCs/>
          <w:vertAlign w:val="superscript"/>
        </w:rPr>
        <w:t>a</w:t>
      </w:r>
      <w:r w:rsidRPr="00FC4465">
        <w:rPr>
          <w:rFonts w:asciiTheme="majorBidi" w:hAnsiTheme="majorBidi" w:cstheme="majorBidi"/>
          <w:b/>
          <w:bCs/>
        </w:rPr>
        <w:t xml:space="preserve"> para los métodos </w:t>
      </w:r>
      <w:r w:rsidR="00762E66">
        <w:rPr>
          <w:rFonts w:asciiTheme="majorBidi" w:hAnsiTheme="majorBidi" w:cstheme="majorBidi"/>
          <w:b/>
          <w:bCs/>
          <w:i/>
          <w:iCs/>
        </w:rPr>
        <w:t>in vitro</w:t>
      </w:r>
      <w:r w:rsidRPr="00FC4465">
        <w:rPr>
          <w:rFonts w:asciiTheme="majorBidi" w:hAnsiTheme="majorBidi" w:cstheme="majorBidi"/>
          <w:b/>
          <w:bCs/>
        </w:rPr>
        <w:t>/</w:t>
      </w:r>
      <w:r w:rsidR="00762E66">
        <w:rPr>
          <w:rFonts w:asciiTheme="majorBidi" w:hAnsiTheme="majorBidi" w:cstheme="majorBidi"/>
          <w:b/>
          <w:bCs/>
          <w:i/>
          <w:iCs/>
        </w:rPr>
        <w:t>ex vivo</w:t>
      </w:r>
      <w:r w:rsidRPr="00FC4465">
        <w:rPr>
          <w:rFonts w:asciiTheme="majorBidi" w:hAnsiTheme="majorBidi" w:cstheme="majorBidi"/>
          <w:b/>
          <w:bCs/>
        </w:rPr>
        <w:t xml:space="preserve"> </w:t>
      </w:r>
      <w:r w:rsidRPr="00FC4465">
        <w:rPr>
          <w:rFonts w:asciiTheme="majorBidi" w:hAnsiTheme="majorBidi" w:cstheme="majorBidi"/>
          <w:b/>
          <w:bCs/>
          <w:i/>
          <w:iCs/>
        </w:rPr>
        <w:t>(continuación)</w:t>
      </w:r>
    </w:p>
    <w:tbl>
      <w:tblPr>
        <w:tblW w:w="49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704"/>
        <w:gridCol w:w="991"/>
        <w:gridCol w:w="994"/>
        <w:gridCol w:w="1784"/>
        <w:gridCol w:w="1840"/>
        <w:gridCol w:w="1761"/>
        <w:gridCol w:w="739"/>
        <w:gridCol w:w="714"/>
        <w:gridCol w:w="714"/>
        <w:gridCol w:w="716"/>
        <w:gridCol w:w="1314"/>
        <w:gridCol w:w="1886"/>
      </w:tblGrid>
      <w:tr w:rsidR="00A35D48" w:rsidRPr="00FC4465" w14:paraId="66E26E3E" w14:textId="77777777" w:rsidTr="00D4046C">
        <w:trPr>
          <w:tblHeader/>
          <w:jc w:val="center"/>
        </w:trPr>
        <w:tc>
          <w:tcPr>
            <w:tcW w:w="249" w:type="pct"/>
            <w:shd w:val="clear" w:color="auto" w:fill="auto"/>
            <w:tcMar>
              <w:top w:w="28" w:type="dxa"/>
              <w:left w:w="28" w:type="dxa"/>
              <w:bottom w:w="28" w:type="dxa"/>
              <w:right w:w="28" w:type="dxa"/>
            </w:tcMar>
          </w:tcPr>
          <w:p w14:paraId="04F19326" w14:textId="77777777" w:rsidR="00A35D48" w:rsidRPr="00FC4465" w:rsidRDefault="00A35D48" w:rsidP="00C93947">
            <w:pPr>
              <w:spacing w:before="40" w:after="40" w:line="200" w:lineRule="atLeast"/>
              <w:ind w:left="-63" w:right="-58"/>
              <w:contextualSpacing/>
              <w:jc w:val="center"/>
              <w:rPr>
                <w:rFonts w:asciiTheme="majorBidi" w:hAnsiTheme="majorBidi" w:cstheme="majorBidi"/>
                <w:b/>
                <w:bCs/>
                <w:noProof/>
                <w:sz w:val="16"/>
                <w:szCs w:val="16"/>
              </w:rPr>
            </w:pPr>
            <w:r w:rsidRPr="00FC4465">
              <w:rPr>
                <w:rFonts w:asciiTheme="majorBidi" w:hAnsiTheme="majorBidi" w:cstheme="majorBidi"/>
                <w:b/>
                <w:bCs/>
                <w:sz w:val="16"/>
                <w:szCs w:val="16"/>
              </w:rPr>
              <w:t>Categoría</w:t>
            </w:r>
          </w:p>
        </w:tc>
        <w:tc>
          <w:tcPr>
            <w:tcW w:w="701" w:type="pct"/>
            <w:gridSpan w:val="2"/>
            <w:shd w:val="clear" w:color="auto" w:fill="auto"/>
            <w:tcMar>
              <w:top w:w="28" w:type="dxa"/>
              <w:left w:w="28" w:type="dxa"/>
              <w:bottom w:w="28" w:type="dxa"/>
              <w:right w:w="28" w:type="dxa"/>
            </w:tcMar>
          </w:tcPr>
          <w:p w14:paraId="42A6C1CA" w14:textId="77777777" w:rsidR="00A35D48" w:rsidRPr="00FC4465" w:rsidRDefault="00A35D48" w:rsidP="00C93947">
            <w:pPr>
              <w:spacing w:before="40" w:after="40" w:line="200" w:lineRule="atLeast"/>
              <w:contextualSpacing/>
              <w:jc w:val="center"/>
              <w:rPr>
                <w:rFonts w:asciiTheme="majorBidi" w:hAnsiTheme="majorBidi" w:cstheme="majorBidi"/>
                <w:b/>
                <w:bCs/>
                <w:noProof/>
                <w:sz w:val="16"/>
                <w:szCs w:val="16"/>
              </w:rPr>
            </w:pPr>
            <w:r w:rsidRPr="00FC4465">
              <w:rPr>
                <w:rFonts w:asciiTheme="majorBidi" w:hAnsiTheme="majorBidi" w:cstheme="majorBidi"/>
                <w:b/>
                <w:bCs/>
                <w:sz w:val="16"/>
                <w:szCs w:val="16"/>
              </w:rPr>
              <w:t>Directriz 437 de la OCDE</w:t>
            </w:r>
            <w:r w:rsidRPr="00FC4465">
              <w:rPr>
                <w:rFonts w:asciiTheme="majorBidi" w:hAnsiTheme="majorBidi" w:cstheme="majorBidi"/>
                <w:b/>
                <w:bCs/>
                <w:sz w:val="16"/>
                <w:szCs w:val="16"/>
              </w:rPr>
              <w:br/>
              <w:t>Método de ensayo de la opacidad y permeabilidad de la córnea en bovinos</w:t>
            </w:r>
          </w:p>
        </w:tc>
        <w:tc>
          <w:tcPr>
            <w:tcW w:w="630" w:type="pct"/>
            <w:shd w:val="clear" w:color="auto" w:fill="auto"/>
            <w:tcMar>
              <w:top w:w="28" w:type="dxa"/>
              <w:left w:w="28" w:type="dxa"/>
              <w:bottom w:w="28" w:type="dxa"/>
              <w:right w:w="28" w:type="dxa"/>
            </w:tcMar>
          </w:tcPr>
          <w:p w14:paraId="126549F0" w14:textId="77777777" w:rsidR="00A35D48" w:rsidRPr="00FC4465" w:rsidRDefault="00A35D48" w:rsidP="00C93947">
            <w:pPr>
              <w:spacing w:before="40" w:after="40" w:line="200" w:lineRule="atLeast"/>
              <w:contextualSpacing/>
              <w:jc w:val="center"/>
              <w:rPr>
                <w:rFonts w:asciiTheme="majorBidi" w:hAnsiTheme="majorBidi" w:cstheme="majorBidi"/>
                <w:b/>
                <w:bCs/>
                <w:noProof/>
                <w:sz w:val="16"/>
                <w:szCs w:val="16"/>
              </w:rPr>
            </w:pPr>
            <w:r w:rsidRPr="00FC4465">
              <w:rPr>
                <w:rFonts w:asciiTheme="majorBidi" w:hAnsiTheme="majorBidi" w:cstheme="majorBidi"/>
                <w:b/>
                <w:bCs/>
                <w:sz w:val="16"/>
                <w:szCs w:val="16"/>
              </w:rPr>
              <w:t>Directriz 438 de la OCDE</w:t>
            </w:r>
            <w:r w:rsidRPr="00FC4465">
              <w:rPr>
                <w:rFonts w:asciiTheme="majorBidi" w:hAnsiTheme="majorBidi" w:cstheme="majorBidi"/>
                <w:b/>
                <w:bCs/>
                <w:sz w:val="16"/>
                <w:szCs w:val="16"/>
              </w:rPr>
              <w:br/>
              <w:t>Método de ensayo del ojo de pollo aislado</w:t>
            </w:r>
          </w:p>
        </w:tc>
        <w:tc>
          <w:tcPr>
            <w:tcW w:w="650" w:type="pct"/>
            <w:tcMar>
              <w:top w:w="28" w:type="dxa"/>
              <w:left w:w="28" w:type="dxa"/>
              <w:bottom w:w="28" w:type="dxa"/>
              <w:right w:w="28" w:type="dxa"/>
            </w:tcMar>
          </w:tcPr>
          <w:p w14:paraId="52D230B6" w14:textId="77777777" w:rsidR="00A35D48" w:rsidRPr="00FC4465" w:rsidRDefault="00A35D48" w:rsidP="00C93947">
            <w:pPr>
              <w:spacing w:before="40" w:after="40" w:line="200" w:lineRule="atLeast"/>
              <w:contextualSpacing/>
              <w:jc w:val="center"/>
              <w:rPr>
                <w:rFonts w:asciiTheme="majorBidi" w:hAnsiTheme="majorBidi" w:cstheme="majorBidi"/>
                <w:b/>
                <w:bCs/>
                <w:noProof/>
                <w:sz w:val="16"/>
                <w:szCs w:val="16"/>
              </w:rPr>
            </w:pPr>
            <w:r w:rsidRPr="00FC4465">
              <w:rPr>
                <w:rFonts w:asciiTheme="majorBidi" w:hAnsiTheme="majorBidi" w:cstheme="majorBidi"/>
                <w:b/>
                <w:bCs/>
                <w:sz w:val="16"/>
                <w:szCs w:val="16"/>
              </w:rPr>
              <w:t>Directriz 460 de la OCDE</w:t>
            </w:r>
            <w:r w:rsidRPr="00FC4465">
              <w:rPr>
                <w:rFonts w:asciiTheme="majorBidi" w:hAnsiTheme="majorBidi" w:cstheme="majorBidi"/>
                <w:b/>
                <w:bCs/>
                <w:sz w:val="16"/>
                <w:szCs w:val="16"/>
              </w:rPr>
              <w:br/>
              <w:t>Método de ensayo de la difusión de fluoresceína</w:t>
            </w:r>
          </w:p>
        </w:tc>
        <w:tc>
          <w:tcPr>
            <w:tcW w:w="622" w:type="pct"/>
            <w:shd w:val="clear" w:color="auto" w:fill="auto"/>
            <w:tcMar>
              <w:top w:w="28" w:type="dxa"/>
              <w:left w:w="28" w:type="dxa"/>
              <w:bottom w:w="28" w:type="dxa"/>
              <w:right w:w="28" w:type="dxa"/>
            </w:tcMar>
          </w:tcPr>
          <w:p w14:paraId="64A39C9E" w14:textId="77777777" w:rsidR="00A35D48" w:rsidRPr="00FC4465" w:rsidRDefault="00A35D48" w:rsidP="00C93947">
            <w:pPr>
              <w:spacing w:before="40" w:after="40" w:line="200" w:lineRule="atLeast"/>
              <w:contextualSpacing/>
              <w:jc w:val="center"/>
              <w:rPr>
                <w:rFonts w:asciiTheme="majorBidi" w:hAnsiTheme="majorBidi" w:cstheme="majorBidi"/>
                <w:b/>
                <w:bCs/>
                <w:noProof/>
                <w:sz w:val="16"/>
                <w:szCs w:val="16"/>
              </w:rPr>
            </w:pPr>
            <w:r w:rsidRPr="00FC4465">
              <w:rPr>
                <w:rFonts w:asciiTheme="majorBidi" w:hAnsiTheme="majorBidi" w:cstheme="majorBidi"/>
                <w:b/>
                <w:bCs/>
                <w:sz w:val="16"/>
                <w:szCs w:val="16"/>
              </w:rPr>
              <w:t>Directriz 491 de la OCDE</w:t>
            </w:r>
          </w:p>
          <w:p w14:paraId="73BC45D1" w14:textId="77777777" w:rsidR="00A35D48" w:rsidRPr="00FC4465" w:rsidRDefault="00A35D48" w:rsidP="00C93947">
            <w:pPr>
              <w:spacing w:before="40" w:after="40" w:line="200" w:lineRule="atLeast"/>
              <w:contextualSpacing/>
              <w:jc w:val="center"/>
              <w:rPr>
                <w:rFonts w:asciiTheme="majorBidi" w:hAnsiTheme="majorBidi" w:cstheme="majorBidi"/>
                <w:b/>
                <w:bCs/>
                <w:noProof/>
                <w:sz w:val="16"/>
                <w:szCs w:val="16"/>
              </w:rPr>
            </w:pPr>
            <w:r w:rsidRPr="00FC4465">
              <w:rPr>
                <w:rFonts w:asciiTheme="majorBidi" w:hAnsiTheme="majorBidi" w:cstheme="majorBidi"/>
                <w:b/>
                <w:bCs/>
                <w:sz w:val="16"/>
                <w:szCs w:val="16"/>
              </w:rPr>
              <w:t>Método de ensayo de la exposición de corta duración</w:t>
            </w:r>
          </w:p>
        </w:tc>
        <w:tc>
          <w:tcPr>
            <w:tcW w:w="1018" w:type="pct"/>
            <w:gridSpan w:val="4"/>
            <w:shd w:val="clear" w:color="auto" w:fill="auto"/>
            <w:tcMar>
              <w:top w:w="28" w:type="dxa"/>
              <w:left w:w="28" w:type="dxa"/>
              <w:bottom w:w="28" w:type="dxa"/>
              <w:right w:w="28" w:type="dxa"/>
            </w:tcMar>
          </w:tcPr>
          <w:p w14:paraId="18CF5CC3" w14:textId="77777777" w:rsidR="00A35D48" w:rsidRPr="00FC4465" w:rsidRDefault="00A35D48" w:rsidP="00C93947">
            <w:pPr>
              <w:spacing w:before="40" w:after="40" w:line="200" w:lineRule="atLeast"/>
              <w:contextualSpacing/>
              <w:jc w:val="center"/>
              <w:rPr>
                <w:rFonts w:asciiTheme="majorBidi" w:hAnsiTheme="majorBidi" w:cstheme="majorBidi"/>
                <w:b/>
                <w:bCs/>
                <w:noProof/>
                <w:sz w:val="16"/>
                <w:szCs w:val="16"/>
              </w:rPr>
            </w:pPr>
            <w:r w:rsidRPr="00FC4465">
              <w:rPr>
                <w:rFonts w:asciiTheme="majorBidi" w:hAnsiTheme="majorBidi" w:cstheme="majorBidi"/>
                <w:b/>
                <w:bCs/>
                <w:sz w:val="16"/>
                <w:szCs w:val="16"/>
              </w:rPr>
              <w:t>Directriz 492 de la OCDE</w:t>
            </w:r>
            <w:r w:rsidRPr="00FC4465">
              <w:rPr>
                <w:rFonts w:asciiTheme="majorBidi" w:hAnsiTheme="majorBidi" w:cstheme="majorBidi"/>
                <w:b/>
                <w:bCs/>
                <w:sz w:val="16"/>
                <w:szCs w:val="16"/>
              </w:rPr>
              <w:br/>
              <w:t>Métodos de ensayo basados en epitelio corneal humano reconstruido (RhCE): métodos 1, 2, 3 y 4 según la numeración del anexo II de la Directriz 492 de la OCDE</w:t>
            </w:r>
          </w:p>
        </w:tc>
        <w:tc>
          <w:tcPr>
            <w:tcW w:w="464" w:type="pct"/>
            <w:tcMar>
              <w:top w:w="28" w:type="dxa"/>
              <w:left w:w="28" w:type="dxa"/>
              <w:bottom w:w="28" w:type="dxa"/>
              <w:right w:w="28" w:type="dxa"/>
            </w:tcMar>
          </w:tcPr>
          <w:p w14:paraId="662665CD" w14:textId="76501A8E" w:rsidR="00A35D48" w:rsidRPr="00FC4465" w:rsidRDefault="00A35D48" w:rsidP="00C93947">
            <w:pPr>
              <w:spacing w:before="40" w:after="40" w:line="200" w:lineRule="atLeast"/>
              <w:contextualSpacing/>
              <w:jc w:val="center"/>
              <w:rPr>
                <w:rFonts w:asciiTheme="majorBidi" w:hAnsiTheme="majorBidi" w:cstheme="majorBidi"/>
                <w:b/>
                <w:bCs/>
                <w:noProof/>
                <w:sz w:val="16"/>
                <w:szCs w:val="16"/>
              </w:rPr>
            </w:pPr>
            <w:r w:rsidRPr="00FC4465">
              <w:rPr>
                <w:rFonts w:asciiTheme="majorBidi" w:hAnsiTheme="majorBidi" w:cstheme="majorBidi"/>
                <w:b/>
                <w:bCs/>
                <w:sz w:val="16"/>
                <w:szCs w:val="16"/>
              </w:rPr>
              <w:t xml:space="preserve">Directriz 494 de </w:t>
            </w:r>
            <w:r w:rsidR="00D4046C">
              <w:rPr>
                <w:rFonts w:asciiTheme="majorBidi" w:hAnsiTheme="majorBidi" w:cstheme="majorBidi"/>
                <w:b/>
                <w:bCs/>
                <w:sz w:val="16"/>
                <w:szCs w:val="16"/>
              </w:rPr>
              <w:br/>
            </w:r>
            <w:r w:rsidRPr="00FC4465">
              <w:rPr>
                <w:rFonts w:asciiTheme="majorBidi" w:hAnsiTheme="majorBidi" w:cstheme="majorBidi"/>
                <w:b/>
                <w:bCs/>
                <w:sz w:val="16"/>
                <w:szCs w:val="16"/>
              </w:rPr>
              <w:t>la OCDE</w:t>
            </w:r>
          </w:p>
          <w:p w14:paraId="6A1C55D1" w14:textId="77777777" w:rsidR="00A35D48" w:rsidRPr="00FC4465" w:rsidRDefault="00A35D48" w:rsidP="00C93947">
            <w:pPr>
              <w:spacing w:before="40" w:after="40" w:line="200" w:lineRule="atLeast"/>
              <w:contextualSpacing/>
              <w:jc w:val="center"/>
              <w:rPr>
                <w:rFonts w:asciiTheme="majorBidi" w:hAnsiTheme="majorBidi" w:cstheme="majorBidi"/>
                <w:b/>
                <w:bCs/>
                <w:noProof/>
                <w:sz w:val="16"/>
                <w:szCs w:val="16"/>
              </w:rPr>
            </w:pPr>
            <w:r w:rsidRPr="00FC4465">
              <w:rPr>
                <w:rFonts w:asciiTheme="majorBidi" w:hAnsiTheme="majorBidi" w:cstheme="majorBidi"/>
                <w:b/>
                <w:bCs/>
                <w:sz w:val="16"/>
                <w:szCs w:val="16"/>
              </w:rPr>
              <w:t>Método de ensayo de irritación ocular Vitrigel</w:t>
            </w:r>
            <w:r w:rsidRPr="00FC4465">
              <w:rPr>
                <w:rFonts w:asciiTheme="majorBidi" w:hAnsiTheme="majorBidi" w:cstheme="majorBidi"/>
                <w:sz w:val="16"/>
                <w:szCs w:val="16"/>
              </w:rPr>
              <w:t xml:space="preserve"> </w:t>
            </w:r>
          </w:p>
        </w:tc>
        <w:tc>
          <w:tcPr>
            <w:tcW w:w="666" w:type="pct"/>
            <w:tcMar>
              <w:top w:w="28" w:type="dxa"/>
              <w:left w:w="28" w:type="dxa"/>
              <w:bottom w:w="28" w:type="dxa"/>
              <w:right w:w="28" w:type="dxa"/>
            </w:tcMar>
          </w:tcPr>
          <w:p w14:paraId="5C1525CA" w14:textId="77777777" w:rsidR="00A35D48" w:rsidRPr="00FC4465" w:rsidRDefault="00A35D48" w:rsidP="00C93947">
            <w:pPr>
              <w:spacing w:before="40" w:after="40" w:line="200" w:lineRule="atLeast"/>
              <w:contextualSpacing/>
              <w:jc w:val="center"/>
              <w:rPr>
                <w:rFonts w:asciiTheme="majorBidi" w:hAnsiTheme="majorBidi" w:cstheme="majorBidi"/>
                <w:b/>
                <w:bCs/>
                <w:noProof/>
                <w:sz w:val="16"/>
                <w:szCs w:val="16"/>
              </w:rPr>
            </w:pPr>
            <w:r w:rsidRPr="00FC4465">
              <w:rPr>
                <w:rFonts w:asciiTheme="majorBidi" w:hAnsiTheme="majorBidi" w:cstheme="majorBidi"/>
                <w:b/>
                <w:bCs/>
                <w:sz w:val="16"/>
                <w:szCs w:val="16"/>
              </w:rPr>
              <w:t>Directriz 496 de la OCDE</w:t>
            </w:r>
          </w:p>
          <w:p w14:paraId="3257A1AE" w14:textId="412C35D9" w:rsidR="00A35D48" w:rsidRPr="00FC4465" w:rsidRDefault="00A35D48" w:rsidP="00C93947">
            <w:pPr>
              <w:spacing w:before="40" w:after="40" w:line="200" w:lineRule="atLeast"/>
              <w:contextualSpacing/>
              <w:jc w:val="center"/>
              <w:rPr>
                <w:rFonts w:asciiTheme="majorBidi" w:hAnsiTheme="majorBidi" w:cstheme="majorBidi"/>
                <w:b/>
                <w:bCs/>
                <w:noProof/>
                <w:sz w:val="16"/>
                <w:szCs w:val="16"/>
              </w:rPr>
            </w:pPr>
            <w:r w:rsidRPr="00FC4465">
              <w:rPr>
                <w:rFonts w:asciiTheme="majorBidi" w:hAnsiTheme="majorBidi" w:cstheme="majorBidi"/>
                <w:b/>
                <w:bCs/>
                <w:sz w:val="16"/>
                <w:szCs w:val="16"/>
              </w:rPr>
              <w:t xml:space="preserve">Método de ensayo macromolecular </w:t>
            </w:r>
            <w:r w:rsidR="00762E66">
              <w:rPr>
                <w:rFonts w:asciiTheme="majorBidi" w:hAnsiTheme="majorBidi" w:cstheme="majorBidi"/>
                <w:b/>
                <w:bCs/>
                <w:i/>
                <w:iCs/>
                <w:sz w:val="16"/>
                <w:szCs w:val="16"/>
              </w:rPr>
              <w:t>in vitro</w:t>
            </w:r>
            <w:r w:rsidRPr="00FC4465">
              <w:rPr>
                <w:rFonts w:asciiTheme="majorBidi" w:hAnsiTheme="majorBidi" w:cstheme="majorBidi"/>
                <w:b/>
                <w:bCs/>
                <w:sz w:val="16"/>
                <w:szCs w:val="16"/>
              </w:rPr>
              <w:t xml:space="preserve"> (método de ensayo 1)</w:t>
            </w:r>
          </w:p>
        </w:tc>
      </w:tr>
      <w:tr w:rsidR="00A35D48" w:rsidRPr="00FC4465" w14:paraId="051F9F62" w14:textId="77777777" w:rsidTr="00D4046C">
        <w:trPr>
          <w:trHeight w:val="1454"/>
          <w:jc w:val="center"/>
        </w:trPr>
        <w:tc>
          <w:tcPr>
            <w:tcW w:w="249" w:type="pct"/>
            <w:shd w:val="clear" w:color="auto" w:fill="auto"/>
            <w:tcMar>
              <w:top w:w="28" w:type="dxa"/>
              <w:left w:w="28" w:type="dxa"/>
              <w:bottom w:w="28" w:type="dxa"/>
              <w:right w:w="28" w:type="dxa"/>
            </w:tcMar>
          </w:tcPr>
          <w:p w14:paraId="17AC3F28" w14:textId="77777777" w:rsidR="00A35D48" w:rsidRPr="00FC4465" w:rsidRDefault="00A35D48" w:rsidP="00C93947">
            <w:pPr>
              <w:spacing w:before="40" w:after="40" w:line="200" w:lineRule="atLeast"/>
              <w:ind w:left="-63" w:right="-58"/>
              <w:contextualSpacing/>
              <w:jc w:val="center"/>
              <w:rPr>
                <w:rFonts w:asciiTheme="majorBidi" w:eastAsia="Calibri" w:hAnsiTheme="majorBidi" w:cstheme="majorBidi"/>
                <w:b/>
                <w:bCs/>
                <w:noProof/>
                <w:sz w:val="16"/>
                <w:szCs w:val="16"/>
              </w:rPr>
            </w:pPr>
            <w:r w:rsidRPr="00FC4465">
              <w:rPr>
                <w:rFonts w:asciiTheme="majorBidi" w:hAnsiTheme="majorBidi" w:cstheme="majorBidi"/>
                <w:b/>
                <w:bCs/>
                <w:sz w:val="16"/>
                <w:szCs w:val="16"/>
              </w:rPr>
              <w:t>1</w:t>
            </w:r>
          </w:p>
        </w:tc>
        <w:tc>
          <w:tcPr>
            <w:tcW w:w="350" w:type="pct"/>
            <w:shd w:val="clear" w:color="auto" w:fill="auto"/>
            <w:tcMar>
              <w:top w:w="28" w:type="dxa"/>
              <w:left w:w="28" w:type="dxa"/>
              <w:bottom w:w="28" w:type="dxa"/>
              <w:right w:w="28" w:type="dxa"/>
            </w:tcMar>
          </w:tcPr>
          <w:p w14:paraId="45FF93F5" w14:textId="77777777" w:rsidR="00A35D48" w:rsidRPr="00FC4465" w:rsidRDefault="00A35D48" w:rsidP="00C93947">
            <w:pPr>
              <w:spacing w:before="40" w:after="40" w:line="200" w:lineRule="atLeast"/>
              <w:contextualSpacing/>
              <w:jc w:val="center"/>
              <w:rPr>
                <w:rFonts w:asciiTheme="majorBidi" w:eastAsia="Calibri" w:hAnsiTheme="majorBidi" w:cstheme="majorBidi"/>
                <w:bCs/>
                <w:noProof/>
                <w:sz w:val="16"/>
                <w:szCs w:val="16"/>
              </w:rPr>
            </w:pPr>
            <w:r w:rsidRPr="00FC4465">
              <w:rPr>
                <w:rFonts w:asciiTheme="majorBidi" w:hAnsiTheme="majorBidi" w:cstheme="majorBidi"/>
                <w:sz w:val="16"/>
                <w:szCs w:val="16"/>
              </w:rPr>
              <w:t>Opacímetro 1</w:t>
            </w:r>
          </w:p>
          <w:p w14:paraId="78DC0135" w14:textId="77777777" w:rsidR="00A35D48" w:rsidRPr="00FC4465" w:rsidRDefault="00A35D48" w:rsidP="00C93947">
            <w:pPr>
              <w:spacing w:before="40" w:after="40" w:line="200" w:lineRule="atLeast"/>
              <w:contextualSpacing/>
              <w:jc w:val="center"/>
              <w:rPr>
                <w:rFonts w:asciiTheme="majorBidi" w:hAnsiTheme="majorBidi" w:cstheme="majorBidi"/>
                <w:bCs/>
                <w:noProof/>
                <w:sz w:val="16"/>
                <w:szCs w:val="16"/>
              </w:rPr>
            </w:pPr>
            <w:r w:rsidRPr="00FC4465">
              <w:rPr>
                <w:rFonts w:asciiTheme="majorBidi" w:hAnsiTheme="majorBidi" w:cstheme="majorBidi"/>
                <w:sz w:val="16"/>
                <w:szCs w:val="16"/>
              </w:rPr>
              <w:t>IVIS &gt; 55</w:t>
            </w:r>
          </w:p>
        </w:tc>
        <w:tc>
          <w:tcPr>
            <w:tcW w:w="351" w:type="pct"/>
            <w:shd w:val="clear" w:color="auto" w:fill="auto"/>
            <w:tcMar>
              <w:top w:w="28" w:type="dxa"/>
              <w:left w:w="28" w:type="dxa"/>
              <w:bottom w:w="28" w:type="dxa"/>
              <w:right w:w="28" w:type="dxa"/>
            </w:tcMar>
          </w:tcPr>
          <w:p w14:paraId="2B273AFA" w14:textId="77777777" w:rsidR="00A35D48" w:rsidRPr="00FC4465" w:rsidRDefault="00A35D48" w:rsidP="00C93947">
            <w:pPr>
              <w:tabs>
                <w:tab w:val="left" w:pos="568"/>
              </w:tabs>
              <w:spacing w:before="40" w:after="40" w:line="200" w:lineRule="atLeast"/>
              <w:contextualSpacing/>
              <w:jc w:val="center"/>
              <w:rPr>
                <w:rFonts w:asciiTheme="majorBidi" w:eastAsia="Calibri" w:hAnsiTheme="majorBidi" w:cstheme="majorBidi"/>
                <w:bCs/>
                <w:noProof/>
                <w:sz w:val="16"/>
                <w:szCs w:val="16"/>
              </w:rPr>
            </w:pPr>
            <w:r w:rsidRPr="00FC4465">
              <w:rPr>
                <w:rFonts w:asciiTheme="majorBidi" w:hAnsiTheme="majorBidi" w:cstheme="majorBidi"/>
                <w:sz w:val="16"/>
                <w:szCs w:val="16"/>
              </w:rPr>
              <w:t>Opacímetro 2</w:t>
            </w:r>
          </w:p>
          <w:p w14:paraId="1B0E51E1" w14:textId="77777777" w:rsidR="00A35D48" w:rsidRPr="00FC4465" w:rsidRDefault="00A35D48" w:rsidP="00C93947">
            <w:pPr>
              <w:tabs>
                <w:tab w:val="left" w:pos="568"/>
              </w:tabs>
              <w:spacing w:before="40" w:after="40" w:line="200" w:lineRule="atLeast"/>
              <w:contextualSpacing/>
              <w:jc w:val="center"/>
              <w:rPr>
                <w:rFonts w:asciiTheme="majorBidi" w:eastAsia="Calibri" w:hAnsiTheme="majorBidi" w:cstheme="majorBidi"/>
                <w:bCs/>
                <w:noProof/>
                <w:sz w:val="16"/>
                <w:szCs w:val="16"/>
              </w:rPr>
            </w:pPr>
          </w:p>
          <w:p w14:paraId="0F67DC0A" w14:textId="77777777" w:rsidR="00A35D48" w:rsidRPr="00FC4465" w:rsidRDefault="00A35D48" w:rsidP="00C93947">
            <w:pPr>
              <w:tabs>
                <w:tab w:val="left" w:pos="568"/>
              </w:tabs>
              <w:spacing w:before="40" w:after="40" w:line="200" w:lineRule="atLeast"/>
              <w:contextualSpacing/>
              <w:jc w:val="center"/>
              <w:rPr>
                <w:rFonts w:asciiTheme="majorBidi" w:hAnsiTheme="majorBidi" w:cstheme="majorBidi"/>
                <w:sz w:val="16"/>
                <w:szCs w:val="16"/>
              </w:rPr>
            </w:pPr>
            <w:r w:rsidRPr="00FC4465">
              <w:rPr>
                <w:rFonts w:asciiTheme="majorBidi" w:hAnsiTheme="majorBidi" w:cstheme="majorBidi"/>
                <w:sz w:val="16"/>
                <w:szCs w:val="16"/>
              </w:rPr>
              <w:t>LIS &gt; 30 y lux/7 ≤ 145 y OD490 &gt; 2,5,</w:t>
            </w:r>
          </w:p>
          <w:p w14:paraId="1E71210F" w14:textId="77777777" w:rsidR="00A35D48" w:rsidRPr="00FC4465" w:rsidRDefault="00A35D48" w:rsidP="00C93947">
            <w:pPr>
              <w:tabs>
                <w:tab w:val="left" w:pos="568"/>
              </w:tabs>
              <w:spacing w:before="40" w:after="40" w:line="200" w:lineRule="atLeast"/>
              <w:contextualSpacing/>
              <w:jc w:val="center"/>
              <w:rPr>
                <w:rFonts w:asciiTheme="majorBidi" w:hAnsiTheme="majorBidi" w:cstheme="majorBidi"/>
                <w:sz w:val="16"/>
                <w:szCs w:val="16"/>
              </w:rPr>
            </w:pPr>
            <w:r w:rsidRPr="00FC4465">
              <w:rPr>
                <w:rFonts w:asciiTheme="majorBidi" w:hAnsiTheme="majorBidi" w:cstheme="majorBidi"/>
                <w:sz w:val="16"/>
                <w:szCs w:val="16"/>
              </w:rPr>
              <w:t>O bien</w:t>
            </w:r>
          </w:p>
          <w:p w14:paraId="750E037A" w14:textId="0A797E7F" w:rsidR="00A35D48" w:rsidRPr="00FC4465" w:rsidRDefault="00A35D48" w:rsidP="00C93947">
            <w:pPr>
              <w:tabs>
                <w:tab w:val="left" w:pos="568"/>
              </w:tabs>
              <w:spacing w:before="40" w:after="40" w:line="200" w:lineRule="atLeast"/>
              <w:contextualSpacing/>
              <w:jc w:val="center"/>
              <w:rPr>
                <w:rFonts w:asciiTheme="majorBidi" w:eastAsia="Calibri" w:hAnsiTheme="majorBidi" w:cstheme="majorBidi"/>
                <w:bCs/>
                <w:noProof/>
                <w:sz w:val="16"/>
                <w:szCs w:val="16"/>
              </w:rPr>
            </w:pPr>
            <w:r w:rsidRPr="00FC4465">
              <w:rPr>
                <w:rFonts w:asciiTheme="majorBidi" w:hAnsiTheme="majorBidi" w:cstheme="majorBidi"/>
                <w:sz w:val="16"/>
                <w:szCs w:val="16"/>
              </w:rPr>
              <w:t>LIS &gt; 30 y lux/7 &gt; 145</w:t>
            </w:r>
            <w:r w:rsidR="008C5013" w:rsidRPr="00FC4465">
              <w:rPr>
                <w:rFonts w:asciiTheme="majorBidi" w:hAnsiTheme="majorBidi" w:cstheme="majorBidi"/>
                <w:sz w:val="16"/>
                <w:szCs w:val="16"/>
              </w:rPr>
              <w:t xml:space="preserve"> </w:t>
            </w:r>
          </w:p>
        </w:tc>
        <w:tc>
          <w:tcPr>
            <w:tcW w:w="630" w:type="pct"/>
            <w:shd w:val="clear" w:color="auto" w:fill="auto"/>
            <w:tcMar>
              <w:top w:w="28" w:type="dxa"/>
              <w:left w:w="28" w:type="dxa"/>
              <w:bottom w:w="28" w:type="dxa"/>
              <w:right w:w="28" w:type="dxa"/>
            </w:tcMar>
          </w:tcPr>
          <w:p w14:paraId="35A86704" w14:textId="77777777" w:rsidR="00A35D48" w:rsidRPr="00FC4465" w:rsidRDefault="00A35D48" w:rsidP="00C93947">
            <w:pPr>
              <w:spacing w:before="40" w:after="40" w:line="200" w:lineRule="atLeast"/>
              <w:contextualSpacing/>
              <w:jc w:val="center"/>
              <w:rPr>
                <w:rFonts w:asciiTheme="majorBidi" w:hAnsiTheme="majorBidi" w:cstheme="majorBidi"/>
                <w:sz w:val="16"/>
                <w:szCs w:val="16"/>
              </w:rPr>
            </w:pPr>
            <w:r w:rsidRPr="00FC4465">
              <w:rPr>
                <w:rFonts w:asciiTheme="majorBidi" w:hAnsiTheme="majorBidi" w:cstheme="majorBidi"/>
                <w:sz w:val="16"/>
                <w:szCs w:val="16"/>
              </w:rPr>
              <w:t>Al menos 2 clases ICE IV,</w:t>
            </w:r>
          </w:p>
          <w:p w14:paraId="1884DC7F" w14:textId="77777777" w:rsidR="00A35D48" w:rsidRPr="00FC4465" w:rsidRDefault="00A35D48" w:rsidP="00C93947">
            <w:pPr>
              <w:spacing w:before="40" w:after="40" w:line="200" w:lineRule="atLeast"/>
              <w:contextualSpacing/>
              <w:jc w:val="center"/>
              <w:rPr>
                <w:rFonts w:asciiTheme="majorBidi" w:hAnsiTheme="majorBidi" w:cstheme="majorBidi"/>
                <w:sz w:val="16"/>
                <w:szCs w:val="16"/>
              </w:rPr>
            </w:pPr>
            <w:r w:rsidRPr="00FC4465">
              <w:rPr>
                <w:rFonts w:asciiTheme="majorBidi" w:hAnsiTheme="majorBidi" w:cstheme="majorBidi"/>
                <w:sz w:val="16"/>
                <w:szCs w:val="16"/>
              </w:rPr>
              <w:t>O bien</w:t>
            </w:r>
          </w:p>
          <w:p w14:paraId="3C0BB806" w14:textId="1F222C21" w:rsidR="00A35D48" w:rsidRPr="00FC4465" w:rsidRDefault="00A35D48" w:rsidP="00C93947">
            <w:pPr>
              <w:spacing w:before="40" w:after="40" w:line="200" w:lineRule="atLeast"/>
              <w:contextualSpacing/>
              <w:jc w:val="center"/>
              <w:rPr>
                <w:rFonts w:asciiTheme="majorBidi" w:hAnsiTheme="majorBidi" w:cstheme="majorBidi"/>
                <w:sz w:val="16"/>
                <w:szCs w:val="16"/>
              </w:rPr>
            </w:pPr>
            <w:r w:rsidRPr="00FC4465">
              <w:rPr>
                <w:rFonts w:asciiTheme="majorBidi" w:hAnsiTheme="majorBidi" w:cstheme="majorBidi"/>
                <w:sz w:val="16"/>
                <w:szCs w:val="16"/>
              </w:rPr>
              <w:t>Opacidad corneal = 3 a los 30 min</w:t>
            </w:r>
            <w:r w:rsidR="00D4046C">
              <w:rPr>
                <w:rFonts w:asciiTheme="majorBidi" w:hAnsiTheme="majorBidi" w:cstheme="majorBidi"/>
                <w:sz w:val="16"/>
                <w:szCs w:val="16"/>
              </w:rPr>
              <w:t>.</w:t>
            </w:r>
            <w:r w:rsidRPr="00FC4465">
              <w:rPr>
                <w:rFonts w:asciiTheme="majorBidi" w:hAnsiTheme="majorBidi" w:cstheme="majorBidi"/>
                <w:sz w:val="16"/>
                <w:szCs w:val="16"/>
              </w:rPr>
              <w:t xml:space="preserve"> </w:t>
            </w:r>
            <w:r w:rsidR="00D4046C">
              <w:rPr>
                <w:rFonts w:asciiTheme="majorBidi" w:hAnsiTheme="majorBidi" w:cstheme="majorBidi"/>
                <w:sz w:val="16"/>
                <w:szCs w:val="16"/>
              </w:rPr>
              <w:br/>
            </w:r>
            <w:r w:rsidRPr="00FC4465">
              <w:rPr>
                <w:rFonts w:asciiTheme="majorBidi" w:hAnsiTheme="majorBidi" w:cstheme="majorBidi"/>
                <w:sz w:val="16"/>
                <w:szCs w:val="16"/>
              </w:rPr>
              <w:t>(en al menos 2 ojos),</w:t>
            </w:r>
          </w:p>
          <w:p w14:paraId="289F8763" w14:textId="77777777" w:rsidR="00A35D48" w:rsidRPr="00FC4465" w:rsidRDefault="00A35D48" w:rsidP="00C93947">
            <w:pPr>
              <w:spacing w:before="40" w:after="40" w:line="200" w:lineRule="atLeast"/>
              <w:contextualSpacing/>
              <w:jc w:val="center"/>
              <w:rPr>
                <w:rFonts w:asciiTheme="majorBidi" w:hAnsiTheme="majorBidi" w:cstheme="majorBidi"/>
                <w:sz w:val="16"/>
                <w:szCs w:val="16"/>
              </w:rPr>
            </w:pPr>
            <w:r w:rsidRPr="00FC4465">
              <w:rPr>
                <w:rFonts w:asciiTheme="majorBidi" w:hAnsiTheme="majorBidi" w:cstheme="majorBidi"/>
                <w:sz w:val="16"/>
                <w:szCs w:val="16"/>
              </w:rPr>
              <w:t>O bien</w:t>
            </w:r>
          </w:p>
          <w:p w14:paraId="0B19A634" w14:textId="7F7F5F4E" w:rsidR="00A35D48" w:rsidRPr="00FC4465" w:rsidRDefault="00A35D48" w:rsidP="00C93947">
            <w:pPr>
              <w:spacing w:before="40" w:after="40" w:line="200" w:lineRule="atLeast"/>
              <w:contextualSpacing/>
              <w:jc w:val="center"/>
              <w:rPr>
                <w:rFonts w:asciiTheme="majorBidi" w:hAnsiTheme="majorBidi" w:cstheme="majorBidi"/>
                <w:sz w:val="16"/>
                <w:szCs w:val="16"/>
              </w:rPr>
            </w:pPr>
            <w:r w:rsidRPr="00FC4465">
              <w:rPr>
                <w:rFonts w:asciiTheme="majorBidi" w:hAnsiTheme="majorBidi" w:cstheme="majorBidi"/>
                <w:sz w:val="16"/>
                <w:szCs w:val="16"/>
              </w:rPr>
              <w:t xml:space="preserve">Opacidad corneal = 4 en cualquier momento </w:t>
            </w:r>
            <w:r w:rsidR="00D4046C">
              <w:rPr>
                <w:rFonts w:asciiTheme="majorBidi" w:hAnsiTheme="majorBidi" w:cstheme="majorBidi"/>
                <w:sz w:val="16"/>
                <w:szCs w:val="16"/>
              </w:rPr>
              <w:br/>
            </w:r>
            <w:r w:rsidRPr="00FC4465">
              <w:rPr>
                <w:rFonts w:asciiTheme="majorBidi" w:hAnsiTheme="majorBidi" w:cstheme="majorBidi"/>
                <w:sz w:val="16"/>
                <w:szCs w:val="16"/>
              </w:rPr>
              <w:t>(en al menos 2 ojos),</w:t>
            </w:r>
          </w:p>
          <w:p w14:paraId="7209C612" w14:textId="77777777" w:rsidR="00A35D48" w:rsidRPr="00FC4465" w:rsidRDefault="00A35D48" w:rsidP="00C93947">
            <w:pPr>
              <w:spacing w:before="40" w:after="40" w:line="200" w:lineRule="atLeast"/>
              <w:contextualSpacing/>
              <w:jc w:val="center"/>
              <w:rPr>
                <w:rFonts w:asciiTheme="majorBidi" w:hAnsiTheme="majorBidi" w:cstheme="majorBidi"/>
                <w:sz w:val="16"/>
                <w:szCs w:val="16"/>
              </w:rPr>
            </w:pPr>
            <w:r w:rsidRPr="00FC4465">
              <w:rPr>
                <w:rFonts w:asciiTheme="majorBidi" w:hAnsiTheme="majorBidi" w:cstheme="majorBidi"/>
                <w:sz w:val="16"/>
                <w:szCs w:val="16"/>
              </w:rPr>
              <w:t>O bien</w:t>
            </w:r>
          </w:p>
          <w:p w14:paraId="7C008EAE" w14:textId="7D03A595" w:rsidR="00A35D48" w:rsidRPr="00FC4465" w:rsidRDefault="00A35D48" w:rsidP="00C93947">
            <w:pPr>
              <w:spacing w:before="40" w:after="40" w:line="200" w:lineRule="atLeast"/>
              <w:contextualSpacing/>
              <w:jc w:val="center"/>
              <w:rPr>
                <w:rFonts w:asciiTheme="majorBidi" w:hAnsiTheme="majorBidi" w:cstheme="majorBidi"/>
                <w:sz w:val="16"/>
                <w:szCs w:val="16"/>
              </w:rPr>
            </w:pPr>
            <w:r w:rsidRPr="00FC4465">
              <w:rPr>
                <w:rFonts w:asciiTheme="majorBidi" w:hAnsiTheme="majorBidi" w:cstheme="majorBidi"/>
                <w:sz w:val="16"/>
                <w:szCs w:val="16"/>
              </w:rPr>
              <w:t xml:space="preserve">Desprendimiento grave del epitelio </w:t>
            </w:r>
            <w:r w:rsidR="00D4046C">
              <w:rPr>
                <w:rFonts w:asciiTheme="majorBidi" w:hAnsiTheme="majorBidi" w:cstheme="majorBidi"/>
                <w:sz w:val="16"/>
                <w:szCs w:val="16"/>
              </w:rPr>
              <w:br/>
            </w:r>
            <w:r w:rsidRPr="00FC4465">
              <w:rPr>
                <w:rFonts w:asciiTheme="majorBidi" w:hAnsiTheme="majorBidi" w:cstheme="majorBidi"/>
                <w:sz w:val="16"/>
                <w:szCs w:val="16"/>
              </w:rPr>
              <w:t>(en al menos 1 ojo),</w:t>
            </w:r>
          </w:p>
          <w:p w14:paraId="3C6EAA03" w14:textId="77777777" w:rsidR="00A35D48" w:rsidRPr="00FC4465" w:rsidRDefault="00A35D48" w:rsidP="00C93947">
            <w:pPr>
              <w:spacing w:before="40" w:after="40" w:line="200" w:lineRule="atLeast"/>
              <w:contextualSpacing/>
              <w:jc w:val="center"/>
              <w:rPr>
                <w:rFonts w:asciiTheme="majorBidi" w:hAnsiTheme="majorBidi" w:cstheme="majorBidi"/>
                <w:sz w:val="16"/>
                <w:szCs w:val="16"/>
              </w:rPr>
            </w:pPr>
            <w:r w:rsidRPr="00FC4465">
              <w:rPr>
                <w:rFonts w:asciiTheme="majorBidi" w:hAnsiTheme="majorBidi" w:cstheme="majorBidi"/>
                <w:sz w:val="16"/>
                <w:szCs w:val="16"/>
              </w:rPr>
              <w:t>O bien</w:t>
            </w:r>
          </w:p>
          <w:p w14:paraId="7C7D1837" w14:textId="77777777" w:rsidR="00A35D48" w:rsidRPr="00FC4465" w:rsidRDefault="00A35D48" w:rsidP="00C93947">
            <w:pPr>
              <w:spacing w:before="40" w:after="40" w:line="200" w:lineRule="atLeast"/>
              <w:contextualSpacing/>
              <w:jc w:val="center"/>
              <w:rPr>
                <w:rFonts w:asciiTheme="majorBidi" w:eastAsia="Calibri" w:hAnsiTheme="majorBidi" w:cstheme="majorBidi"/>
                <w:bCs/>
                <w:noProof/>
                <w:sz w:val="16"/>
                <w:szCs w:val="16"/>
              </w:rPr>
            </w:pPr>
            <w:r w:rsidRPr="00FC4465">
              <w:rPr>
                <w:rFonts w:asciiTheme="majorBidi" w:hAnsiTheme="majorBidi" w:cstheme="majorBidi"/>
                <w:sz w:val="16"/>
                <w:szCs w:val="16"/>
              </w:rPr>
              <w:t>Determinados efectos histopatológicos</w:t>
            </w:r>
            <w:r w:rsidRPr="00FC4465">
              <w:rPr>
                <w:rFonts w:asciiTheme="majorBidi" w:hAnsiTheme="majorBidi" w:cstheme="majorBidi"/>
                <w:sz w:val="16"/>
                <w:szCs w:val="16"/>
                <w:vertAlign w:val="superscript"/>
              </w:rPr>
              <w:t>b</w:t>
            </w:r>
          </w:p>
        </w:tc>
        <w:tc>
          <w:tcPr>
            <w:tcW w:w="650" w:type="pct"/>
            <w:tcMar>
              <w:top w:w="28" w:type="dxa"/>
              <w:left w:w="28" w:type="dxa"/>
              <w:bottom w:w="28" w:type="dxa"/>
              <w:right w:w="28" w:type="dxa"/>
            </w:tcMar>
          </w:tcPr>
          <w:p w14:paraId="66170218" w14:textId="78DDB3FC" w:rsidR="00A35D48" w:rsidRPr="00FC4465" w:rsidRDefault="00A35D48" w:rsidP="00C93947">
            <w:pPr>
              <w:spacing w:before="40" w:after="40" w:line="200" w:lineRule="atLeast"/>
              <w:contextualSpacing/>
              <w:jc w:val="center"/>
              <w:rPr>
                <w:rFonts w:asciiTheme="majorBidi" w:eastAsia="Calibri" w:hAnsiTheme="majorBidi" w:cstheme="majorBidi"/>
                <w:bCs/>
                <w:noProof/>
                <w:sz w:val="16"/>
                <w:szCs w:val="16"/>
              </w:rPr>
            </w:pPr>
            <w:r w:rsidRPr="00FC4465">
              <w:rPr>
                <w:rFonts w:asciiTheme="majorBidi" w:hAnsiTheme="majorBidi" w:cstheme="majorBidi"/>
                <w:sz w:val="16"/>
                <w:szCs w:val="16"/>
              </w:rPr>
              <w:t>Concentración química causante de una difusión de la fluoresceína (FL</w:t>
            </w:r>
            <w:r w:rsidRPr="00FC4465">
              <w:rPr>
                <w:rFonts w:asciiTheme="majorBidi" w:hAnsiTheme="majorBidi" w:cstheme="majorBidi"/>
                <w:sz w:val="16"/>
                <w:szCs w:val="16"/>
                <w:vertAlign w:val="subscript"/>
              </w:rPr>
              <w:t>20</w:t>
            </w:r>
            <w:r w:rsidRPr="00FC4465">
              <w:rPr>
                <w:rFonts w:asciiTheme="majorBidi" w:hAnsiTheme="majorBidi" w:cstheme="majorBidi"/>
                <w:sz w:val="16"/>
                <w:szCs w:val="16"/>
              </w:rPr>
              <w:t>) del 20</w:t>
            </w:r>
            <w:r w:rsidR="008C5013" w:rsidRPr="00FC4465">
              <w:rPr>
                <w:rFonts w:asciiTheme="majorBidi" w:hAnsiTheme="majorBidi" w:cstheme="majorBidi"/>
                <w:sz w:val="16"/>
                <w:szCs w:val="16"/>
              </w:rPr>
              <w:t> %</w:t>
            </w:r>
            <w:r w:rsidRPr="00FC4465">
              <w:rPr>
                <w:rFonts w:asciiTheme="majorBidi" w:hAnsiTheme="majorBidi" w:cstheme="majorBidi"/>
                <w:sz w:val="16"/>
                <w:szCs w:val="16"/>
              </w:rPr>
              <w:t xml:space="preserve"> ≤ 100 mg/ml</w:t>
            </w:r>
          </w:p>
        </w:tc>
        <w:tc>
          <w:tcPr>
            <w:tcW w:w="622" w:type="pct"/>
            <w:shd w:val="clear" w:color="auto" w:fill="auto"/>
            <w:tcMar>
              <w:top w:w="28" w:type="dxa"/>
              <w:left w:w="28" w:type="dxa"/>
              <w:bottom w:w="28" w:type="dxa"/>
              <w:right w:w="28" w:type="dxa"/>
            </w:tcMar>
          </w:tcPr>
          <w:p w14:paraId="1BB84656" w14:textId="7BCCEBCF" w:rsidR="00A35D48" w:rsidRPr="00FC4465" w:rsidRDefault="00A35D48" w:rsidP="00C93947">
            <w:pPr>
              <w:spacing w:before="40" w:after="40" w:line="200" w:lineRule="atLeast"/>
              <w:contextualSpacing/>
              <w:jc w:val="center"/>
              <w:rPr>
                <w:rFonts w:asciiTheme="majorBidi" w:eastAsia="Calibri" w:hAnsiTheme="majorBidi" w:cstheme="majorBidi"/>
                <w:bCs/>
                <w:noProof/>
                <w:sz w:val="16"/>
                <w:szCs w:val="16"/>
              </w:rPr>
            </w:pPr>
            <w:r w:rsidRPr="00FC4465">
              <w:rPr>
                <w:rFonts w:asciiTheme="majorBidi" w:hAnsiTheme="majorBidi" w:cstheme="majorBidi"/>
                <w:sz w:val="16"/>
                <w:szCs w:val="16"/>
              </w:rPr>
              <w:t>Viabilidad ≤ 70</w:t>
            </w:r>
            <w:r w:rsidR="008C5013" w:rsidRPr="00FC4465">
              <w:rPr>
                <w:rFonts w:asciiTheme="majorBidi" w:hAnsiTheme="majorBidi" w:cstheme="majorBidi"/>
                <w:sz w:val="16"/>
                <w:szCs w:val="16"/>
              </w:rPr>
              <w:t> %</w:t>
            </w:r>
            <w:r w:rsidRPr="00FC4465">
              <w:rPr>
                <w:rFonts w:asciiTheme="majorBidi" w:hAnsiTheme="majorBidi" w:cstheme="majorBidi"/>
                <w:sz w:val="16"/>
                <w:szCs w:val="16"/>
              </w:rPr>
              <w:t xml:space="preserve"> al 5</w:t>
            </w:r>
            <w:r w:rsidR="008C5013" w:rsidRPr="00FC4465">
              <w:rPr>
                <w:rFonts w:asciiTheme="majorBidi" w:hAnsiTheme="majorBidi" w:cstheme="majorBidi"/>
                <w:sz w:val="16"/>
                <w:szCs w:val="16"/>
              </w:rPr>
              <w:t> %</w:t>
            </w:r>
            <w:r w:rsidRPr="00FC4465">
              <w:rPr>
                <w:rFonts w:asciiTheme="majorBidi" w:hAnsiTheme="majorBidi" w:cstheme="majorBidi"/>
                <w:sz w:val="16"/>
                <w:szCs w:val="16"/>
              </w:rPr>
              <w:t xml:space="preserve"> y al 0,05</w:t>
            </w:r>
            <w:r w:rsidR="008C5013" w:rsidRPr="00FC4465">
              <w:rPr>
                <w:rFonts w:asciiTheme="majorBidi" w:hAnsiTheme="majorBidi" w:cstheme="majorBidi"/>
                <w:sz w:val="16"/>
                <w:szCs w:val="16"/>
              </w:rPr>
              <w:t> %</w:t>
            </w:r>
          </w:p>
        </w:tc>
        <w:tc>
          <w:tcPr>
            <w:tcW w:w="1018" w:type="pct"/>
            <w:gridSpan w:val="4"/>
            <w:shd w:val="clear" w:color="auto" w:fill="auto"/>
            <w:tcMar>
              <w:top w:w="28" w:type="dxa"/>
              <w:left w:w="28" w:type="dxa"/>
              <w:bottom w:w="28" w:type="dxa"/>
              <w:right w:w="28" w:type="dxa"/>
            </w:tcMar>
          </w:tcPr>
          <w:p w14:paraId="076F0F23" w14:textId="77777777" w:rsidR="00A35D48" w:rsidRPr="00FC4465" w:rsidRDefault="00A35D48" w:rsidP="00C93947">
            <w:pPr>
              <w:spacing w:before="40" w:after="40" w:line="200" w:lineRule="atLeast"/>
              <w:contextualSpacing/>
              <w:jc w:val="center"/>
              <w:rPr>
                <w:rFonts w:asciiTheme="majorBidi" w:eastAsia="Calibri" w:hAnsiTheme="majorBidi" w:cstheme="majorBidi"/>
                <w:bCs/>
                <w:noProof/>
                <w:sz w:val="16"/>
                <w:szCs w:val="16"/>
              </w:rPr>
            </w:pPr>
            <w:r w:rsidRPr="00FC4465">
              <w:rPr>
                <w:rFonts w:asciiTheme="majorBidi" w:hAnsiTheme="majorBidi" w:cstheme="majorBidi"/>
                <w:sz w:val="16"/>
                <w:szCs w:val="16"/>
              </w:rPr>
              <w:t>No puede hacerse ninguna predicción independiente</w:t>
            </w:r>
          </w:p>
        </w:tc>
        <w:tc>
          <w:tcPr>
            <w:tcW w:w="464" w:type="pct"/>
            <w:tcMar>
              <w:top w:w="28" w:type="dxa"/>
              <w:left w:w="28" w:type="dxa"/>
              <w:bottom w:w="28" w:type="dxa"/>
              <w:right w:w="28" w:type="dxa"/>
            </w:tcMar>
          </w:tcPr>
          <w:p w14:paraId="4AA4668A" w14:textId="77777777" w:rsidR="00A35D48" w:rsidRPr="00FC4465" w:rsidRDefault="00A35D48" w:rsidP="00C93947">
            <w:pPr>
              <w:spacing w:before="40" w:after="40" w:line="200" w:lineRule="atLeast"/>
              <w:contextualSpacing/>
              <w:jc w:val="center"/>
              <w:rPr>
                <w:rFonts w:asciiTheme="majorBidi" w:eastAsia="Calibri" w:hAnsiTheme="majorBidi" w:cstheme="majorBidi"/>
                <w:bCs/>
                <w:noProof/>
                <w:sz w:val="16"/>
                <w:szCs w:val="16"/>
              </w:rPr>
            </w:pPr>
            <w:r w:rsidRPr="00FC4465">
              <w:rPr>
                <w:rFonts w:asciiTheme="majorBidi" w:hAnsiTheme="majorBidi" w:cstheme="majorBidi"/>
                <w:sz w:val="16"/>
                <w:szCs w:val="16"/>
              </w:rPr>
              <w:t>No puede hacerse ninguna predicción independiente</w:t>
            </w:r>
          </w:p>
        </w:tc>
        <w:tc>
          <w:tcPr>
            <w:tcW w:w="666" w:type="pct"/>
            <w:tcMar>
              <w:top w:w="28" w:type="dxa"/>
              <w:left w:w="28" w:type="dxa"/>
              <w:bottom w:w="28" w:type="dxa"/>
              <w:right w:w="28" w:type="dxa"/>
            </w:tcMar>
          </w:tcPr>
          <w:p w14:paraId="1FFE9826" w14:textId="77777777" w:rsidR="00A35D48" w:rsidRPr="00FC4465" w:rsidRDefault="00A35D48" w:rsidP="00C93947">
            <w:pPr>
              <w:spacing w:before="40" w:after="40" w:line="200" w:lineRule="atLeast"/>
              <w:contextualSpacing/>
              <w:jc w:val="center"/>
              <w:rPr>
                <w:rFonts w:asciiTheme="majorBidi" w:eastAsia="Calibri" w:hAnsiTheme="majorBidi" w:cstheme="majorBidi"/>
                <w:bCs/>
                <w:noProof/>
                <w:sz w:val="16"/>
                <w:szCs w:val="16"/>
              </w:rPr>
            </w:pPr>
            <w:r w:rsidRPr="00FC4465">
              <w:rPr>
                <w:rFonts w:asciiTheme="majorBidi" w:hAnsiTheme="majorBidi" w:cstheme="majorBidi"/>
                <w:sz w:val="16"/>
                <w:szCs w:val="16"/>
              </w:rPr>
              <w:t>PMC &gt; 30,0</w:t>
            </w:r>
          </w:p>
        </w:tc>
      </w:tr>
      <w:tr w:rsidR="00A35D48" w:rsidRPr="00FC4465" w14:paraId="059393E5" w14:textId="77777777" w:rsidTr="00D4046C">
        <w:trPr>
          <w:trHeight w:val="192"/>
          <w:jc w:val="center"/>
        </w:trPr>
        <w:tc>
          <w:tcPr>
            <w:tcW w:w="249" w:type="pct"/>
            <w:shd w:val="clear" w:color="auto" w:fill="auto"/>
            <w:tcMar>
              <w:top w:w="28" w:type="dxa"/>
              <w:left w:w="28" w:type="dxa"/>
              <w:bottom w:w="28" w:type="dxa"/>
              <w:right w:w="28" w:type="dxa"/>
            </w:tcMar>
          </w:tcPr>
          <w:p w14:paraId="29322135" w14:textId="77777777" w:rsidR="00A35D48" w:rsidRPr="00FC4465" w:rsidRDefault="00A35D48" w:rsidP="00C93947">
            <w:pPr>
              <w:spacing w:before="40" w:after="40" w:line="200" w:lineRule="atLeast"/>
              <w:ind w:left="-63" w:right="-58"/>
              <w:contextualSpacing/>
              <w:jc w:val="center"/>
              <w:rPr>
                <w:rFonts w:asciiTheme="majorBidi" w:hAnsiTheme="majorBidi" w:cstheme="majorBidi"/>
                <w:b/>
                <w:bCs/>
                <w:noProof/>
                <w:sz w:val="16"/>
                <w:szCs w:val="16"/>
              </w:rPr>
            </w:pPr>
            <w:r w:rsidRPr="00FC4465">
              <w:rPr>
                <w:rFonts w:asciiTheme="majorBidi" w:hAnsiTheme="majorBidi" w:cstheme="majorBidi"/>
                <w:b/>
                <w:bCs/>
                <w:sz w:val="16"/>
                <w:szCs w:val="16"/>
              </w:rPr>
              <w:t>2/2A/2B</w:t>
            </w:r>
          </w:p>
        </w:tc>
        <w:tc>
          <w:tcPr>
            <w:tcW w:w="350" w:type="pct"/>
            <w:shd w:val="clear" w:color="auto" w:fill="auto"/>
            <w:tcMar>
              <w:top w:w="28" w:type="dxa"/>
              <w:left w:w="28" w:type="dxa"/>
              <w:bottom w:w="28" w:type="dxa"/>
              <w:right w:w="28" w:type="dxa"/>
            </w:tcMar>
            <w:vAlign w:val="center"/>
          </w:tcPr>
          <w:p w14:paraId="0330C759" w14:textId="77777777" w:rsidR="00A35D48" w:rsidRPr="00FC4465" w:rsidRDefault="00A35D48" w:rsidP="00D4046C">
            <w:pPr>
              <w:tabs>
                <w:tab w:val="left" w:pos="568"/>
              </w:tabs>
              <w:spacing w:before="40" w:after="40" w:line="200" w:lineRule="atLeast"/>
              <w:contextualSpacing/>
              <w:jc w:val="center"/>
              <w:rPr>
                <w:rFonts w:asciiTheme="majorBidi" w:hAnsiTheme="majorBidi" w:cstheme="majorBidi"/>
                <w:bCs/>
                <w:noProof/>
                <w:sz w:val="16"/>
                <w:szCs w:val="16"/>
              </w:rPr>
            </w:pPr>
            <w:r w:rsidRPr="00FC4465">
              <w:rPr>
                <w:rFonts w:asciiTheme="majorBidi" w:hAnsiTheme="majorBidi" w:cstheme="majorBidi"/>
                <w:sz w:val="16"/>
                <w:szCs w:val="16"/>
              </w:rPr>
              <w:t>No puede hacerse ninguna predicción independiente</w:t>
            </w:r>
          </w:p>
        </w:tc>
        <w:tc>
          <w:tcPr>
            <w:tcW w:w="351" w:type="pct"/>
            <w:shd w:val="clear" w:color="auto" w:fill="auto"/>
            <w:tcMar>
              <w:top w:w="28" w:type="dxa"/>
              <w:left w:w="28" w:type="dxa"/>
              <w:bottom w:w="28" w:type="dxa"/>
              <w:right w:w="28" w:type="dxa"/>
            </w:tcMar>
            <w:vAlign w:val="center"/>
          </w:tcPr>
          <w:p w14:paraId="015C53B0" w14:textId="77777777" w:rsidR="00A35D48" w:rsidRPr="00FC4465" w:rsidRDefault="00A35D48" w:rsidP="00D4046C">
            <w:pPr>
              <w:tabs>
                <w:tab w:val="left" w:pos="568"/>
              </w:tabs>
              <w:spacing w:before="40" w:after="40" w:line="200" w:lineRule="atLeast"/>
              <w:contextualSpacing/>
              <w:jc w:val="center"/>
              <w:rPr>
                <w:rFonts w:asciiTheme="majorBidi" w:hAnsiTheme="majorBidi" w:cstheme="majorBidi"/>
                <w:bCs/>
                <w:noProof/>
                <w:sz w:val="16"/>
                <w:szCs w:val="16"/>
              </w:rPr>
            </w:pPr>
            <w:r w:rsidRPr="00FC4465">
              <w:rPr>
                <w:rFonts w:asciiTheme="majorBidi" w:hAnsiTheme="majorBidi" w:cstheme="majorBidi"/>
                <w:sz w:val="16"/>
                <w:szCs w:val="16"/>
              </w:rPr>
              <w:t>No puede hacerse ninguna predicción independiente</w:t>
            </w:r>
          </w:p>
        </w:tc>
        <w:tc>
          <w:tcPr>
            <w:tcW w:w="630" w:type="pct"/>
            <w:shd w:val="clear" w:color="auto" w:fill="auto"/>
            <w:tcMar>
              <w:top w:w="28" w:type="dxa"/>
              <w:left w:w="28" w:type="dxa"/>
              <w:bottom w:w="28" w:type="dxa"/>
              <w:right w:w="28" w:type="dxa"/>
            </w:tcMar>
            <w:vAlign w:val="center"/>
          </w:tcPr>
          <w:p w14:paraId="4E033CD0" w14:textId="77777777" w:rsidR="00A35D48" w:rsidRPr="00FC4465" w:rsidRDefault="00A35D48" w:rsidP="00D4046C">
            <w:pPr>
              <w:spacing w:before="40" w:after="40" w:line="200" w:lineRule="atLeast"/>
              <w:contextualSpacing/>
              <w:jc w:val="center"/>
              <w:rPr>
                <w:rFonts w:asciiTheme="majorBidi" w:hAnsiTheme="majorBidi" w:cstheme="majorBidi"/>
                <w:bCs/>
                <w:noProof/>
                <w:sz w:val="16"/>
                <w:szCs w:val="16"/>
              </w:rPr>
            </w:pPr>
            <w:r w:rsidRPr="00FC4465">
              <w:rPr>
                <w:rFonts w:asciiTheme="majorBidi" w:hAnsiTheme="majorBidi" w:cstheme="majorBidi"/>
                <w:sz w:val="16"/>
                <w:szCs w:val="16"/>
              </w:rPr>
              <w:t>No puede hacerse ninguna predicción independiente</w:t>
            </w:r>
          </w:p>
        </w:tc>
        <w:tc>
          <w:tcPr>
            <w:tcW w:w="650" w:type="pct"/>
            <w:tcMar>
              <w:top w:w="28" w:type="dxa"/>
              <w:left w:w="28" w:type="dxa"/>
              <w:bottom w:w="28" w:type="dxa"/>
              <w:right w:w="28" w:type="dxa"/>
            </w:tcMar>
            <w:vAlign w:val="center"/>
          </w:tcPr>
          <w:p w14:paraId="6D40D909" w14:textId="77777777" w:rsidR="00A35D48" w:rsidRPr="00FC4465" w:rsidRDefault="00A35D48" w:rsidP="00D4046C">
            <w:pPr>
              <w:spacing w:before="40" w:after="40" w:line="200" w:lineRule="atLeast"/>
              <w:contextualSpacing/>
              <w:jc w:val="center"/>
              <w:rPr>
                <w:rFonts w:asciiTheme="majorBidi" w:eastAsia="Calibri" w:hAnsiTheme="majorBidi" w:cstheme="majorBidi"/>
                <w:bCs/>
                <w:noProof/>
                <w:sz w:val="16"/>
                <w:szCs w:val="16"/>
              </w:rPr>
            </w:pPr>
            <w:r w:rsidRPr="00FC4465">
              <w:rPr>
                <w:rFonts w:asciiTheme="majorBidi" w:hAnsiTheme="majorBidi" w:cstheme="majorBidi"/>
                <w:sz w:val="16"/>
                <w:szCs w:val="16"/>
              </w:rPr>
              <w:t>No puede hacerse ninguna predicción independiente</w:t>
            </w:r>
          </w:p>
        </w:tc>
        <w:tc>
          <w:tcPr>
            <w:tcW w:w="622" w:type="pct"/>
            <w:shd w:val="clear" w:color="auto" w:fill="auto"/>
            <w:tcMar>
              <w:top w:w="28" w:type="dxa"/>
              <w:left w:w="28" w:type="dxa"/>
              <w:bottom w:w="28" w:type="dxa"/>
              <w:right w:w="28" w:type="dxa"/>
            </w:tcMar>
            <w:vAlign w:val="center"/>
          </w:tcPr>
          <w:p w14:paraId="6BD3276D" w14:textId="77777777" w:rsidR="00A35D48" w:rsidRPr="00FC4465" w:rsidRDefault="00A35D48" w:rsidP="00D4046C">
            <w:pPr>
              <w:spacing w:before="40" w:after="40" w:line="200" w:lineRule="atLeast"/>
              <w:contextualSpacing/>
              <w:jc w:val="center"/>
              <w:rPr>
                <w:rFonts w:asciiTheme="majorBidi" w:hAnsiTheme="majorBidi" w:cstheme="majorBidi"/>
                <w:bCs/>
                <w:noProof/>
                <w:sz w:val="16"/>
                <w:szCs w:val="16"/>
              </w:rPr>
            </w:pPr>
            <w:r w:rsidRPr="00FC4465">
              <w:rPr>
                <w:rFonts w:asciiTheme="majorBidi" w:hAnsiTheme="majorBidi" w:cstheme="majorBidi"/>
                <w:sz w:val="16"/>
                <w:szCs w:val="16"/>
              </w:rPr>
              <w:t>No puede hacerse ninguna predicción independiente</w:t>
            </w:r>
          </w:p>
        </w:tc>
        <w:tc>
          <w:tcPr>
            <w:tcW w:w="1018" w:type="pct"/>
            <w:gridSpan w:val="4"/>
            <w:shd w:val="clear" w:color="auto" w:fill="auto"/>
            <w:tcMar>
              <w:top w:w="28" w:type="dxa"/>
              <w:left w:w="28" w:type="dxa"/>
              <w:bottom w:w="28" w:type="dxa"/>
              <w:right w:w="28" w:type="dxa"/>
            </w:tcMar>
            <w:vAlign w:val="center"/>
          </w:tcPr>
          <w:p w14:paraId="1E9C75DD" w14:textId="77777777" w:rsidR="00A35D48" w:rsidRPr="00FC4465" w:rsidRDefault="00A35D48" w:rsidP="00D4046C">
            <w:pPr>
              <w:spacing w:before="40" w:after="40" w:line="200" w:lineRule="atLeast"/>
              <w:contextualSpacing/>
              <w:jc w:val="center"/>
              <w:rPr>
                <w:rFonts w:asciiTheme="majorBidi" w:hAnsiTheme="majorBidi" w:cstheme="majorBidi"/>
                <w:bCs/>
                <w:noProof/>
                <w:sz w:val="16"/>
                <w:szCs w:val="16"/>
              </w:rPr>
            </w:pPr>
            <w:r w:rsidRPr="00FC4465">
              <w:rPr>
                <w:rFonts w:asciiTheme="majorBidi" w:hAnsiTheme="majorBidi" w:cstheme="majorBidi"/>
                <w:sz w:val="16"/>
                <w:szCs w:val="16"/>
              </w:rPr>
              <w:t>No puede hacerse ninguna predicción independiente</w:t>
            </w:r>
          </w:p>
        </w:tc>
        <w:tc>
          <w:tcPr>
            <w:tcW w:w="464" w:type="pct"/>
            <w:tcMar>
              <w:top w:w="28" w:type="dxa"/>
              <w:left w:w="28" w:type="dxa"/>
              <w:bottom w:w="28" w:type="dxa"/>
              <w:right w:w="28" w:type="dxa"/>
            </w:tcMar>
            <w:vAlign w:val="center"/>
          </w:tcPr>
          <w:p w14:paraId="73625D19" w14:textId="77777777" w:rsidR="00A35D48" w:rsidRPr="00FC4465" w:rsidRDefault="00A35D48" w:rsidP="00D4046C">
            <w:pPr>
              <w:spacing w:before="40" w:after="40" w:line="200" w:lineRule="atLeast"/>
              <w:contextualSpacing/>
              <w:jc w:val="center"/>
              <w:rPr>
                <w:rFonts w:asciiTheme="majorBidi" w:eastAsia="Calibri" w:hAnsiTheme="majorBidi" w:cstheme="majorBidi"/>
                <w:bCs/>
                <w:noProof/>
                <w:sz w:val="16"/>
                <w:szCs w:val="16"/>
              </w:rPr>
            </w:pPr>
            <w:r w:rsidRPr="00FC4465">
              <w:rPr>
                <w:rFonts w:asciiTheme="majorBidi" w:hAnsiTheme="majorBidi" w:cstheme="majorBidi"/>
                <w:sz w:val="16"/>
                <w:szCs w:val="16"/>
              </w:rPr>
              <w:t>No puede hacerse ninguna predicción independiente</w:t>
            </w:r>
          </w:p>
        </w:tc>
        <w:tc>
          <w:tcPr>
            <w:tcW w:w="666" w:type="pct"/>
            <w:tcMar>
              <w:top w:w="28" w:type="dxa"/>
              <w:left w:w="28" w:type="dxa"/>
              <w:bottom w:w="28" w:type="dxa"/>
              <w:right w:w="28" w:type="dxa"/>
            </w:tcMar>
            <w:vAlign w:val="center"/>
          </w:tcPr>
          <w:p w14:paraId="1F9A82AB" w14:textId="77777777" w:rsidR="00A35D48" w:rsidRPr="00FC4465" w:rsidRDefault="00A35D48" w:rsidP="00D4046C">
            <w:pPr>
              <w:spacing w:before="40" w:after="40" w:line="200" w:lineRule="atLeast"/>
              <w:contextualSpacing/>
              <w:jc w:val="center"/>
              <w:rPr>
                <w:rFonts w:asciiTheme="majorBidi" w:eastAsia="Calibri" w:hAnsiTheme="majorBidi" w:cstheme="majorBidi"/>
                <w:bCs/>
                <w:noProof/>
                <w:sz w:val="16"/>
                <w:szCs w:val="16"/>
              </w:rPr>
            </w:pPr>
            <w:r w:rsidRPr="00FC4465">
              <w:rPr>
                <w:rFonts w:asciiTheme="majorBidi" w:hAnsiTheme="majorBidi" w:cstheme="majorBidi"/>
                <w:sz w:val="16"/>
                <w:szCs w:val="16"/>
              </w:rPr>
              <w:t>No puede hacerse ninguna predicción independiente</w:t>
            </w:r>
          </w:p>
        </w:tc>
      </w:tr>
      <w:tr w:rsidR="00A35D48" w:rsidRPr="00FC4465" w14:paraId="7D807149" w14:textId="77777777" w:rsidTr="00D4046C">
        <w:trPr>
          <w:trHeight w:val="399"/>
          <w:jc w:val="center"/>
        </w:trPr>
        <w:tc>
          <w:tcPr>
            <w:tcW w:w="249" w:type="pct"/>
            <w:shd w:val="clear" w:color="auto" w:fill="auto"/>
            <w:tcMar>
              <w:top w:w="28" w:type="dxa"/>
              <w:left w:w="28" w:type="dxa"/>
              <w:bottom w:w="28" w:type="dxa"/>
              <w:right w:w="28" w:type="dxa"/>
            </w:tcMar>
          </w:tcPr>
          <w:p w14:paraId="099D6D65" w14:textId="77777777" w:rsidR="00A35D48" w:rsidRPr="00FC4465" w:rsidRDefault="00A35D48" w:rsidP="00C93947">
            <w:pPr>
              <w:spacing w:before="40" w:after="40" w:line="200" w:lineRule="atLeast"/>
              <w:ind w:left="-63" w:right="-58"/>
              <w:contextualSpacing/>
              <w:jc w:val="center"/>
              <w:rPr>
                <w:rFonts w:asciiTheme="majorBidi" w:hAnsiTheme="majorBidi" w:cstheme="majorBidi"/>
                <w:b/>
                <w:bCs/>
                <w:noProof/>
                <w:sz w:val="16"/>
                <w:szCs w:val="16"/>
              </w:rPr>
            </w:pPr>
            <w:r w:rsidRPr="00FC4465">
              <w:rPr>
                <w:rFonts w:asciiTheme="majorBidi" w:hAnsiTheme="majorBidi" w:cstheme="majorBidi"/>
                <w:b/>
                <w:bCs/>
                <w:sz w:val="16"/>
                <w:szCs w:val="16"/>
              </w:rPr>
              <w:t>No se clasifica</w:t>
            </w:r>
          </w:p>
        </w:tc>
        <w:tc>
          <w:tcPr>
            <w:tcW w:w="350" w:type="pct"/>
            <w:shd w:val="clear" w:color="auto" w:fill="auto"/>
            <w:tcMar>
              <w:top w:w="28" w:type="dxa"/>
              <w:left w:w="28" w:type="dxa"/>
              <w:bottom w:w="28" w:type="dxa"/>
              <w:right w:w="28" w:type="dxa"/>
            </w:tcMar>
          </w:tcPr>
          <w:p w14:paraId="777A6DD1" w14:textId="77777777" w:rsidR="00A35D48" w:rsidRPr="00FC4465" w:rsidRDefault="00A35D48" w:rsidP="00C93947">
            <w:pPr>
              <w:tabs>
                <w:tab w:val="left" w:pos="568"/>
              </w:tabs>
              <w:spacing w:before="40" w:after="40" w:line="200" w:lineRule="atLeast"/>
              <w:contextualSpacing/>
              <w:jc w:val="center"/>
              <w:rPr>
                <w:rFonts w:asciiTheme="majorBidi" w:eastAsia="Calibri" w:hAnsiTheme="majorBidi" w:cstheme="majorBidi"/>
                <w:bCs/>
                <w:noProof/>
                <w:sz w:val="16"/>
                <w:szCs w:val="16"/>
              </w:rPr>
            </w:pPr>
            <w:r w:rsidRPr="00FC4465">
              <w:rPr>
                <w:rFonts w:asciiTheme="majorBidi" w:hAnsiTheme="majorBidi" w:cstheme="majorBidi"/>
                <w:sz w:val="16"/>
                <w:szCs w:val="16"/>
              </w:rPr>
              <w:t>Opacímetro 1</w:t>
            </w:r>
          </w:p>
          <w:p w14:paraId="2ED3D89F" w14:textId="77777777" w:rsidR="00A35D48" w:rsidRPr="00FC4465" w:rsidRDefault="00A35D48" w:rsidP="00C93947">
            <w:pPr>
              <w:tabs>
                <w:tab w:val="left" w:pos="568"/>
              </w:tabs>
              <w:spacing w:before="40" w:after="40" w:line="200" w:lineRule="atLeast"/>
              <w:contextualSpacing/>
              <w:jc w:val="center"/>
              <w:rPr>
                <w:rFonts w:asciiTheme="majorBidi" w:eastAsia="Calibri" w:hAnsiTheme="majorBidi" w:cstheme="majorBidi"/>
                <w:bCs/>
                <w:noProof/>
                <w:sz w:val="16"/>
                <w:szCs w:val="16"/>
              </w:rPr>
            </w:pPr>
          </w:p>
          <w:p w14:paraId="102A229B" w14:textId="77777777" w:rsidR="00A35D48" w:rsidRPr="00FC4465" w:rsidRDefault="00A35D48" w:rsidP="00C93947">
            <w:pPr>
              <w:tabs>
                <w:tab w:val="left" w:pos="568"/>
              </w:tabs>
              <w:spacing w:before="40" w:after="40" w:line="200" w:lineRule="atLeast"/>
              <w:contextualSpacing/>
              <w:jc w:val="center"/>
              <w:rPr>
                <w:rFonts w:asciiTheme="majorBidi" w:hAnsiTheme="majorBidi" w:cstheme="majorBidi"/>
                <w:bCs/>
                <w:noProof/>
                <w:sz w:val="16"/>
                <w:szCs w:val="16"/>
              </w:rPr>
            </w:pPr>
            <w:r w:rsidRPr="00FC4465">
              <w:rPr>
                <w:rFonts w:asciiTheme="majorBidi" w:eastAsia="Calibri" w:hAnsiTheme="majorBidi" w:cstheme="majorBidi"/>
                <w:bCs/>
                <w:noProof/>
                <w:sz w:val="16"/>
                <w:szCs w:val="16"/>
              </w:rPr>
              <w:t>IVIS ≤ 3</w:t>
            </w:r>
          </w:p>
        </w:tc>
        <w:tc>
          <w:tcPr>
            <w:tcW w:w="351" w:type="pct"/>
            <w:shd w:val="clear" w:color="auto" w:fill="auto"/>
            <w:tcMar>
              <w:top w:w="28" w:type="dxa"/>
              <w:left w:w="28" w:type="dxa"/>
              <w:bottom w:w="28" w:type="dxa"/>
              <w:right w:w="28" w:type="dxa"/>
            </w:tcMar>
          </w:tcPr>
          <w:p w14:paraId="3B7E5BCA" w14:textId="77777777" w:rsidR="00A35D48" w:rsidRPr="00FC4465" w:rsidRDefault="00A35D48" w:rsidP="00C93947">
            <w:pPr>
              <w:tabs>
                <w:tab w:val="left" w:pos="568"/>
              </w:tabs>
              <w:spacing w:before="40" w:after="40" w:line="200" w:lineRule="atLeast"/>
              <w:contextualSpacing/>
              <w:jc w:val="center"/>
              <w:rPr>
                <w:rFonts w:asciiTheme="majorBidi" w:hAnsiTheme="majorBidi" w:cstheme="majorBidi"/>
                <w:bCs/>
                <w:noProof/>
                <w:sz w:val="16"/>
                <w:szCs w:val="16"/>
              </w:rPr>
            </w:pPr>
            <w:r w:rsidRPr="00FC4465">
              <w:rPr>
                <w:rFonts w:asciiTheme="majorBidi" w:hAnsiTheme="majorBidi" w:cstheme="majorBidi"/>
                <w:sz w:val="16"/>
                <w:szCs w:val="16"/>
              </w:rPr>
              <w:t>Opacímetro 2</w:t>
            </w:r>
          </w:p>
          <w:p w14:paraId="79943928" w14:textId="77777777" w:rsidR="00A35D48" w:rsidRPr="00FC4465" w:rsidRDefault="00A35D48" w:rsidP="00C93947">
            <w:pPr>
              <w:tabs>
                <w:tab w:val="left" w:pos="568"/>
              </w:tabs>
              <w:spacing w:before="40" w:after="40" w:line="200" w:lineRule="atLeast"/>
              <w:contextualSpacing/>
              <w:jc w:val="center"/>
              <w:rPr>
                <w:rFonts w:asciiTheme="majorBidi" w:hAnsiTheme="majorBidi" w:cstheme="majorBidi"/>
                <w:bCs/>
                <w:noProof/>
                <w:sz w:val="16"/>
                <w:szCs w:val="16"/>
              </w:rPr>
            </w:pPr>
          </w:p>
          <w:p w14:paraId="4661BF7F" w14:textId="77777777" w:rsidR="00A35D48" w:rsidRPr="00FC4465" w:rsidRDefault="00A35D48" w:rsidP="00C93947">
            <w:pPr>
              <w:tabs>
                <w:tab w:val="left" w:pos="568"/>
              </w:tabs>
              <w:spacing w:before="40" w:after="40" w:line="200" w:lineRule="atLeast"/>
              <w:contextualSpacing/>
              <w:jc w:val="center"/>
              <w:rPr>
                <w:rFonts w:asciiTheme="majorBidi" w:hAnsiTheme="majorBidi" w:cstheme="majorBidi"/>
                <w:bCs/>
                <w:noProof/>
                <w:sz w:val="16"/>
                <w:szCs w:val="16"/>
              </w:rPr>
            </w:pPr>
            <w:r w:rsidRPr="00FC4465">
              <w:rPr>
                <w:rFonts w:asciiTheme="majorBidi" w:hAnsiTheme="majorBidi" w:cstheme="majorBidi"/>
                <w:bCs/>
                <w:noProof/>
                <w:sz w:val="16"/>
                <w:szCs w:val="16"/>
              </w:rPr>
              <w:t>LIS ≤ 30</w:t>
            </w:r>
          </w:p>
        </w:tc>
        <w:tc>
          <w:tcPr>
            <w:tcW w:w="630" w:type="pct"/>
            <w:shd w:val="clear" w:color="auto" w:fill="auto"/>
            <w:tcMar>
              <w:top w:w="28" w:type="dxa"/>
              <w:left w:w="28" w:type="dxa"/>
              <w:bottom w:w="28" w:type="dxa"/>
              <w:right w:w="28" w:type="dxa"/>
            </w:tcMar>
          </w:tcPr>
          <w:p w14:paraId="2EFC50AA" w14:textId="77777777" w:rsidR="00A35D48" w:rsidRPr="00FC4465" w:rsidRDefault="00A35D48" w:rsidP="00C93947">
            <w:pPr>
              <w:spacing w:before="40" w:after="40" w:line="200" w:lineRule="atLeast"/>
              <w:contextualSpacing/>
              <w:jc w:val="center"/>
              <w:rPr>
                <w:rFonts w:asciiTheme="majorBidi" w:hAnsiTheme="majorBidi" w:cstheme="majorBidi"/>
                <w:sz w:val="16"/>
                <w:szCs w:val="16"/>
              </w:rPr>
            </w:pPr>
            <w:r w:rsidRPr="00FC4465">
              <w:rPr>
                <w:rFonts w:asciiTheme="majorBidi" w:hAnsiTheme="majorBidi" w:cstheme="majorBidi"/>
                <w:sz w:val="16"/>
                <w:szCs w:val="16"/>
              </w:rPr>
              <w:t>Clase ICE I para los 3 criterios terminales,</w:t>
            </w:r>
          </w:p>
          <w:p w14:paraId="20AF6852" w14:textId="77777777" w:rsidR="00A35D48" w:rsidRPr="00FC4465" w:rsidRDefault="00A35D48" w:rsidP="00C93947">
            <w:pPr>
              <w:spacing w:before="40" w:after="40" w:line="200" w:lineRule="atLeast"/>
              <w:contextualSpacing/>
              <w:jc w:val="center"/>
              <w:rPr>
                <w:rFonts w:asciiTheme="majorBidi" w:hAnsiTheme="majorBidi" w:cstheme="majorBidi"/>
                <w:sz w:val="16"/>
                <w:szCs w:val="16"/>
              </w:rPr>
            </w:pPr>
            <w:r w:rsidRPr="00FC4465">
              <w:rPr>
                <w:rFonts w:asciiTheme="majorBidi" w:hAnsiTheme="majorBidi" w:cstheme="majorBidi"/>
                <w:sz w:val="16"/>
                <w:szCs w:val="16"/>
              </w:rPr>
              <w:t>O bien</w:t>
            </w:r>
          </w:p>
          <w:p w14:paraId="0441CE1C" w14:textId="78A01E12" w:rsidR="00A35D48" w:rsidRPr="00FC4465" w:rsidRDefault="00A35D48" w:rsidP="00C93947">
            <w:pPr>
              <w:spacing w:before="40" w:after="40" w:line="200" w:lineRule="atLeast"/>
              <w:contextualSpacing/>
              <w:jc w:val="center"/>
              <w:rPr>
                <w:rFonts w:asciiTheme="majorBidi" w:hAnsiTheme="majorBidi" w:cstheme="majorBidi"/>
                <w:sz w:val="16"/>
                <w:szCs w:val="16"/>
              </w:rPr>
            </w:pPr>
            <w:r w:rsidRPr="00FC4465">
              <w:rPr>
                <w:rFonts w:asciiTheme="majorBidi" w:hAnsiTheme="majorBidi" w:cstheme="majorBidi"/>
                <w:sz w:val="16"/>
                <w:szCs w:val="16"/>
              </w:rPr>
              <w:t xml:space="preserve">Clase ICE I para </w:t>
            </w:r>
            <w:r w:rsidR="00D4046C">
              <w:rPr>
                <w:rFonts w:asciiTheme="majorBidi" w:hAnsiTheme="majorBidi" w:cstheme="majorBidi"/>
                <w:sz w:val="16"/>
                <w:szCs w:val="16"/>
              </w:rPr>
              <w:br/>
            </w:r>
            <w:r w:rsidRPr="00FC4465">
              <w:rPr>
                <w:rFonts w:asciiTheme="majorBidi" w:hAnsiTheme="majorBidi" w:cstheme="majorBidi"/>
                <w:sz w:val="16"/>
                <w:szCs w:val="16"/>
              </w:rPr>
              <w:t>2 criterios terminales y clase ICE II para el otro criterio terminal,</w:t>
            </w:r>
          </w:p>
          <w:p w14:paraId="6B8CC41D" w14:textId="77777777" w:rsidR="00A35D48" w:rsidRPr="00FC4465" w:rsidRDefault="00A35D48" w:rsidP="00C93947">
            <w:pPr>
              <w:spacing w:before="40" w:after="40" w:line="200" w:lineRule="atLeast"/>
              <w:contextualSpacing/>
              <w:jc w:val="center"/>
              <w:rPr>
                <w:rFonts w:asciiTheme="majorBidi" w:hAnsiTheme="majorBidi" w:cstheme="majorBidi"/>
                <w:sz w:val="16"/>
                <w:szCs w:val="16"/>
              </w:rPr>
            </w:pPr>
            <w:r w:rsidRPr="00FC4465">
              <w:rPr>
                <w:rFonts w:asciiTheme="majorBidi" w:hAnsiTheme="majorBidi" w:cstheme="majorBidi"/>
                <w:sz w:val="16"/>
                <w:szCs w:val="16"/>
              </w:rPr>
              <w:t>O bien</w:t>
            </w:r>
          </w:p>
          <w:p w14:paraId="124C725E" w14:textId="3B95B07A" w:rsidR="00A35D48" w:rsidRPr="00FC4465" w:rsidRDefault="00A35D48" w:rsidP="00C93947">
            <w:pPr>
              <w:spacing w:before="40" w:after="40" w:line="200" w:lineRule="atLeast"/>
              <w:contextualSpacing/>
              <w:jc w:val="center"/>
              <w:rPr>
                <w:rFonts w:asciiTheme="majorBidi" w:hAnsiTheme="majorBidi" w:cstheme="majorBidi"/>
                <w:noProof/>
                <w:sz w:val="16"/>
                <w:szCs w:val="16"/>
              </w:rPr>
            </w:pPr>
            <w:r w:rsidRPr="00FC4465">
              <w:rPr>
                <w:rFonts w:asciiTheme="majorBidi" w:hAnsiTheme="majorBidi" w:cstheme="majorBidi"/>
                <w:sz w:val="16"/>
                <w:szCs w:val="16"/>
              </w:rPr>
              <w:t xml:space="preserve">Clase ICE II para </w:t>
            </w:r>
            <w:r w:rsidR="00D4046C">
              <w:rPr>
                <w:rFonts w:asciiTheme="majorBidi" w:hAnsiTheme="majorBidi" w:cstheme="majorBidi"/>
                <w:sz w:val="16"/>
                <w:szCs w:val="16"/>
              </w:rPr>
              <w:br/>
            </w:r>
            <w:r w:rsidRPr="00FC4465">
              <w:rPr>
                <w:rFonts w:asciiTheme="majorBidi" w:hAnsiTheme="majorBidi" w:cstheme="majorBidi"/>
                <w:sz w:val="16"/>
                <w:szCs w:val="16"/>
              </w:rPr>
              <w:t>2 criterios terminales y clase ICE I para el otro criterio terminal</w:t>
            </w:r>
          </w:p>
        </w:tc>
        <w:tc>
          <w:tcPr>
            <w:tcW w:w="650" w:type="pct"/>
            <w:tcMar>
              <w:top w:w="28" w:type="dxa"/>
              <w:left w:w="28" w:type="dxa"/>
              <w:bottom w:w="28" w:type="dxa"/>
              <w:right w:w="28" w:type="dxa"/>
            </w:tcMar>
          </w:tcPr>
          <w:p w14:paraId="19CC2DEF" w14:textId="77777777" w:rsidR="00A35D48" w:rsidRPr="00FC4465" w:rsidRDefault="00A35D48" w:rsidP="00C93947">
            <w:pPr>
              <w:spacing w:before="40" w:after="40" w:line="200" w:lineRule="atLeast"/>
              <w:contextualSpacing/>
              <w:jc w:val="center"/>
              <w:rPr>
                <w:rFonts w:asciiTheme="majorBidi" w:eastAsia="Calibri" w:hAnsiTheme="majorBidi" w:cstheme="majorBidi"/>
                <w:bCs/>
                <w:noProof/>
                <w:sz w:val="16"/>
                <w:szCs w:val="16"/>
              </w:rPr>
            </w:pPr>
            <w:r w:rsidRPr="00FC4465">
              <w:rPr>
                <w:rFonts w:asciiTheme="majorBidi" w:hAnsiTheme="majorBidi" w:cstheme="majorBidi"/>
                <w:sz w:val="16"/>
                <w:szCs w:val="16"/>
              </w:rPr>
              <w:t>No puede hacerse ninguna predicción independiente</w:t>
            </w:r>
          </w:p>
        </w:tc>
        <w:tc>
          <w:tcPr>
            <w:tcW w:w="622" w:type="pct"/>
            <w:shd w:val="clear" w:color="auto" w:fill="auto"/>
            <w:tcMar>
              <w:top w:w="28" w:type="dxa"/>
              <w:left w:w="28" w:type="dxa"/>
              <w:bottom w:w="28" w:type="dxa"/>
              <w:right w:w="28" w:type="dxa"/>
            </w:tcMar>
          </w:tcPr>
          <w:p w14:paraId="490ADCA0" w14:textId="6785ADCD" w:rsidR="00A35D48" w:rsidRPr="00FC4465" w:rsidRDefault="00A35D48" w:rsidP="00C93947">
            <w:pPr>
              <w:spacing w:before="40" w:after="40" w:line="200" w:lineRule="atLeast"/>
              <w:contextualSpacing/>
              <w:jc w:val="center"/>
              <w:rPr>
                <w:rFonts w:asciiTheme="majorBidi" w:eastAsia="Calibri" w:hAnsiTheme="majorBidi" w:cstheme="majorBidi"/>
                <w:bCs/>
                <w:noProof/>
                <w:sz w:val="16"/>
                <w:szCs w:val="16"/>
              </w:rPr>
            </w:pPr>
            <w:r w:rsidRPr="00FC4465">
              <w:rPr>
                <w:rFonts w:asciiTheme="majorBidi" w:hAnsiTheme="majorBidi" w:cstheme="majorBidi"/>
                <w:sz w:val="16"/>
                <w:szCs w:val="16"/>
              </w:rPr>
              <w:t>Viabilidad &gt; 70</w:t>
            </w:r>
            <w:r w:rsidR="008C5013" w:rsidRPr="00FC4465">
              <w:rPr>
                <w:rFonts w:asciiTheme="majorBidi" w:hAnsiTheme="majorBidi" w:cstheme="majorBidi"/>
                <w:sz w:val="16"/>
                <w:szCs w:val="16"/>
              </w:rPr>
              <w:t> %</w:t>
            </w:r>
          </w:p>
          <w:p w14:paraId="71B76E50" w14:textId="391B89A7" w:rsidR="00A35D48" w:rsidRPr="00FC4465" w:rsidRDefault="00A35D48" w:rsidP="00D4046C">
            <w:pPr>
              <w:spacing w:before="40" w:after="40" w:line="200" w:lineRule="atLeast"/>
              <w:contextualSpacing/>
              <w:jc w:val="center"/>
              <w:rPr>
                <w:rFonts w:asciiTheme="majorBidi" w:hAnsiTheme="majorBidi" w:cstheme="majorBidi"/>
                <w:bCs/>
                <w:noProof/>
                <w:sz w:val="16"/>
                <w:szCs w:val="16"/>
              </w:rPr>
            </w:pPr>
            <w:r w:rsidRPr="00FC4465">
              <w:rPr>
                <w:rFonts w:asciiTheme="majorBidi" w:hAnsiTheme="majorBidi" w:cstheme="majorBidi"/>
                <w:sz w:val="16"/>
                <w:szCs w:val="16"/>
              </w:rPr>
              <w:t>al 5</w:t>
            </w:r>
            <w:r w:rsidR="008C5013" w:rsidRPr="00FC4465">
              <w:rPr>
                <w:rFonts w:asciiTheme="majorBidi" w:hAnsiTheme="majorBidi" w:cstheme="majorBidi"/>
                <w:sz w:val="16"/>
                <w:szCs w:val="16"/>
              </w:rPr>
              <w:t> %</w:t>
            </w:r>
            <w:r w:rsidRPr="00FC4465">
              <w:rPr>
                <w:rFonts w:asciiTheme="majorBidi" w:hAnsiTheme="majorBidi" w:cstheme="majorBidi"/>
                <w:sz w:val="16"/>
                <w:szCs w:val="16"/>
              </w:rPr>
              <w:t xml:space="preserve"> y al 0,05</w:t>
            </w:r>
            <w:r w:rsidR="00F37468">
              <w:rPr>
                <w:rFonts w:asciiTheme="majorBidi" w:hAnsiTheme="majorBidi" w:cstheme="majorBidi"/>
                <w:sz w:val="16"/>
                <w:szCs w:val="16"/>
              </w:rPr>
              <w:t> </w:t>
            </w:r>
            <w:r w:rsidR="00D4046C">
              <w:rPr>
                <w:rFonts w:asciiTheme="majorBidi" w:hAnsiTheme="majorBidi" w:cstheme="majorBidi"/>
                <w:sz w:val="16"/>
                <w:szCs w:val="16"/>
              </w:rPr>
              <w:t>%</w:t>
            </w:r>
          </w:p>
        </w:tc>
        <w:tc>
          <w:tcPr>
            <w:tcW w:w="261" w:type="pct"/>
            <w:shd w:val="clear" w:color="auto" w:fill="auto"/>
            <w:tcMar>
              <w:top w:w="28" w:type="dxa"/>
              <w:left w:w="28" w:type="dxa"/>
              <w:bottom w:w="28" w:type="dxa"/>
              <w:right w:w="28" w:type="dxa"/>
            </w:tcMar>
          </w:tcPr>
          <w:p w14:paraId="250FE448" w14:textId="62DB4ED0" w:rsidR="00A35D48" w:rsidRPr="00FC4465" w:rsidRDefault="00A35D48" w:rsidP="00C93947">
            <w:pPr>
              <w:spacing w:before="40" w:after="40" w:line="200" w:lineRule="atLeast"/>
              <w:contextualSpacing/>
              <w:jc w:val="center"/>
              <w:rPr>
                <w:rFonts w:asciiTheme="majorBidi" w:eastAsia="Calibri" w:hAnsiTheme="majorBidi" w:cstheme="majorBidi"/>
                <w:bCs/>
                <w:noProof/>
                <w:spacing w:val="-2"/>
                <w:sz w:val="16"/>
                <w:szCs w:val="16"/>
              </w:rPr>
            </w:pPr>
            <w:r w:rsidRPr="00FC4465">
              <w:rPr>
                <w:rFonts w:asciiTheme="majorBidi" w:hAnsiTheme="majorBidi" w:cstheme="majorBidi"/>
                <w:spacing w:val="-2"/>
                <w:sz w:val="16"/>
                <w:szCs w:val="16"/>
              </w:rPr>
              <w:t xml:space="preserve">Método </w:t>
            </w:r>
            <w:r w:rsidR="00D4046C">
              <w:rPr>
                <w:rFonts w:asciiTheme="majorBidi" w:hAnsiTheme="majorBidi" w:cstheme="majorBidi"/>
                <w:spacing w:val="-2"/>
                <w:sz w:val="16"/>
                <w:szCs w:val="16"/>
              </w:rPr>
              <w:br/>
            </w:r>
            <w:r w:rsidRPr="00FC4465">
              <w:rPr>
                <w:rFonts w:asciiTheme="majorBidi" w:hAnsiTheme="majorBidi" w:cstheme="majorBidi"/>
                <w:spacing w:val="-2"/>
                <w:sz w:val="16"/>
                <w:szCs w:val="16"/>
              </w:rPr>
              <w:t>de ensayo 1</w:t>
            </w:r>
          </w:p>
          <w:p w14:paraId="6DB56350" w14:textId="77777777" w:rsidR="00A35D48" w:rsidRPr="00FC4465" w:rsidRDefault="00A35D48" w:rsidP="00C93947">
            <w:pPr>
              <w:spacing w:before="40" w:after="40" w:line="200" w:lineRule="atLeast"/>
              <w:contextualSpacing/>
              <w:jc w:val="center"/>
              <w:rPr>
                <w:rFonts w:asciiTheme="majorBidi" w:eastAsia="Calibri" w:hAnsiTheme="majorBidi" w:cstheme="majorBidi"/>
                <w:bCs/>
                <w:noProof/>
                <w:spacing w:val="-2"/>
                <w:sz w:val="16"/>
                <w:szCs w:val="16"/>
              </w:rPr>
            </w:pPr>
          </w:p>
          <w:p w14:paraId="62AFE700" w14:textId="452E3CBC" w:rsidR="00A35D48" w:rsidRPr="00FC4465" w:rsidDel="007B5292" w:rsidRDefault="00A35D48" w:rsidP="00C93947">
            <w:pPr>
              <w:spacing w:before="40" w:after="40" w:line="200" w:lineRule="atLeast"/>
              <w:contextualSpacing/>
              <w:jc w:val="center"/>
              <w:rPr>
                <w:rFonts w:asciiTheme="majorBidi" w:eastAsia="Calibri" w:hAnsiTheme="majorBidi" w:cstheme="majorBidi"/>
                <w:bCs/>
                <w:noProof/>
                <w:spacing w:val="-2"/>
                <w:sz w:val="16"/>
                <w:szCs w:val="16"/>
              </w:rPr>
            </w:pPr>
            <w:r w:rsidRPr="00FC4465">
              <w:rPr>
                <w:rFonts w:asciiTheme="majorBidi" w:hAnsiTheme="majorBidi" w:cstheme="majorBidi"/>
                <w:spacing w:val="-2"/>
                <w:sz w:val="16"/>
                <w:szCs w:val="16"/>
              </w:rPr>
              <w:t>Líquidos y sólidos: Viabilidad &gt; 60</w:t>
            </w:r>
            <w:r w:rsidR="008C5013" w:rsidRPr="00FC4465">
              <w:rPr>
                <w:rFonts w:asciiTheme="majorBidi" w:hAnsiTheme="majorBidi" w:cstheme="majorBidi"/>
                <w:spacing w:val="-2"/>
                <w:sz w:val="16"/>
                <w:szCs w:val="16"/>
              </w:rPr>
              <w:t> %</w:t>
            </w:r>
          </w:p>
        </w:tc>
        <w:tc>
          <w:tcPr>
            <w:tcW w:w="252" w:type="pct"/>
            <w:shd w:val="clear" w:color="auto" w:fill="auto"/>
            <w:tcMar>
              <w:top w:w="28" w:type="dxa"/>
              <w:left w:w="28" w:type="dxa"/>
              <w:bottom w:w="28" w:type="dxa"/>
              <w:right w:w="28" w:type="dxa"/>
            </w:tcMar>
          </w:tcPr>
          <w:p w14:paraId="113DDD6B" w14:textId="77777777" w:rsidR="00A35D48" w:rsidRPr="00FC4465" w:rsidRDefault="00A35D48" w:rsidP="00C93947">
            <w:pPr>
              <w:spacing w:before="40" w:after="40" w:line="200" w:lineRule="atLeast"/>
              <w:contextualSpacing/>
              <w:jc w:val="center"/>
              <w:rPr>
                <w:rFonts w:asciiTheme="majorBidi" w:eastAsia="Calibri" w:hAnsiTheme="majorBidi" w:cstheme="majorBidi"/>
                <w:bCs/>
                <w:noProof/>
                <w:spacing w:val="-2"/>
                <w:sz w:val="16"/>
                <w:szCs w:val="16"/>
              </w:rPr>
            </w:pPr>
            <w:r w:rsidRPr="00FC4465">
              <w:rPr>
                <w:rFonts w:asciiTheme="majorBidi" w:hAnsiTheme="majorBidi" w:cstheme="majorBidi"/>
                <w:spacing w:val="-2"/>
                <w:sz w:val="16"/>
                <w:szCs w:val="16"/>
              </w:rPr>
              <w:t xml:space="preserve">Método de ensayo 2 </w:t>
            </w:r>
          </w:p>
          <w:p w14:paraId="0D64135D" w14:textId="77777777" w:rsidR="00A35D48" w:rsidRPr="00FC4465" w:rsidRDefault="00A35D48" w:rsidP="00C93947">
            <w:pPr>
              <w:spacing w:before="40" w:after="40" w:line="200" w:lineRule="atLeast"/>
              <w:contextualSpacing/>
              <w:jc w:val="center"/>
              <w:rPr>
                <w:rFonts w:asciiTheme="majorBidi" w:eastAsia="Calibri" w:hAnsiTheme="majorBidi" w:cstheme="majorBidi"/>
                <w:bCs/>
                <w:noProof/>
                <w:spacing w:val="-2"/>
                <w:sz w:val="16"/>
                <w:szCs w:val="16"/>
              </w:rPr>
            </w:pPr>
          </w:p>
          <w:p w14:paraId="534780D2" w14:textId="49BDE022" w:rsidR="00A35D48" w:rsidRPr="00FC4465" w:rsidRDefault="00A35D48" w:rsidP="00C93947">
            <w:pPr>
              <w:spacing w:before="40" w:after="40" w:line="200" w:lineRule="atLeast"/>
              <w:contextualSpacing/>
              <w:jc w:val="center"/>
              <w:rPr>
                <w:rFonts w:asciiTheme="majorBidi" w:eastAsia="Calibri" w:hAnsiTheme="majorBidi" w:cstheme="majorBidi"/>
                <w:bCs/>
                <w:noProof/>
                <w:spacing w:val="-2"/>
                <w:sz w:val="16"/>
                <w:szCs w:val="16"/>
              </w:rPr>
            </w:pPr>
            <w:r w:rsidRPr="00FC4465">
              <w:rPr>
                <w:rFonts w:asciiTheme="majorBidi" w:hAnsiTheme="majorBidi" w:cstheme="majorBidi"/>
                <w:spacing w:val="-2"/>
                <w:sz w:val="16"/>
                <w:szCs w:val="16"/>
              </w:rPr>
              <w:t>Líquidos: Viabilidad &gt; 60</w:t>
            </w:r>
            <w:r w:rsidR="008C5013" w:rsidRPr="00FC4465">
              <w:rPr>
                <w:rFonts w:asciiTheme="majorBidi" w:hAnsiTheme="majorBidi" w:cstheme="majorBidi"/>
                <w:spacing w:val="-2"/>
                <w:sz w:val="16"/>
                <w:szCs w:val="16"/>
              </w:rPr>
              <w:t> %</w:t>
            </w:r>
            <w:r w:rsidRPr="00FC4465">
              <w:rPr>
                <w:rFonts w:asciiTheme="majorBidi" w:hAnsiTheme="majorBidi" w:cstheme="majorBidi"/>
                <w:spacing w:val="-2"/>
                <w:sz w:val="16"/>
                <w:szCs w:val="16"/>
              </w:rPr>
              <w:t xml:space="preserve">; </w:t>
            </w:r>
          </w:p>
          <w:p w14:paraId="7925CE4E" w14:textId="77777777" w:rsidR="00A35D48" w:rsidRPr="00FC4465" w:rsidRDefault="00A35D48" w:rsidP="00C93947">
            <w:pPr>
              <w:spacing w:before="40" w:after="40" w:line="200" w:lineRule="atLeast"/>
              <w:contextualSpacing/>
              <w:jc w:val="center"/>
              <w:rPr>
                <w:rFonts w:asciiTheme="majorBidi" w:eastAsia="Calibri" w:hAnsiTheme="majorBidi" w:cstheme="majorBidi"/>
                <w:bCs/>
                <w:noProof/>
                <w:spacing w:val="-2"/>
                <w:sz w:val="16"/>
                <w:szCs w:val="16"/>
              </w:rPr>
            </w:pPr>
            <w:r w:rsidRPr="00FC4465">
              <w:rPr>
                <w:rFonts w:asciiTheme="majorBidi" w:hAnsiTheme="majorBidi" w:cstheme="majorBidi"/>
                <w:spacing w:val="-2"/>
                <w:sz w:val="16"/>
                <w:szCs w:val="16"/>
              </w:rPr>
              <w:t>Sólidos:</w:t>
            </w:r>
          </w:p>
          <w:p w14:paraId="3A687442" w14:textId="50054772" w:rsidR="00A35D48" w:rsidRPr="00FC4465" w:rsidRDefault="00A35D48" w:rsidP="00C93947">
            <w:pPr>
              <w:spacing w:before="40" w:after="40" w:line="200" w:lineRule="atLeast"/>
              <w:contextualSpacing/>
              <w:jc w:val="center"/>
              <w:rPr>
                <w:rFonts w:asciiTheme="majorBidi" w:eastAsia="Calibri" w:hAnsiTheme="majorBidi" w:cstheme="majorBidi"/>
                <w:bCs/>
                <w:noProof/>
                <w:spacing w:val="-2"/>
                <w:sz w:val="16"/>
                <w:szCs w:val="16"/>
              </w:rPr>
            </w:pPr>
            <w:r w:rsidRPr="00FC4465">
              <w:rPr>
                <w:rFonts w:asciiTheme="majorBidi" w:hAnsiTheme="majorBidi" w:cstheme="majorBidi"/>
                <w:spacing w:val="-2"/>
                <w:sz w:val="16"/>
                <w:szCs w:val="16"/>
              </w:rPr>
              <w:t>Viabilidad &gt; 50</w:t>
            </w:r>
            <w:r w:rsidR="008C5013" w:rsidRPr="00FC4465">
              <w:rPr>
                <w:rFonts w:asciiTheme="majorBidi" w:hAnsiTheme="majorBidi" w:cstheme="majorBidi"/>
                <w:spacing w:val="-2"/>
                <w:sz w:val="16"/>
                <w:szCs w:val="16"/>
              </w:rPr>
              <w:t> %</w:t>
            </w:r>
          </w:p>
        </w:tc>
        <w:tc>
          <w:tcPr>
            <w:tcW w:w="252" w:type="pct"/>
            <w:shd w:val="clear" w:color="auto" w:fill="auto"/>
            <w:tcMar>
              <w:top w:w="28" w:type="dxa"/>
              <w:left w:w="28" w:type="dxa"/>
              <w:bottom w:w="28" w:type="dxa"/>
              <w:right w:w="28" w:type="dxa"/>
            </w:tcMar>
          </w:tcPr>
          <w:p w14:paraId="5440CD6F" w14:textId="77777777" w:rsidR="00A35D48" w:rsidRPr="00FC4465" w:rsidRDefault="00A35D48" w:rsidP="00C93947">
            <w:pPr>
              <w:spacing w:before="40" w:after="40" w:line="200" w:lineRule="atLeast"/>
              <w:contextualSpacing/>
              <w:jc w:val="center"/>
              <w:rPr>
                <w:rFonts w:asciiTheme="majorBidi" w:eastAsia="Calibri" w:hAnsiTheme="majorBidi" w:cstheme="majorBidi"/>
                <w:bCs/>
                <w:noProof/>
                <w:spacing w:val="-2"/>
                <w:sz w:val="16"/>
                <w:szCs w:val="16"/>
              </w:rPr>
            </w:pPr>
            <w:r w:rsidRPr="00FC4465">
              <w:rPr>
                <w:rFonts w:asciiTheme="majorBidi" w:hAnsiTheme="majorBidi" w:cstheme="majorBidi"/>
                <w:spacing w:val="-2"/>
                <w:sz w:val="16"/>
                <w:szCs w:val="16"/>
              </w:rPr>
              <w:t xml:space="preserve">Método de ensayo 3 </w:t>
            </w:r>
          </w:p>
          <w:p w14:paraId="551603C6" w14:textId="77777777" w:rsidR="00A35D48" w:rsidRPr="00FC4465" w:rsidRDefault="00A35D48" w:rsidP="00C93947">
            <w:pPr>
              <w:spacing w:before="40" w:after="40" w:line="200" w:lineRule="atLeast"/>
              <w:contextualSpacing/>
              <w:jc w:val="center"/>
              <w:rPr>
                <w:rFonts w:asciiTheme="majorBidi" w:eastAsia="Calibri" w:hAnsiTheme="majorBidi" w:cstheme="majorBidi"/>
                <w:bCs/>
                <w:noProof/>
                <w:spacing w:val="-2"/>
                <w:sz w:val="16"/>
                <w:szCs w:val="16"/>
              </w:rPr>
            </w:pPr>
          </w:p>
          <w:p w14:paraId="489BA4B6" w14:textId="18FD416B" w:rsidR="00A35D48" w:rsidRPr="00FC4465" w:rsidDel="007B5292" w:rsidRDefault="00A35D48" w:rsidP="00C93947">
            <w:pPr>
              <w:spacing w:before="40" w:after="40" w:line="200" w:lineRule="atLeast"/>
              <w:contextualSpacing/>
              <w:jc w:val="center"/>
              <w:rPr>
                <w:rFonts w:asciiTheme="majorBidi" w:eastAsia="Calibri" w:hAnsiTheme="majorBidi" w:cstheme="majorBidi"/>
                <w:bCs/>
                <w:noProof/>
                <w:spacing w:val="-2"/>
                <w:sz w:val="16"/>
                <w:szCs w:val="16"/>
              </w:rPr>
            </w:pPr>
            <w:r w:rsidRPr="00FC4465">
              <w:rPr>
                <w:rFonts w:asciiTheme="majorBidi" w:hAnsiTheme="majorBidi" w:cstheme="majorBidi"/>
                <w:spacing w:val="-2"/>
                <w:sz w:val="16"/>
                <w:szCs w:val="16"/>
              </w:rPr>
              <w:t>Líquidos y sólidos: Viabilidad &gt; 40</w:t>
            </w:r>
            <w:r w:rsidR="008C5013" w:rsidRPr="00FC4465">
              <w:rPr>
                <w:rFonts w:asciiTheme="majorBidi" w:hAnsiTheme="majorBidi" w:cstheme="majorBidi"/>
                <w:spacing w:val="-2"/>
                <w:sz w:val="16"/>
                <w:szCs w:val="16"/>
              </w:rPr>
              <w:t> %</w:t>
            </w:r>
          </w:p>
        </w:tc>
        <w:tc>
          <w:tcPr>
            <w:tcW w:w="253" w:type="pct"/>
            <w:shd w:val="clear" w:color="auto" w:fill="auto"/>
            <w:tcMar>
              <w:top w:w="28" w:type="dxa"/>
              <w:left w:w="28" w:type="dxa"/>
              <w:bottom w:w="28" w:type="dxa"/>
              <w:right w:w="28" w:type="dxa"/>
            </w:tcMar>
          </w:tcPr>
          <w:p w14:paraId="160AB588" w14:textId="77777777" w:rsidR="00A35D48" w:rsidRPr="00FC4465" w:rsidRDefault="00A35D48" w:rsidP="00C93947">
            <w:pPr>
              <w:spacing w:before="40" w:after="40" w:line="200" w:lineRule="atLeast"/>
              <w:contextualSpacing/>
              <w:jc w:val="center"/>
              <w:rPr>
                <w:rFonts w:asciiTheme="majorBidi" w:eastAsia="Calibri" w:hAnsiTheme="majorBidi" w:cstheme="majorBidi"/>
                <w:bCs/>
                <w:noProof/>
                <w:spacing w:val="-2"/>
                <w:sz w:val="16"/>
                <w:szCs w:val="16"/>
              </w:rPr>
            </w:pPr>
            <w:r w:rsidRPr="00FC4465">
              <w:rPr>
                <w:rFonts w:asciiTheme="majorBidi" w:hAnsiTheme="majorBidi" w:cstheme="majorBidi"/>
                <w:spacing w:val="-2"/>
                <w:sz w:val="16"/>
                <w:szCs w:val="16"/>
              </w:rPr>
              <w:t xml:space="preserve">Método de ensayo 4 </w:t>
            </w:r>
          </w:p>
          <w:p w14:paraId="33E2ECF6" w14:textId="77777777" w:rsidR="00A35D48" w:rsidRPr="00FC4465" w:rsidRDefault="00A35D48" w:rsidP="00C93947">
            <w:pPr>
              <w:spacing w:before="40" w:after="40" w:line="200" w:lineRule="atLeast"/>
              <w:contextualSpacing/>
              <w:jc w:val="center"/>
              <w:rPr>
                <w:rFonts w:asciiTheme="majorBidi" w:eastAsia="Calibri" w:hAnsiTheme="majorBidi" w:cstheme="majorBidi"/>
                <w:bCs/>
                <w:noProof/>
                <w:spacing w:val="-2"/>
                <w:sz w:val="16"/>
                <w:szCs w:val="16"/>
              </w:rPr>
            </w:pPr>
          </w:p>
          <w:p w14:paraId="23A968F1" w14:textId="4FD73689" w:rsidR="00A35D48" w:rsidRPr="00FC4465" w:rsidRDefault="00A35D48" w:rsidP="00C93947">
            <w:pPr>
              <w:spacing w:before="40" w:after="40" w:line="200" w:lineRule="atLeast"/>
              <w:contextualSpacing/>
              <w:jc w:val="center"/>
              <w:rPr>
                <w:rFonts w:asciiTheme="majorBidi" w:eastAsia="Calibri" w:hAnsiTheme="majorBidi" w:cstheme="majorBidi"/>
                <w:bCs/>
                <w:noProof/>
                <w:spacing w:val="-2"/>
                <w:sz w:val="16"/>
                <w:szCs w:val="16"/>
              </w:rPr>
            </w:pPr>
            <w:r w:rsidRPr="00FC4465">
              <w:rPr>
                <w:rFonts w:asciiTheme="majorBidi" w:hAnsiTheme="majorBidi" w:cstheme="majorBidi"/>
                <w:spacing w:val="-2"/>
                <w:sz w:val="16"/>
                <w:szCs w:val="16"/>
              </w:rPr>
              <w:t>Líquidos: Viabilidad &gt; 35</w:t>
            </w:r>
            <w:r w:rsidR="008C5013" w:rsidRPr="00FC4465">
              <w:rPr>
                <w:rFonts w:asciiTheme="majorBidi" w:hAnsiTheme="majorBidi" w:cstheme="majorBidi"/>
                <w:spacing w:val="-2"/>
                <w:sz w:val="16"/>
                <w:szCs w:val="16"/>
              </w:rPr>
              <w:t> %</w:t>
            </w:r>
            <w:r w:rsidRPr="00FC4465">
              <w:rPr>
                <w:rFonts w:asciiTheme="majorBidi" w:hAnsiTheme="majorBidi" w:cstheme="majorBidi"/>
                <w:spacing w:val="-2"/>
                <w:sz w:val="16"/>
                <w:szCs w:val="16"/>
              </w:rPr>
              <w:t xml:space="preserve">; </w:t>
            </w:r>
          </w:p>
          <w:p w14:paraId="352BBBA5" w14:textId="77777777" w:rsidR="00A35D48" w:rsidRPr="00FC4465" w:rsidRDefault="00A35D48" w:rsidP="00C93947">
            <w:pPr>
              <w:spacing w:before="40" w:after="40" w:line="200" w:lineRule="atLeast"/>
              <w:contextualSpacing/>
              <w:jc w:val="center"/>
              <w:rPr>
                <w:rFonts w:asciiTheme="majorBidi" w:eastAsia="Calibri" w:hAnsiTheme="majorBidi" w:cstheme="majorBidi"/>
                <w:bCs/>
                <w:noProof/>
                <w:spacing w:val="-2"/>
                <w:sz w:val="16"/>
                <w:szCs w:val="16"/>
              </w:rPr>
            </w:pPr>
            <w:r w:rsidRPr="00FC4465">
              <w:rPr>
                <w:rFonts w:asciiTheme="majorBidi" w:hAnsiTheme="majorBidi" w:cstheme="majorBidi"/>
                <w:spacing w:val="-2"/>
                <w:sz w:val="16"/>
                <w:szCs w:val="16"/>
              </w:rPr>
              <w:t>Sólidos:</w:t>
            </w:r>
          </w:p>
          <w:p w14:paraId="69CA7777" w14:textId="4B0E2C7A" w:rsidR="00A35D48" w:rsidRPr="00FC4465" w:rsidRDefault="00A35D48" w:rsidP="00C93947">
            <w:pPr>
              <w:spacing w:before="40" w:after="40" w:line="200" w:lineRule="atLeast"/>
              <w:contextualSpacing/>
              <w:jc w:val="center"/>
              <w:rPr>
                <w:rFonts w:asciiTheme="majorBidi" w:eastAsia="Calibri" w:hAnsiTheme="majorBidi" w:cstheme="majorBidi"/>
                <w:bCs/>
                <w:noProof/>
                <w:spacing w:val="-2"/>
                <w:sz w:val="16"/>
                <w:szCs w:val="16"/>
              </w:rPr>
            </w:pPr>
            <w:r w:rsidRPr="00FC4465">
              <w:rPr>
                <w:rFonts w:asciiTheme="majorBidi" w:hAnsiTheme="majorBidi" w:cstheme="majorBidi"/>
                <w:spacing w:val="-2"/>
                <w:sz w:val="16"/>
                <w:szCs w:val="16"/>
              </w:rPr>
              <w:t>Viabilidad &gt; 60</w:t>
            </w:r>
            <w:r w:rsidR="008C5013" w:rsidRPr="00FC4465">
              <w:rPr>
                <w:rFonts w:asciiTheme="majorBidi" w:hAnsiTheme="majorBidi" w:cstheme="majorBidi"/>
                <w:spacing w:val="-2"/>
                <w:sz w:val="16"/>
                <w:szCs w:val="16"/>
              </w:rPr>
              <w:t> %</w:t>
            </w:r>
          </w:p>
        </w:tc>
        <w:tc>
          <w:tcPr>
            <w:tcW w:w="464" w:type="pct"/>
            <w:tcMar>
              <w:top w:w="28" w:type="dxa"/>
              <w:left w:w="28" w:type="dxa"/>
              <w:bottom w:w="28" w:type="dxa"/>
              <w:right w:w="28" w:type="dxa"/>
            </w:tcMar>
          </w:tcPr>
          <w:p w14:paraId="1755F7DC" w14:textId="77777777" w:rsidR="00A35D48" w:rsidRPr="00FC4465" w:rsidRDefault="00A35D48" w:rsidP="00C93947">
            <w:pPr>
              <w:spacing w:before="40" w:after="40" w:line="200" w:lineRule="atLeast"/>
              <w:contextualSpacing/>
              <w:jc w:val="center"/>
              <w:rPr>
                <w:rFonts w:asciiTheme="majorBidi" w:eastAsia="Calibri" w:hAnsiTheme="majorBidi" w:cstheme="majorBidi"/>
                <w:bCs/>
                <w:noProof/>
                <w:sz w:val="16"/>
                <w:szCs w:val="16"/>
              </w:rPr>
            </w:pPr>
            <w:r w:rsidRPr="00FC4465">
              <w:rPr>
                <w:rFonts w:asciiTheme="majorBidi" w:hAnsiTheme="majorBidi" w:cstheme="majorBidi"/>
                <w:sz w:val="16"/>
                <w:szCs w:val="16"/>
              </w:rPr>
              <w:t>Tiempo transcurrido &gt; 180 segundos</w:t>
            </w:r>
          </w:p>
          <w:p w14:paraId="58126E6A" w14:textId="4D4A19B9" w:rsidR="00A35D48" w:rsidRPr="00FC4465" w:rsidRDefault="00A35D48" w:rsidP="00C93947">
            <w:pPr>
              <w:spacing w:before="40" w:after="40" w:line="200" w:lineRule="atLeast"/>
              <w:contextualSpacing/>
              <w:jc w:val="center"/>
              <w:rPr>
                <w:rFonts w:asciiTheme="majorBidi" w:eastAsia="Calibri" w:hAnsiTheme="majorBidi" w:cstheme="majorBidi"/>
                <w:bCs/>
                <w:noProof/>
                <w:sz w:val="16"/>
                <w:szCs w:val="16"/>
              </w:rPr>
            </w:pPr>
            <w:r w:rsidRPr="00FC4465">
              <w:rPr>
                <w:rFonts w:asciiTheme="majorBidi" w:hAnsiTheme="majorBidi" w:cstheme="majorBidi"/>
                <w:sz w:val="16"/>
                <w:szCs w:val="16"/>
              </w:rPr>
              <w:t>e intensidad &lt; 0,05</w:t>
            </w:r>
            <w:r w:rsidR="008C5013" w:rsidRPr="00FC4465">
              <w:rPr>
                <w:rFonts w:asciiTheme="majorBidi" w:hAnsiTheme="majorBidi" w:cstheme="majorBidi"/>
                <w:sz w:val="16"/>
                <w:szCs w:val="16"/>
              </w:rPr>
              <w:t> %</w:t>
            </w:r>
            <w:r w:rsidRPr="00FC4465">
              <w:rPr>
                <w:rFonts w:asciiTheme="majorBidi" w:hAnsiTheme="majorBidi" w:cstheme="majorBidi"/>
                <w:sz w:val="16"/>
                <w:szCs w:val="16"/>
              </w:rPr>
              <w:t>/segundo</w:t>
            </w:r>
          </w:p>
          <w:p w14:paraId="5622BAE3" w14:textId="126B5B2E" w:rsidR="00A35D48" w:rsidRPr="00FC4465" w:rsidRDefault="00A35D48" w:rsidP="00C93947">
            <w:pPr>
              <w:spacing w:before="40" w:after="40" w:line="200" w:lineRule="atLeast"/>
              <w:contextualSpacing/>
              <w:jc w:val="center"/>
              <w:rPr>
                <w:rFonts w:asciiTheme="majorBidi" w:eastAsia="Calibri" w:hAnsiTheme="majorBidi" w:cstheme="majorBidi"/>
                <w:bCs/>
                <w:noProof/>
                <w:sz w:val="16"/>
                <w:szCs w:val="16"/>
              </w:rPr>
            </w:pPr>
            <w:r w:rsidRPr="00FC4465">
              <w:rPr>
                <w:rFonts w:asciiTheme="majorBidi" w:hAnsiTheme="majorBidi" w:cstheme="majorBidi"/>
                <w:sz w:val="16"/>
                <w:szCs w:val="16"/>
              </w:rPr>
              <w:t xml:space="preserve">y nivel de </w:t>
            </w:r>
            <w:r w:rsidR="00D4046C">
              <w:rPr>
                <w:rFonts w:asciiTheme="majorBidi" w:hAnsiTheme="majorBidi" w:cstheme="majorBidi"/>
                <w:sz w:val="16"/>
                <w:szCs w:val="16"/>
              </w:rPr>
              <w:br/>
            </w:r>
            <w:r w:rsidRPr="00FC4465">
              <w:rPr>
                <w:rFonts w:asciiTheme="majorBidi" w:hAnsiTheme="majorBidi" w:cstheme="majorBidi"/>
                <w:sz w:val="16"/>
                <w:szCs w:val="16"/>
              </w:rPr>
              <w:t>meseta ≤ 5,0</w:t>
            </w:r>
            <w:r w:rsidR="008C5013" w:rsidRPr="00FC4465">
              <w:rPr>
                <w:rFonts w:asciiTheme="majorBidi" w:hAnsiTheme="majorBidi" w:cstheme="majorBidi"/>
                <w:sz w:val="16"/>
                <w:szCs w:val="16"/>
              </w:rPr>
              <w:t> %</w:t>
            </w:r>
          </w:p>
        </w:tc>
        <w:tc>
          <w:tcPr>
            <w:tcW w:w="666" w:type="pct"/>
            <w:tcMar>
              <w:top w:w="28" w:type="dxa"/>
              <w:left w:w="28" w:type="dxa"/>
              <w:bottom w:w="28" w:type="dxa"/>
              <w:right w:w="28" w:type="dxa"/>
            </w:tcMar>
          </w:tcPr>
          <w:p w14:paraId="0D688344" w14:textId="77777777" w:rsidR="00A35D48" w:rsidRPr="00FC4465" w:rsidRDefault="00A35D48" w:rsidP="00C93947">
            <w:pPr>
              <w:spacing w:before="40" w:after="40" w:line="200" w:lineRule="atLeast"/>
              <w:contextualSpacing/>
              <w:jc w:val="center"/>
              <w:rPr>
                <w:rFonts w:asciiTheme="majorBidi" w:eastAsia="Calibri" w:hAnsiTheme="majorBidi" w:cstheme="majorBidi"/>
                <w:bCs/>
                <w:noProof/>
                <w:sz w:val="16"/>
                <w:szCs w:val="16"/>
              </w:rPr>
            </w:pPr>
            <w:r w:rsidRPr="00FC4465">
              <w:rPr>
                <w:rFonts w:asciiTheme="majorBidi" w:hAnsiTheme="majorBidi" w:cstheme="majorBidi"/>
                <w:sz w:val="16"/>
                <w:szCs w:val="16"/>
              </w:rPr>
              <w:t>PMC ≤ 12,5</w:t>
            </w:r>
          </w:p>
        </w:tc>
      </w:tr>
    </w:tbl>
    <w:p w14:paraId="4386F674" w14:textId="77777777" w:rsidR="00A35D48" w:rsidRPr="00FC4465" w:rsidRDefault="00A35D48" w:rsidP="00D07706">
      <w:pPr>
        <w:pStyle w:val="ListParagraph"/>
        <w:spacing w:before="120"/>
        <w:ind w:left="284" w:hanging="284"/>
        <w:rPr>
          <w:rFonts w:asciiTheme="majorBidi" w:hAnsiTheme="majorBidi" w:cstheme="majorBidi"/>
          <w:i/>
          <w:sz w:val="16"/>
          <w:szCs w:val="16"/>
          <w:lang w:val="es-ES"/>
        </w:rPr>
      </w:pPr>
      <w:r w:rsidRPr="00D4046C">
        <w:rPr>
          <w:rFonts w:asciiTheme="majorBidi" w:hAnsiTheme="majorBidi" w:cstheme="majorBidi"/>
          <w:sz w:val="18"/>
          <w:szCs w:val="18"/>
          <w:vertAlign w:val="superscript"/>
          <w:lang w:val="es-ES"/>
        </w:rPr>
        <w:t>a</w:t>
      </w:r>
      <w:r w:rsidRPr="00FC4465">
        <w:rPr>
          <w:rFonts w:asciiTheme="majorBidi" w:hAnsiTheme="majorBidi" w:cstheme="majorBidi"/>
          <w:sz w:val="18"/>
          <w:szCs w:val="18"/>
          <w:lang w:val="es-ES"/>
        </w:rPr>
        <w:tab/>
      </w:r>
      <w:r w:rsidRPr="00FC4465">
        <w:rPr>
          <w:rFonts w:asciiTheme="majorBidi" w:hAnsiTheme="majorBidi" w:cstheme="majorBidi"/>
          <w:i/>
          <w:iCs/>
          <w:sz w:val="18"/>
          <w:szCs w:val="18"/>
          <w:lang w:val="es-ES"/>
        </w:rPr>
        <w:t>Los criterios de clasificación se entienden tal como se describen en las directrices 437, 438, 460, 491, 492, 494 y 496 de la OCDE.</w:t>
      </w:r>
    </w:p>
    <w:p w14:paraId="24AEAC12" w14:textId="052171BF" w:rsidR="00381C24" w:rsidRPr="00FC4465" w:rsidRDefault="00A35D48" w:rsidP="00D07706">
      <w:pPr>
        <w:tabs>
          <w:tab w:val="left" w:pos="284"/>
        </w:tabs>
        <w:spacing w:after="200" w:line="276" w:lineRule="auto"/>
        <w:rPr>
          <w:rFonts w:asciiTheme="majorBidi" w:hAnsiTheme="majorBidi" w:cstheme="majorBidi"/>
        </w:rPr>
      </w:pPr>
      <w:r w:rsidRPr="00D4046C">
        <w:rPr>
          <w:rFonts w:asciiTheme="majorBidi" w:hAnsiTheme="majorBidi" w:cstheme="majorBidi"/>
          <w:sz w:val="18"/>
          <w:szCs w:val="18"/>
          <w:vertAlign w:val="superscript"/>
        </w:rPr>
        <w:t>b</w:t>
      </w:r>
      <w:r w:rsidRPr="00FC4465">
        <w:rPr>
          <w:rFonts w:asciiTheme="majorBidi" w:hAnsiTheme="majorBidi" w:cstheme="majorBidi"/>
          <w:sz w:val="18"/>
          <w:szCs w:val="18"/>
        </w:rPr>
        <w:tab/>
      </w:r>
      <w:r w:rsidRPr="00FC4465">
        <w:rPr>
          <w:rFonts w:asciiTheme="majorBidi" w:hAnsiTheme="majorBidi" w:cstheme="majorBidi"/>
          <w:i/>
          <w:iCs/>
          <w:sz w:val="18"/>
          <w:szCs w:val="18"/>
        </w:rPr>
        <w:t>Pueden consultarse los criterios en la Directriz 438 de la OCDE.</w:t>
      </w:r>
    </w:p>
    <w:p w14:paraId="0CC8434F" w14:textId="77777777" w:rsidR="008B6A70" w:rsidRPr="00FC4465" w:rsidRDefault="008B6A70" w:rsidP="00A35D48">
      <w:pPr>
        <w:rPr>
          <w:rFonts w:asciiTheme="majorBidi" w:hAnsiTheme="majorBidi" w:cstheme="majorBidi"/>
        </w:rPr>
        <w:sectPr w:rsidR="008B6A70" w:rsidRPr="00FC4465" w:rsidSect="00A35D48">
          <w:headerReference w:type="even" r:id="rId29"/>
          <w:headerReference w:type="default" r:id="rId30"/>
          <w:footerReference w:type="even" r:id="rId31"/>
          <w:footerReference w:type="default" r:id="rId32"/>
          <w:endnotePr>
            <w:numFmt w:val="decimal"/>
          </w:endnotePr>
          <w:pgSz w:w="16838" w:h="11906" w:orient="landscape" w:code="9"/>
          <w:pgMar w:top="1134" w:right="1417" w:bottom="1134" w:left="1134" w:header="567" w:footer="567" w:gutter="0"/>
          <w:cols w:space="708"/>
          <w:docGrid w:linePitch="360"/>
        </w:sectPr>
      </w:pPr>
    </w:p>
    <w:p w14:paraId="249FB401" w14:textId="2990326B" w:rsidR="008B6A70" w:rsidRPr="008645FC" w:rsidRDefault="008B6A70" w:rsidP="008645FC">
      <w:pPr>
        <w:pStyle w:val="SingleTxtG"/>
        <w:tabs>
          <w:tab w:val="left" w:pos="3402"/>
        </w:tabs>
        <w:ind w:left="2268"/>
        <w:rPr>
          <w:rFonts w:asciiTheme="majorBidi" w:hAnsiTheme="majorBidi" w:cstheme="majorBidi"/>
        </w:rPr>
      </w:pPr>
      <w:r w:rsidRPr="008645FC">
        <w:rPr>
          <w:rFonts w:asciiTheme="majorBidi" w:hAnsiTheme="majorBidi" w:cstheme="majorBidi"/>
        </w:rPr>
        <w:lastRenderedPageBreak/>
        <w:t>3.3.5.3.5.2</w:t>
      </w:r>
      <w:r w:rsidRPr="008645FC">
        <w:rPr>
          <w:rFonts w:asciiTheme="majorBidi" w:hAnsiTheme="majorBidi" w:cstheme="majorBidi"/>
        </w:rPr>
        <w:tab/>
      </w:r>
      <w:r w:rsidRPr="008645FC">
        <w:rPr>
          <w:rFonts w:asciiTheme="majorBidi" w:hAnsiTheme="majorBidi" w:cstheme="majorBidi"/>
        </w:rPr>
        <w:tab/>
        <w:t xml:space="preserve">A continuación figura una lista no exhaustiva de otros métodos de ensayo </w:t>
      </w:r>
      <w:r w:rsidR="00762E66" w:rsidRPr="008645FC">
        <w:rPr>
          <w:rFonts w:asciiTheme="majorBidi" w:hAnsiTheme="majorBidi" w:cstheme="majorBidi"/>
          <w:i/>
          <w:iCs/>
        </w:rPr>
        <w:t>in vitro</w:t>
      </w:r>
      <w:r w:rsidRPr="008645FC">
        <w:rPr>
          <w:rFonts w:asciiTheme="majorBidi" w:hAnsiTheme="majorBidi" w:cstheme="majorBidi"/>
        </w:rPr>
        <w:t>/</w:t>
      </w:r>
      <w:r w:rsidR="00762E66" w:rsidRPr="008645FC">
        <w:rPr>
          <w:rFonts w:asciiTheme="majorBidi" w:hAnsiTheme="majorBidi" w:cstheme="majorBidi"/>
          <w:i/>
          <w:iCs/>
        </w:rPr>
        <w:t>ex vivo</w:t>
      </w:r>
      <w:r w:rsidRPr="008645FC">
        <w:rPr>
          <w:rFonts w:asciiTheme="majorBidi" w:hAnsiTheme="majorBidi" w:cstheme="majorBidi"/>
        </w:rPr>
        <w:t xml:space="preserve"> validados que han sido aceptados por algunas autoridades competentes, pero no han sido adoptados por la OCDE como directrices. Una autoridad competente podrá decidir qué criterios de clasificación deberían aplicarse, si es el caso, a estos métodos de ensayo:</w:t>
      </w:r>
    </w:p>
    <w:p w14:paraId="1DC95A9D" w14:textId="77777777" w:rsidR="008B6A70" w:rsidRPr="008645FC" w:rsidRDefault="008B6A70" w:rsidP="008645FC">
      <w:pPr>
        <w:pStyle w:val="Bullet1G"/>
        <w:numPr>
          <w:ilvl w:val="0"/>
          <w:numId w:val="0"/>
        </w:numPr>
        <w:suppressAutoHyphens/>
        <w:kinsoku w:val="0"/>
        <w:overflowPunct w:val="0"/>
        <w:autoSpaceDE w:val="0"/>
        <w:autoSpaceDN w:val="0"/>
        <w:adjustRightInd w:val="0"/>
        <w:snapToGrid w:val="0"/>
        <w:ind w:left="2552" w:hanging="284"/>
        <w:rPr>
          <w:rFonts w:asciiTheme="majorBidi" w:hAnsiTheme="majorBidi" w:cstheme="majorBidi"/>
        </w:rPr>
      </w:pPr>
      <w:r w:rsidRPr="008645FC">
        <w:rPr>
          <w:rFonts w:asciiTheme="majorBidi" w:hAnsiTheme="majorBidi" w:cstheme="majorBidi"/>
        </w:rPr>
        <w:t>•</w:t>
      </w:r>
      <w:r w:rsidRPr="008645FC">
        <w:rPr>
          <w:rFonts w:asciiTheme="majorBidi" w:hAnsiTheme="majorBidi" w:cstheme="majorBidi"/>
        </w:rPr>
        <w:tab/>
        <w:t>Ensayos de tiempo hasta toxicidad (ET</w:t>
      </w:r>
      <w:r w:rsidRPr="008645FC">
        <w:rPr>
          <w:rFonts w:asciiTheme="majorBidi" w:hAnsiTheme="majorBidi" w:cstheme="majorBidi"/>
          <w:vertAlign w:val="subscript"/>
        </w:rPr>
        <w:t>50</w:t>
      </w:r>
      <w:r w:rsidRPr="008645FC">
        <w:rPr>
          <w:rFonts w:asciiTheme="majorBidi" w:hAnsiTheme="majorBidi" w:cstheme="majorBidi"/>
        </w:rPr>
        <w:t>), en los que se emplean epitelios corneales humanos reconstruidos (RhCE) descritos en la Directriz 492 de la OCDE (Kandarova y otros, 2018; Alépée y otros, 2020);</w:t>
      </w:r>
    </w:p>
    <w:p w14:paraId="50A6011E" w14:textId="3FA0DD3A" w:rsidR="008B6A70" w:rsidRPr="008645FC" w:rsidRDefault="008B6A70" w:rsidP="008645FC">
      <w:pPr>
        <w:pStyle w:val="Bullet1G"/>
        <w:numPr>
          <w:ilvl w:val="0"/>
          <w:numId w:val="0"/>
        </w:numPr>
        <w:suppressAutoHyphens/>
        <w:kinsoku w:val="0"/>
        <w:overflowPunct w:val="0"/>
        <w:autoSpaceDE w:val="0"/>
        <w:autoSpaceDN w:val="0"/>
        <w:adjustRightInd w:val="0"/>
        <w:snapToGrid w:val="0"/>
        <w:ind w:left="2552" w:hanging="284"/>
        <w:rPr>
          <w:rFonts w:asciiTheme="majorBidi" w:hAnsiTheme="majorBidi" w:cstheme="majorBidi"/>
        </w:rPr>
      </w:pPr>
      <w:r w:rsidRPr="008645FC">
        <w:rPr>
          <w:rFonts w:asciiTheme="majorBidi" w:hAnsiTheme="majorBidi" w:cstheme="majorBidi"/>
        </w:rPr>
        <w:t>•</w:t>
      </w:r>
      <w:r w:rsidRPr="008645FC">
        <w:rPr>
          <w:rFonts w:asciiTheme="majorBidi" w:hAnsiTheme="majorBidi" w:cstheme="majorBidi"/>
        </w:rPr>
        <w:tab/>
        <w:t xml:space="preserve">Ensayo de irritación ocular </w:t>
      </w:r>
      <w:r w:rsidR="00762E66" w:rsidRPr="008645FC">
        <w:rPr>
          <w:rFonts w:asciiTheme="majorBidi" w:hAnsiTheme="majorBidi" w:cstheme="majorBidi"/>
          <w:i/>
          <w:iCs/>
        </w:rPr>
        <w:t>ex vivo</w:t>
      </w:r>
      <w:r w:rsidRPr="008645FC">
        <w:rPr>
          <w:rFonts w:asciiTheme="majorBidi" w:hAnsiTheme="majorBidi" w:cstheme="majorBidi"/>
        </w:rPr>
        <w:t xml:space="preserve"> (EVEIT): ensayo </w:t>
      </w:r>
      <w:r w:rsidR="00762E66" w:rsidRPr="008645FC">
        <w:rPr>
          <w:rFonts w:asciiTheme="majorBidi" w:hAnsiTheme="majorBidi" w:cstheme="majorBidi"/>
          <w:i/>
          <w:iCs/>
        </w:rPr>
        <w:t>ex vivo</w:t>
      </w:r>
      <w:r w:rsidRPr="008645FC">
        <w:rPr>
          <w:rFonts w:asciiTheme="majorBidi" w:hAnsiTheme="majorBidi" w:cstheme="majorBidi"/>
        </w:rPr>
        <w:t xml:space="preserve"> con tejidos corneales de conejo extirpados y cultivados durante varios días en el que se observa la reconstitución tisular para modelizar los efectos oculares reversibles e irreversibles. La reconstitución de los tejidos hasta su espesor pleno se observa de forma no invasiva mediante tomografía de coherencia óptica (OCT) (Frentz y otros, 2008; Spöler y otros, 2007; Spöler y otros,</w:t>
      </w:r>
      <w:r w:rsidR="008A7CA3">
        <w:rPr>
          <w:rFonts w:asciiTheme="majorBidi" w:hAnsiTheme="majorBidi" w:cstheme="majorBidi"/>
        </w:rPr>
        <w:t> </w:t>
      </w:r>
      <w:r w:rsidRPr="008645FC">
        <w:rPr>
          <w:rFonts w:asciiTheme="majorBidi" w:hAnsiTheme="majorBidi" w:cstheme="majorBidi"/>
        </w:rPr>
        <w:t>2015);</w:t>
      </w:r>
    </w:p>
    <w:p w14:paraId="0B85ABB3" w14:textId="3C9CC9DB" w:rsidR="008B6A70" w:rsidRPr="008645FC" w:rsidRDefault="008B6A70" w:rsidP="008645FC">
      <w:pPr>
        <w:pStyle w:val="Bullet1G"/>
        <w:numPr>
          <w:ilvl w:val="0"/>
          <w:numId w:val="0"/>
        </w:numPr>
        <w:suppressAutoHyphens/>
        <w:kinsoku w:val="0"/>
        <w:overflowPunct w:val="0"/>
        <w:autoSpaceDE w:val="0"/>
        <w:autoSpaceDN w:val="0"/>
        <w:adjustRightInd w:val="0"/>
        <w:snapToGrid w:val="0"/>
        <w:ind w:left="2552" w:hanging="284"/>
        <w:rPr>
          <w:rFonts w:asciiTheme="majorBidi" w:hAnsiTheme="majorBidi" w:cstheme="majorBidi"/>
        </w:rPr>
      </w:pPr>
      <w:r w:rsidRPr="008645FC">
        <w:rPr>
          <w:rFonts w:asciiTheme="majorBidi" w:hAnsiTheme="majorBidi" w:cstheme="majorBidi"/>
        </w:rPr>
        <w:t>•</w:t>
      </w:r>
      <w:r w:rsidRPr="008645FC">
        <w:rPr>
          <w:rFonts w:asciiTheme="majorBidi" w:hAnsiTheme="majorBidi" w:cstheme="majorBidi"/>
        </w:rPr>
        <w:tab/>
        <w:t xml:space="preserve">Ensayo de opacidad y reversibilidad en porcinos (PorCORA): ensayo </w:t>
      </w:r>
      <w:r w:rsidR="00762E66" w:rsidRPr="008645FC">
        <w:rPr>
          <w:rFonts w:asciiTheme="majorBidi" w:hAnsiTheme="majorBidi" w:cstheme="majorBidi"/>
          <w:i/>
          <w:iCs/>
        </w:rPr>
        <w:t>ex vivo</w:t>
      </w:r>
      <w:r w:rsidRPr="008645FC">
        <w:rPr>
          <w:rFonts w:asciiTheme="majorBidi" w:hAnsiTheme="majorBidi" w:cstheme="majorBidi"/>
        </w:rPr>
        <w:t xml:space="preserve"> con tejidos corneales porcinos extirpados y cultivados durante un período de hasta 21 días, en el que se observa la reconstitución tisular para modelizar los efectos oculares reversibles e irreversibles. Los tejidos se someten a tinción con colorante fluorescente y se observan los efectos en los epitelios corneales a través de la retención del colorante (Piehl y otros,</w:t>
      </w:r>
      <w:r w:rsidR="008A7CA3">
        <w:rPr>
          <w:rFonts w:asciiTheme="majorBidi" w:hAnsiTheme="majorBidi" w:cstheme="majorBidi"/>
        </w:rPr>
        <w:t> </w:t>
      </w:r>
      <w:r w:rsidRPr="008645FC">
        <w:rPr>
          <w:rFonts w:asciiTheme="majorBidi" w:hAnsiTheme="majorBidi" w:cstheme="majorBidi"/>
        </w:rPr>
        <w:t>2010; Piehl y otros, 2011);</w:t>
      </w:r>
    </w:p>
    <w:p w14:paraId="2218B6AA" w14:textId="77777777" w:rsidR="008B6A70" w:rsidRPr="008645FC" w:rsidRDefault="008B6A70" w:rsidP="008645FC">
      <w:pPr>
        <w:pStyle w:val="Bullet1G"/>
        <w:numPr>
          <w:ilvl w:val="0"/>
          <w:numId w:val="0"/>
        </w:numPr>
        <w:suppressAutoHyphens/>
        <w:kinsoku w:val="0"/>
        <w:overflowPunct w:val="0"/>
        <w:autoSpaceDE w:val="0"/>
        <w:autoSpaceDN w:val="0"/>
        <w:adjustRightInd w:val="0"/>
        <w:snapToGrid w:val="0"/>
        <w:ind w:left="2552" w:hanging="284"/>
        <w:rPr>
          <w:rFonts w:asciiTheme="majorBidi" w:hAnsiTheme="majorBidi" w:cstheme="majorBidi"/>
        </w:rPr>
      </w:pPr>
      <w:r w:rsidRPr="008645FC">
        <w:rPr>
          <w:rFonts w:asciiTheme="majorBidi" w:hAnsiTheme="majorBidi" w:cstheme="majorBidi"/>
        </w:rPr>
        <w:t>•</w:t>
      </w:r>
      <w:r w:rsidRPr="008645FC">
        <w:rPr>
          <w:rFonts w:asciiTheme="majorBidi" w:hAnsiTheme="majorBidi" w:cstheme="majorBidi"/>
        </w:rPr>
        <w:tab/>
        <w:t>Ensayo EyeIRR-IS: método genómico aplicado a un modelo RhCE (Cottrez y otros, 2021);</w:t>
      </w:r>
    </w:p>
    <w:p w14:paraId="292459EC" w14:textId="7AE420DE" w:rsidR="008B6A70" w:rsidRPr="008645FC" w:rsidRDefault="008B6A70" w:rsidP="008645FC">
      <w:pPr>
        <w:pStyle w:val="Bullet1G"/>
        <w:numPr>
          <w:ilvl w:val="0"/>
          <w:numId w:val="0"/>
        </w:numPr>
        <w:suppressAutoHyphens/>
        <w:kinsoku w:val="0"/>
        <w:overflowPunct w:val="0"/>
        <w:autoSpaceDE w:val="0"/>
        <w:autoSpaceDN w:val="0"/>
        <w:adjustRightInd w:val="0"/>
        <w:snapToGrid w:val="0"/>
        <w:ind w:left="2552" w:hanging="284"/>
        <w:rPr>
          <w:rFonts w:asciiTheme="majorBidi" w:hAnsiTheme="majorBidi" w:cstheme="majorBidi"/>
        </w:rPr>
      </w:pPr>
      <w:r w:rsidRPr="008645FC">
        <w:rPr>
          <w:rFonts w:asciiTheme="majorBidi" w:hAnsiTheme="majorBidi" w:cstheme="majorBidi"/>
        </w:rPr>
        <w:t>•</w:t>
      </w:r>
      <w:r w:rsidRPr="008645FC">
        <w:rPr>
          <w:rFonts w:asciiTheme="majorBidi" w:hAnsiTheme="majorBidi" w:cstheme="majorBidi"/>
        </w:rPr>
        <w:tab/>
        <w:t xml:space="preserve">Método de ensayo macromolecular </w:t>
      </w:r>
      <w:r w:rsidR="00762E66" w:rsidRPr="008645FC">
        <w:rPr>
          <w:rFonts w:asciiTheme="majorBidi" w:hAnsiTheme="majorBidi" w:cstheme="majorBidi"/>
          <w:i/>
          <w:iCs/>
        </w:rPr>
        <w:t>in vitro</w:t>
      </w:r>
      <w:r w:rsidRPr="008645FC">
        <w:rPr>
          <w:rFonts w:asciiTheme="majorBidi" w:hAnsiTheme="majorBidi" w:cstheme="majorBidi"/>
        </w:rPr>
        <w:t xml:space="preserve"> (método de ensayo 2), similar al método de ensayo 1 descrito en la directriz 496 de la OCDE (Choksi y otros, 2020);</w:t>
      </w:r>
    </w:p>
    <w:p w14:paraId="729A751E" w14:textId="10940ABB" w:rsidR="008B6A70" w:rsidRPr="008645FC" w:rsidRDefault="008B6A70" w:rsidP="008645FC">
      <w:pPr>
        <w:pStyle w:val="Bullet1G"/>
        <w:numPr>
          <w:ilvl w:val="0"/>
          <w:numId w:val="0"/>
        </w:numPr>
        <w:suppressAutoHyphens/>
        <w:kinsoku w:val="0"/>
        <w:overflowPunct w:val="0"/>
        <w:autoSpaceDE w:val="0"/>
        <w:autoSpaceDN w:val="0"/>
        <w:adjustRightInd w:val="0"/>
        <w:snapToGrid w:val="0"/>
        <w:ind w:left="2552" w:hanging="284"/>
        <w:rPr>
          <w:rFonts w:asciiTheme="majorBidi" w:hAnsiTheme="majorBidi" w:cstheme="majorBidi"/>
        </w:rPr>
      </w:pPr>
      <w:r w:rsidRPr="008645FC">
        <w:rPr>
          <w:rFonts w:asciiTheme="majorBidi" w:hAnsiTheme="majorBidi" w:cstheme="majorBidi"/>
        </w:rPr>
        <w:t>•</w:t>
      </w:r>
      <w:r w:rsidRPr="008645FC">
        <w:rPr>
          <w:rFonts w:asciiTheme="majorBidi" w:hAnsiTheme="majorBidi" w:cstheme="majorBidi"/>
        </w:rPr>
        <w:tab/>
        <w:t xml:space="preserve">Ensayo de actividad metabólica: ensayo </w:t>
      </w:r>
      <w:r w:rsidR="00762E66" w:rsidRPr="008645FC">
        <w:rPr>
          <w:rFonts w:asciiTheme="majorBidi" w:hAnsiTheme="majorBidi" w:cstheme="majorBidi"/>
          <w:i/>
          <w:iCs/>
        </w:rPr>
        <w:t>in vitro</w:t>
      </w:r>
      <w:r w:rsidRPr="008645FC">
        <w:rPr>
          <w:rFonts w:asciiTheme="majorBidi" w:hAnsiTheme="majorBidi" w:cstheme="majorBidi"/>
        </w:rPr>
        <w:t xml:space="preserve"> que consiste en medir los cambios de la tasa metabólica en una monocapa celular L929 tratada con el material sometido a ensayo (Harbell y otros, 1999; EURL ECVAM,</w:t>
      </w:r>
      <w:r w:rsidR="008A7CA3">
        <w:rPr>
          <w:rFonts w:asciiTheme="majorBidi" w:hAnsiTheme="majorBidi" w:cstheme="majorBidi"/>
        </w:rPr>
        <w:t> </w:t>
      </w:r>
      <w:r w:rsidRPr="008645FC">
        <w:rPr>
          <w:rFonts w:asciiTheme="majorBidi" w:hAnsiTheme="majorBidi" w:cstheme="majorBidi"/>
        </w:rPr>
        <w:t>2004a; Hartung y otros, 2010; Nash y otros, 2014);</w:t>
      </w:r>
    </w:p>
    <w:p w14:paraId="2A8BFD8E" w14:textId="49EA5D98" w:rsidR="008B6A70" w:rsidRPr="008645FC" w:rsidRDefault="008B6A70" w:rsidP="008645FC">
      <w:pPr>
        <w:pStyle w:val="Bullet1G"/>
        <w:numPr>
          <w:ilvl w:val="0"/>
          <w:numId w:val="0"/>
        </w:numPr>
        <w:suppressAutoHyphens/>
        <w:kinsoku w:val="0"/>
        <w:overflowPunct w:val="0"/>
        <w:autoSpaceDE w:val="0"/>
        <w:autoSpaceDN w:val="0"/>
        <w:adjustRightInd w:val="0"/>
        <w:snapToGrid w:val="0"/>
        <w:ind w:left="2552" w:hanging="284"/>
        <w:rPr>
          <w:rFonts w:asciiTheme="majorBidi" w:hAnsiTheme="majorBidi" w:cstheme="majorBidi"/>
        </w:rPr>
      </w:pPr>
      <w:r w:rsidRPr="008645FC">
        <w:rPr>
          <w:rFonts w:asciiTheme="majorBidi" w:hAnsiTheme="majorBidi" w:cstheme="majorBidi"/>
        </w:rPr>
        <w:t>•</w:t>
      </w:r>
      <w:r w:rsidRPr="008645FC">
        <w:rPr>
          <w:rFonts w:asciiTheme="majorBidi" w:hAnsiTheme="majorBidi" w:cstheme="majorBidi"/>
        </w:rPr>
        <w:tab/>
        <w:t>Ensayo de la membrana corioalantoidea del huevo de gallina (HET-CAM): ensayo organotípico en el que se utiliza la membrana vascularizada de huevos fértiles de gallina para evaluar la capacidad del material sometido a ensayo para provocar cambios vasculares (Spielmann y otros, 1993; Balls y otros, 1995; Spielmann y otros, 1996; Brantom y otros, 1997; ICCVAM,</w:t>
      </w:r>
      <w:r w:rsidR="008A7CA3">
        <w:rPr>
          <w:rFonts w:asciiTheme="majorBidi" w:hAnsiTheme="majorBidi" w:cstheme="majorBidi"/>
        </w:rPr>
        <w:t> </w:t>
      </w:r>
      <w:r w:rsidRPr="008645FC">
        <w:rPr>
          <w:rFonts w:asciiTheme="majorBidi" w:hAnsiTheme="majorBidi" w:cstheme="majorBidi"/>
        </w:rPr>
        <w:t>2007; ICCVAM, 2010);</w:t>
      </w:r>
    </w:p>
    <w:p w14:paraId="578AFB97" w14:textId="31762B6F" w:rsidR="008B6A70" w:rsidRPr="008645FC" w:rsidRDefault="008B6A70" w:rsidP="008645FC">
      <w:pPr>
        <w:pStyle w:val="Bullet1G"/>
        <w:numPr>
          <w:ilvl w:val="0"/>
          <w:numId w:val="0"/>
        </w:numPr>
        <w:suppressAutoHyphens/>
        <w:kinsoku w:val="0"/>
        <w:overflowPunct w:val="0"/>
        <w:autoSpaceDE w:val="0"/>
        <w:autoSpaceDN w:val="0"/>
        <w:adjustRightInd w:val="0"/>
        <w:snapToGrid w:val="0"/>
        <w:ind w:left="2552" w:hanging="284"/>
        <w:rPr>
          <w:rFonts w:asciiTheme="majorBidi" w:hAnsiTheme="majorBidi" w:cstheme="majorBidi"/>
        </w:rPr>
      </w:pPr>
      <w:r w:rsidRPr="008645FC">
        <w:rPr>
          <w:rFonts w:asciiTheme="majorBidi" w:hAnsiTheme="majorBidi" w:cstheme="majorBidi"/>
        </w:rPr>
        <w:t>•</w:t>
      </w:r>
      <w:r w:rsidRPr="008645FC">
        <w:rPr>
          <w:rFonts w:asciiTheme="majorBidi" w:hAnsiTheme="majorBidi" w:cstheme="majorBidi"/>
        </w:rPr>
        <w:tab/>
        <w:t>Ensayo vascular de la membrana corioalantoidea (CAMVA): ensayo organotípico en el que se utiliza la membrana vascularizada de huevos fértiles de gallina para evaluar la capacidad del material sometido a ensayo para provocar cambios vasculares (Bagley y otros, 1994; Brantom y otros,</w:t>
      </w:r>
      <w:r w:rsidR="008A7CA3">
        <w:rPr>
          <w:rFonts w:asciiTheme="majorBidi" w:hAnsiTheme="majorBidi" w:cstheme="majorBidi"/>
        </w:rPr>
        <w:t> </w:t>
      </w:r>
      <w:r w:rsidRPr="008645FC">
        <w:rPr>
          <w:rFonts w:asciiTheme="majorBidi" w:hAnsiTheme="majorBidi" w:cstheme="majorBidi"/>
        </w:rPr>
        <w:t>1997; Bagley y otros, 1999; Donahue y otros, 2011);</w:t>
      </w:r>
    </w:p>
    <w:p w14:paraId="09E2A2E1" w14:textId="4F50AED3" w:rsidR="008B6A70" w:rsidRPr="008645FC" w:rsidRDefault="008B6A70" w:rsidP="008645FC">
      <w:pPr>
        <w:pStyle w:val="Bullet1G"/>
        <w:numPr>
          <w:ilvl w:val="0"/>
          <w:numId w:val="0"/>
        </w:numPr>
        <w:suppressAutoHyphens/>
        <w:kinsoku w:val="0"/>
        <w:overflowPunct w:val="0"/>
        <w:autoSpaceDE w:val="0"/>
        <w:autoSpaceDN w:val="0"/>
        <w:adjustRightInd w:val="0"/>
        <w:snapToGrid w:val="0"/>
        <w:ind w:left="2552" w:hanging="284"/>
        <w:rPr>
          <w:rFonts w:asciiTheme="majorBidi" w:hAnsiTheme="majorBidi" w:cstheme="majorBidi"/>
        </w:rPr>
      </w:pPr>
      <w:r w:rsidRPr="008645FC">
        <w:rPr>
          <w:rFonts w:asciiTheme="majorBidi" w:hAnsiTheme="majorBidi" w:cstheme="majorBidi"/>
        </w:rPr>
        <w:t>•</w:t>
      </w:r>
      <w:r w:rsidRPr="008645FC">
        <w:rPr>
          <w:rFonts w:asciiTheme="majorBidi" w:hAnsiTheme="majorBidi" w:cstheme="majorBidi"/>
        </w:rPr>
        <w:tab/>
        <w:t xml:space="preserve">Ensayo del rojo neutro (NRR): Ensayo </w:t>
      </w:r>
      <w:r w:rsidR="00762E66" w:rsidRPr="008645FC">
        <w:rPr>
          <w:rFonts w:asciiTheme="majorBidi" w:hAnsiTheme="majorBidi" w:cstheme="majorBidi"/>
          <w:i/>
          <w:iCs/>
        </w:rPr>
        <w:t>in vitro</w:t>
      </w:r>
      <w:r w:rsidRPr="008645FC">
        <w:rPr>
          <w:rFonts w:asciiTheme="majorBidi" w:hAnsiTheme="majorBidi" w:cstheme="majorBidi"/>
        </w:rPr>
        <w:t xml:space="preserve"> en el que se realiza una medición cuantitativa de la capacidad de una sustancia para dañar las membranas celulares en una monocapa de queratinocitos epidérmicos humanos normales (NHEK) (Reader y otros 1989; Reader y otros, 1990; Zuang, 2001; EURL ECVAM, 2004b; Settivari y otros, 2016); y</w:t>
      </w:r>
    </w:p>
    <w:p w14:paraId="568F4F1A" w14:textId="7EC61FC5" w:rsidR="008B6A70" w:rsidRPr="008645FC" w:rsidRDefault="008B6A70" w:rsidP="008645FC">
      <w:pPr>
        <w:pStyle w:val="Bullet1G"/>
        <w:numPr>
          <w:ilvl w:val="0"/>
          <w:numId w:val="0"/>
        </w:numPr>
        <w:suppressAutoHyphens/>
        <w:kinsoku w:val="0"/>
        <w:overflowPunct w:val="0"/>
        <w:autoSpaceDE w:val="0"/>
        <w:autoSpaceDN w:val="0"/>
        <w:adjustRightInd w:val="0"/>
        <w:snapToGrid w:val="0"/>
        <w:ind w:left="2552" w:hanging="284"/>
        <w:rPr>
          <w:rFonts w:asciiTheme="majorBidi" w:eastAsiaTheme="minorHAnsi" w:hAnsiTheme="majorBidi" w:cstheme="majorBidi"/>
        </w:rPr>
      </w:pPr>
      <w:r w:rsidRPr="008645FC">
        <w:rPr>
          <w:rFonts w:asciiTheme="majorBidi" w:eastAsiaTheme="minorHAnsi" w:hAnsiTheme="majorBidi" w:cstheme="majorBidi"/>
        </w:rPr>
        <w:t>•</w:t>
      </w:r>
      <w:r w:rsidRPr="008645FC">
        <w:rPr>
          <w:rFonts w:asciiTheme="majorBidi" w:hAnsiTheme="majorBidi" w:cstheme="majorBidi"/>
        </w:rPr>
        <w:tab/>
        <w:t>Ensayo del ojo de conejo aislado (IRE), similar al que figura en la Directriz</w:t>
      </w:r>
      <w:r w:rsidR="008A7CA3">
        <w:rPr>
          <w:rFonts w:asciiTheme="majorBidi" w:hAnsiTheme="majorBidi" w:cstheme="majorBidi"/>
        </w:rPr>
        <w:t> </w:t>
      </w:r>
      <w:r w:rsidRPr="008645FC">
        <w:rPr>
          <w:rFonts w:asciiTheme="majorBidi" w:hAnsiTheme="majorBidi" w:cstheme="majorBidi"/>
        </w:rPr>
        <w:t>438 de la OCDE, pero utilizando ojos de conejo aislados en lugar de ojos de pollo aislados (Burton y otros, 1981; Whittle y otros 1992; Balls y otros, 1995; Brantom y otros, 1997; ICCVAM, 2007; ICCVAM, 2010).</w:t>
      </w:r>
    </w:p>
    <w:p w14:paraId="52DA8F95" w14:textId="77777777" w:rsidR="008B6A70" w:rsidRPr="008645FC" w:rsidRDefault="008B6A70" w:rsidP="008645FC">
      <w:pPr>
        <w:pStyle w:val="SingleTxtG"/>
        <w:tabs>
          <w:tab w:val="clear" w:pos="2835"/>
          <w:tab w:val="left" w:pos="3402"/>
        </w:tabs>
        <w:ind w:left="2268"/>
        <w:rPr>
          <w:rFonts w:asciiTheme="majorBidi" w:hAnsiTheme="majorBidi" w:cstheme="majorBidi"/>
          <w:i/>
          <w:iCs/>
        </w:rPr>
      </w:pPr>
      <w:r w:rsidRPr="008645FC">
        <w:rPr>
          <w:rFonts w:asciiTheme="majorBidi" w:hAnsiTheme="majorBidi" w:cstheme="majorBidi"/>
        </w:rPr>
        <w:t>3.3.5.3.6</w:t>
      </w:r>
      <w:r w:rsidRPr="008645FC">
        <w:rPr>
          <w:rFonts w:asciiTheme="majorBidi" w:hAnsiTheme="majorBidi" w:cstheme="majorBidi"/>
        </w:rPr>
        <w:tab/>
      </w:r>
      <w:r w:rsidRPr="008645FC">
        <w:rPr>
          <w:rFonts w:asciiTheme="majorBidi" w:hAnsiTheme="majorBidi" w:cstheme="majorBidi"/>
        </w:rPr>
        <w:tab/>
      </w:r>
      <w:r w:rsidRPr="008645FC">
        <w:rPr>
          <w:rFonts w:asciiTheme="majorBidi" w:hAnsiTheme="majorBidi" w:cstheme="majorBidi"/>
          <w:i/>
          <w:iCs/>
        </w:rPr>
        <w:t>Indicaciones complementarias acerca del uso de otros datos disponibles sobre efectos cutáneos u oculares en animales para la clasificación con respecto a lesiones oculares graves o irritación ocular</w:t>
      </w:r>
    </w:p>
    <w:p w14:paraId="25C319A0" w14:textId="77777777" w:rsidR="008B6A70" w:rsidRPr="008645FC" w:rsidRDefault="008B6A70" w:rsidP="008645FC">
      <w:pPr>
        <w:pStyle w:val="SingleTxtG"/>
        <w:tabs>
          <w:tab w:val="clear" w:pos="2835"/>
          <w:tab w:val="left" w:pos="3402"/>
        </w:tabs>
        <w:ind w:left="2268"/>
        <w:rPr>
          <w:rFonts w:asciiTheme="majorBidi" w:hAnsiTheme="majorBidi" w:cstheme="majorBidi"/>
        </w:rPr>
      </w:pPr>
      <w:r w:rsidRPr="008645FC">
        <w:rPr>
          <w:rFonts w:asciiTheme="majorBidi" w:hAnsiTheme="majorBidi" w:cstheme="majorBidi"/>
        </w:rPr>
        <w:lastRenderedPageBreak/>
        <w:t>3.3.5.3.6.1</w:t>
      </w:r>
      <w:r w:rsidRPr="008645FC">
        <w:rPr>
          <w:rFonts w:asciiTheme="majorBidi" w:hAnsiTheme="majorBidi" w:cstheme="majorBidi"/>
        </w:rPr>
        <w:tab/>
        <w:t>La disponibilidad de otros datos sobre lesiones oculares graves/irritación ocular en animales puede ser limitada, ya que no suelen realizarse ensayos en el ojo como vía de exposición. Una excepción podrían ser los datos históricos del ensayo Low Volume Eye Test (LVET), que podrían utilizarse en una evaluación del peso de las pruebas. Dicho ensayo es una variante del método de ensayo normalizado que figura en la Directriz 405 de la OCDE.</w:t>
      </w:r>
    </w:p>
    <w:p w14:paraId="48BAE870" w14:textId="382B068E" w:rsidR="008B6A70" w:rsidRPr="008645FC" w:rsidRDefault="008B6A70" w:rsidP="008645FC">
      <w:pPr>
        <w:pStyle w:val="SingleTxtG"/>
        <w:tabs>
          <w:tab w:val="left" w:pos="3402"/>
        </w:tabs>
        <w:ind w:left="2268"/>
        <w:rPr>
          <w:rFonts w:asciiTheme="majorBidi" w:eastAsiaTheme="minorHAnsi" w:hAnsiTheme="majorBidi" w:cstheme="majorBidi"/>
        </w:rPr>
      </w:pPr>
      <w:r w:rsidRPr="008645FC">
        <w:rPr>
          <w:rFonts w:asciiTheme="majorBidi" w:hAnsiTheme="majorBidi" w:cstheme="majorBidi"/>
        </w:rPr>
        <w:t>3.3.5.3.6.2</w:t>
      </w:r>
      <w:r w:rsidRPr="008645FC">
        <w:rPr>
          <w:rFonts w:asciiTheme="majorBidi" w:hAnsiTheme="majorBidi" w:cstheme="majorBidi"/>
        </w:rPr>
        <w:tab/>
        <w:t xml:space="preserve">Los datos disponibles de ensayos LVET podrían tenerse en cuenta a efectos de la clasificación y el etiquetado, pero deben ser cuidadosamente evaluados. Las diferencias entre el ensayo LVET y la Directriz 405 de la OCDE pueden dar lugar a que, partiendo de los datos procedentes del ensayo LVET, se concluya la no clasificación o la clasificación en una categoría inferior a la que se habría obtenido en caso de utilizar datos procedentes del ensayo normalizado </w:t>
      </w:r>
      <w:r w:rsidRPr="008645FC">
        <w:rPr>
          <w:rFonts w:asciiTheme="majorBidi" w:hAnsiTheme="majorBidi" w:cstheme="majorBidi"/>
          <w:i/>
          <w:iCs/>
        </w:rPr>
        <w:t>in vivo</w:t>
      </w:r>
      <w:r w:rsidRPr="008645FC">
        <w:rPr>
          <w:rFonts w:asciiTheme="majorBidi" w:hAnsiTheme="majorBidi" w:cstheme="majorBidi"/>
        </w:rPr>
        <w:t xml:space="preserve"> (directriz 405 de la OCDE). Por consiguiente, la existencia de datos positivos procedentes del ensayo LVET podría llevar por sí sola a considerar la clasificación en la categoría 1, pero los datos de este ensayo no son concluyentes para determinar una clasificación en la categoría 2 o la no clasificación (ECHA, 2017). Aun así, pueden utilizarse en una evaluación del peso total de las pruebas. Cabe señalar que el ámbito de aplicabilidad del ensayo LVET se limita a los detergentes y productos de limpieza domésticos y a sus principales ingredientes (tensioactivos) (ESAC,</w:t>
      </w:r>
      <w:r w:rsidR="008A7CA3">
        <w:rPr>
          <w:rFonts w:asciiTheme="majorBidi" w:hAnsiTheme="majorBidi" w:cstheme="majorBidi"/>
        </w:rPr>
        <w:t> </w:t>
      </w:r>
      <w:r w:rsidRPr="008645FC">
        <w:rPr>
          <w:rFonts w:asciiTheme="majorBidi" w:hAnsiTheme="majorBidi" w:cstheme="majorBidi"/>
        </w:rPr>
        <w:t>2009).</w:t>
      </w:r>
    </w:p>
    <w:p w14:paraId="4573FE4F" w14:textId="77777777" w:rsidR="008B6A70" w:rsidRPr="008645FC" w:rsidRDefault="008B6A70" w:rsidP="008645FC">
      <w:pPr>
        <w:pStyle w:val="SingleTxtG"/>
        <w:tabs>
          <w:tab w:val="left" w:pos="3402"/>
        </w:tabs>
        <w:ind w:left="2268"/>
        <w:rPr>
          <w:rFonts w:asciiTheme="majorBidi" w:hAnsiTheme="majorBidi" w:cstheme="majorBidi"/>
        </w:rPr>
      </w:pPr>
      <w:r w:rsidRPr="008645FC">
        <w:rPr>
          <w:rFonts w:asciiTheme="majorBidi" w:hAnsiTheme="majorBidi" w:cstheme="majorBidi"/>
        </w:rPr>
        <w:t>3.3.5.3.6.3</w:t>
      </w:r>
      <w:r w:rsidRPr="008645FC">
        <w:rPr>
          <w:rFonts w:asciiTheme="majorBidi" w:hAnsiTheme="majorBidi" w:cstheme="majorBidi"/>
        </w:rPr>
        <w:tab/>
        <w:t>Los efectos en los ojos pueden observarse en estudios de inhalación de dosis elevadas o repetidas con exposición de todo el cuerpo. No obstante, por regla general en ellos no se asignan puntuaciones según los criterios de Draize y el período de observación puede ser inferior a 21 días. Además, es probable que los efectos en los ojos dependan de la concentración de la sustancia o mezcla y del tiempo de exposición. Dado que no existen criterios de concentración y duración mínimas, la ausencia de efectos en los ojos o de irritación ocular puede no ser concluyente para determinar la ausencia de lesiones oculares graves. La presencia de efectos oculares irreversibles debería valorarse en el marco de una evaluación del peso de las pruebas.</w:t>
      </w:r>
    </w:p>
    <w:p w14:paraId="0DEFEC93" w14:textId="77777777" w:rsidR="008B6A70" w:rsidRPr="008645FC" w:rsidRDefault="008B6A70" w:rsidP="008645FC">
      <w:pPr>
        <w:pStyle w:val="SingleTxtG"/>
        <w:tabs>
          <w:tab w:val="left" w:pos="3402"/>
        </w:tabs>
        <w:ind w:left="2268"/>
        <w:rPr>
          <w:rFonts w:asciiTheme="majorBidi" w:hAnsiTheme="majorBidi" w:cstheme="majorBidi"/>
          <w:i/>
          <w:iCs/>
        </w:rPr>
      </w:pPr>
      <w:r w:rsidRPr="008645FC">
        <w:rPr>
          <w:rFonts w:asciiTheme="majorBidi" w:hAnsiTheme="majorBidi" w:cstheme="majorBidi"/>
        </w:rPr>
        <w:t>3.3.5.3.7</w:t>
      </w:r>
      <w:r w:rsidRPr="008645FC">
        <w:rPr>
          <w:rFonts w:asciiTheme="majorBidi" w:hAnsiTheme="majorBidi" w:cstheme="majorBidi"/>
        </w:rPr>
        <w:tab/>
      </w:r>
      <w:r w:rsidRPr="008645FC">
        <w:rPr>
          <w:rFonts w:asciiTheme="majorBidi" w:hAnsiTheme="majorBidi" w:cstheme="majorBidi"/>
          <w:i/>
          <w:iCs/>
        </w:rPr>
        <w:t>Indicaciones complementarias para el uso del pH y la reserva ácida/alcalina en la clasificación relativa a las lesiones oculares graves</w:t>
      </w:r>
    </w:p>
    <w:p w14:paraId="48538F01" w14:textId="1194F928" w:rsidR="008B6A70" w:rsidRPr="008645FC" w:rsidRDefault="008B6A70" w:rsidP="008645FC">
      <w:pPr>
        <w:pStyle w:val="SingleTxtG"/>
        <w:tabs>
          <w:tab w:val="left" w:pos="3402"/>
        </w:tabs>
        <w:ind w:left="2268"/>
        <w:rPr>
          <w:rFonts w:asciiTheme="majorBidi" w:hAnsiTheme="majorBidi" w:cstheme="majorBidi"/>
        </w:rPr>
      </w:pPr>
      <w:r w:rsidRPr="008645FC">
        <w:rPr>
          <w:rFonts w:asciiTheme="majorBidi" w:hAnsiTheme="majorBidi" w:cstheme="majorBidi"/>
        </w:rPr>
        <w:t>3.3.5.3.7.1</w:t>
      </w:r>
      <w:r w:rsidRPr="008645FC">
        <w:rPr>
          <w:rFonts w:asciiTheme="majorBidi" w:hAnsiTheme="majorBidi" w:cstheme="majorBidi"/>
        </w:rPr>
        <w:tab/>
        <w:t>Los métodos que permiten determinar el valor del pH, como la Directriz 122 de la OCDE y el método descrito por Young y otros (1988), difieren en cuanto a la concentración de la sustancia o mezcla para la que se determina el pH, que según el caso puede ser del 1</w:t>
      </w:r>
      <w:r w:rsidR="008C5013" w:rsidRPr="008645FC">
        <w:rPr>
          <w:rFonts w:asciiTheme="majorBidi" w:hAnsiTheme="majorBidi" w:cstheme="majorBidi"/>
        </w:rPr>
        <w:t> %</w:t>
      </w:r>
      <w:r w:rsidRPr="008645FC">
        <w:rPr>
          <w:rFonts w:asciiTheme="majorBidi" w:hAnsiTheme="majorBidi" w:cstheme="majorBidi"/>
        </w:rPr>
        <w:t>, el 10</w:t>
      </w:r>
      <w:r w:rsidR="008C5013" w:rsidRPr="008645FC">
        <w:rPr>
          <w:rFonts w:asciiTheme="majorBidi" w:hAnsiTheme="majorBidi" w:cstheme="majorBidi"/>
        </w:rPr>
        <w:t> %</w:t>
      </w:r>
      <w:r w:rsidRPr="008645FC">
        <w:rPr>
          <w:rFonts w:asciiTheme="majorBidi" w:hAnsiTheme="majorBidi" w:cstheme="majorBidi"/>
        </w:rPr>
        <w:t xml:space="preserve"> o el 100</w:t>
      </w:r>
      <w:r w:rsidR="008C5013" w:rsidRPr="008645FC">
        <w:rPr>
          <w:rFonts w:asciiTheme="majorBidi" w:hAnsiTheme="majorBidi" w:cstheme="majorBidi"/>
        </w:rPr>
        <w:t> %</w:t>
      </w:r>
      <w:r w:rsidRPr="008645FC">
        <w:rPr>
          <w:rFonts w:asciiTheme="majorBidi" w:hAnsiTheme="majorBidi" w:cstheme="majorBidi"/>
        </w:rPr>
        <w:t>. También determinan de forma distinta la reserva ácida/alcalina: en el caso de la Directriz 122 de la OCDE, se hace a un pH de hasta 7, tanto para los ácidos como para las bases, y en el caso de Young y otros, 1988, a un pH de hasta 4 para los ácidos y de hasta 10 para las bases. Además, los dos métodos emplean unidades distintas para expresar la reserva ácida/alcalina.</w:t>
      </w:r>
    </w:p>
    <w:p w14:paraId="48A1FDC4" w14:textId="77777777" w:rsidR="008B6A70" w:rsidRPr="008645FC" w:rsidRDefault="008B6A70" w:rsidP="008645FC">
      <w:pPr>
        <w:pStyle w:val="SingleTxtG"/>
        <w:tabs>
          <w:tab w:val="left" w:pos="3402"/>
        </w:tabs>
        <w:ind w:left="2268"/>
        <w:rPr>
          <w:rFonts w:asciiTheme="majorBidi" w:hAnsiTheme="majorBidi" w:cstheme="majorBidi"/>
        </w:rPr>
      </w:pPr>
      <w:r w:rsidRPr="008645FC">
        <w:rPr>
          <w:rFonts w:asciiTheme="majorBidi" w:hAnsiTheme="majorBidi" w:cstheme="majorBidi"/>
        </w:rPr>
        <w:t>3.3.5.3.7.2</w:t>
      </w:r>
      <w:r w:rsidRPr="008645FC">
        <w:rPr>
          <w:rFonts w:asciiTheme="majorBidi" w:hAnsiTheme="majorBidi" w:cstheme="majorBidi"/>
        </w:rPr>
        <w:tab/>
        <w:t xml:space="preserve">Existen criterios para determinar qué sustancias y mezclas deben ser clasificadas en la categoría 1 por sus efectos en la piel sobre la base del pH y la reserva ácida/alcalina (Young y otros, 1988), los cuales pueden aplicarse también a los efectos en los ojos. Dichos criterios se fijaron utilizando una combinación de valores de pH y de reserva ácida/alcalina determinados en unas condiciones concretas (Young y otros, 1988), por lo que pueden no ser directamente aplicables cuando se utilizan otras concentraciones o métodos de ensayo para medir el pH y la reserva ácida/alcalina. Además, la calibración y validación de estos criterios se basó en un conjunto limitado de datos sobre los efectos en la piel, por lo que el valor predictivo de la combinación del pH y la reserva ácida/alcalina para la clasificación en la categoría 1 de efectos en los ojos también es limitado, particularmente en el caso de las sustancias y mezclas con un pH extremo pero con una reserva ácida/alcalina no significativa. Los criterios establecidos por Young y otros (1988) para la clasificación en la </w:t>
      </w:r>
      <w:r w:rsidRPr="008645FC">
        <w:rPr>
          <w:rFonts w:asciiTheme="majorBidi" w:hAnsiTheme="majorBidi" w:cstheme="majorBidi"/>
        </w:rPr>
        <w:lastRenderedPageBreak/>
        <w:t>categoría 1 pueden utilizarse como punto de partida para determinar si una sustancia o una mezcla tiene una reserva ácida/alcalina significativa o no significativa. Una autoridad competente podrá decidir qué criterios pueden aplicarse para determinar si una reserva ácida/alcalina es significativa.</w:t>
      </w:r>
    </w:p>
    <w:p w14:paraId="09913155" w14:textId="77777777" w:rsidR="008B6A70" w:rsidRPr="008645FC" w:rsidRDefault="008B6A70" w:rsidP="008645FC">
      <w:pPr>
        <w:pStyle w:val="SingleTxtG"/>
        <w:tabs>
          <w:tab w:val="left" w:pos="1560"/>
          <w:tab w:val="left" w:pos="3402"/>
        </w:tabs>
        <w:ind w:left="2268"/>
        <w:rPr>
          <w:rFonts w:asciiTheme="majorBidi" w:hAnsiTheme="majorBidi" w:cstheme="majorBidi"/>
        </w:rPr>
      </w:pPr>
      <w:r w:rsidRPr="008645FC">
        <w:rPr>
          <w:rFonts w:asciiTheme="majorBidi" w:hAnsiTheme="majorBidi" w:cstheme="majorBidi"/>
        </w:rPr>
        <w:t>________________</w:t>
      </w:r>
    </w:p>
    <w:p w14:paraId="221E374A" w14:textId="77777777" w:rsidR="008B6A70" w:rsidRPr="008645FC" w:rsidRDefault="008B6A70" w:rsidP="008645FC">
      <w:pPr>
        <w:tabs>
          <w:tab w:val="left" w:pos="1276"/>
          <w:tab w:val="left" w:pos="1560"/>
          <w:tab w:val="left" w:pos="2835"/>
          <w:tab w:val="left" w:pos="3402"/>
        </w:tabs>
        <w:spacing w:after="120"/>
        <w:ind w:left="2268" w:right="1134"/>
        <w:rPr>
          <w:rFonts w:asciiTheme="majorBidi" w:hAnsiTheme="majorBidi" w:cstheme="majorBidi"/>
          <w:b/>
          <w:i/>
          <w:iCs/>
        </w:rPr>
      </w:pPr>
      <w:r w:rsidRPr="008645FC">
        <w:rPr>
          <w:rFonts w:asciiTheme="majorBidi" w:hAnsiTheme="majorBidi" w:cstheme="majorBidi"/>
        </w:rPr>
        <w:t>*</w:t>
      </w:r>
      <w:r w:rsidRPr="008645FC">
        <w:rPr>
          <w:rFonts w:asciiTheme="majorBidi" w:hAnsiTheme="majorBidi" w:cstheme="majorBidi"/>
        </w:rPr>
        <w:tab/>
      </w:r>
      <w:r w:rsidRPr="008645FC">
        <w:rPr>
          <w:rFonts w:asciiTheme="majorBidi" w:hAnsiTheme="majorBidi" w:cstheme="majorBidi"/>
          <w:i/>
          <w:iCs/>
        </w:rPr>
        <w:t>Referencias:</w:t>
      </w:r>
    </w:p>
    <w:p w14:paraId="7C3BC834" w14:textId="54A7B3FE" w:rsidR="008B6A70" w:rsidRPr="008645FC" w:rsidRDefault="008B6A70" w:rsidP="008645FC">
      <w:pPr>
        <w:tabs>
          <w:tab w:val="left" w:pos="1560"/>
          <w:tab w:val="left" w:pos="3402"/>
        </w:tabs>
        <w:spacing w:after="120"/>
        <w:ind w:left="2268" w:right="1134"/>
        <w:jc w:val="both"/>
        <w:rPr>
          <w:rFonts w:asciiTheme="majorBidi" w:hAnsiTheme="majorBidi" w:cstheme="majorBidi"/>
          <w:i/>
        </w:rPr>
      </w:pPr>
      <w:r w:rsidRPr="008645FC">
        <w:rPr>
          <w:rFonts w:asciiTheme="majorBidi" w:hAnsiTheme="majorBidi" w:cstheme="majorBidi"/>
          <w:i/>
          <w:iCs/>
        </w:rPr>
        <w:t>Alépée, N., E. Adriaens, T. Abo, D. Bagley, B. Desprez, J. Hibatallah, K.</w:t>
      </w:r>
      <w:r w:rsidR="008A7CA3">
        <w:rPr>
          <w:rFonts w:asciiTheme="majorBidi" w:hAnsiTheme="majorBidi" w:cstheme="majorBidi"/>
          <w:i/>
          <w:iCs/>
        </w:rPr>
        <w:t> </w:t>
      </w:r>
      <w:r w:rsidRPr="008645FC">
        <w:rPr>
          <w:rFonts w:asciiTheme="majorBidi" w:hAnsiTheme="majorBidi" w:cstheme="majorBidi"/>
          <w:i/>
          <w:iCs/>
        </w:rPr>
        <w:t>Mewes, U. Pfannenbecker, À. Sala, A.</w:t>
      </w:r>
      <w:r w:rsidR="00BD0CAD" w:rsidRPr="008645FC">
        <w:rPr>
          <w:rFonts w:asciiTheme="majorBidi" w:hAnsiTheme="majorBidi" w:cstheme="majorBidi"/>
          <w:i/>
          <w:iCs/>
        </w:rPr>
        <w:t xml:space="preserve"> </w:t>
      </w:r>
      <w:r w:rsidRPr="008645FC">
        <w:rPr>
          <w:rFonts w:asciiTheme="majorBidi" w:hAnsiTheme="majorBidi" w:cstheme="majorBidi"/>
          <w:i/>
          <w:iCs/>
        </w:rPr>
        <w:t>R. Van Rompay, S. Verstraelen, y P.</w:t>
      </w:r>
      <w:r w:rsidR="008A7CA3">
        <w:rPr>
          <w:rFonts w:asciiTheme="majorBidi" w:hAnsiTheme="majorBidi" w:cstheme="majorBidi"/>
          <w:i/>
          <w:iCs/>
        </w:rPr>
        <w:t> </w:t>
      </w:r>
      <w:r w:rsidRPr="008645FC">
        <w:rPr>
          <w:rFonts w:asciiTheme="majorBidi" w:hAnsiTheme="majorBidi" w:cstheme="majorBidi"/>
          <w:i/>
          <w:iCs/>
        </w:rPr>
        <w:t>McNamee</w:t>
      </w:r>
      <w:r w:rsidRPr="008645FC">
        <w:rPr>
          <w:rFonts w:asciiTheme="majorBidi" w:hAnsiTheme="majorBidi" w:cstheme="majorBidi"/>
          <w:i/>
        </w:rPr>
        <w:t xml:space="preserve">. 2019a. </w:t>
      </w:r>
      <w:r w:rsidRPr="008645FC">
        <w:rPr>
          <w:rFonts w:asciiTheme="majorBidi" w:hAnsiTheme="majorBidi" w:cstheme="majorBidi"/>
          <w:i/>
          <w:iCs/>
        </w:rPr>
        <w:t xml:space="preserve">Development of a defined approach for eye irritation or serious eye damage for liquids, neat and in dilution, based on Cosmetics Europe analysis of </w:t>
      </w:r>
      <w:r w:rsidR="00762E66" w:rsidRPr="008645FC">
        <w:rPr>
          <w:rFonts w:asciiTheme="majorBidi" w:hAnsiTheme="majorBidi" w:cstheme="majorBidi"/>
          <w:i/>
          <w:iCs/>
        </w:rPr>
        <w:t>in vitro</w:t>
      </w:r>
      <w:r w:rsidRPr="008645FC">
        <w:rPr>
          <w:rFonts w:asciiTheme="majorBidi" w:hAnsiTheme="majorBidi" w:cstheme="majorBidi"/>
          <w:i/>
          <w:iCs/>
        </w:rPr>
        <w:t xml:space="preserve"> STE and BCOP test methods. Toxicol. </w:t>
      </w:r>
      <w:r w:rsidR="00762E66" w:rsidRPr="008645FC">
        <w:rPr>
          <w:rFonts w:asciiTheme="majorBidi" w:hAnsiTheme="majorBidi" w:cstheme="majorBidi"/>
          <w:i/>
          <w:iCs/>
        </w:rPr>
        <w:t>In vitro</w:t>
      </w:r>
      <w:r w:rsidRPr="008645FC">
        <w:rPr>
          <w:rFonts w:asciiTheme="majorBidi" w:hAnsiTheme="majorBidi" w:cstheme="majorBidi"/>
          <w:i/>
          <w:iCs/>
        </w:rPr>
        <w:t>, 57: 154-163. Doi: 10.1016/j.tiv.2019.02.019.</w:t>
      </w:r>
    </w:p>
    <w:p w14:paraId="1C7C672F" w14:textId="0FAA2F3F" w:rsidR="008B6A70" w:rsidRPr="008645FC" w:rsidRDefault="008B6A70" w:rsidP="008645FC">
      <w:pPr>
        <w:tabs>
          <w:tab w:val="left" w:pos="1560"/>
        </w:tabs>
        <w:spacing w:after="120"/>
        <w:ind w:left="2268" w:right="1134"/>
        <w:jc w:val="both"/>
        <w:rPr>
          <w:rFonts w:asciiTheme="majorBidi" w:hAnsiTheme="majorBidi" w:cstheme="majorBidi"/>
          <w:i/>
        </w:rPr>
      </w:pPr>
      <w:r w:rsidRPr="008645FC">
        <w:rPr>
          <w:rFonts w:asciiTheme="majorBidi" w:hAnsiTheme="majorBidi" w:cstheme="majorBidi"/>
          <w:i/>
          <w:iCs/>
        </w:rPr>
        <w:t>Alépée, N., E. Adriaens, T. Abo, D. Bagley, B. Desprez, J. Hibatallah, K.</w:t>
      </w:r>
      <w:r w:rsidR="008A7CA3">
        <w:rPr>
          <w:rFonts w:asciiTheme="majorBidi" w:hAnsiTheme="majorBidi" w:cstheme="majorBidi"/>
          <w:i/>
          <w:iCs/>
        </w:rPr>
        <w:t> </w:t>
      </w:r>
      <w:r w:rsidRPr="008645FC">
        <w:rPr>
          <w:rFonts w:asciiTheme="majorBidi" w:hAnsiTheme="majorBidi" w:cstheme="majorBidi"/>
          <w:i/>
          <w:iCs/>
        </w:rPr>
        <w:t>Mewes, U. Pfannenbecker, À. Sala, A.</w:t>
      </w:r>
      <w:r w:rsidR="00BD0CAD" w:rsidRPr="008645FC">
        <w:rPr>
          <w:rFonts w:asciiTheme="majorBidi" w:hAnsiTheme="majorBidi" w:cstheme="majorBidi"/>
          <w:i/>
          <w:iCs/>
        </w:rPr>
        <w:t xml:space="preserve"> </w:t>
      </w:r>
      <w:r w:rsidRPr="008645FC">
        <w:rPr>
          <w:rFonts w:asciiTheme="majorBidi" w:hAnsiTheme="majorBidi" w:cstheme="majorBidi"/>
          <w:i/>
          <w:iCs/>
        </w:rPr>
        <w:t>R. Van Rompay, S. Verstraelen, y P.</w:t>
      </w:r>
      <w:r w:rsidR="008A7CA3">
        <w:rPr>
          <w:rFonts w:asciiTheme="majorBidi" w:hAnsiTheme="majorBidi" w:cstheme="majorBidi"/>
          <w:i/>
          <w:iCs/>
        </w:rPr>
        <w:t> </w:t>
      </w:r>
      <w:r w:rsidRPr="008645FC">
        <w:rPr>
          <w:rFonts w:asciiTheme="majorBidi" w:hAnsiTheme="majorBidi" w:cstheme="majorBidi"/>
          <w:i/>
          <w:iCs/>
        </w:rPr>
        <w:t>McNamee</w:t>
      </w:r>
      <w:r w:rsidRPr="008645FC">
        <w:rPr>
          <w:rFonts w:asciiTheme="majorBidi" w:hAnsiTheme="majorBidi" w:cstheme="majorBidi"/>
          <w:i/>
        </w:rPr>
        <w:t xml:space="preserve">. 2019b. </w:t>
      </w:r>
      <w:r w:rsidRPr="008645FC">
        <w:rPr>
          <w:rFonts w:asciiTheme="majorBidi" w:hAnsiTheme="majorBidi" w:cstheme="majorBidi"/>
          <w:i/>
          <w:iCs/>
        </w:rPr>
        <w:t xml:space="preserve">Development of a defined approach for eye irritation or serious eye damage for neat liquids based on Cosmetics Europe analysis of </w:t>
      </w:r>
      <w:r w:rsidR="00762E66" w:rsidRPr="008645FC">
        <w:rPr>
          <w:rFonts w:asciiTheme="majorBidi" w:hAnsiTheme="majorBidi" w:cstheme="majorBidi"/>
          <w:i/>
          <w:iCs/>
        </w:rPr>
        <w:t>in vitro</w:t>
      </w:r>
      <w:r w:rsidRPr="008645FC">
        <w:rPr>
          <w:rFonts w:asciiTheme="majorBidi" w:hAnsiTheme="majorBidi" w:cstheme="majorBidi"/>
          <w:i/>
          <w:iCs/>
        </w:rPr>
        <w:t xml:space="preserve"> RhCE and BCOP test methods. Toxicol. </w:t>
      </w:r>
      <w:r w:rsidR="00762E66" w:rsidRPr="008645FC">
        <w:rPr>
          <w:rFonts w:asciiTheme="majorBidi" w:hAnsiTheme="majorBidi" w:cstheme="majorBidi"/>
          <w:i/>
          <w:iCs/>
        </w:rPr>
        <w:t>In vitro</w:t>
      </w:r>
      <w:r w:rsidRPr="008645FC">
        <w:rPr>
          <w:rFonts w:asciiTheme="majorBidi" w:hAnsiTheme="majorBidi" w:cstheme="majorBidi"/>
          <w:i/>
          <w:iCs/>
        </w:rPr>
        <w:t>, 59: 100-114. Doi:</w:t>
      </w:r>
      <w:r w:rsidR="008A7CA3">
        <w:rPr>
          <w:rFonts w:asciiTheme="majorBidi" w:hAnsiTheme="majorBidi" w:cstheme="majorBidi"/>
          <w:i/>
          <w:iCs/>
        </w:rPr>
        <w:t> </w:t>
      </w:r>
      <w:r w:rsidRPr="008645FC">
        <w:rPr>
          <w:rFonts w:asciiTheme="majorBidi" w:hAnsiTheme="majorBidi" w:cstheme="majorBidi"/>
          <w:i/>
          <w:iCs/>
        </w:rPr>
        <w:t>10.1016/j.tiv.2019.04.011</w:t>
      </w:r>
      <w:r w:rsidRPr="008645FC">
        <w:rPr>
          <w:rFonts w:asciiTheme="majorBidi" w:hAnsiTheme="majorBidi" w:cstheme="majorBidi"/>
          <w:i/>
        </w:rPr>
        <w:t>.</w:t>
      </w:r>
    </w:p>
    <w:p w14:paraId="6B8F25F3" w14:textId="46DBAB5D" w:rsidR="008B6A70" w:rsidRPr="008645FC" w:rsidRDefault="008B6A70" w:rsidP="008645FC">
      <w:pPr>
        <w:tabs>
          <w:tab w:val="left" w:pos="1560"/>
        </w:tabs>
        <w:spacing w:after="120"/>
        <w:ind w:left="2268" w:right="1134"/>
        <w:jc w:val="both"/>
        <w:rPr>
          <w:rFonts w:asciiTheme="majorBidi" w:hAnsiTheme="majorBidi" w:cstheme="majorBidi"/>
          <w:i/>
        </w:rPr>
      </w:pPr>
      <w:r w:rsidRPr="008645FC">
        <w:rPr>
          <w:rFonts w:asciiTheme="majorBidi" w:hAnsiTheme="majorBidi" w:cstheme="majorBidi"/>
          <w:i/>
        </w:rPr>
        <w:t>Alépée, N., V. Leblanc, M.</w:t>
      </w:r>
      <w:r w:rsidR="00BD0CAD" w:rsidRPr="008645FC">
        <w:rPr>
          <w:rFonts w:asciiTheme="majorBidi" w:hAnsiTheme="majorBidi" w:cstheme="majorBidi"/>
          <w:i/>
        </w:rPr>
        <w:t xml:space="preserve"> </w:t>
      </w:r>
      <w:r w:rsidRPr="008645FC">
        <w:rPr>
          <w:rFonts w:asciiTheme="majorBidi" w:hAnsiTheme="majorBidi" w:cstheme="majorBidi"/>
          <w:i/>
        </w:rPr>
        <w:t xml:space="preserve">H. Grandidier, S. Teluob, V. Tagliati, E. Adriaens, y V. Michaut. </w:t>
      </w:r>
      <w:r w:rsidRPr="008645FC">
        <w:rPr>
          <w:rFonts w:asciiTheme="majorBidi" w:hAnsiTheme="majorBidi" w:cstheme="majorBidi"/>
          <w:i/>
          <w:iCs/>
        </w:rPr>
        <w:t>2020.</w:t>
      </w:r>
      <w:r w:rsidRPr="008645FC">
        <w:rPr>
          <w:rFonts w:asciiTheme="majorBidi" w:hAnsiTheme="majorBidi" w:cstheme="majorBidi"/>
          <w:i/>
        </w:rPr>
        <w:t xml:space="preserve"> Development of the SkinEthic HCE Time-to-Toxicity test method for identifying liquid chemicals not requiring classification and labelling and liquids inducing serious eye damage and eye irritation. Toxicol. </w:t>
      </w:r>
      <w:r w:rsidR="00762E66" w:rsidRPr="008645FC">
        <w:rPr>
          <w:rFonts w:asciiTheme="majorBidi" w:hAnsiTheme="majorBidi" w:cstheme="majorBidi"/>
          <w:i/>
        </w:rPr>
        <w:t>In vitro</w:t>
      </w:r>
      <w:r w:rsidRPr="008645FC">
        <w:rPr>
          <w:rFonts w:asciiTheme="majorBidi" w:hAnsiTheme="majorBidi" w:cstheme="majorBidi"/>
          <w:i/>
        </w:rPr>
        <w:t>, 69: 104960. Doi: 10.1016/j.tiv.2020.104960.</w:t>
      </w:r>
    </w:p>
    <w:p w14:paraId="6DAFDE1A" w14:textId="7F5EF8F7" w:rsidR="008B6A70" w:rsidRPr="008645FC" w:rsidRDefault="008B6A70" w:rsidP="008645FC">
      <w:pPr>
        <w:tabs>
          <w:tab w:val="left" w:pos="1560"/>
        </w:tabs>
        <w:spacing w:after="120"/>
        <w:ind w:left="2268" w:right="1134"/>
        <w:jc w:val="both"/>
        <w:rPr>
          <w:rFonts w:asciiTheme="majorBidi" w:hAnsiTheme="majorBidi" w:cstheme="majorBidi"/>
          <w:i/>
        </w:rPr>
      </w:pPr>
      <w:r w:rsidRPr="008645FC">
        <w:rPr>
          <w:rFonts w:asciiTheme="majorBidi" w:hAnsiTheme="majorBidi" w:cstheme="majorBidi"/>
          <w:i/>
        </w:rPr>
        <w:t>Bagley, D.</w:t>
      </w:r>
      <w:r w:rsidR="00BD0CAD" w:rsidRPr="008645FC">
        <w:rPr>
          <w:rFonts w:asciiTheme="majorBidi" w:hAnsiTheme="majorBidi" w:cstheme="majorBidi"/>
          <w:i/>
        </w:rPr>
        <w:t xml:space="preserve"> </w:t>
      </w:r>
      <w:r w:rsidRPr="008645FC">
        <w:rPr>
          <w:rFonts w:asciiTheme="majorBidi" w:hAnsiTheme="majorBidi" w:cstheme="majorBidi"/>
          <w:i/>
        </w:rPr>
        <w:t>M., D. Waters, y B.</w:t>
      </w:r>
      <w:r w:rsidR="00BD0CAD" w:rsidRPr="008645FC">
        <w:rPr>
          <w:rFonts w:asciiTheme="majorBidi" w:hAnsiTheme="majorBidi" w:cstheme="majorBidi"/>
          <w:i/>
        </w:rPr>
        <w:t xml:space="preserve"> </w:t>
      </w:r>
      <w:r w:rsidRPr="008645FC">
        <w:rPr>
          <w:rFonts w:asciiTheme="majorBidi" w:hAnsiTheme="majorBidi" w:cstheme="majorBidi"/>
          <w:i/>
        </w:rPr>
        <w:t xml:space="preserve">M. Kong. </w:t>
      </w:r>
      <w:r w:rsidRPr="008645FC">
        <w:rPr>
          <w:rFonts w:asciiTheme="majorBidi" w:hAnsiTheme="majorBidi" w:cstheme="majorBidi"/>
          <w:i/>
          <w:iCs/>
        </w:rPr>
        <w:t>1994.</w:t>
      </w:r>
      <w:r w:rsidRPr="008645FC">
        <w:rPr>
          <w:rFonts w:asciiTheme="majorBidi" w:hAnsiTheme="majorBidi" w:cstheme="majorBidi"/>
          <w:i/>
        </w:rPr>
        <w:t xml:space="preserve"> Development of a 10-day chorioallantoic membrane vascular assay as an alternative to the Draize rabbit eye irritation test. Food Chem. Toxicol., 32(12): 1155-1160. Doi:</w:t>
      </w:r>
      <w:r w:rsidR="008A7CA3">
        <w:rPr>
          <w:rFonts w:asciiTheme="majorBidi" w:hAnsiTheme="majorBidi" w:cstheme="majorBidi"/>
          <w:i/>
        </w:rPr>
        <w:t> </w:t>
      </w:r>
      <w:r w:rsidRPr="008645FC">
        <w:rPr>
          <w:rFonts w:asciiTheme="majorBidi" w:hAnsiTheme="majorBidi" w:cstheme="majorBidi"/>
          <w:i/>
        </w:rPr>
        <w:t>10.1016/0278-6915(94)90131-7.</w:t>
      </w:r>
    </w:p>
    <w:p w14:paraId="0EE86AFB" w14:textId="2272C748" w:rsidR="008B6A70" w:rsidRPr="008645FC" w:rsidRDefault="008B6A70" w:rsidP="008645FC">
      <w:pPr>
        <w:tabs>
          <w:tab w:val="left" w:pos="1560"/>
        </w:tabs>
        <w:spacing w:after="120"/>
        <w:ind w:left="2268" w:right="1134"/>
        <w:jc w:val="both"/>
        <w:rPr>
          <w:rFonts w:asciiTheme="majorBidi" w:hAnsiTheme="majorBidi" w:cstheme="majorBidi"/>
          <w:i/>
        </w:rPr>
      </w:pPr>
      <w:r w:rsidRPr="008645FC">
        <w:rPr>
          <w:rFonts w:asciiTheme="majorBidi" w:hAnsiTheme="majorBidi" w:cstheme="majorBidi"/>
          <w:i/>
        </w:rPr>
        <w:t>Bagley, D.</w:t>
      </w:r>
      <w:r w:rsidR="00BD0CAD" w:rsidRPr="008645FC">
        <w:rPr>
          <w:rFonts w:asciiTheme="majorBidi" w:hAnsiTheme="majorBidi" w:cstheme="majorBidi"/>
          <w:i/>
        </w:rPr>
        <w:t xml:space="preserve"> </w:t>
      </w:r>
      <w:r w:rsidRPr="008645FC">
        <w:rPr>
          <w:rFonts w:asciiTheme="majorBidi" w:hAnsiTheme="majorBidi" w:cstheme="majorBidi"/>
          <w:i/>
        </w:rPr>
        <w:t xml:space="preserve">M., D. Cerven, y J. Harbell. </w:t>
      </w:r>
      <w:r w:rsidRPr="008645FC">
        <w:rPr>
          <w:rFonts w:asciiTheme="majorBidi" w:hAnsiTheme="majorBidi" w:cstheme="majorBidi"/>
          <w:i/>
          <w:iCs/>
        </w:rPr>
        <w:t>1999.</w:t>
      </w:r>
      <w:r w:rsidRPr="008645FC">
        <w:rPr>
          <w:rFonts w:asciiTheme="majorBidi" w:hAnsiTheme="majorBidi" w:cstheme="majorBidi"/>
          <w:i/>
        </w:rPr>
        <w:t xml:space="preserve"> Assessment of the chorioallantoic membrane vascular assay (CAMVA) in the COLIPA </w:t>
      </w:r>
      <w:r w:rsidR="00762E66" w:rsidRPr="008645FC">
        <w:rPr>
          <w:rFonts w:asciiTheme="majorBidi" w:hAnsiTheme="majorBidi" w:cstheme="majorBidi"/>
          <w:i/>
        </w:rPr>
        <w:t>in vitro</w:t>
      </w:r>
      <w:r w:rsidRPr="008645FC">
        <w:rPr>
          <w:rFonts w:asciiTheme="majorBidi" w:hAnsiTheme="majorBidi" w:cstheme="majorBidi"/>
          <w:i/>
        </w:rPr>
        <w:t xml:space="preserve"> eye irritation validation study. Toxicol. </w:t>
      </w:r>
      <w:r w:rsidR="00762E66" w:rsidRPr="008645FC">
        <w:rPr>
          <w:rFonts w:asciiTheme="majorBidi" w:hAnsiTheme="majorBidi" w:cstheme="majorBidi"/>
          <w:i/>
        </w:rPr>
        <w:t>In vitro</w:t>
      </w:r>
      <w:r w:rsidRPr="008645FC">
        <w:rPr>
          <w:rFonts w:asciiTheme="majorBidi" w:hAnsiTheme="majorBidi" w:cstheme="majorBidi"/>
          <w:i/>
        </w:rPr>
        <w:t>, 13(2): 285-293. Doi: 10.1016/s0887-2333(98)00089-7.</w:t>
      </w:r>
    </w:p>
    <w:p w14:paraId="055CE971" w14:textId="318F7D2A" w:rsidR="008B6A70" w:rsidRPr="008645FC" w:rsidRDefault="008B6A70" w:rsidP="008645FC">
      <w:pPr>
        <w:tabs>
          <w:tab w:val="left" w:pos="1560"/>
        </w:tabs>
        <w:spacing w:after="120"/>
        <w:ind w:left="2268" w:right="1134"/>
        <w:jc w:val="both"/>
        <w:rPr>
          <w:rFonts w:asciiTheme="majorBidi" w:hAnsiTheme="majorBidi" w:cstheme="majorBidi"/>
          <w:i/>
        </w:rPr>
      </w:pPr>
      <w:r w:rsidRPr="008645FC">
        <w:rPr>
          <w:rFonts w:asciiTheme="majorBidi" w:hAnsiTheme="majorBidi" w:cstheme="majorBidi"/>
          <w:i/>
        </w:rPr>
        <w:t>Balls, M., P.</w:t>
      </w:r>
      <w:r w:rsidR="00BD0CAD" w:rsidRPr="008645FC">
        <w:rPr>
          <w:rFonts w:asciiTheme="majorBidi" w:hAnsiTheme="majorBidi" w:cstheme="majorBidi"/>
          <w:i/>
        </w:rPr>
        <w:t xml:space="preserve"> </w:t>
      </w:r>
      <w:r w:rsidRPr="008645FC">
        <w:rPr>
          <w:rFonts w:asciiTheme="majorBidi" w:hAnsiTheme="majorBidi" w:cstheme="majorBidi"/>
          <w:i/>
        </w:rPr>
        <w:t>A. Botham, L.</w:t>
      </w:r>
      <w:r w:rsidR="00BD0CAD" w:rsidRPr="008645FC">
        <w:rPr>
          <w:rFonts w:asciiTheme="majorBidi" w:hAnsiTheme="majorBidi" w:cstheme="majorBidi"/>
          <w:i/>
        </w:rPr>
        <w:t xml:space="preserve"> </w:t>
      </w:r>
      <w:r w:rsidRPr="008645FC">
        <w:rPr>
          <w:rFonts w:asciiTheme="majorBidi" w:hAnsiTheme="majorBidi" w:cstheme="majorBidi"/>
          <w:i/>
        </w:rPr>
        <w:t xml:space="preserve">H. Bruner, y H. Spielmann. </w:t>
      </w:r>
      <w:r w:rsidRPr="008645FC">
        <w:rPr>
          <w:rFonts w:asciiTheme="majorBidi" w:hAnsiTheme="majorBidi" w:cstheme="majorBidi"/>
          <w:i/>
          <w:iCs/>
        </w:rPr>
        <w:t>1995.</w:t>
      </w:r>
      <w:r w:rsidRPr="008645FC">
        <w:rPr>
          <w:rFonts w:asciiTheme="majorBidi" w:hAnsiTheme="majorBidi" w:cstheme="majorBidi"/>
          <w:i/>
        </w:rPr>
        <w:t xml:space="preserve"> The EC/HO international validation study on alternatives to the draize eye irritation test. Toxicol. </w:t>
      </w:r>
      <w:r w:rsidR="00762E66" w:rsidRPr="008645FC">
        <w:rPr>
          <w:rFonts w:asciiTheme="majorBidi" w:hAnsiTheme="majorBidi" w:cstheme="majorBidi"/>
          <w:i/>
        </w:rPr>
        <w:t>In vitro</w:t>
      </w:r>
      <w:r w:rsidRPr="008645FC">
        <w:rPr>
          <w:rFonts w:asciiTheme="majorBidi" w:hAnsiTheme="majorBidi" w:cstheme="majorBidi"/>
          <w:i/>
        </w:rPr>
        <w:t>, 9(6): 871-929. Doi: 10.1016/0887-2333(95)00092-5.</w:t>
      </w:r>
    </w:p>
    <w:p w14:paraId="587447C0" w14:textId="4156246E" w:rsidR="008B6A70" w:rsidRPr="008645FC" w:rsidRDefault="008B6A70" w:rsidP="008645FC">
      <w:pPr>
        <w:tabs>
          <w:tab w:val="left" w:pos="1560"/>
        </w:tabs>
        <w:spacing w:after="120"/>
        <w:ind w:left="2268" w:right="1134"/>
        <w:jc w:val="both"/>
        <w:rPr>
          <w:rFonts w:asciiTheme="majorBidi" w:hAnsiTheme="majorBidi" w:cstheme="majorBidi"/>
          <w:i/>
        </w:rPr>
      </w:pPr>
      <w:r w:rsidRPr="008645FC">
        <w:rPr>
          <w:rFonts w:asciiTheme="majorBidi" w:hAnsiTheme="majorBidi" w:cstheme="majorBidi"/>
          <w:i/>
        </w:rPr>
        <w:t>Brantom, P.</w:t>
      </w:r>
      <w:r w:rsidR="00BD0CAD" w:rsidRPr="008645FC">
        <w:rPr>
          <w:rFonts w:asciiTheme="majorBidi" w:hAnsiTheme="majorBidi" w:cstheme="majorBidi"/>
          <w:i/>
        </w:rPr>
        <w:t xml:space="preserve"> </w:t>
      </w:r>
      <w:r w:rsidRPr="008645FC">
        <w:rPr>
          <w:rFonts w:asciiTheme="majorBidi" w:hAnsiTheme="majorBidi" w:cstheme="majorBidi"/>
          <w:i/>
        </w:rPr>
        <w:t>G., L.</w:t>
      </w:r>
      <w:r w:rsidR="00BD0CAD" w:rsidRPr="008645FC">
        <w:rPr>
          <w:rFonts w:asciiTheme="majorBidi" w:hAnsiTheme="majorBidi" w:cstheme="majorBidi"/>
          <w:i/>
        </w:rPr>
        <w:t xml:space="preserve"> </w:t>
      </w:r>
      <w:r w:rsidRPr="008645FC">
        <w:rPr>
          <w:rFonts w:asciiTheme="majorBidi" w:hAnsiTheme="majorBidi" w:cstheme="majorBidi"/>
          <w:i/>
        </w:rPr>
        <w:t>H. Bruner, M. Chamberlain, O. De Silva, J. Dupuis, L.</w:t>
      </w:r>
      <w:r w:rsidR="008A7CA3">
        <w:rPr>
          <w:rFonts w:asciiTheme="majorBidi" w:hAnsiTheme="majorBidi" w:cstheme="majorBidi"/>
          <w:i/>
        </w:rPr>
        <w:t> </w:t>
      </w:r>
      <w:r w:rsidRPr="008645FC">
        <w:rPr>
          <w:rFonts w:asciiTheme="majorBidi" w:hAnsiTheme="majorBidi" w:cstheme="majorBidi"/>
          <w:i/>
        </w:rPr>
        <w:t>K.</w:t>
      </w:r>
      <w:r w:rsidR="008A7CA3">
        <w:rPr>
          <w:rFonts w:asciiTheme="majorBidi" w:hAnsiTheme="majorBidi" w:cstheme="majorBidi"/>
          <w:i/>
        </w:rPr>
        <w:t> </w:t>
      </w:r>
      <w:r w:rsidRPr="008645FC">
        <w:rPr>
          <w:rFonts w:asciiTheme="majorBidi" w:hAnsiTheme="majorBidi" w:cstheme="majorBidi"/>
          <w:i/>
        </w:rPr>
        <w:t>Earl, D.</w:t>
      </w:r>
      <w:r w:rsidR="00BD0CAD" w:rsidRPr="008645FC">
        <w:rPr>
          <w:rFonts w:asciiTheme="majorBidi" w:hAnsiTheme="majorBidi" w:cstheme="majorBidi"/>
          <w:i/>
        </w:rPr>
        <w:t xml:space="preserve"> </w:t>
      </w:r>
      <w:r w:rsidRPr="008645FC">
        <w:rPr>
          <w:rFonts w:asciiTheme="majorBidi" w:hAnsiTheme="majorBidi" w:cstheme="majorBidi"/>
          <w:i/>
        </w:rPr>
        <w:t>P. Lovell, W.</w:t>
      </w:r>
      <w:r w:rsidR="00BD0CAD" w:rsidRPr="008645FC">
        <w:rPr>
          <w:rFonts w:asciiTheme="majorBidi" w:hAnsiTheme="majorBidi" w:cstheme="majorBidi"/>
          <w:i/>
        </w:rPr>
        <w:t xml:space="preserve"> </w:t>
      </w:r>
      <w:r w:rsidRPr="008645FC">
        <w:rPr>
          <w:rFonts w:asciiTheme="majorBidi" w:hAnsiTheme="majorBidi" w:cstheme="majorBidi"/>
          <w:i/>
        </w:rPr>
        <w:t>J. Pape, M. Uttley, D.</w:t>
      </w:r>
      <w:r w:rsidR="00BD0CAD" w:rsidRPr="008645FC">
        <w:rPr>
          <w:rFonts w:asciiTheme="majorBidi" w:hAnsiTheme="majorBidi" w:cstheme="majorBidi"/>
          <w:i/>
        </w:rPr>
        <w:t xml:space="preserve"> </w:t>
      </w:r>
      <w:r w:rsidRPr="008645FC">
        <w:rPr>
          <w:rFonts w:asciiTheme="majorBidi" w:hAnsiTheme="majorBidi" w:cstheme="majorBidi"/>
          <w:i/>
        </w:rPr>
        <w:t>M. Bagley, F.</w:t>
      </w:r>
      <w:r w:rsidR="00BD0CAD" w:rsidRPr="008645FC">
        <w:rPr>
          <w:rFonts w:asciiTheme="majorBidi" w:hAnsiTheme="majorBidi" w:cstheme="majorBidi"/>
          <w:i/>
        </w:rPr>
        <w:t xml:space="preserve"> </w:t>
      </w:r>
      <w:r w:rsidRPr="008645FC">
        <w:rPr>
          <w:rFonts w:asciiTheme="majorBidi" w:hAnsiTheme="majorBidi" w:cstheme="majorBidi"/>
          <w:i/>
        </w:rPr>
        <w:t>W. Baker, M.</w:t>
      </w:r>
      <w:r w:rsidR="008A7CA3">
        <w:rPr>
          <w:rFonts w:asciiTheme="majorBidi" w:hAnsiTheme="majorBidi" w:cstheme="majorBidi"/>
          <w:i/>
        </w:rPr>
        <w:t> </w:t>
      </w:r>
      <w:r w:rsidRPr="008645FC">
        <w:rPr>
          <w:rFonts w:asciiTheme="majorBidi" w:hAnsiTheme="majorBidi" w:cstheme="majorBidi"/>
          <w:i/>
        </w:rPr>
        <w:t>Bracher, P. Courtellemont, L. Declercq, S. Freeman, W. Steiling, A.</w:t>
      </w:r>
      <w:r w:rsidR="00BD0CAD" w:rsidRPr="008645FC">
        <w:rPr>
          <w:rFonts w:asciiTheme="majorBidi" w:hAnsiTheme="majorBidi" w:cstheme="majorBidi"/>
          <w:i/>
        </w:rPr>
        <w:t xml:space="preserve"> </w:t>
      </w:r>
      <w:r w:rsidRPr="008645FC">
        <w:rPr>
          <w:rFonts w:asciiTheme="majorBidi" w:hAnsiTheme="majorBidi" w:cstheme="majorBidi"/>
          <w:i/>
        </w:rPr>
        <w:t>P. Walker, G.</w:t>
      </w:r>
      <w:r w:rsidR="00BD0CAD" w:rsidRPr="008645FC">
        <w:rPr>
          <w:rFonts w:asciiTheme="majorBidi" w:hAnsiTheme="majorBidi" w:cstheme="majorBidi"/>
          <w:i/>
        </w:rPr>
        <w:t xml:space="preserve"> </w:t>
      </w:r>
      <w:r w:rsidRPr="008645FC">
        <w:rPr>
          <w:rFonts w:asciiTheme="majorBidi" w:hAnsiTheme="majorBidi" w:cstheme="majorBidi"/>
          <w:i/>
        </w:rPr>
        <w:t>J. Carr, N. Dami, G. Thomas, J. Harbell, P.</w:t>
      </w:r>
      <w:r w:rsidR="00BD0CAD" w:rsidRPr="008645FC">
        <w:rPr>
          <w:rFonts w:asciiTheme="majorBidi" w:hAnsiTheme="majorBidi" w:cstheme="majorBidi"/>
          <w:i/>
        </w:rPr>
        <w:t xml:space="preserve"> </w:t>
      </w:r>
      <w:r w:rsidRPr="008645FC">
        <w:rPr>
          <w:rFonts w:asciiTheme="majorBidi" w:hAnsiTheme="majorBidi" w:cstheme="majorBidi"/>
          <w:i/>
        </w:rPr>
        <w:t>A. Jones, U. Pfannenbecker, J.</w:t>
      </w:r>
      <w:r w:rsidR="00BD0CAD" w:rsidRPr="008645FC">
        <w:rPr>
          <w:rFonts w:asciiTheme="majorBidi" w:hAnsiTheme="majorBidi" w:cstheme="majorBidi"/>
          <w:i/>
        </w:rPr>
        <w:t xml:space="preserve"> </w:t>
      </w:r>
      <w:r w:rsidRPr="008645FC">
        <w:rPr>
          <w:rFonts w:asciiTheme="majorBidi" w:hAnsiTheme="majorBidi" w:cstheme="majorBidi"/>
          <w:i/>
        </w:rPr>
        <w:t>A. Southee, M. Tcheng, H. Argembeaux, D. Castelli, R. Clothier, D.</w:t>
      </w:r>
      <w:r w:rsidR="00BD0CAD" w:rsidRPr="008645FC">
        <w:rPr>
          <w:rFonts w:asciiTheme="majorBidi" w:hAnsiTheme="majorBidi" w:cstheme="majorBidi"/>
          <w:i/>
        </w:rPr>
        <w:t xml:space="preserve"> </w:t>
      </w:r>
      <w:r w:rsidRPr="008645FC">
        <w:rPr>
          <w:rFonts w:asciiTheme="majorBidi" w:hAnsiTheme="majorBidi" w:cstheme="majorBidi"/>
          <w:i/>
        </w:rPr>
        <w:t>J. Esdaile, H. Itigaki, K. Jung, Y. Kasai, H. Kojima, U. Kristen, M. Larnicol, R.</w:t>
      </w:r>
      <w:r w:rsidR="00BD0CAD" w:rsidRPr="008645FC">
        <w:rPr>
          <w:rFonts w:asciiTheme="majorBidi" w:hAnsiTheme="majorBidi" w:cstheme="majorBidi"/>
          <w:i/>
        </w:rPr>
        <w:t xml:space="preserve"> </w:t>
      </w:r>
      <w:r w:rsidRPr="008645FC">
        <w:rPr>
          <w:rFonts w:asciiTheme="majorBidi" w:hAnsiTheme="majorBidi" w:cstheme="majorBidi"/>
          <w:i/>
        </w:rPr>
        <w:t>W. Lewis, K. Marenus, O. Moreno, A. Peterson, E.</w:t>
      </w:r>
      <w:r w:rsidR="00BD0CAD" w:rsidRPr="008645FC">
        <w:rPr>
          <w:rFonts w:asciiTheme="majorBidi" w:hAnsiTheme="majorBidi" w:cstheme="majorBidi"/>
          <w:i/>
        </w:rPr>
        <w:t xml:space="preserve"> </w:t>
      </w:r>
      <w:r w:rsidRPr="008645FC">
        <w:rPr>
          <w:rFonts w:asciiTheme="majorBidi" w:hAnsiTheme="majorBidi" w:cstheme="majorBidi"/>
          <w:i/>
        </w:rPr>
        <w:t xml:space="preserve">S. Rasmussen, C. Robles, y M. Stern. </w:t>
      </w:r>
      <w:r w:rsidRPr="008645FC">
        <w:rPr>
          <w:rFonts w:asciiTheme="majorBidi" w:hAnsiTheme="majorBidi" w:cstheme="majorBidi"/>
          <w:i/>
          <w:iCs/>
        </w:rPr>
        <w:t>1997.</w:t>
      </w:r>
      <w:r w:rsidRPr="008645FC">
        <w:rPr>
          <w:rFonts w:asciiTheme="majorBidi" w:hAnsiTheme="majorBidi" w:cstheme="majorBidi"/>
          <w:i/>
        </w:rPr>
        <w:t xml:space="preserve"> A summary report of the COLIPA international validation study on alternatives to the draize rabbit eye irritation test. Toxicol. </w:t>
      </w:r>
      <w:r w:rsidR="00762E66" w:rsidRPr="008645FC">
        <w:rPr>
          <w:rFonts w:asciiTheme="majorBidi" w:hAnsiTheme="majorBidi" w:cstheme="majorBidi"/>
          <w:i/>
        </w:rPr>
        <w:t>In vitro</w:t>
      </w:r>
      <w:r w:rsidRPr="008645FC">
        <w:rPr>
          <w:rFonts w:asciiTheme="majorBidi" w:hAnsiTheme="majorBidi" w:cstheme="majorBidi"/>
          <w:i/>
        </w:rPr>
        <w:t>, 11: 141-179. Doi:10.1016/S0887-2333(96)00069-0.</w:t>
      </w:r>
    </w:p>
    <w:p w14:paraId="7FF17753" w14:textId="20DCE0E7" w:rsidR="008B6A70" w:rsidRPr="008645FC" w:rsidRDefault="008B6A70" w:rsidP="008645FC">
      <w:pPr>
        <w:tabs>
          <w:tab w:val="left" w:pos="1560"/>
        </w:tabs>
        <w:spacing w:after="120"/>
        <w:ind w:left="2268" w:right="1134"/>
        <w:jc w:val="both"/>
        <w:rPr>
          <w:rFonts w:asciiTheme="majorBidi" w:hAnsiTheme="majorBidi" w:cstheme="majorBidi"/>
          <w:i/>
        </w:rPr>
      </w:pPr>
      <w:r w:rsidRPr="008645FC">
        <w:rPr>
          <w:rFonts w:asciiTheme="majorBidi" w:hAnsiTheme="majorBidi" w:cstheme="majorBidi"/>
          <w:i/>
        </w:rPr>
        <w:t>Burton, A.</w:t>
      </w:r>
      <w:r w:rsidR="00BD0CAD" w:rsidRPr="008645FC">
        <w:rPr>
          <w:rFonts w:asciiTheme="majorBidi" w:hAnsiTheme="majorBidi" w:cstheme="majorBidi"/>
          <w:i/>
        </w:rPr>
        <w:t xml:space="preserve"> </w:t>
      </w:r>
      <w:r w:rsidRPr="008645FC">
        <w:rPr>
          <w:rFonts w:asciiTheme="majorBidi" w:hAnsiTheme="majorBidi" w:cstheme="majorBidi"/>
          <w:i/>
        </w:rPr>
        <w:t>B., M. York, y R.</w:t>
      </w:r>
      <w:r w:rsidR="00BD0CAD" w:rsidRPr="008645FC">
        <w:rPr>
          <w:rFonts w:asciiTheme="majorBidi" w:hAnsiTheme="majorBidi" w:cstheme="majorBidi"/>
          <w:i/>
        </w:rPr>
        <w:t xml:space="preserve"> </w:t>
      </w:r>
      <w:r w:rsidRPr="008645FC">
        <w:rPr>
          <w:rFonts w:asciiTheme="majorBidi" w:hAnsiTheme="majorBidi" w:cstheme="majorBidi"/>
          <w:i/>
        </w:rPr>
        <w:t xml:space="preserve">S. Lawrence. </w:t>
      </w:r>
      <w:r w:rsidRPr="008645FC">
        <w:rPr>
          <w:rFonts w:asciiTheme="majorBidi" w:hAnsiTheme="majorBidi" w:cstheme="majorBidi"/>
          <w:i/>
          <w:iCs/>
        </w:rPr>
        <w:t>1981.</w:t>
      </w:r>
      <w:r w:rsidRPr="008645FC">
        <w:rPr>
          <w:rFonts w:asciiTheme="majorBidi" w:hAnsiTheme="majorBidi" w:cstheme="majorBidi"/>
          <w:i/>
        </w:rPr>
        <w:t xml:space="preserve"> The </w:t>
      </w:r>
      <w:r w:rsidR="00762E66" w:rsidRPr="008645FC">
        <w:rPr>
          <w:rFonts w:asciiTheme="majorBidi" w:hAnsiTheme="majorBidi" w:cstheme="majorBidi"/>
          <w:i/>
        </w:rPr>
        <w:t>in vitro</w:t>
      </w:r>
      <w:r w:rsidRPr="008645FC">
        <w:rPr>
          <w:rFonts w:asciiTheme="majorBidi" w:hAnsiTheme="majorBidi" w:cstheme="majorBidi"/>
          <w:i/>
        </w:rPr>
        <w:t xml:space="preserve"> assessment of severe eye irritants. Food Cosmet. Toxicol., 19(4): 471-480. Doi:</w:t>
      </w:r>
      <w:r w:rsidR="002A21D5">
        <w:rPr>
          <w:rFonts w:asciiTheme="majorBidi" w:hAnsiTheme="majorBidi" w:cstheme="majorBidi"/>
          <w:i/>
        </w:rPr>
        <w:t> </w:t>
      </w:r>
      <w:r w:rsidRPr="008645FC">
        <w:rPr>
          <w:rFonts w:asciiTheme="majorBidi" w:hAnsiTheme="majorBidi" w:cstheme="majorBidi"/>
          <w:i/>
        </w:rPr>
        <w:t>10.1016/0015-6264(81)90452-1.</w:t>
      </w:r>
    </w:p>
    <w:p w14:paraId="6D7B9E8A" w14:textId="77777777" w:rsidR="008B6A70" w:rsidRPr="008645FC" w:rsidRDefault="008B6A70" w:rsidP="008645FC">
      <w:pPr>
        <w:tabs>
          <w:tab w:val="left" w:pos="1560"/>
        </w:tabs>
        <w:spacing w:after="120"/>
        <w:ind w:left="2268" w:right="1134"/>
        <w:jc w:val="both"/>
        <w:rPr>
          <w:rFonts w:asciiTheme="majorBidi" w:hAnsiTheme="majorBidi" w:cstheme="majorBidi"/>
          <w:i/>
        </w:rPr>
      </w:pPr>
      <w:r w:rsidRPr="008645FC">
        <w:rPr>
          <w:rFonts w:asciiTheme="majorBidi" w:hAnsiTheme="majorBidi" w:cstheme="majorBidi"/>
          <w:i/>
        </w:rPr>
        <w:t xml:space="preserve">Choksi, N., S. Lebrun, M. Nguyen, A. Daniel, G. DeGeorge, J. Willoughby, A. Layton, D. Lowther, J. Merrill, J. Matheson, J. Barroso, K. Yozzo, W. Casey, y D. Allen. </w:t>
      </w:r>
      <w:r w:rsidRPr="008645FC">
        <w:rPr>
          <w:rFonts w:asciiTheme="majorBidi" w:hAnsiTheme="majorBidi" w:cstheme="majorBidi"/>
          <w:i/>
          <w:iCs/>
        </w:rPr>
        <w:t>2020.</w:t>
      </w:r>
      <w:r w:rsidRPr="008645FC">
        <w:rPr>
          <w:rFonts w:asciiTheme="majorBidi" w:hAnsiTheme="majorBidi" w:cstheme="majorBidi"/>
          <w:i/>
        </w:rPr>
        <w:t xml:space="preserve"> Validation of the OptiSafe™ eye irritation test. Cutan. Ocul. Toxicol., 39(3): 180-192. Doi: 10.1080/15569527.2020.1787431.</w:t>
      </w:r>
    </w:p>
    <w:p w14:paraId="3A7E09D9" w14:textId="00C4F9DE" w:rsidR="008B6A70" w:rsidRPr="008645FC" w:rsidRDefault="008B6A70" w:rsidP="008645FC">
      <w:pPr>
        <w:tabs>
          <w:tab w:val="left" w:pos="1560"/>
        </w:tabs>
        <w:spacing w:after="120"/>
        <w:ind w:left="2268" w:right="1134"/>
        <w:jc w:val="both"/>
        <w:rPr>
          <w:rFonts w:asciiTheme="majorBidi" w:hAnsiTheme="majorBidi" w:cstheme="majorBidi"/>
          <w:i/>
        </w:rPr>
      </w:pPr>
      <w:r w:rsidRPr="008645FC">
        <w:rPr>
          <w:rFonts w:asciiTheme="majorBidi" w:hAnsiTheme="majorBidi" w:cstheme="majorBidi"/>
          <w:i/>
        </w:rPr>
        <w:t xml:space="preserve">Cottrez, F., V. Leblanc, E. Boitel, H. Groux, y N. Alépée. </w:t>
      </w:r>
      <w:r w:rsidRPr="008645FC">
        <w:rPr>
          <w:rFonts w:asciiTheme="majorBidi" w:hAnsiTheme="majorBidi" w:cstheme="majorBidi"/>
          <w:i/>
          <w:iCs/>
        </w:rPr>
        <w:t>2021.</w:t>
      </w:r>
      <w:r w:rsidRPr="008645FC">
        <w:rPr>
          <w:rFonts w:asciiTheme="majorBidi" w:hAnsiTheme="majorBidi" w:cstheme="majorBidi"/>
          <w:i/>
        </w:rPr>
        <w:t xml:space="preserve"> The EyeIRR</w:t>
      </w:r>
      <w:r w:rsidR="002A21D5">
        <w:rPr>
          <w:rFonts w:asciiTheme="majorBidi" w:hAnsiTheme="majorBidi" w:cstheme="majorBidi"/>
          <w:i/>
        </w:rPr>
        <w:noBreakHyphen/>
      </w:r>
      <w:r w:rsidRPr="008645FC">
        <w:rPr>
          <w:rFonts w:asciiTheme="majorBidi" w:hAnsiTheme="majorBidi" w:cstheme="majorBidi"/>
          <w:i/>
        </w:rPr>
        <w:t xml:space="preserve">IS assay: Development and evaluation of an </w:t>
      </w:r>
      <w:r w:rsidR="00762E66" w:rsidRPr="008645FC">
        <w:rPr>
          <w:rFonts w:asciiTheme="majorBidi" w:hAnsiTheme="majorBidi" w:cstheme="majorBidi"/>
          <w:i/>
        </w:rPr>
        <w:t>in vitro</w:t>
      </w:r>
      <w:r w:rsidRPr="008645FC">
        <w:rPr>
          <w:rFonts w:asciiTheme="majorBidi" w:hAnsiTheme="majorBidi" w:cstheme="majorBidi"/>
          <w:i/>
        </w:rPr>
        <w:t xml:space="preserve"> assay to measure the eye </w:t>
      </w:r>
      <w:r w:rsidRPr="008645FC">
        <w:rPr>
          <w:rFonts w:asciiTheme="majorBidi" w:hAnsiTheme="majorBidi" w:cstheme="majorBidi"/>
          <w:i/>
        </w:rPr>
        <w:lastRenderedPageBreak/>
        <w:t xml:space="preserve">irritation sub-categorization of liquid chemicals. Toxicol. </w:t>
      </w:r>
      <w:r w:rsidR="00762E66" w:rsidRPr="008645FC">
        <w:rPr>
          <w:rFonts w:asciiTheme="majorBidi" w:hAnsiTheme="majorBidi" w:cstheme="majorBidi"/>
          <w:i/>
        </w:rPr>
        <w:t>In vitro</w:t>
      </w:r>
      <w:r w:rsidRPr="008645FC">
        <w:rPr>
          <w:rFonts w:asciiTheme="majorBidi" w:hAnsiTheme="majorBidi" w:cstheme="majorBidi"/>
          <w:i/>
        </w:rPr>
        <w:t>, 71: 105072. Doi: 10.1016/j.tiv.2020.105072.</w:t>
      </w:r>
    </w:p>
    <w:p w14:paraId="104C8B19" w14:textId="19ACC656" w:rsidR="008B6A70" w:rsidRPr="008645FC" w:rsidRDefault="008B6A70" w:rsidP="008645FC">
      <w:pPr>
        <w:tabs>
          <w:tab w:val="left" w:pos="1560"/>
        </w:tabs>
        <w:spacing w:after="120"/>
        <w:ind w:left="2268" w:right="1134"/>
        <w:jc w:val="both"/>
        <w:rPr>
          <w:rFonts w:asciiTheme="majorBidi" w:hAnsiTheme="majorBidi" w:cstheme="majorBidi"/>
          <w:i/>
        </w:rPr>
      </w:pPr>
      <w:r w:rsidRPr="008645FC">
        <w:rPr>
          <w:rFonts w:asciiTheme="majorBidi" w:hAnsiTheme="majorBidi" w:cstheme="majorBidi"/>
          <w:i/>
        </w:rPr>
        <w:t>Donahue, D.</w:t>
      </w:r>
      <w:r w:rsidR="00BD0CAD" w:rsidRPr="008645FC">
        <w:rPr>
          <w:rFonts w:asciiTheme="majorBidi" w:hAnsiTheme="majorBidi" w:cstheme="majorBidi"/>
          <w:i/>
        </w:rPr>
        <w:t xml:space="preserve"> </w:t>
      </w:r>
      <w:r w:rsidRPr="008645FC">
        <w:rPr>
          <w:rFonts w:asciiTheme="majorBidi" w:hAnsiTheme="majorBidi" w:cstheme="majorBidi"/>
          <w:i/>
        </w:rPr>
        <w:t>A., L.</w:t>
      </w:r>
      <w:r w:rsidR="00BD0CAD" w:rsidRPr="008645FC">
        <w:rPr>
          <w:rFonts w:asciiTheme="majorBidi" w:hAnsiTheme="majorBidi" w:cstheme="majorBidi"/>
          <w:i/>
        </w:rPr>
        <w:t xml:space="preserve"> </w:t>
      </w:r>
      <w:r w:rsidRPr="008645FC">
        <w:rPr>
          <w:rFonts w:asciiTheme="majorBidi" w:hAnsiTheme="majorBidi" w:cstheme="majorBidi"/>
          <w:i/>
        </w:rPr>
        <w:t>E. Kaufman, J. Avalos, F.</w:t>
      </w:r>
      <w:r w:rsidR="00BD0CAD" w:rsidRPr="008645FC">
        <w:rPr>
          <w:rFonts w:asciiTheme="majorBidi" w:hAnsiTheme="majorBidi" w:cstheme="majorBidi"/>
          <w:i/>
        </w:rPr>
        <w:t xml:space="preserve"> </w:t>
      </w:r>
      <w:r w:rsidRPr="008645FC">
        <w:rPr>
          <w:rFonts w:asciiTheme="majorBidi" w:hAnsiTheme="majorBidi" w:cstheme="majorBidi"/>
          <w:i/>
        </w:rPr>
        <w:t>A. Simion, y D.</w:t>
      </w:r>
      <w:r w:rsidR="00BD0CAD" w:rsidRPr="008645FC">
        <w:rPr>
          <w:rFonts w:asciiTheme="majorBidi" w:hAnsiTheme="majorBidi" w:cstheme="majorBidi"/>
          <w:i/>
        </w:rPr>
        <w:t xml:space="preserve"> </w:t>
      </w:r>
      <w:r w:rsidRPr="008645FC">
        <w:rPr>
          <w:rFonts w:asciiTheme="majorBidi" w:hAnsiTheme="majorBidi" w:cstheme="majorBidi"/>
          <w:i/>
        </w:rPr>
        <w:t xml:space="preserve">R Cerven. </w:t>
      </w:r>
      <w:r w:rsidRPr="008645FC">
        <w:rPr>
          <w:rFonts w:asciiTheme="majorBidi" w:hAnsiTheme="majorBidi" w:cstheme="majorBidi"/>
          <w:i/>
          <w:iCs/>
        </w:rPr>
        <w:t>2011.</w:t>
      </w:r>
      <w:r w:rsidRPr="008645FC">
        <w:rPr>
          <w:rFonts w:asciiTheme="majorBidi" w:hAnsiTheme="majorBidi" w:cstheme="majorBidi"/>
          <w:i/>
        </w:rPr>
        <w:t xml:space="preserve"> Survey of ocular irritation predictive capacity using Chorioallantoic Membrane Vascular Assay (CAMVA) and Bovine Corneal Opacity and Permeability (BCOP) test historical data for 319 personal care products over fourteen years. Toxicol. </w:t>
      </w:r>
      <w:r w:rsidR="00762E66" w:rsidRPr="008645FC">
        <w:rPr>
          <w:rFonts w:asciiTheme="majorBidi" w:hAnsiTheme="majorBidi" w:cstheme="majorBidi"/>
          <w:i/>
        </w:rPr>
        <w:t>In vitro</w:t>
      </w:r>
      <w:r w:rsidRPr="008645FC">
        <w:rPr>
          <w:rFonts w:asciiTheme="majorBidi" w:hAnsiTheme="majorBidi" w:cstheme="majorBidi"/>
          <w:i/>
        </w:rPr>
        <w:t>, 25(2): 563-572. Doi:</w:t>
      </w:r>
      <w:r w:rsidR="002A21D5">
        <w:rPr>
          <w:rFonts w:asciiTheme="majorBidi" w:hAnsiTheme="majorBidi" w:cstheme="majorBidi"/>
          <w:i/>
        </w:rPr>
        <w:t> </w:t>
      </w:r>
      <w:r w:rsidRPr="008645FC">
        <w:rPr>
          <w:rFonts w:asciiTheme="majorBidi" w:hAnsiTheme="majorBidi" w:cstheme="majorBidi"/>
          <w:i/>
        </w:rPr>
        <w:t>10.1016/j.tiv.2010.12.003.</w:t>
      </w:r>
    </w:p>
    <w:p w14:paraId="6380F993" w14:textId="200D4C1A" w:rsidR="008B6A70" w:rsidRPr="008645FC" w:rsidRDefault="008B6A70" w:rsidP="008645FC">
      <w:pPr>
        <w:tabs>
          <w:tab w:val="left" w:pos="1560"/>
        </w:tabs>
        <w:spacing w:after="120"/>
        <w:ind w:left="2268" w:right="1134"/>
        <w:jc w:val="both"/>
        <w:rPr>
          <w:rFonts w:asciiTheme="majorBidi" w:hAnsiTheme="majorBidi" w:cstheme="majorBidi"/>
          <w:i/>
        </w:rPr>
      </w:pPr>
      <w:r w:rsidRPr="008645FC">
        <w:rPr>
          <w:rFonts w:asciiTheme="majorBidi" w:hAnsiTheme="majorBidi" w:cstheme="majorBidi"/>
          <w:i/>
        </w:rPr>
        <w:t>ECHA</w:t>
      </w:r>
      <w:r w:rsidRPr="008645FC">
        <w:rPr>
          <w:rFonts w:asciiTheme="majorBidi" w:hAnsiTheme="majorBidi" w:cstheme="majorBidi"/>
          <w:i/>
          <w:iCs/>
        </w:rPr>
        <w:t>.</w:t>
      </w:r>
      <w:r w:rsidRPr="008645FC">
        <w:rPr>
          <w:rFonts w:asciiTheme="majorBidi" w:hAnsiTheme="majorBidi" w:cstheme="majorBidi"/>
          <w:i/>
        </w:rPr>
        <w:t xml:space="preserve"> </w:t>
      </w:r>
      <w:r w:rsidRPr="008645FC">
        <w:rPr>
          <w:rFonts w:asciiTheme="majorBidi" w:hAnsiTheme="majorBidi" w:cstheme="majorBidi"/>
          <w:i/>
          <w:iCs/>
        </w:rPr>
        <w:t>2017.</w:t>
      </w:r>
      <w:r w:rsidRPr="008645FC">
        <w:rPr>
          <w:rFonts w:asciiTheme="majorBidi" w:hAnsiTheme="majorBidi" w:cstheme="majorBidi"/>
          <w:i/>
        </w:rPr>
        <w:t xml:space="preserve"> Guidance on the Application of the CLP Criteria. Version 5.0. Reference ECHA-17-G-21-EN. Doi: 10.2823/124801. Puede consultarse en: </w:t>
      </w:r>
      <w:hyperlink r:id="rId33" w:history="1">
        <w:r w:rsidRPr="008645FC">
          <w:rPr>
            <w:rStyle w:val="Hyperlink"/>
            <w:rFonts w:asciiTheme="majorBidi" w:hAnsiTheme="majorBidi" w:cstheme="majorBidi"/>
            <w:i/>
          </w:rPr>
          <w:t>https://echa.europa.eu/guidance-documents/guidance-on-clp</w:t>
        </w:r>
      </w:hyperlink>
      <w:r w:rsidRPr="008645FC">
        <w:rPr>
          <w:rFonts w:asciiTheme="majorBidi" w:hAnsiTheme="majorBidi" w:cstheme="majorBidi"/>
          <w:i/>
        </w:rPr>
        <w:t xml:space="preserve">. </w:t>
      </w:r>
    </w:p>
    <w:p w14:paraId="65F35EC8" w14:textId="0902BA7C" w:rsidR="008B6A70" w:rsidRPr="008645FC" w:rsidRDefault="008B6A70" w:rsidP="008645FC">
      <w:pPr>
        <w:tabs>
          <w:tab w:val="left" w:pos="1560"/>
        </w:tabs>
        <w:spacing w:after="120"/>
        <w:ind w:left="2268" w:right="1134"/>
        <w:jc w:val="both"/>
        <w:rPr>
          <w:rFonts w:asciiTheme="majorBidi" w:hAnsiTheme="majorBidi" w:cstheme="majorBidi"/>
          <w:i/>
        </w:rPr>
      </w:pPr>
      <w:r w:rsidRPr="008645FC">
        <w:rPr>
          <w:rFonts w:asciiTheme="majorBidi" w:hAnsiTheme="majorBidi" w:cstheme="majorBidi"/>
          <w:i/>
        </w:rPr>
        <w:t xml:space="preserve">ESAC. </w:t>
      </w:r>
      <w:r w:rsidRPr="008645FC">
        <w:rPr>
          <w:rFonts w:asciiTheme="majorBidi" w:hAnsiTheme="majorBidi" w:cstheme="majorBidi"/>
          <w:i/>
          <w:iCs/>
        </w:rPr>
        <w:t>2019.</w:t>
      </w:r>
      <w:r w:rsidRPr="008645FC">
        <w:rPr>
          <w:rFonts w:asciiTheme="majorBidi" w:hAnsiTheme="majorBidi" w:cstheme="majorBidi"/>
          <w:i/>
        </w:rPr>
        <w:t xml:space="preserve"> Statement on the use of existing low volume eye test (LVET) data for weight of evidence decisions on classification and labelling of cleaning products and their main ingredients. Statement of the ECVAM Scientific Advisory Committee (ESAC) of 9th July 2009. Puede consultarse en: </w:t>
      </w:r>
      <w:hyperlink r:id="rId34" w:history="1">
        <w:r w:rsidRPr="008645FC">
          <w:rPr>
            <w:rStyle w:val="Hyperlink"/>
            <w:rFonts w:asciiTheme="majorBidi" w:hAnsiTheme="majorBidi" w:cstheme="majorBidi"/>
            <w:i/>
          </w:rPr>
          <w:t>https://ec.europa.eu/jrc/sites/jrcsh/files/esac31_lvet_20090922.pdf</w:t>
        </w:r>
      </w:hyperlink>
      <w:r w:rsidRPr="008645FC">
        <w:rPr>
          <w:rFonts w:asciiTheme="majorBidi" w:hAnsiTheme="majorBidi" w:cstheme="majorBidi"/>
          <w:i/>
        </w:rPr>
        <w:t xml:space="preserve">. </w:t>
      </w:r>
    </w:p>
    <w:p w14:paraId="44880B74" w14:textId="77777777" w:rsidR="008B6A70" w:rsidRPr="008645FC" w:rsidRDefault="008B6A70" w:rsidP="008645FC">
      <w:pPr>
        <w:tabs>
          <w:tab w:val="left" w:pos="1560"/>
        </w:tabs>
        <w:spacing w:after="120"/>
        <w:ind w:left="2268" w:right="1134"/>
        <w:jc w:val="both"/>
        <w:rPr>
          <w:rFonts w:asciiTheme="majorBidi" w:hAnsiTheme="majorBidi" w:cstheme="majorBidi"/>
          <w:i/>
        </w:rPr>
      </w:pPr>
      <w:r w:rsidRPr="008645FC">
        <w:rPr>
          <w:rFonts w:asciiTheme="majorBidi" w:hAnsiTheme="majorBidi" w:cstheme="majorBidi"/>
          <w:i/>
          <w:iCs/>
        </w:rPr>
        <w:t>EURL ECAM</w:t>
      </w:r>
      <w:r w:rsidRPr="008645FC">
        <w:rPr>
          <w:rFonts w:asciiTheme="majorBidi" w:hAnsiTheme="majorBidi" w:cstheme="majorBidi"/>
          <w:i/>
        </w:rPr>
        <w:t xml:space="preserve">. 2004a. </w:t>
      </w:r>
      <w:r w:rsidRPr="008645FC">
        <w:rPr>
          <w:rFonts w:asciiTheme="majorBidi" w:hAnsiTheme="majorBidi" w:cstheme="majorBidi"/>
          <w:i/>
          <w:iCs/>
        </w:rPr>
        <w:t xml:space="preserve">Tracking System for Alternative Methods Towards Regulatory Acceptance (TSAR). Method TM2004-01. The cytosensor microphysiometer toxicity test. Puede consultarse en: </w:t>
      </w:r>
      <w:hyperlink r:id="rId35" w:history="1">
        <w:r w:rsidRPr="008645FC">
          <w:rPr>
            <w:rStyle w:val="Hyperlink"/>
            <w:rFonts w:asciiTheme="majorBidi" w:hAnsiTheme="majorBidi" w:cstheme="majorBidi"/>
            <w:i/>
            <w:iCs/>
          </w:rPr>
          <w:t>https://tsar.jrc.ec.europa.eu/test-method/tm2004-01</w:t>
        </w:r>
      </w:hyperlink>
      <w:r w:rsidRPr="008645FC">
        <w:rPr>
          <w:rFonts w:asciiTheme="majorBidi" w:hAnsiTheme="majorBidi" w:cstheme="majorBidi"/>
          <w:i/>
        </w:rPr>
        <w:t>.</w:t>
      </w:r>
    </w:p>
    <w:p w14:paraId="322C3117" w14:textId="6C16677A" w:rsidR="008B6A70" w:rsidRPr="008645FC" w:rsidRDefault="008B6A70" w:rsidP="008645FC">
      <w:pPr>
        <w:tabs>
          <w:tab w:val="left" w:pos="1560"/>
        </w:tabs>
        <w:spacing w:after="120"/>
        <w:ind w:left="2268" w:right="1134"/>
        <w:jc w:val="both"/>
        <w:rPr>
          <w:rFonts w:asciiTheme="majorBidi" w:hAnsiTheme="majorBidi" w:cstheme="majorBidi"/>
          <w:i/>
        </w:rPr>
      </w:pPr>
      <w:r w:rsidRPr="008645FC">
        <w:rPr>
          <w:rFonts w:asciiTheme="majorBidi" w:hAnsiTheme="majorBidi" w:cstheme="majorBidi"/>
          <w:i/>
        </w:rPr>
        <w:t xml:space="preserve">EURL ECAM. 2004b. Tracking System for Alternative Methods Towards Regulatory Acceptance (TSAR). Method TM2004-03. Neutral Red Release Assay. Puede consultarse en: </w:t>
      </w:r>
      <w:hyperlink r:id="rId36" w:history="1">
        <w:r w:rsidR="0097739B" w:rsidRPr="008645FC">
          <w:rPr>
            <w:rStyle w:val="Hyperlink"/>
            <w:rFonts w:asciiTheme="majorBidi" w:hAnsiTheme="majorBidi" w:cstheme="majorBidi"/>
            <w:i/>
          </w:rPr>
          <w:t>https://tsar.jrc.ec.europa.eu/test-method/</w:t>
        </w:r>
        <w:r w:rsidR="0097739B" w:rsidRPr="008645FC">
          <w:rPr>
            <w:rStyle w:val="Hyperlink"/>
            <w:rFonts w:asciiTheme="majorBidi" w:hAnsiTheme="majorBidi" w:cstheme="majorBidi"/>
            <w:i/>
          </w:rPr>
          <w:br/>
          <w:t>tm2004-03</w:t>
        </w:r>
      </w:hyperlink>
      <w:r w:rsidRPr="008645FC">
        <w:rPr>
          <w:rFonts w:asciiTheme="majorBidi" w:hAnsiTheme="majorBidi" w:cstheme="majorBidi"/>
          <w:i/>
        </w:rPr>
        <w:t>.</w:t>
      </w:r>
    </w:p>
    <w:p w14:paraId="646411ED" w14:textId="70E65A1E" w:rsidR="008B6A70" w:rsidRPr="008645FC" w:rsidRDefault="008B6A70" w:rsidP="008645FC">
      <w:pPr>
        <w:tabs>
          <w:tab w:val="left" w:pos="1560"/>
        </w:tabs>
        <w:spacing w:after="120"/>
        <w:ind w:left="2268" w:right="1134"/>
        <w:jc w:val="both"/>
        <w:rPr>
          <w:rFonts w:asciiTheme="majorBidi" w:hAnsiTheme="majorBidi" w:cstheme="majorBidi"/>
          <w:i/>
        </w:rPr>
      </w:pPr>
      <w:r w:rsidRPr="008645FC">
        <w:rPr>
          <w:rFonts w:asciiTheme="majorBidi" w:hAnsiTheme="majorBidi" w:cstheme="majorBidi"/>
          <w:i/>
        </w:rPr>
        <w:t>Frentz, M., M. Goss, M. Reim, y N.</w:t>
      </w:r>
      <w:r w:rsidR="00173EA8" w:rsidRPr="008645FC">
        <w:rPr>
          <w:rFonts w:asciiTheme="majorBidi" w:hAnsiTheme="majorBidi" w:cstheme="majorBidi"/>
          <w:i/>
        </w:rPr>
        <w:t xml:space="preserve"> </w:t>
      </w:r>
      <w:r w:rsidRPr="008645FC">
        <w:rPr>
          <w:rFonts w:asciiTheme="majorBidi" w:hAnsiTheme="majorBidi" w:cstheme="majorBidi"/>
          <w:i/>
        </w:rPr>
        <w:t xml:space="preserve">F. Schrage. </w:t>
      </w:r>
      <w:r w:rsidRPr="008645FC">
        <w:rPr>
          <w:rFonts w:asciiTheme="majorBidi" w:hAnsiTheme="majorBidi" w:cstheme="majorBidi"/>
          <w:i/>
          <w:iCs/>
        </w:rPr>
        <w:t>2008.</w:t>
      </w:r>
      <w:r w:rsidRPr="008645FC">
        <w:rPr>
          <w:rFonts w:asciiTheme="majorBidi" w:hAnsiTheme="majorBidi" w:cstheme="majorBidi"/>
          <w:i/>
        </w:rPr>
        <w:t xml:space="preserve"> Repeated exposure to benzalkonium chloride in the </w:t>
      </w:r>
      <w:r w:rsidR="00762E66" w:rsidRPr="008645FC">
        <w:rPr>
          <w:rFonts w:asciiTheme="majorBidi" w:hAnsiTheme="majorBidi" w:cstheme="majorBidi"/>
          <w:i/>
        </w:rPr>
        <w:t>Ex vivo</w:t>
      </w:r>
      <w:r w:rsidRPr="008645FC">
        <w:rPr>
          <w:rFonts w:asciiTheme="majorBidi" w:hAnsiTheme="majorBidi" w:cstheme="majorBidi"/>
          <w:i/>
        </w:rPr>
        <w:t xml:space="preserve"> Eye Irritation Test (EVEIT): observation of isolated corneal damage and healing. Altern. Lab. Anim., 36(1): 25-32. Doi: 10.1177/026119290803600105.</w:t>
      </w:r>
    </w:p>
    <w:p w14:paraId="6E109161" w14:textId="58F84A87" w:rsidR="008B6A70" w:rsidRPr="008645FC" w:rsidRDefault="008B6A70" w:rsidP="008645FC">
      <w:pPr>
        <w:tabs>
          <w:tab w:val="left" w:pos="1560"/>
        </w:tabs>
        <w:spacing w:after="120"/>
        <w:ind w:left="2268" w:right="1134"/>
        <w:jc w:val="both"/>
        <w:rPr>
          <w:rFonts w:asciiTheme="majorBidi" w:hAnsiTheme="majorBidi" w:cstheme="majorBidi"/>
          <w:i/>
        </w:rPr>
      </w:pPr>
      <w:r w:rsidRPr="008645FC">
        <w:rPr>
          <w:rFonts w:asciiTheme="majorBidi" w:hAnsiTheme="majorBidi" w:cstheme="majorBidi"/>
          <w:i/>
        </w:rPr>
        <w:t>Harbell, J.</w:t>
      </w:r>
      <w:r w:rsidR="00173EA8" w:rsidRPr="008645FC">
        <w:rPr>
          <w:rFonts w:asciiTheme="majorBidi" w:hAnsiTheme="majorBidi" w:cstheme="majorBidi"/>
          <w:i/>
        </w:rPr>
        <w:t xml:space="preserve"> </w:t>
      </w:r>
      <w:r w:rsidRPr="008645FC">
        <w:rPr>
          <w:rFonts w:asciiTheme="majorBidi" w:hAnsiTheme="majorBidi" w:cstheme="majorBidi"/>
          <w:i/>
        </w:rPr>
        <w:t>W., R. Osborne, G.</w:t>
      </w:r>
      <w:r w:rsidR="00156746" w:rsidRPr="008645FC">
        <w:rPr>
          <w:rFonts w:asciiTheme="majorBidi" w:hAnsiTheme="majorBidi" w:cstheme="majorBidi"/>
          <w:i/>
        </w:rPr>
        <w:t xml:space="preserve"> </w:t>
      </w:r>
      <w:r w:rsidRPr="008645FC">
        <w:rPr>
          <w:rFonts w:asciiTheme="majorBidi" w:hAnsiTheme="majorBidi" w:cstheme="majorBidi"/>
          <w:i/>
        </w:rPr>
        <w:t xml:space="preserve">J. Carr, y A. Peterson. </w:t>
      </w:r>
      <w:r w:rsidRPr="008645FC">
        <w:rPr>
          <w:rFonts w:asciiTheme="majorBidi" w:hAnsiTheme="majorBidi" w:cstheme="majorBidi"/>
          <w:i/>
          <w:iCs/>
        </w:rPr>
        <w:t>1999.</w:t>
      </w:r>
      <w:r w:rsidRPr="008645FC">
        <w:rPr>
          <w:rFonts w:asciiTheme="majorBidi" w:hAnsiTheme="majorBidi" w:cstheme="majorBidi"/>
          <w:i/>
        </w:rPr>
        <w:t xml:space="preserve"> Assessment of the Cytosensor Microphysiometer Assay in the COLIPA </w:t>
      </w:r>
      <w:r w:rsidR="00762E66" w:rsidRPr="008645FC">
        <w:rPr>
          <w:rFonts w:asciiTheme="majorBidi" w:hAnsiTheme="majorBidi" w:cstheme="majorBidi"/>
          <w:i/>
        </w:rPr>
        <w:t>In vitro</w:t>
      </w:r>
      <w:r w:rsidRPr="008645FC">
        <w:rPr>
          <w:rFonts w:asciiTheme="majorBidi" w:hAnsiTheme="majorBidi" w:cstheme="majorBidi"/>
          <w:i/>
        </w:rPr>
        <w:t xml:space="preserve"> Eye Irritation Validation Study. Toxicol. </w:t>
      </w:r>
      <w:r w:rsidR="00762E66" w:rsidRPr="008645FC">
        <w:rPr>
          <w:rFonts w:asciiTheme="majorBidi" w:hAnsiTheme="majorBidi" w:cstheme="majorBidi"/>
          <w:i/>
        </w:rPr>
        <w:t>In vitro</w:t>
      </w:r>
      <w:r w:rsidRPr="008645FC">
        <w:rPr>
          <w:rFonts w:asciiTheme="majorBidi" w:hAnsiTheme="majorBidi" w:cstheme="majorBidi"/>
          <w:i/>
        </w:rPr>
        <w:t>, 13(2): 313-323. Doi: 10.1016/s0887-2333(98)00090-3.</w:t>
      </w:r>
    </w:p>
    <w:p w14:paraId="0CA61FBE" w14:textId="77777777" w:rsidR="008B6A70" w:rsidRPr="008645FC" w:rsidRDefault="008B6A70" w:rsidP="008645FC">
      <w:pPr>
        <w:tabs>
          <w:tab w:val="left" w:pos="1560"/>
        </w:tabs>
        <w:spacing w:after="120"/>
        <w:ind w:left="2268" w:right="1134"/>
        <w:jc w:val="both"/>
        <w:rPr>
          <w:rFonts w:asciiTheme="majorBidi" w:hAnsiTheme="majorBidi" w:cstheme="majorBidi"/>
          <w:i/>
        </w:rPr>
      </w:pPr>
      <w:r w:rsidRPr="008645FC">
        <w:rPr>
          <w:rFonts w:asciiTheme="majorBidi" w:hAnsiTheme="majorBidi" w:cstheme="majorBidi"/>
          <w:i/>
        </w:rPr>
        <w:t xml:space="preserve">Hartung, T., L. Bruner, R. Curren, C. Eskes, A. Goldberg, P. McNamee, L. Scott, y V. Zuang. </w:t>
      </w:r>
      <w:r w:rsidRPr="008645FC">
        <w:rPr>
          <w:rFonts w:asciiTheme="majorBidi" w:hAnsiTheme="majorBidi" w:cstheme="majorBidi"/>
          <w:i/>
          <w:iCs/>
        </w:rPr>
        <w:t>2010.</w:t>
      </w:r>
      <w:r w:rsidRPr="008645FC">
        <w:rPr>
          <w:rFonts w:asciiTheme="majorBidi" w:hAnsiTheme="majorBidi" w:cstheme="majorBidi"/>
          <w:i/>
        </w:rPr>
        <w:t xml:space="preserve"> First alternative method validated by a retrospective weight of evidence approach to replace the Draize eye test for the identification of non-irritant substances for a defined applicability domain. ALTEX, 27(1): 43-51. Doi: 10.14573/altex.2010.1.43.</w:t>
      </w:r>
    </w:p>
    <w:p w14:paraId="5C1C65E8" w14:textId="42318612" w:rsidR="008B6A70" w:rsidRPr="008645FC" w:rsidRDefault="008B6A70" w:rsidP="008645FC">
      <w:pPr>
        <w:tabs>
          <w:tab w:val="left" w:pos="1560"/>
        </w:tabs>
        <w:spacing w:after="120"/>
        <w:ind w:left="2268" w:right="1134"/>
        <w:jc w:val="both"/>
        <w:rPr>
          <w:rFonts w:asciiTheme="majorBidi" w:hAnsiTheme="majorBidi" w:cstheme="majorBidi"/>
          <w:i/>
        </w:rPr>
      </w:pPr>
      <w:r w:rsidRPr="008645FC">
        <w:rPr>
          <w:rFonts w:asciiTheme="majorBidi" w:hAnsiTheme="majorBidi" w:cstheme="majorBidi"/>
          <w:i/>
        </w:rPr>
        <w:t xml:space="preserve">ICCVAM. </w:t>
      </w:r>
      <w:r w:rsidRPr="008645FC">
        <w:rPr>
          <w:rFonts w:asciiTheme="majorBidi" w:hAnsiTheme="majorBidi" w:cstheme="majorBidi"/>
          <w:i/>
          <w:iCs/>
        </w:rPr>
        <w:t>2007.</w:t>
      </w:r>
      <w:r w:rsidRPr="008645FC">
        <w:rPr>
          <w:rFonts w:asciiTheme="majorBidi" w:hAnsiTheme="majorBidi" w:cstheme="majorBidi"/>
          <w:i/>
        </w:rPr>
        <w:t xml:space="preserve"> ICCVAM test method evaluation report: </w:t>
      </w:r>
      <w:r w:rsidR="00762E66" w:rsidRPr="008645FC">
        <w:rPr>
          <w:rFonts w:asciiTheme="majorBidi" w:hAnsiTheme="majorBidi" w:cstheme="majorBidi"/>
          <w:i/>
        </w:rPr>
        <w:t>in vitro</w:t>
      </w:r>
      <w:r w:rsidRPr="008645FC">
        <w:rPr>
          <w:rFonts w:asciiTheme="majorBidi" w:hAnsiTheme="majorBidi" w:cstheme="majorBidi"/>
          <w:i/>
        </w:rPr>
        <w:t xml:space="preserve"> ocular toxicity test methods for identifying ocular severe irritants and corrosives. NIH Publication No. 07–4517. National institute of environmental health sciences, research Triangle Park, Carolina del Norte (EE.UU.).</w:t>
      </w:r>
    </w:p>
    <w:p w14:paraId="487E63BA" w14:textId="4167CC44" w:rsidR="008B6A70" w:rsidRPr="008645FC" w:rsidRDefault="008B6A70" w:rsidP="008645FC">
      <w:pPr>
        <w:tabs>
          <w:tab w:val="left" w:pos="1560"/>
        </w:tabs>
        <w:spacing w:after="120"/>
        <w:ind w:left="2268" w:right="1134"/>
        <w:jc w:val="both"/>
        <w:rPr>
          <w:rFonts w:asciiTheme="majorBidi" w:hAnsiTheme="majorBidi" w:cstheme="majorBidi"/>
          <w:i/>
        </w:rPr>
      </w:pPr>
      <w:r w:rsidRPr="008645FC">
        <w:rPr>
          <w:rFonts w:asciiTheme="majorBidi" w:hAnsiTheme="majorBidi" w:cstheme="majorBidi"/>
          <w:i/>
        </w:rPr>
        <w:t xml:space="preserve">ICCVAM. </w:t>
      </w:r>
      <w:r w:rsidRPr="008645FC">
        <w:rPr>
          <w:rFonts w:asciiTheme="majorBidi" w:hAnsiTheme="majorBidi" w:cstheme="majorBidi"/>
          <w:i/>
          <w:iCs/>
        </w:rPr>
        <w:t>2010.</w:t>
      </w:r>
      <w:r w:rsidRPr="008645FC">
        <w:rPr>
          <w:rFonts w:asciiTheme="majorBidi" w:hAnsiTheme="majorBidi" w:cstheme="majorBidi"/>
          <w:i/>
        </w:rPr>
        <w:t xml:space="preserve"> ICCVAM test method evaluation report: current validation status of </w:t>
      </w:r>
      <w:r w:rsidR="00762E66" w:rsidRPr="008645FC">
        <w:rPr>
          <w:rFonts w:asciiTheme="majorBidi" w:hAnsiTheme="majorBidi" w:cstheme="majorBidi"/>
          <w:i/>
        </w:rPr>
        <w:t>in vitro</w:t>
      </w:r>
      <w:r w:rsidRPr="008645FC">
        <w:rPr>
          <w:rFonts w:asciiTheme="majorBidi" w:hAnsiTheme="majorBidi" w:cstheme="majorBidi"/>
          <w:i/>
        </w:rPr>
        <w:t xml:space="preserve"> test methods proposed for identifying eye injury hazard potential of chemicals and products. NIH Publication No. 10-7553. National Institute of Environmental Health Sciences, Research Triangle Park, Carolina del Norte (EE.UU.).</w:t>
      </w:r>
    </w:p>
    <w:p w14:paraId="33C4A65F" w14:textId="340CC03B" w:rsidR="008B6A70" w:rsidRPr="008645FC" w:rsidRDefault="008B6A70" w:rsidP="008645FC">
      <w:pPr>
        <w:tabs>
          <w:tab w:val="left" w:pos="1560"/>
        </w:tabs>
        <w:spacing w:after="120"/>
        <w:ind w:left="2268" w:right="1134"/>
        <w:jc w:val="both"/>
        <w:rPr>
          <w:rFonts w:asciiTheme="majorBidi" w:hAnsiTheme="majorBidi" w:cstheme="majorBidi"/>
          <w:i/>
        </w:rPr>
      </w:pPr>
      <w:r w:rsidRPr="008645FC">
        <w:rPr>
          <w:rFonts w:asciiTheme="majorBidi" w:hAnsiTheme="majorBidi" w:cstheme="majorBidi"/>
          <w:i/>
        </w:rPr>
        <w:t>Kandarova, H., S. Letasiova, E. Adriaens, R. Guest, J.</w:t>
      </w:r>
      <w:r w:rsidR="00173EA8" w:rsidRPr="008645FC">
        <w:rPr>
          <w:rFonts w:asciiTheme="majorBidi" w:hAnsiTheme="majorBidi" w:cstheme="majorBidi"/>
          <w:i/>
        </w:rPr>
        <w:t xml:space="preserve"> </w:t>
      </w:r>
      <w:r w:rsidRPr="008645FC">
        <w:rPr>
          <w:rFonts w:asciiTheme="majorBidi" w:hAnsiTheme="majorBidi" w:cstheme="majorBidi"/>
          <w:i/>
        </w:rPr>
        <w:t>A. Willoughby Sr., A.</w:t>
      </w:r>
      <w:r w:rsidR="002A21D5">
        <w:rPr>
          <w:rFonts w:asciiTheme="majorBidi" w:hAnsiTheme="majorBidi" w:cstheme="majorBidi"/>
          <w:i/>
        </w:rPr>
        <w:t> </w:t>
      </w:r>
      <w:r w:rsidRPr="008645FC">
        <w:rPr>
          <w:rFonts w:asciiTheme="majorBidi" w:hAnsiTheme="majorBidi" w:cstheme="majorBidi"/>
          <w:i/>
        </w:rPr>
        <w:t>Drzewiecka, K. Gruszka, N. Alépée, S. Verstraelen, y A.</w:t>
      </w:r>
      <w:r w:rsidR="00173EA8" w:rsidRPr="008645FC">
        <w:rPr>
          <w:rFonts w:asciiTheme="majorBidi" w:hAnsiTheme="majorBidi" w:cstheme="majorBidi"/>
          <w:i/>
        </w:rPr>
        <w:t xml:space="preserve"> </w:t>
      </w:r>
      <w:r w:rsidRPr="008645FC">
        <w:rPr>
          <w:rFonts w:asciiTheme="majorBidi" w:hAnsiTheme="majorBidi" w:cstheme="majorBidi"/>
          <w:i/>
        </w:rPr>
        <w:t xml:space="preserve">R. Van Rompay. </w:t>
      </w:r>
      <w:r w:rsidRPr="008645FC">
        <w:rPr>
          <w:rFonts w:asciiTheme="majorBidi" w:hAnsiTheme="majorBidi" w:cstheme="majorBidi"/>
          <w:i/>
          <w:iCs/>
        </w:rPr>
        <w:t>2018.</w:t>
      </w:r>
      <w:r w:rsidRPr="008645FC">
        <w:rPr>
          <w:rFonts w:asciiTheme="majorBidi" w:hAnsiTheme="majorBidi" w:cstheme="majorBidi"/>
          <w:i/>
        </w:rPr>
        <w:t xml:space="preserve"> CON4EI: CONsortium for </w:t>
      </w:r>
      <w:r w:rsidR="00762E66" w:rsidRPr="008645FC">
        <w:rPr>
          <w:rFonts w:asciiTheme="majorBidi" w:hAnsiTheme="majorBidi" w:cstheme="majorBidi"/>
          <w:i/>
        </w:rPr>
        <w:t>in vitro</w:t>
      </w:r>
      <w:r w:rsidRPr="008645FC">
        <w:rPr>
          <w:rFonts w:asciiTheme="majorBidi" w:hAnsiTheme="majorBidi" w:cstheme="majorBidi"/>
          <w:i/>
        </w:rPr>
        <w:t xml:space="preserve"> Eye Irritation testing strategy </w:t>
      </w:r>
      <w:r w:rsidR="00173EA8" w:rsidRPr="008645FC">
        <w:rPr>
          <w:rFonts w:asciiTheme="majorBidi" w:hAnsiTheme="majorBidi" w:cstheme="majorBidi"/>
          <w:i/>
        </w:rPr>
        <w:t>–</w:t>
      </w:r>
      <w:r w:rsidRPr="008645FC">
        <w:rPr>
          <w:rFonts w:asciiTheme="majorBidi" w:hAnsiTheme="majorBidi" w:cstheme="majorBidi"/>
          <w:i/>
        </w:rPr>
        <w:t xml:space="preserve"> EpiOcular™ time-to-toxicity (EpiOcular ET-50) protocols for hazard identification and labelling of eye irritating chemicals. Toxicol. </w:t>
      </w:r>
      <w:r w:rsidR="00762E66" w:rsidRPr="008645FC">
        <w:rPr>
          <w:rFonts w:asciiTheme="majorBidi" w:hAnsiTheme="majorBidi" w:cstheme="majorBidi"/>
          <w:i/>
        </w:rPr>
        <w:t>In vitro</w:t>
      </w:r>
      <w:r w:rsidRPr="008645FC">
        <w:rPr>
          <w:rFonts w:asciiTheme="majorBidi" w:hAnsiTheme="majorBidi" w:cstheme="majorBidi"/>
          <w:i/>
        </w:rPr>
        <w:t>, 49: 34-52. Doi: 10.1016/j.tiv.2017.08.019.</w:t>
      </w:r>
    </w:p>
    <w:p w14:paraId="1A2F4F26" w14:textId="32282A5B" w:rsidR="008B6A70" w:rsidRPr="008645FC" w:rsidRDefault="008B6A70" w:rsidP="008645FC">
      <w:pPr>
        <w:tabs>
          <w:tab w:val="left" w:pos="1560"/>
        </w:tabs>
        <w:spacing w:after="120"/>
        <w:ind w:left="2268" w:right="1134"/>
        <w:jc w:val="both"/>
        <w:rPr>
          <w:rFonts w:asciiTheme="majorBidi" w:hAnsiTheme="majorBidi" w:cstheme="majorBidi"/>
          <w:i/>
        </w:rPr>
      </w:pPr>
      <w:r w:rsidRPr="008645FC">
        <w:rPr>
          <w:rFonts w:asciiTheme="majorBidi" w:hAnsiTheme="majorBidi" w:cstheme="majorBidi"/>
          <w:i/>
        </w:rPr>
        <w:lastRenderedPageBreak/>
        <w:t>Nash, J.</w:t>
      </w:r>
      <w:r w:rsidR="00156746" w:rsidRPr="008645FC">
        <w:rPr>
          <w:rFonts w:asciiTheme="majorBidi" w:hAnsiTheme="majorBidi" w:cstheme="majorBidi"/>
          <w:i/>
        </w:rPr>
        <w:t xml:space="preserve"> </w:t>
      </w:r>
      <w:r w:rsidRPr="008645FC">
        <w:rPr>
          <w:rFonts w:asciiTheme="majorBidi" w:hAnsiTheme="majorBidi" w:cstheme="majorBidi"/>
          <w:i/>
        </w:rPr>
        <w:t>R., G. Mun, H.</w:t>
      </w:r>
      <w:r w:rsidR="00173EA8" w:rsidRPr="008645FC">
        <w:rPr>
          <w:rFonts w:asciiTheme="majorBidi" w:hAnsiTheme="majorBidi" w:cstheme="majorBidi"/>
          <w:i/>
        </w:rPr>
        <w:t xml:space="preserve"> </w:t>
      </w:r>
      <w:r w:rsidRPr="008645FC">
        <w:rPr>
          <w:rFonts w:asciiTheme="majorBidi" w:hAnsiTheme="majorBidi" w:cstheme="majorBidi"/>
          <w:i/>
        </w:rPr>
        <w:t xml:space="preserve">A. Raabe, y R. Curren. </w:t>
      </w:r>
      <w:r w:rsidRPr="008645FC">
        <w:rPr>
          <w:rFonts w:asciiTheme="majorBidi" w:hAnsiTheme="majorBidi" w:cstheme="majorBidi"/>
          <w:i/>
          <w:iCs/>
        </w:rPr>
        <w:t>2014.</w:t>
      </w:r>
      <w:r w:rsidRPr="008645FC">
        <w:rPr>
          <w:rFonts w:asciiTheme="majorBidi" w:hAnsiTheme="majorBidi" w:cstheme="majorBidi"/>
          <w:i/>
        </w:rPr>
        <w:t xml:space="preserve"> Using the cytosensor microphysiometer to assess ocular toxicity. Curr. Protoc. Toxicol. 61: 1.13.1</w:t>
      </w:r>
      <w:r w:rsidR="002A21D5">
        <w:rPr>
          <w:rFonts w:asciiTheme="majorBidi" w:hAnsiTheme="majorBidi" w:cstheme="majorBidi"/>
          <w:i/>
        </w:rPr>
        <w:noBreakHyphen/>
      </w:r>
      <w:r w:rsidRPr="008645FC">
        <w:rPr>
          <w:rFonts w:asciiTheme="majorBidi" w:hAnsiTheme="majorBidi" w:cstheme="majorBidi"/>
          <w:i/>
        </w:rPr>
        <w:t>11. Doi: 10.1002/0471140856.tx0113s61.</w:t>
      </w:r>
    </w:p>
    <w:p w14:paraId="23FC26F8" w14:textId="05ACFE70" w:rsidR="008B6A70" w:rsidRPr="008645FC" w:rsidRDefault="008B6A70" w:rsidP="008645FC">
      <w:pPr>
        <w:tabs>
          <w:tab w:val="left" w:pos="1560"/>
        </w:tabs>
        <w:spacing w:after="120"/>
        <w:ind w:left="2268" w:right="1134"/>
        <w:jc w:val="both"/>
        <w:rPr>
          <w:rFonts w:asciiTheme="majorBidi" w:hAnsiTheme="majorBidi" w:cstheme="majorBidi"/>
          <w:i/>
        </w:rPr>
      </w:pPr>
      <w:r w:rsidRPr="008645FC">
        <w:rPr>
          <w:rFonts w:asciiTheme="majorBidi" w:hAnsiTheme="majorBidi" w:cstheme="majorBidi"/>
          <w:i/>
        </w:rPr>
        <w:t xml:space="preserve">Piehl, M., A. Gilotti, A. Donovan, G. DeGeorge, y D. Cerven. </w:t>
      </w:r>
      <w:r w:rsidRPr="008645FC">
        <w:rPr>
          <w:rFonts w:asciiTheme="majorBidi" w:hAnsiTheme="majorBidi" w:cstheme="majorBidi"/>
          <w:i/>
          <w:iCs/>
        </w:rPr>
        <w:t>2010.</w:t>
      </w:r>
      <w:r w:rsidRPr="008645FC">
        <w:rPr>
          <w:rFonts w:asciiTheme="majorBidi" w:hAnsiTheme="majorBidi" w:cstheme="majorBidi"/>
          <w:i/>
        </w:rPr>
        <w:t xml:space="preserve"> Novel cultured porcine corneal irritancy assay with reversibility endpoint. Toxicol. </w:t>
      </w:r>
      <w:r w:rsidR="00762E66" w:rsidRPr="008645FC">
        <w:rPr>
          <w:rFonts w:asciiTheme="majorBidi" w:hAnsiTheme="majorBidi" w:cstheme="majorBidi"/>
          <w:i/>
        </w:rPr>
        <w:t>In vitro</w:t>
      </w:r>
      <w:r w:rsidRPr="008645FC">
        <w:rPr>
          <w:rFonts w:asciiTheme="majorBidi" w:hAnsiTheme="majorBidi" w:cstheme="majorBidi"/>
          <w:i/>
        </w:rPr>
        <w:t xml:space="preserve"> 24: 231-239. Doi:10.1016/j.tiv.2009.08.033.</w:t>
      </w:r>
    </w:p>
    <w:p w14:paraId="1B6FBA7C" w14:textId="052E440D" w:rsidR="008B6A70" w:rsidRPr="008645FC" w:rsidRDefault="008B6A70" w:rsidP="008645FC">
      <w:pPr>
        <w:tabs>
          <w:tab w:val="left" w:pos="1560"/>
        </w:tabs>
        <w:spacing w:after="120"/>
        <w:ind w:left="2268" w:right="1134"/>
        <w:jc w:val="both"/>
        <w:rPr>
          <w:rFonts w:asciiTheme="majorBidi" w:hAnsiTheme="majorBidi" w:cstheme="majorBidi"/>
          <w:i/>
        </w:rPr>
      </w:pPr>
      <w:r w:rsidRPr="008645FC">
        <w:rPr>
          <w:rFonts w:asciiTheme="majorBidi" w:hAnsiTheme="majorBidi" w:cstheme="majorBidi"/>
          <w:i/>
        </w:rPr>
        <w:t xml:space="preserve">Piehl, M., M. Carathers, R. Soda, D. Cerven, y G. DeGeorge. </w:t>
      </w:r>
      <w:r w:rsidRPr="008645FC">
        <w:rPr>
          <w:rFonts w:asciiTheme="majorBidi" w:hAnsiTheme="majorBidi" w:cstheme="majorBidi"/>
          <w:i/>
          <w:iCs/>
        </w:rPr>
        <w:t>2011.</w:t>
      </w:r>
      <w:r w:rsidRPr="008645FC">
        <w:rPr>
          <w:rFonts w:asciiTheme="majorBidi" w:hAnsiTheme="majorBidi" w:cstheme="majorBidi"/>
          <w:i/>
        </w:rPr>
        <w:t xml:space="preserve"> Porcine corneal ocular reversibility assay (PorCORA) predicts ocular damage and recovery for global regulatory agency hazard categories. Toxicol. </w:t>
      </w:r>
      <w:r w:rsidR="00762E66" w:rsidRPr="008645FC">
        <w:rPr>
          <w:rFonts w:asciiTheme="majorBidi" w:hAnsiTheme="majorBidi" w:cstheme="majorBidi"/>
          <w:i/>
        </w:rPr>
        <w:t>In vitro</w:t>
      </w:r>
      <w:r w:rsidRPr="008645FC">
        <w:rPr>
          <w:rFonts w:asciiTheme="majorBidi" w:hAnsiTheme="majorBidi" w:cstheme="majorBidi"/>
          <w:i/>
        </w:rPr>
        <w:t>, 25: 1912-1918. Doi:10.1016/j.tiv.2011.06.008.</w:t>
      </w:r>
    </w:p>
    <w:p w14:paraId="2851D7FA" w14:textId="6C91A628" w:rsidR="008B6A70" w:rsidRPr="008645FC" w:rsidRDefault="008B6A70" w:rsidP="008645FC">
      <w:pPr>
        <w:tabs>
          <w:tab w:val="left" w:pos="1560"/>
        </w:tabs>
        <w:spacing w:after="120"/>
        <w:ind w:left="2268" w:right="1134"/>
        <w:jc w:val="both"/>
        <w:rPr>
          <w:rFonts w:asciiTheme="majorBidi" w:hAnsiTheme="majorBidi" w:cstheme="majorBidi"/>
          <w:i/>
        </w:rPr>
      </w:pPr>
      <w:r w:rsidRPr="008645FC">
        <w:rPr>
          <w:rFonts w:asciiTheme="majorBidi" w:hAnsiTheme="majorBidi" w:cstheme="majorBidi"/>
          <w:i/>
        </w:rPr>
        <w:t>Reader, S.</w:t>
      </w:r>
      <w:r w:rsidR="00156746" w:rsidRPr="008645FC">
        <w:rPr>
          <w:rFonts w:asciiTheme="majorBidi" w:hAnsiTheme="majorBidi" w:cstheme="majorBidi"/>
          <w:i/>
        </w:rPr>
        <w:t xml:space="preserve"> </w:t>
      </w:r>
      <w:r w:rsidRPr="008645FC">
        <w:rPr>
          <w:rFonts w:asciiTheme="majorBidi" w:hAnsiTheme="majorBidi" w:cstheme="majorBidi"/>
          <w:i/>
        </w:rPr>
        <w:t>J., V. Blackwell, R. O</w:t>
      </w:r>
      <w:r w:rsidR="008C5013" w:rsidRPr="008645FC">
        <w:rPr>
          <w:rFonts w:asciiTheme="majorBidi" w:hAnsiTheme="majorBidi" w:cstheme="majorBidi"/>
          <w:i/>
        </w:rPr>
        <w:t>’</w:t>
      </w:r>
      <w:r w:rsidRPr="008645FC">
        <w:rPr>
          <w:rFonts w:asciiTheme="majorBidi" w:hAnsiTheme="majorBidi" w:cstheme="majorBidi"/>
          <w:i/>
        </w:rPr>
        <w:t>Hara, R.</w:t>
      </w:r>
      <w:r w:rsidR="00173EA8" w:rsidRPr="008645FC">
        <w:rPr>
          <w:rFonts w:asciiTheme="majorBidi" w:hAnsiTheme="majorBidi" w:cstheme="majorBidi"/>
          <w:i/>
        </w:rPr>
        <w:t xml:space="preserve"> </w:t>
      </w:r>
      <w:r w:rsidRPr="008645FC">
        <w:rPr>
          <w:rFonts w:asciiTheme="majorBidi" w:hAnsiTheme="majorBidi" w:cstheme="majorBidi"/>
          <w:i/>
        </w:rPr>
        <w:t>H. Clothier, G. Griffin, y M. Balls.</w:t>
      </w:r>
      <w:r w:rsidR="002A21D5">
        <w:rPr>
          <w:rFonts w:asciiTheme="majorBidi" w:hAnsiTheme="majorBidi" w:cstheme="majorBidi"/>
          <w:i/>
        </w:rPr>
        <w:t> </w:t>
      </w:r>
      <w:r w:rsidRPr="008645FC">
        <w:rPr>
          <w:rFonts w:asciiTheme="majorBidi" w:hAnsiTheme="majorBidi" w:cstheme="majorBidi"/>
          <w:i/>
          <w:iCs/>
        </w:rPr>
        <w:t>1989.</w:t>
      </w:r>
      <w:r w:rsidRPr="008645FC">
        <w:rPr>
          <w:rFonts w:asciiTheme="majorBidi" w:hAnsiTheme="majorBidi" w:cstheme="majorBidi"/>
          <w:i/>
        </w:rPr>
        <w:t xml:space="preserve"> A vital dye release method for assessing the short-term cytotoxic effects of chemicals and formulations. Altern. Lab. Anim., 17: 28-33. Doi:</w:t>
      </w:r>
      <w:r w:rsidR="002A21D5">
        <w:rPr>
          <w:rFonts w:asciiTheme="majorBidi" w:hAnsiTheme="majorBidi" w:cstheme="majorBidi"/>
          <w:i/>
        </w:rPr>
        <w:t> </w:t>
      </w:r>
      <w:r w:rsidRPr="008645FC">
        <w:rPr>
          <w:rFonts w:asciiTheme="majorBidi" w:hAnsiTheme="majorBidi" w:cstheme="majorBidi"/>
          <w:i/>
        </w:rPr>
        <w:t>10.1177/026119298901700106.</w:t>
      </w:r>
    </w:p>
    <w:p w14:paraId="66D75CBF" w14:textId="61F4ADDC" w:rsidR="008B6A70" w:rsidRPr="008645FC" w:rsidRDefault="008B6A70" w:rsidP="008645FC">
      <w:pPr>
        <w:tabs>
          <w:tab w:val="left" w:pos="1560"/>
        </w:tabs>
        <w:spacing w:after="120"/>
        <w:ind w:left="2268" w:right="1134"/>
        <w:jc w:val="both"/>
        <w:rPr>
          <w:rFonts w:asciiTheme="majorBidi" w:hAnsiTheme="majorBidi" w:cstheme="majorBidi"/>
          <w:i/>
        </w:rPr>
      </w:pPr>
      <w:r w:rsidRPr="008645FC">
        <w:rPr>
          <w:rFonts w:asciiTheme="majorBidi" w:hAnsiTheme="majorBidi" w:cstheme="majorBidi"/>
          <w:i/>
        </w:rPr>
        <w:t>Reader, S.</w:t>
      </w:r>
      <w:r w:rsidR="00156746" w:rsidRPr="008645FC">
        <w:rPr>
          <w:rFonts w:asciiTheme="majorBidi" w:hAnsiTheme="majorBidi" w:cstheme="majorBidi"/>
          <w:i/>
        </w:rPr>
        <w:t xml:space="preserve"> </w:t>
      </w:r>
      <w:r w:rsidRPr="008645FC">
        <w:rPr>
          <w:rFonts w:asciiTheme="majorBidi" w:hAnsiTheme="majorBidi" w:cstheme="majorBidi"/>
          <w:i/>
        </w:rPr>
        <w:t>J., V. Blackwell, R. O</w:t>
      </w:r>
      <w:r w:rsidR="008C5013" w:rsidRPr="008645FC">
        <w:rPr>
          <w:rFonts w:asciiTheme="majorBidi" w:hAnsiTheme="majorBidi" w:cstheme="majorBidi"/>
          <w:i/>
        </w:rPr>
        <w:t>’</w:t>
      </w:r>
      <w:r w:rsidRPr="008645FC">
        <w:rPr>
          <w:rFonts w:asciiTheme="majorBidi" w:hAnsiTheme="majorBidi" w:cstheme="majorBidi"/>
          <w:i/>
        </w:rPr>
        <w:t>Hara, R.</w:t>
      </w:r>
      <w:r w:rsidR="00173EA8" w:rsidRPr="008645FC">
        <w:rPr>
          <w:rFonts w:asciiTheme="majorBidi" w:hAnsiTheme="majorBidi" w:cstheme="majorBidi"/>
          <w:i/>
        </w:rPr>
        <w:t xml:space="preserve"> </w:t>
      </w:r>
      <w:r w:rsidRPr="008645FC">
        <w:rPr>
          <w:rFonts w:asciiTheme="majorBidi" w:hAnsiTheme="majorBidi" w:cstheme="majorBidi"/>
          <w:i/>
        </w:rPr>
        <w:t>H. Clothier, G. Griffin, y M. Balls.</w:t>
      </w:r>
      <w:r w:rsidR="002A21D5">
        <w:rPr>
          <w:rFonts w:asciiTheme="majorBidi" w:hAnsiTheme="majorBidi" w:cstheme="majorBidi"/>
          <w:i/>
        </w:rPr>
        <w:t> </w:t>
      </w:r>
      <w:r w:rsidRPr="008645FC">
        <w:rPr>
          <w:rFonts w:asciiTheme="majorBidi" w:hAnsiTheme="majorBidi" w:cstheme="majorBidi"/>
          <w:i/>
          <w:iCs/>
        </w:rPr>
        <w:t>1990.</w:t>
      </w:r>
      <w:r w:rsidRPr="008645FC">
        <w:rPr>
          <w:rFonts w:asciiTheme="majorBidi" w:hAnsiTheme="majorBidi" w:cstheme="majorBidi"/>
          <w:i/>
        </w:rPr>
        <w:t xml:space="preserve"> Neutral red release from pre-loaded cells as an </w:t>
      </w:r>
      <w:r w:rsidR="00762E66" w:rsidRPr="008645FC">
        <w:rPr>
          <w:rFonts w:asciiTheme="majorBidi" w:hAnsiTheme="majorBidi" w:cstheme="majorBidi"/>
          <w:i/>
        </w:rPr>
        <w:t>in vitro</w:t>
      </w:r>
      <w:r w:rsidRPr="008645FC">
        <w:rPr>
          <w:rFonts w:asciiTheme="majorBidi" w:hAnsiTheme="majorBidi" w:cstheme="majorBidi"/>
          <w:i/>
        </w:rPr>
        <w:t xml:space="preserve"> approach to testing for eye irritancy potential. Toxicol. </w:t>
      </w:r>
      <w:r w:rsidR="00762E66" w:rsidRPr="008645FC">
        <w:rPr>
          <w:rFonts w:asciiTheme="majorBidi" w:hAnsiTheme="majorBidi" w:cstheme="majorBidi"/>
          <w:i/>
        </w:rPr>
        <w:t>In vitro</w:t>
      </w:r>
      <w:r w:rsidRPr="008645FC">
        <w:rPr>
          <w:rFonts w:asciiTheme="majorBidi" w:hAnsiTheme="majorBidi" w:cstheme="majorBidi"/>
          <w:i/>
        </w:rPr>
        <w:t>, 4(4-5): 264-266. Doi:</w:t>
      </w:r>
      <w:r w:rsidR="002A21D5">
        <w:rPr>
          <w:rFonts w:asciiTheme="majorBidi" w:hAnsiTheme="majorBidi" w:cstheme="majorBidi"/>
          <w:i/>
        </w:rPr>
        <w:t> </w:t>
      </w:r>
      <w:r w:rsidRPr="008645FC">
        <w:rPr>
          <w:rFonts w:asciiTheme="majorBidi" w:hAnsiTheme="majorBidi" w:cstheme="majorBidi"/>
          <w:i/>
        </w:rPr>
        <w:t>10.1016/0887-2333(90)90060-7.</w:t>
      </w:r>
    </w:p>
    <w:p w14:paraId="6F0DFDCD" w14:textId="67C3AB58" w:rsidR="008B6A70" w:rsidRPr="008645FC" w:rsidRDefault="008B6A70" w:rsidP="008645FC">
      <w:pPr>
        <w:tabs>
          <w:tab w:val="left" w:pos="1560"/>
        </w:tabs>
        <w:spacing w:after="120"/>
        <w:ind w:left="2268" w:right="1134"/>
        <w:jc w:val="both"/>
        <w:rPr>
          <w:rFonts w:asciiTheme="majorBidi" w:hAnsiTheme="majorBidi" w:cstheme="majorBidi"/>
          <w:i/>
        </w:rPr>
      </w:pPr>
      <w:r w:rsidRPr="008645FC">
        <w:rPr>
          <w:rFonts w:asciiTheme="majorBidi" w:hAnsiTheme="majorBidi" w:cstheme="majorBidi"/>
          <w:i/>
        </w:rPr>
        <w:t>Settivari, R.</w:t>
      </w:r>
      <w:r w:rsidR="00173EA8" w:rsidRPr="008645FC">
        <w:rPr>
          <w:rFonts w:asciiTheme="majorBidi" w:hAnsiTheme="majorBidi" w:cstheme="majorBidi"/>
          <w:i/>
        </w:rPr>
        <w:t xml:space="preserve"> </w:t>
      </w:r>
      <w:r w:rsidRPr="008645FC">
        <w:rPr>
          <w:rFonts w:asciiTheme="majorBidi" w:hAnsiTheme="majorBidi" w:cstheme="majorBidi"/>
          <w:i/>
        </w:rPr>
        <w:t>S., R.</w:t>
      </w:r>
      <w:r w:rsidR="00173EA8" w:rsidRPr="008645FC">
        <w:rPr>
          <w:rFonts w:asciiTheme="majorBidi" w:hAnsiTheme="majorBidi" w:cstheme="majorBidi"/>
          <w:i/>
        </w:rPr>
        <w:t xml:space="preserve"> </w:t>
      </w:r>
      <w:r w:rsidRPr="008645FC">
        <w:rPr>
          <w:rFonts w:asciiTheme="majorBidi" w:hAnsiTheme="majorBidi" w:cstheme="majorBidi"/>
          <w:i/>
        </w:rPr>
        <w:t>A. Amado, M. Corvaro, N.</w:t>
      </w:r>
      <w:r w:rsidR="00173EA8" w:rsidRPr="008645FC">
        <w:rPr>
          <w:rFonts w:asciiTheme="majorBidi" w:hAnsiTheme="majorBidi" w:cstheme="majorBidi"/>
          <w:i/>
        </w:rPr>
        <w:t xml:space="preserve"> </w:t>
      </w:r>
      <w:r w:rsidRPr="008645FC">
        <w:rPr>
          <w:rFonts w:asciiTheme="majorBidi" w:hAnsiTheme="majorBidi" w:cstheme="majorBidi"/>
          <w:i/>
        </w:rPr>
        <w:t>R. Visconti, L. Kan, E.</w:t>
      </w:r>
      <w:r w:rsidR="00173EA8" w:rsidRPr="008645FC">
        <w:rPr>
          <w:rFonts w:asciiTheme="majorBidi" w:hAnsiTheme="majorBidi" w:cstheme="majorBidi"/>
          <w:i/>
        </w:rPr>
        <w:t xml:space="preserve"> </w:t>
      </w:r>
      <w:r w:rsidRPr="008645FC">
        <w:rPr>
          <w:rFonts w:asciiTheme="majorBidi" w:hAnsiTheme="majorBidi" w:cstheme="majorBidi"/>
          <w:i/>
        </w:rPr>
        <w:t>W. Carney, D.</w:t>
      </w:r>
      <w:r w:rsidR="00173EA8" w:rsidRPr="008645FC">
        <w:rPr>
          <w:rFonts w:asciiTheme="majorBidi" w:hAnsiTheme="majorBidi" w:cstheme="majorBidi"/>
          <w:i/>
        </w:rPr>
        <w:t xml:space="preserve"> </w:t>
      </w:r>
      <w:r w:rsidRPr="008645FC">
        <w:rPr>
          <w:rFonts w:asciiTheme="majorBidi" w:hAnsiTheme="majorBidi" w:cstheme="majorBidi"/>
          <w:i/>
        </w:rPr>
        <w:t>R. Boverhof, y S.</w:t>
      </w:r>
      <w:r w:rsidR="00173EA8" w:rsidRPr="008645FC">
        <w:rPr>
          <w:rFonts w:asciiTheme="majorBidi" w:hAnsiTheme="majorBidi" w:cstheme="majorBidi"/>
          <w:i/>
        </w:rPr>
        <w:t xml:space="preserve"> </w:t>
      </w:r>
      <w:r w:rsidRPr="008645FC">
        <w:rPr>
          <w:rFonts w:asciiTheme="majorBidi" w:hAnsiTheme="majorBidi" w:cstheme="majorBidi"/>
          <w:i/>
        </w:rPr>
        <w:t xml:space="preserve">C. Gehen. </w:t>
      </w:r>
      <w:r w:rsidRPr="008645FC">
        <w:rPr>
          <w:rFonts w:asciiTheme="majorBidi" w:hAnsiTheme="majorBidi" w:cstheme="majorBidi"/>
          <w:i/>
          <w:iCs/>
        </w:rPr>
        <w:t>2016.</w:t>
      </w:r>
      <w:r w:rsidRPr="008645FC">
        <w:rPr>
          <w:rFonts w:asciiTheme="majorBidi" w:hAnsiTheme="majorBidi" w:cstheme="majorBidi"/>
          <w:i/>
        </w:rPr>
        <w:t xml:space="preserve"> Tiered application of the neutral red release and EpiOcular™ assays for evaluating the eye irritation potential of agrochemical formulations. Regul. Toxicol. Pharmacol., 81: 407-420. Doi:</w:t>
      </w:r>
      <w:r w:rsidR="002A21D5">
        <w:rPr>
          <w:rFonts w:asciiTheme="majorBidi" w:hAnsiTheme="majorBidi" w:cstheme="majorBidi"/>
          <w:i/>
        </w:rPr>
        <w:t> </w:t>
      </w:r>
      <w:r w:rsidRPr="008645FC">
        <w:rPr>
          <w:rFonts w:asciiTheme="majorBidi" w:hAnsiTheme="majorBidi" w:cstheme="majorBidi"/>
          <w:i/>
        </w:rPr>
        <w:t>10.1016/j.yrtph.2016.09.028.</w:t>
      </w:r>
    </w:p>
    <w:p w14:paraId="06CE8954" w14:textId="59B6D23C" w:rsidR="008B6A70" w:rsidRPr="008645FC" w:rsidRDefault="008B6A70" w:rsidP="008645FC">
      <w:pPr>
        <w:tabs>
          <w:tab w:val="left" w:pos="1560"/>
        </w:tabs>
        <w:spacing w:after="120"/>
        <w:ind w:left="2268" w:right="1134"/>
        <w:jc w:val="both"/>
        <w:rPr>
          <w:rFonts w:asciiTheme="majorBidi" w:hAnsiTheme="majorBidi" w:cstheme="majorBidi"/>
          <w:i/>
        </w:rPr>
      </w:pPr>
      <w:r w:rsidRPr="008645FC">
        <w:rPr>
          <w:rFonts w:asciiTheme="majorBidi" w:hAnsiTheme="majorBidi" w:cstheme="majorBidi"/>
          <w:i/>
        </w:rPr>
        <w:t>Spielmann, H., S. Kalweit, M. Liebsch, T. Wirnsberger, I. Gerner, E. Bertram</w:t>
      </w:r>
      <w:r w:rsidR="002A21D5">
        <w:rPr>
          <w:rFonts w:asciiTheme="majorBidi" w:hAnsiTheme="majorBidi" w:cstheme="majorBidi"/>
          <w:i/>
        </w:rPr>
        <w:noBreakHyphen/>
      </w:r>
      <w:r w:rsidRPr="008645FC">
        <w:rPr>
          <w:rFonts w:asciiTheme="majorBidi" w:hAnsiTheme="majorBidi" w:cstheme="majorBidi"/>
          <w:i/>
        </w:rPr>
        <w:t>Neis, K. Krauser, R. Kreiling, H.</w:t>
      </w:r>
      <w:r w:rsidR="003307B1" w:rsidRPr="008645FC">
        <w:rPr>
          <w:rFonts w:asciiTheme="majorBidi" w:hAnsiTheme="majorBidi" w:cstheme="majorBidi"/>
          <w:i/>
        </w:rPr>
        <w:t xml:space="preserve"> </w:t>
      </w:r>
      <w:r w:rsidRPr="008645FC">
        <w:rPr>
          <w:rFonts w:asciiTheme="majorBidi" w:hAnsiTheme="majorBidi" w:cstheme="majorBidi"/>
          <w:i/>
        </w:rPr>
        <w:t xml:space="preserve">G. Miltenburger, W. Pape, y W. Steiling. </w:t>
      </w:r>
      <w:r w:rsidRPr="008645FC">
        <w:rPr>
          <w:rFonts w:asciiTheme="majorBidi" w:hAnsiTheme="majorBidi" w:cstheme="majorBidi"/>
          <w:i/>
          <w:iCs/>
        </w:rPr>
        <w:t>1993.</w:t>
      </w:r>
      <w:r w:rsidRPr="008645FC">
        <w:rPr>
          <w:rFonts w:asciiTheme="majorBidi" w:hAnsiTheme="majorBidi" w:cstheme="majorBidi"/>
          <w:i/>
        </w:rPr>
        <w:t xml:space="preserve"> Validation study of alternatives to the Draize eye irritation test in Germany: Cytotoxicity testing and HET-CAM test with 136 industrial chemicals. Toxicol. </w:t>
      </w:r>
      <w:r w:rsidR="00762E66" w:rsidRPr="008645FC">
        <w:rPr>
          <w:rFonts w:asciiTheme="majorBidi" w:hAnsiTheme="majorBidi" w:cstheme="majorBidi"/>
          <w:i/>
        </w:rPr>
        <w:t>In vitro</w:t>
      </w:r>
      <w:r w:rsidRPr="008645FC">
        <w:rPr>
          <w:rFonts w:asciiTheme="majorBidi" w:hAnsiTheme="majorBidi" w:cstheme="majorBidi"/>
          <w:i/>
        </w:rPr>
        <w:t>, 7(4): 505-510. Doi: 10.1016/0887-2333(93)90055-a.</w:t>
      </w:r>
    </w:p>
    <w:p w14:paraId="3C7705B3" w14:textId="59EA6E13" w:rsidR="008B6A70" w:rsidRPr="008645FC" w:rsidRDefault="008B6A70" w:rsidP="008645FC">
      <w:pPr>
        <w:tabs>
          <w:tab w:val="left" w:pos="1560"/>
        </w:tabs>
        <w:spacing w:after="120"/>
        <w:ind w:left="2268" w:right="1134"/>
        <w:jc w:val="both"/>
        <w:rPr>
          <w:rFonts w:asciiTheme="majorBidi" w:hAnsiTheme="majorBidi" w:cstheme="majorBidi"/>
          <w:i/>
        </w:rPr>
      </w:pPr>
      <w:r w:rsidRPr="008645FC">
        <w:rPr>
          <w:rFonts w:asciiTheme="majorBidi" w:hAnsiTheme="majorBidi" w:cstheme="majorBidi"/>
          <w:i/>
        </w:rPr>
        <w:t>Spielmann, H., M. Liebsch, S. Kalweit, F. Moldenhauer, T. Wirnsberger, H.</w:t>
      </w:r>
      <w:r w:rsidR="002A21D5">
        <w:rPr>
          <w:rFonts w:asciiTheme="majorBidi" w:hAnsiTheme="majorBidi" w:cstheme="majorBidi"/>
          <w:i/>
        </w:rPr>
        <w:noBreakHyphen/>
      </w:r>
      <w:r w:rsidRPr="008645FC">
        <w:rPr>
          <w:rFonts w:asciiTheme="majorBidi" w:hAnsiTheme="majorBidi" w:cstheme="majorBidi"/>
          <w:i/>
        </w:rPr>
        <w:t>G. Holzhütter, B. Schneider, S. Glaser, I. Gerner, W.</w:t>
      </w:r>
      <w:r w:rsidR="003307B1" w:rsidRPr="008645FC">
        <w:rPr>
          <w:rFonts w:asciiTheme="majorBidi" w:hAnsiTheme="majorBidi" w:cstheme="majorBidi"/>
          <w:i/>
        </w:rPr>
        <w:t xml:space="preserve"> </w:t>
      </w:r>
      <w:r w:rsidRPr="008645FC">
        <w:rPr>
          <w:rFonts w:asciiTheme="majorBidi" w:hAnsiTheme="majorBidi" w:cstheme="majorBidi"/>
          <w:i/>
        </w:rPr>
        <w:t>J.</w:t>
      </w:r>
      <w:r w:rsidR="003307B1" w:rsidRPr="008645FC">
        <w:rPr>
          <w:rFonts w:asciiTheme="majorBidi" w:hAnsiTheme="majorBidi" w:cstheme="majorBidi"/>
          <w:i/>
        </w:rPr>
        <w:t xml:space="preserve"> </w:t>
      </w:r>
      <w:r w:rsidRPr="008645FC">
        <w:rPr>
          <w:rFonts w:asciiTheme="majorBidi" w:hAnsiTheme="majorBidi" w:cstheme="majorBidi"/>
          <w:i/>
        </w:rPr>
        <w:t>W. Pape, R. Kreiling, K. Krauser, H.</w:t>
      </w:r>
      <w:r w:rsidR="003307B1" w:rsidRPr="008645FC">
        <w:rPr>
          <w:rFonts w:asciiTheme="majorBidi" w:hAnsiTheme="majorBidi" w:cstheme="majorBidi"/>
          <w:i/>
        </w:rPr>
        <w:t xml:space="preserve"> </w:t>
      </w:r>
      <w:r w:rsidRPr="008645FC">
        <w:rPr>
          <w:rFonts w:asciiTheme="majorBidi" w:hAnsiTheme="majorBidi" w:cstheme="majorBidi"/>
          <w:i/>
        </w:rPr>
        <w:t>G. Miltenburger, W. Steiling, N.</w:t>
      </w:r>
      <w:r w:rsidR="003307B1" w:rsidRPr="008645FC">
        <w:rPr>
          <w:rFonts w:asciiTheme="majorBidi" w:hAnsiTheme="majorBidi" w:cstheme="majorBidi"/>
          <w:i/>
        </w:rPr>
        <w:t xml:space="preserve"> </w:t>
      </w:r>
      <w:r w:rsidRPr="008645FC">
        <w:rPr>
          <w:rFonts w:asciiTheme="majorBidi" w:hAnsiTheme="majorBidi" w:cstheme="majorBidi"/>
          <w:i/>
        </w:rPr>
        <w:t>P. Luepke, N. Müller, H. Kreuzer, P. Mürmann, J. Spengler, E. Bertram-Neis, B. Siegemund, y F.</w:t>
      </w:r>
      <w:r w:rsidR="003307B1" w:rsidRPr="008645FC">
        <w:rPr>
          <w:rFonts w:asciiTheme="majorBidi" w:hAnsiTheme="majorBidi" w:cstheme="majorBidi"/>
          <w:i/>
        </w:rPr>
        <w:t xml:space="preserve"> </w:t>
      </w:r>
      <w:r w:rsidRPr="008645FC">
        <w:rPr>
          <w:rFonts w:asciiTheme="majorBidi" w:hAnsiTheme="majorBidi" w:cstheme="majorBidi"/>
          <w:i/>
        </w:rPr>
        <w:t xml:space="preserve">J. Wiebel. </w:t>
      </w:r>
      <w:r w:rsidRPr="008645FC">
        <w:rPr>
          <w:rFonts w:asciiTheme="majorBidi" w:hAnsiTheme="majorBidi" w:cstheme="majorBidi"/>
          <w:i/>
          <w:iCs/>
        </w:rPr>
        <w:t>1996.</w:t>
      </w:r>
      <w:r w:rsidRPr="008645FC">
        <w:rPr>
          <w:rFonts w:asciiTheme="majorBidi" w:hAnsiTheme="majorBidi" w:cstheme="majorBidi"/>
          <w:i/>
        </w:rPr>
        <w:t xml:space="preserve"> Results of a validation study in Germany on two </w:t>
      </w:r>
      <w:r w:rsidR="00762E66" w:rsidRPr="008645FC">
        <w:rPr>
          <w:rFonts w:asciiTheme="majorBidi" w:hAnsiTheme="majorBidi" w:cstheme="majorBidi"/>
          <w:i/>
        </w:rPr>
        <w:t>in vitro</w:t>
      </w:r>
      <w:r w:rsidRPr="008645FC">
        <w:rPr>
          <w:rFonts w:asciiTheme="majorBidi" w:hAnsiTheme="majorBidi" w:cstheme="majorBidi"/>
          <w:i/>
        </w:rPr>
        <w:t xml:space="preserve"> alternatives to the Draize eye irritation test, HET-CAM test and the 3T3 NRU cytotoxicity test. Altern. Lab. Anim., 24: 741-858.</w:t>
      </w:r>
    </w:p>
    <w:p w14:paraId="3D2287FB" w14:textId="51AC78E9" w:rsidR="008B6A70" w:rsidRPr="008645FC" w:rsidRDefault="008B6A70" w:rsidP="008645FC">
      <w:pPr>
        <w:tabs>
          <w:tab w:val="left" w:pos="1560"/>
        </w:tabs>
        <w:spacing w:after="120"/>
        <w:ind w:left="2268" w:right="1134"/>
        <w:jc w:val="both"/>
        <w:rPr>
          <w:rFonts w:asciiTheme="majorBidi" w:hAnsiTheme="majorBidi" w:cstheme="majorBidi"/>
          <w:i/>
        </w:rPr>
      </w:pPr>
      <w:r w:rsidRPr="008645FC">
        <w:rPr>
          <w:rFonts w:asciiTheme="majorBidi" w:hAnsiTheme="majorBidi" w:cstheme="majorBidi"/>
          <w:i/>
        </w:rPr>
        <w:t>Spöler, F., M. Först, H. Kurz, M. Frentz, y N.</w:t>
      </w:r>
      <w:r w:rsidR="003307B1" w:rsidRPr="008645FC">
        <w:rPr>
          <w:rFonts w:asciiTheme="majorBidi" w:hAnsiTheme="majorBidi" w:cstheme="majorBidi"/>
          <w:i/>
        </w:rPr>
        <w:t xml:space="preserve"> </w:t>
      </w:r>
      <w:r w:rsidRPr="008645FC">
        <w:rPr>
          <w:rFonts w:asciiTheme="majorBidi" w:hAnsiTheme="majorBidi" w:cstheme="majorBidi"/>
          <w:i/>
        </w:rPr>
        <w:t xml:space="preserve">F. Schrage. </w:t>
      </w:r>
      <w:r w:rsidRPr="008645FC">
        <w:rPr>
          <w:rFonts w:asciiTheme="majorBidi" w:hAnsiTheme="majorBidi" w:cstheme="majorBidi"/>
          <w:i/>
          <w:iCs/>
        </w:rPr>
        <w:t>2007.</w:t>
      </w:r>
      <w:r w:rsidRPr="008645FC">
        <w:rPr>
          <w:rFonts w:asciiTheme="majorBidi" w:hAnsiTheme="majorBidi" w:cstheme="majorBidi"/>
          <w:i/>
        </w:rPr>
        <w:t xml:space="preserve"> Dynamic analysis of chemical eye burns using high-resolution optical coherence tomography. J. Biomed. Opt., 12: 041203. Doi:10.1117/1.2768018.</w:t>
      </w:r>
    </w:p>
    <w:p w14:paraId="70C78DDC" w14:textId="62839BFC" w:rsidR="008B6A70" w:rsidRPr="008645FC" w:rsidRDefault="008B6A70" w:rsidP="008645FC">
      <w:pPr>
        <w:tabs>
          <w:tab w:val="left" w:pos="1560"/>
        </w:tabs>
        <w:spacing w:after="120"/>
        <w:ind w:left="2268" w:right="1134"/>
        <w:jc w:val="both"/>
        <w:rPr>
          <w:rFonts w:asciiTheme="majorBidi" w:hAnsiTheme="majorBidi" w:cstheme="majorBidi"/>
          <w:i/>
        </w:rPr>
      </w:pPr>
      <w:r w:rsidRPr="008645FC">
        <w:rPr>
          <w:rFonts w:asciiTheme="majorBidi" w:hAnsiTheme="majorBidi" w:cstheme="majorBidi"/>
          <w:i/>
        </w:rPr>
        <w:t>Spöler, F., O. Kray, S. Kray, C. Panfil, y N.</w:t>
      </w:r>
      <w:r w:rsidR="003307B1" w:rsidRPr="008645FC">
        <w:rPr>
          <w:rFonts w:asciiTheme="majorBidi" w:hAnsiTheme="majorBidi" w:cstheme="majorBidi"/>
          <w:i/>
        </w:rPr>
        <w:t xml:space="preserve"> </w:t>
      </w:r>
      <w:r w:rsidRPr="008645FC">
        <w:rPr>
          <w:rFonts w:asciiTheme="majorBidi" w:hAnsiTheme="majorBidi" w:cstheme="majorBidi"/>
          <w:i/>
        </w:rPr>
        <w:t xml:space="preserve">F. Schrage. </w:t>
      </w:r>
      <w:r w:rsidRPr="008645FC">
        <w:rPr>
          <w:rFonts w:asciiTheme="majorBidi" w:hAnsiTheme="majorBidi" w:cstheme="majorBidi"/>
          <w:i/>
          <w:iCs/>
        </w:rPr>
        <w:t>2015.</w:t>
      </w:r>
      <w:r w:rsidRPr="008645FC">
        <w:rPr>
          <w:rFonts w:asciiTheme="majorBidi" w:hAnsiTheme="majorBidi" w:cstheme="majorBidi"/>
          <w:i/>
        </w:rPr>
        <w:t xml:space="preserve"> The </w:t>
      </w:r>
      <w:r w:rsidR="00762E66" w:rsidRPr="008645FC">
        <w:rPr>
          <w:rFonts w:asciiTheme="majorBidi" w:hAnsiTheme="majorBidi" w:cstheme="majorBidi"/>
          <w:i/>
        </w:rPr>
        <w:t>Ex vivo</w:t>
      </w:r>
      <w:r w:rsidRPr="008645FC">
        <w:rPr>
          <w:rFonts w:asciiTheme="majorBidi" w:hAnsiTheme="majorBidi" w:cstheme="majorBidi"/>
          <w:i/>
        </w:rPr>
        <w:t xml:space="preserve"> Eye Irritation Test as an alternative test method for serious eye damage/eye irritation. Altern. Lab. Anim., 43(3): 163-179. Doi: 10.1177/026119291504300306.</w:t>
      </w:r>
    </w:p>
    <w:p w14:paraId="329A1D6B" w14:textId="77777777" w:rsidR="008B6A70" w:rsidRPr="008645FC" w:rsidRDefault="008B6A70" w:rsidP="008645FC">
      <w:pPr>
        <w:tabs>
          <w:tab w:val="left" w:pos="1560"/>
        </w:tabs>
        <w:spacing w:after="120"/>
        <w:ind w:left="2268" w:right="1134"/>
        <w:jc w:val="both"/>
        <w:rPr>
          <w:rFonts w:asciiTheme="majorBidi" w:hAnsiTheme="majorBidi" w:cstheme="majorBidi"/>
          <w:i/>
        </w:rPr>
      </w:pPr>
      <w:r w:rsidRPr="008645FC">
        <w:rPr>
          <w:rFonts w:asciiTheme="majorBidi" w:hAnsiTheme="majorBidi" w:cstheme="majorBidi"/>
          <w:i/>
        </w:rPr>
        <w:t xml:space="preserve">Whittle, E., D. Basketter, M. York, L. Kelly, T. Hall, J. McCall, P. Botham, D. Esdaile, y J. Gardner. </w:t>
      </w:r>
      <w:r w:rsidRPr="008645FC">
        <w:rPr>
          <w:rFonts w:asciiTheme="majorBidi" w:hAnsiTheme="majorBidi" w:cstheme="majorBidi"/>
          <w:i/>
          <w:iCs/>
        </w:rPr>
        <w:t>1992.</w:t>
      </w:r>
      <w:r w:rsidRPr="008645FC">
        <w:rPr>
          <w:rFonts w:asciiTheme="majorBidi" w:hAnsiTheme="majorBidi" w:cstheme="majorBidi"/>
          <w:i/>
        </w:rPr>
        <w:t xml:space="preserve"> Findings of an interlaboratory trial of the enucleated eye method as an alternative eye irritation test. Toxicol. Mech. Methods., 2: 30-41.</w:t>
      </w:r>
    </w:p>
    <w:p w14:paraId="5D676C4F" w14:textId="00DB41BF" w:rsidR="008B6A70" w:rsidRPr="008645FC" w:rsidRDefault="008B6A70" w:rsidP="008645FC">
      <w:pPr>
        <w:tabs>
          <w:tab w:val="left" w:pos="1560"/>
        </w:tabs>
        <w:spacing w:after="120"/>
        <w:ind w:left="2268" w:right="1134"/>
        <w:jc w:val="both"/>
        <w:rPr>
          <w:rFonts w:asciiTheme="majorBidi" w:hAnsiTheme="majorBidi" w:cstheme="majorBidi"/>
          <w:i/>
        </w:rPr>
      </w:pPr>
      <w:r w:rsidRPr="008645FC">
        <w:rPr>
          <w:rFonts w:asciiTheme="majorBidi" w:hAnsiTheme="majorBidi" w:cstheme="majorBidi"/>
          <w:i/>
        </w:rPr>
        <w:t>Young, J.</w:t>
      </w:r>
      <w:r w:rsidR="00156746" w:rsidRPr="008645FC">
        <w:rPr>
          <w:rFonts w:asciiTheme="majorBidi" w:hAnsiTheme="majorBidi" w:cstheme="majorBidi"/>
          <w:i/>
        </w:rPr>
        <w:t xml:space="preserve"> </w:t>
      </w:r>
      <w:r w:rsidRPr="008645FC">
        <w:rPr>
          <w:rFonts w:asciiTheme="majorBidi" w:hAnsiTheme="majorBidi" w:cstheme="majorBidi"/>
          <w:i/>
        </w:rPr>
        <w:t>R., M.</w:t>
      </w:r>
      <w:r w:rsidR="00156746" w:rsidRPr="008645FC">
        <w:rPr>
          <w:rFonts w:asciiTheme="majorBidi" w:hAnsiTheme="majorBidi" w:cstheme="majorBidi"/>
          <w:i/>
        </w:rPr>
        <w:t xml:space="preserve"> </w:t>
      </w:r>
      <w:r w:rsidRPr="008645FC">
        <w:rPr>
          <w:rFonts w:asciiTheme="majorBidi" w:hAnsiTheme="majorBidi" w:cstheme="majorBidi"/>
          <w:i/>
        </w:rPr>
        <w:t>J. How, A.</w:t>
      </w:r>
      <w:r w:rsidR="00156746" w:rsidRPr="008645FC">
        <w:rPr>
          <w:rFonts w:asciiTheme="majorBidi" w:hAnsiTheme="majorBidi" w:cstheme="majorBidi"/>
          <w:i/>
        </w:rPr>
        <w:t xml:space="preserve"> </w:t>
      </w:r>
      <w:r w:rsidRPr="008645FC">
        <w:rPr>
          <w:rFonts w:asciiTheme="majorBidi" w:hAnsiTheme="majorBidi" w:cstheme="majorBidi"/>
          <w:i/>
        </w:rPr>
        <w:t>P. Walker, y W.</w:t>
      </w:r>
      <w:r w:rsidR="003307B1" w:rsidRPr="008645FC">
        <w:rPr>
          <w:rFonts w:asciiTheme="majorBidi" w:hAnsiTheme="majorBidi" w:cstheme="majorBidi"/>
          <w:i/>
        </w:rPr>
        <w:t xml:space="preserve"> </w:t>
      </w:r>
      <w:r w:rsidRPr="008645FC">
        <w:rPr>
          <w:rFonts w:asciiTheme="majorBidi" w:hAnsiTheme="majorBidi" w:cstheme="majorBidi"/>
          <w:i/>
        </w:rPr>
        <w:t xml:space="preserve">M. Worth. </w:t>
      </w:r>
      <w:r w:rsidRPr="008645FC">
        <w:rPr>
          <w:rFonts w:asciiTheme="majorBidi" w:hAnsiTheme="majorBidi" w:cstheme="majorBidi"/>
          <w:i/>
          <w:iCs/>
        </w:rPr>
        <w:t>1988.</w:t>
      </w:r>
      <w:r w:rsidRPr="008645FC">
        <w:rPr>
          <w:rFonts w:asciiTheme="majorBidi" w:hAnsiTheme="majorBidi" w:cstheme="majorBidi"/>
          <w:i/>
        </w:rPr>
        <w:t xml:space="preserve"> Classification as corrosive or irritant to skin of preparations containing acidic or alkaline substances, without testing on animals. Toxicol. </w:t>
      </w:r>
      <w:r w:rsidR="00762E66" w:rsidRPr="008645FC">
        <w:rPr>
          <w:rFonts w:asciiTheme="majorBidi" w:hAnsiTheme="majorBidi" w:cstheme="majorBidi"/>
          <w:i/>
        </w:rPr>
        <w:t>In vitro</w:t>
      </w:r>
      <w:r w:rsidRPr="008645FC">
        <w:rPr>
          <w:rFonts w:asciiTheme="majorBidi" w:hAnsiTheme="majorBidi" w:cstheme="majorBidi"/>
          <w:i/>
        </w:rPr>
        <w:t>, 2(1): 19-26. Doi: 10.1016/0887-2333(88)90032-x.</w:t>
      </w:r>
    </w:p>
    <w:p w14:paraId="63B2F5C1" w14:textId="2B02D35D" w:rsidR="008B6A70" w:rsidRPr="008645FC" w:rsidRDefault="008B6A70" w:rsidP="008645FC">
      <w:pPr>
        <w:tabs>
          <w:tab w:val="left" w:pos="1560"/>
        </w:tabs>
        <w:spacing w:after="120"/>
        <w:ind w:left="2268" w:right="1134"/>
        <w:jc w:val="both"/>
        <w:rPr>
          <w:rFonts w:asciiTheme="majorBidi" w:hAnsiTheme="majorBidi" w:cstheme="majorBidi"/>
          <w:i/>
        </w:rPr>
      </w:pPr>
      <w:r w:rsidRPr="008645FC">
        <w:rPr>
          <w:rFonts w:asciiTheme="majorBidi" w:hAnsiTheme="majorBidi" w:cstheme="majorBidi"/>
          <w:i/>
        </w:rPr>
        <w:t>Zuang, V. 2001. The neutral red release assay: a review. Altern. Lab. Anim., 29(5): 575-599. Doi: 10.1177/026119290102900513.</w:t>
      </w:r>
      <w:r w:rsidR="008C5013" w:rsidRPr="008645FC">
        <w:rPr>
          <w:rFonts w:asciiTheme="majorBidi" w:hAnsiTheme="majorBidi" w:cstheme="majorBidi"/>
          <w:i/>
        </w:rPr>
        <w:t>”</w:t>
      </w:r>
      <w:r w:rsidRPr="008645FC">
        <w:rPr>
          <w:rFonts w:asciiTheme="majorBidi" w:hAnsiTheme="majorBidi" w:cstheme="majorBidi"/>
          <w:i/>
        </w:rPr>
        <w:t>.</w:t>
      </w:r>
    </w:p>
    <w:p w14:paraId="638ACBE5" w14:textId="77777777" w:rsidR="008B6A70" w:rsidRPr="00FC4465" w:rsidRDefault="008B6A70" w:rsidP="008645FC">
      <w:pPr>
        <w:pStyle w:val="H1G"/>
      </w:pPr>
      <w:r w:rsidRPr="00FC4465">
        <w:lastRenderedPageBreak/>
        <w:tab/>
      </w:r>
      <w:r w:rsidRPr="00FC4465">
        <w:tab/>
        <w:t>Capítulo 3.4</w:t>
      </w:r>
    </w:p>
    <w:p w14:paraId="5EBD07C7" w14:textId="7B14A7F9" w:rsidR="008B6A70" w:rsidRPr="00FC4465" w:rsidRDefault="008B6A70" w:rsidP="008645FC">
      <w:pPr>
        <w:pStyle w:val="SingleTxtG"/>
        <w:keepNext/>
        <w:keepLines/>
        <w:ind w:left="2268" w:hanging="1134"/>
        <w:rPr>
          <w:rFonts w:asciiTheme="majorBidi" w:hAnsiTheme="majorBidi" w:cstheme="majorBidi"/>
        </w:rPr>
      </w:pPr>
      <w:r w:rsidRPr="00FC4465">
        <w:rPr>
          <w:rFonts w:asciiTheme="majorBidi" w:hAnsiTheme="majorBidi" w:cstheme="majorBidi"/>
        </w:rPr>
        <w:t>3.4.2.1.1.3</w:t>
      </w:r>
      <w:r w:rsidRPr="00FC4465">
        <w:rPr>
          <w:rFonts w:asciiTheme="majorBidi" w:hAnsiTheme="majorBidi" w:cstheme="majorBidi"/>
        </w:rPr>
        <w:tab/>
        <w:t xml:space="preserve">En la primera oración, sustitúyase </w:t>
      </w:r>
      <w:r w:rsidR="008C5013" w:rsidRPr="00FC4465">
        <w:rPr>
          <w:rFonts w:asciiTheme="majorBidi" w:hAnsiTheme="majorBidi" w:cstheme="majorBidi"/>
        </w:rPr>
        <w:t>“</w:t>
      </w:r>
      <w:r w:rsidRPr="00FC4465">
        <w:rPr>
          <w:rFonts w:asciiTheme="majorBidi" w:hAnsiTheme="majorBidi" w:cstheme="majorBidi"/>
        </w:rPr>
        <w:t>sobre la base del valor probatorio de los datos disponibles</w:t>
      </w:r>
      <w:r w:rsidR="008C5013" w:rsidRPr="00FC4465">
        <w:rPr>
          <w:rFonts w:asciiTheme="majorBidi" w:hAnsiTheme="majorBidi" w:cstheme="majorBidi"/>
        </w:rPr>
        <w:t>”</w:t>
      </w:r>
      <w:r w:rsidRPr="00FC4465">
        <w:rPr>
          <w:rFonts w:asciiTheme="majorBidi" w:hAnsiTheme="majorBidi" w:cstheme="majorBidi"/>
        </w:rPr>
        <w:t xml:space="preserve"> por </w:t>
      </w:r>
      <w:r w:rsidR="008C5013" w:rsidRPr="00FC4465">
        <w:rPr>
          <w:rFonts w:asciiTheme="majorBidi" w:hAnsiTheme="majorBidi" w:cstheme="majorBidi"/>
        </w:rPr>
        <w:t>“</w:t>
      </w:r>
      <w:r w:rsidRPr="00FC4465">
        <w:rPr>
          <w:rFonts w:asciiTheme="majorBidi" w:hAnsiTheme="majorBidi" w:cstheme="majorBidi"/>
        </w:rPr>
        <w:t>sobre la base de una evaluación del peso de las pruebas</w:t>
      </w:r>
      <w:r w:rsidR="008C5013" w:rsidRPr="00FC4465">
        <w:rPr>
          <w:rFonts w:asciiTheme="majorBidi" w:hAnsiTheme="majorBidi" w:cstheme="majorBidi"/>
        </w:rPr>
        <w:t>”</w:t>
      </w:r>
      <w:r w:rsidRPr="00FC4465">
        <w:rPr>
          <w:rFonts w:asciiTheme="majorBidi" w:hAnsiTheme="majorBidi" w:cstheme="majorBidi"/>
        </w:rPr>
        <w:t xml:space="preserve">. En la segunda oración, sustitúyase </w:t>
      </w:r>
      <w:r w:rsidR="008C5013" w:rsidRPr="00FC4465">
        <w:rPr>
          <w:rFonts w:asciiTheme="majorBidi" w:hAnsiTheme="majorBidi" w:cstheme="majorBidi"/>
        </w:rPr>
        <w:t>“</w:t>
      </w:r>
      <w:r w:rsidRPr="00FC4465">
        <w:rPr>
          <w:rFonts w:asciiTheme="majorBidi" w:hAnsiTheme="majorBidi" w:cstheme="majorBidi"/>
        </w:rPr>
        <w:t>aplicando este enfoque conjuntamente con</w:t>
      </w:r>
      <w:r w:rsidR="008C5013" w:rsidRPr="00FC4465">
        <w:rPr>
          <w:rFonts w:asciiTheme="majorBidi" w:hAnsiTheme="majorBidi" w:cstheme="majorBidi"/>
        </w:rPr>
        <w:t>”</w:t>
      </w:r>
      <w:r w:rsidRPr="00FC4465">
        <w:rPr>
          <w:rFonts w:asciiTheme="majorBidi" w:hAnsiTheme="majorBidi" w:cstheme="majorBidi"/>
        </w:rPr>
        <w:t xml:space="preserve"> por </w:t>
      </w:r>
      <w:r w:rsidR="008C5013" w:rsidRPr="00FC4465">
        <w:rPr>
          <w:rFonts w:asciiTheme="majorBidi" w:hAnsiTheme="majorBidi" w:cstheme="majorBidi"/>
        </w:rPr>
        <w:t>“</w:t>
      </w:r>
      <w:r w:rsidRPr="00FC4465">
        <w:rPr>
          <w:rFonts w:asciiTheme="majorBidi" w:hAnsiTheme="majorBidi" w:cstheme="majorBidi"/>
        </w:rPr>
        <w:t>realizando dicha evaluación con arreglo a</w:t>
      </w:r>
      <w:r w:rsidR="008C5013" w:rsidRPr="00FC4465">
        <w:rPr>
          <w:rFonts w:asciiTheme="majorBidi" w:hAnsiTheme="majorBidi" w:cstheme="majorBidi"/>
        </w:rPr>
        <w:t>”</w:t>
      </w:r>
      <w:r w:rsidRPr="00FC4465">
        <w:rPr>
          <w:rFonts w:asciiTheme="majorBidi" w:hAnsiTheme="majorBidi" w:cstheme="majorBidi"/>
        </w:rPr>
        <w:t>.</w:t>
      </w:r>
      <w:r w:rsidR="008C5013" w:rsidRPr="00FC4465">
        <w:rPr>
          <w:rFonts w:asciiTheme="majorBidi" w:hAnsiTheme="majorBidi" w:cstheme="majorBidi"/>
        </w:rPr>
        <w:t xml:space="preserve"> </w:t>
      </w:r>
    </w:p>
    <w:p w14:paraId="14E0333D" w14:textId="7EC56334" w:rsidR="008B6A70" w:rsidRPr="00FC4465" w:rsidRDefault="008B6A70" w:rsidP="008645FC">
      <w:pPr>
        <w:keepNext/>
        <w:keepLines/>
        <w:tabs>
          <w:tab w:val="left" w:pos="2268"/>
        </w:tabs>
        <w:spacing w:after="120"/>
        <w:ind w:left="2268" w:hanging="1134"/>
        <w:rPr>
          <w:rFonts w:asciiTheme="majorBidi" w:hAnsiTheme="majorBidi" w:cstheme="majorBidi"/>
        </w:rPr>
      </w:pPr>
      <w:r w:rsidRPr="00FC4465">
        <w:rPr>
          <w:rFonts w:asciiTheme="majorBidi" w:hAnsiTheme="majorBidi" w:cstheme="majorBidi"/>
        </w:rPr>
        <w:t>3.4.2.2.1.2</w:t>
      </w:r>
      <w:r w:rsidRPr="00FC4465">
        <w:rPr>
          <w:rFonts w:asciiTheme="majorBidi" w:hAnsiTheme="majorBidi" w:cstheme="majorBidi"/>
        </w:rPr>
        <w:tab/>
        <w:t xml:space="preserve">Sustitúyase </w:t>
      </w:r>
      <w:r w:rsidR="008C5013" w:rsidRPr="00FC4465">
        <w:rPr>
          <w:rFonts w:asciiTheme="majorBidi" w:hAnsiTheme="majorBidi" w:cstheme="majorBidi"/>
        </w:rPr>
        <w:t>“</w:t>
      </w:r>
      <w:r w:rsidRPr="00FC4465">
        <w:rPr>
          <w:rFonts w:asciiTheme="majorBidi" w:hAnsiTheme="majorBidi" w:cstheme="majorBidi"/>
        </w:rPr>
        <w:t>3.4.2.2.1.3</w:t>
      </w:r>
      <w:r w:rsidR="008C5013" w:rsidRPr="00FC4465">
        <w:rPr>
          <w:rFonts w:asciiTheme="majorBidi" w:hAnsiTheme="majorBidi" w:cstheme="majorBidi"/>
        </w:rPr>
        <w:t>”</w:t>
      </w:r>
      <w:r w:rsidRPr="00FC4465">
        <w:rPr>
          <w:rFonts w:asciiTheme="majorBidi" w:hAnsiTheme="majorBidi" w:cstheme="majorBidi"/>
        </w:rPr>
        <w:t xml:space="preserve"> por </w:t>
      </w:r>
      <w:r w:rsidR="008C5013" w:rsidRPr="00FC4465">
        <w:rPr>
          <w:rFonts w:asciiTheme="majorBidi" w:hAnsiTheme="majorBidi" w:cstheme="majorBidi"/>
        </w:rPr>
        <w:t>“</w:t>
      </w:r>
      <w:r w:rsidRPr="00FC4465">
        <w:rPr>
          <w:rFonts w:asciiTheme="majorBidi" w:hAnsiTheme="majorBidi" w:cstheme="majorBidi"/>
        </w:rPr>
        <w:t>3.4.2.2.2 a 3.4.2.2.6</w:t>
      </w:r>
      <w:r w:rsidR="008C5013" w:rsidRPr="00FC4465">
        <w:rPr>
          <w:rFonts w:asciiTheme="majorBidi" w:hAnsiTheme="majorBidi" w:cstheme="majorBidi"/>
        </w:rPr>
        <w:t>”</w:t>
      </w:r>
      <w:r w:rsidRPr="00FC4465">
        <w:rPr>
          <w:rFonts w:asciiTheme="majorBidi" w:hAnsiTheme="majorBidi" w:cstheme="majorBidi"/>
        </w:rPr>
        <w:t>.</w:t>
      </w:r>
    </w:p>
    <w:p w14:paraId="781A6BBF" w14:textId="77777777" w:rsidR="008B6A70" w:rsidRPr="00FC4465" w:rsidRDefault="008B6A70" w:rsidP="008645FC">
      <w:pPr>
        <w:pStyle w:val="SingleTxtG"/>
        <w:keepNext/>
        <w:keepLines/>
        <w:ind w:left="2268" w:hanging="1134"/>
        <w:rPr>
          <w:rFonts w:asciiTheme="majorBidi" w:hAnsiTheme="majorBidi" w:cstheme="majorBidi"/>
        </w:rPr>
      </w:pPr>
      <w:r w:rsidRPr="00FC4465">
        <w:rPr>
          <w:rFonts w:asciiTheme="majorBidi" w:hAnsiTheme="majorBidi" w:cstheme="majorBidi"/>
        </w:rPr>
        <w:t>3.4.2.2.1.3</w:t>
      </w:r>
      <w:r w:rsidRPr="00FC4465">
        <w:rPr>
          <w:rFonts w:asciiTheme="majorBidi" w:hAnsiTheme="majorBidi" w:cstheme="majorBidi"/>
        </w:rPr>
        <w:tab/>
        <w:t>Sustitúyase por:</w:t>
      </w:r>
    </w:p>
    <w:p w14:paraId="28A46E42" w14:textId="07A3AB56" w:rsidR="008B6A70" w:rsidRPr="00FC4465" w:rsidRDefault="008C5013" w:rsidP="008645FC">
      <w:pPr>
        <w:pStyle w:val="SingleTxtG"/>
        <w:tabs>
          <w:tab w:val="clear" w:pos="1701"/>
        </w:tabs>
        <w:ind w:left="2268"/>
        <w:rPr>
          <w:rFonts w:asciiTheme="majorBidi" w:hAnsiTheme="majorBidi" w:cstheme="majorBidi"/>
        </w:rPr>
      </w:pPr>
      <w:r w:rsidRPr="00FC4465">
        <w:rPr>
          <w:rFonts w:asciiTheme="majorBidi" w:hAnsiTheme="majorBidi" w:cstheme="majorBidi"/>
        </w:rPr>
        <w:t>“</w:t>
      </w:r>
      <w:r w:rsidR="008B6A70" w:rsidRPr="00FC4465">
        <w:rPr>
          <w:rFonts w:asciiTheme="majorBidi" w:hAnsiTheme="majorBidi" w:cstheme="majorBidi"/>
        </w:rPr>
        <w:t>3.4.2.2.1.3</w:t>
      </w:r>
      <w:r w:rsidR="008B6A70" w:rsidRPr="00FC4465">
        <w:rPr>
          <w:rFonts w:asciiTheme="majorBidi" w:hAnsiTheme="majorBidi" w:cstheme="majorBidi"/>
        </w:rPr>
        <w:tab/>
        <w:t>Para la clasificación de los sensibilizantes cutáneos, se reúne toda la información disponible y pertinente y se evalúa su calidad teniendo en cuenta su idoneidad y fiabilidad. La clasificación debería basarse en datos o resultados aceptables para todas las partes, obtenidos mediante métodos o enfoques definidos que se hayan validado con arreglo a procedimientos internacionales, como las directrices de la OCDE o métodos y enfoques definidos equivalentes (véase 1.3.2.4.3). En las secciones 3.4.2.2.2 a 3.4.2.2.6 se describen los criterios de clasificación para los diferentes tipos de información que pueden estar disponibles.</w:t>
      </w:r>
      <w:r w:rsidRPr="00FC4465">
        <w:rPr>
          <w:rFonts w:asciiTheme="majorBidi" w:hAnsiTheme="majorBidi" w:cstheme="majorBidi"/>
        </w:rPr>
        <w:t>”</w:t>
      </w:r>
      <w:r w:rsidR="008B6A70" w:rsidRPr="00FC4465">
        <w:rPr>
          <w:rFonts w:asciiTheme="majorBidi" w:hAnsiTheme="majorBidi" w:cstheme="majorBidi"/>
        </w:rPr>
        <w:t>.</w:t>
      </w:r>
    </w:p>
    <w:p w14:paraId="472694CC" w14:textId="77777777" w:rsidR="008B6A70" w:rsidRPr="00FC4465" w:rsidRDefault="008B6A70" w:rsidP="008645FC">
      <w:pPr>
        <w:pStyle w:val="SingleTxtG"/>
        <w:rPr>
          <w:rFonts w:asciiTheme="majorBidi" w:hAnsiTheme="majorBidi" w:cstheme="majorBidi"/>
        </w:rPr>
      </w:pPr>
      <w:r w:rsidRPr="00FC4465">
        <w:rPr>
          <w:rFonts w:asciiTheme="majorBidi" w:hAnsiTheme="majorBidi" w:cstheme="majorBidi"/>
        </w:rPr>
        <w:t>Tabla 3.4.2</w:t>
      </w:r>
      <w:r w:rsidRPr="00FC4465">
        <w:rPr>
          <w:rFonts w:asciiTheme="majorBidi" w:hAnsiTheme="majorBidi" w:cstheme="majorBidi"/>
        </w:rPr>
        <w:tab/>
        <w:t>Suprímase.</w:t>
      </w:r>
    </w:p>
    <w:p w14:paraId="2E272024" w14:textId="77777777" w:rsidR="008B6A70" w:rsidRPr="00FC4465" w:rsidRDefault="008B6A70" w:rsidP="008645FC">
      <w:pPr>
        <w:pStyle w:val="SingleTxtG"/>
        <w:rPr>
          <w:rFonts w:asciiTheme="majorBidi" w:hAnsiTheme="majorBidi" w:cstheme="majorBidi"/>
        </w:rPr>
      </w:pPr>
      <w:r w:rsidRPr="00FC4465">
        <w:rPr>
          <w:rFonts w:asciiTheme="majorBidi" w:hAnsiTheme="majorBidi" w:cstheme="majorBidi"/>
        </w:rPr>
        <w:t>3.4.2.2.1.4 y 3.4.2.2.1.5</w:t>
      </w:r>
      <w:r w:rsidRPr="00FC4465">
        <w:rPr>
          <w:rFonts w:asciiTheme="majorBidi" w:hAnsiTheme="majorBidi" w:cstheme="majorBidi"/>
        </w:rPr>
        <w:tab/>
        <w:t>Añádanse los dos nuevos párrafos siguientes:</w:t>
      </w:r>
    </w:p>
    <w:p w14:paraId="2E08CA3D" w14:textId="29CE61A3" w:rsidR="008B6A70" w:rsidRPr="00FC4465" w:rsidRDefault="008C5013" w:rsidP="008645FC">
      <w:pPr>
        <w:pStyle w:val="GHStext"/>
        <w:tabs>
          <w:tab w:val="left" w:pos="2268"/>
        </w:tabs>
        <w:spacing w:after="120" w:line="240" w:lineRule="atLeast"/>
        <w:ind w:left="2268" w:right="1134"/>
        <w:rPr>
          <w:rFonts w:asciiTheme="majorBidi" w:hAnsiTheme="majorBidi" w:cstheme="majorBidi"/>
          <w:color w:val="auto"/>
          <w:szCs w:val="20"/>
          <w:lang w:eastAsia="zh-CN"/>
        </w:rPr>
      </w:pPr>
      <w:r w:rsidRPr="00FC4465">
        <w:rPr>
          <w:rFonts w:asciiTheme="majorBidi" w:hAnsiTheme="majorBidi" w:cstheme="majorBidi"/>
          <w:color w:val="auto"/>
          <w:szCs w:val="20"/>
          <w:lang w:eastAsia="zh-CN"/>
        </w:rPr>
        <w:t>“</w:t>
      </w:r>
      <w:r w:rsidR="008B6A70" w:rsidRPr="00FC4465">
        <w:rPr>
          <w:rFonts w:asciiTheme="majorBidi" w:hAnsiTheme="majorBidi" w:cstheme="majorBidi"/>
          <w:color w:val="auto"/>
          <w:szCs w:val="20"/>
          <w:lang w:eastAsia="zh-CN"/>
        </w:rPr>
        <w:t>3.4.2.2.1.4</w:t>
      </w:r>
      <w:r w:rsidR="008B6A70" w:rsidRPr="00FC4465">
        <w:rPr>
          <w:rFonts w:asciiTheme="majorBidi" w:hAnsiTheme="majorBidi" w:cstheme="majorBidi"/>
          <w:color w:val="auto"/>
          <w:szCs w:val="20"/>
          <w:lang w:eastAsia="zh-CN"/>
        </w:rPr>
        <w:tab/>
        <w:t>En el enfoque por etapas (véase 3.4.2.2.7), la información disponible sobre la sensibilización cutánea se organiza en niveles o etapas y la adopción de decisiones se efectúa de manera estructurada y secuencial. Cuando la información satisface todos los criterios, este procedimiento genera directamente la clasificación. En cambio, cuando la información disponible da resultados incoherentes o contradictorios dentro de una etapa, la clasificación de la sustancia o la mezcla debe realizarse teniendo en cuenta el peso de las pruebas en esa etapa. En algunos casos en que hay incoherencias o resultados contradictorios entre la información de las distintas etapas (véase 3.4.2.2.7.7), o en que los datos por sí solos no son suficientes para extraer una conclusión con respecto a la clasificación, se recurre a la evaluación del peso total de las pruebas (véanse 1.3.2.4.9 y 3.4.2.2.7.6).</w:t>
      </w:r>
      <w:r w:rsidRPr="00FC4465">
        <w:rPr>
          <w:rFonts w:asciiTheme="majorBidi" w:hAnsiTheme="majorBidi" w:cstheme="majorBidi"/>
          <w:color w:val="auto"/>
          <w:szCs w:val="20"/>
          <w:lang w:eastAsia="zh-CN"/>
        </w:rPr>
        <w:t xml:space="preserve"> </w:t>
      </w:r>
    </w:p>
    <w:p w14:paraId="224352BD" w14:textId="0E71EE48" w:rsidR="008B6A70" w:rsidRPr="00FC4465" w:rsidRDefault="008B6A70" w:rsidP="008645FC">
      <w:pPr>
        <w:pStyle w:val="GHStext"/>
        <w:tabs>
          <w:tab w:val="left" w:pos="2268"/>
        </w:tabs>
        <w:spacing w:after="120" w:line="240" w:lineRule="atLeast"/>
        <w:ind w:left="2268" w:right="1134"/>
        <w:rPr>
          <w:rFonts w:asciiTheme="majorBidi" w:hAnsiTheme="majorBidi" w:cstheme="majorBidi"/>
          <w:color w:val="auto"/>
          <w:szCs w:val="20"/>
          <w:lang w:eastAsia="zh-CN"/>
        </w:rPr>
      </w:pPr>
      <w:r w:rsidRPr="00FC4465">
        <w:rPr>
          <w:rFonts w:asciiTheme="majorBidi" w:hAnsiTheme="majorBidi" w:cstheme="majorBidi"/>
          <w:color w:val="auto"/>
          <w:szCs w:val="20"/>
          <w:lang w:eastAsia="zh-CN"/>
        </w:rPr>
        <w:t xml:space="preserve">3.4.2.2.1.5 </w:t>
      </w:r>
      <w:r w:rsidRPr="00FC4465">
        <w:rPr>
          <w:rFonts w:asciiTheme="majorBidi" w:hAnsiTheme="majorBidi" w:cstheme="majorBidi"/>
          <w:color w:val="auto"/>
          <w:szCs w:val="20"/>
          <w:lang w:eastAsia="zh-CN"/>
        </w:rPr>
        <w:tab/>
        <w:t>En la sección 3.4.5.3 figuran indicaciones complementarias para la interpretación de los criterios y referencias a los documentos de orientación pertinentes.</w:t>
      </w:r>
      <w:r w:rsidR="008C5013" w:rsidRPr="00FC4465">
        <w:rPr>
          <w:rFonts w:asciiTheme="majorBidi" w:hAnsiTheme="majorBidi" w:cstheme="majorBidi"/>
          <w:color w:val="auto"/>
          <w:szCs w:val="20"/>
          <w:lang w:eastAsia="zh-CN"/>
        </w:rPr>
        <w:t>”</w:t>
      </w:r>
      <w:r w:rsidRPr="00FC4465">
        <w:rPr>
          <w:rFonts w:asciiTheme="majorBidi" w:hAnsiTheme="majorBidi" w:cstheme="majorBidi"/>
          <w:color w:val="auto"/>
          <w:szCs w:val="20"/>
          <w:lang w:eastAsia="zh-CN"/>
        </w:rPr>
        <w:t>.</w:t>
      </w:r>
    </w:p>
    <w:p w14:paraId="0BC9E891" w14:textId="7831C1AC" w:rsidR="008B6A70" w:rsidRPr="00FC4465" w:rsidRDefault="008B6A70" w:rsidP="008645FC">
      <w:pPr>
        <w:pStyle w:val="SingleTxtG"/>
        <w:ind w:left="2268" w:hanging="1134"/>
        <w:rPr>
          <w:rFonts w:asciiTheme="majorBidi" w:hAnsiTheme="majorBidi" w:cstheme="majorBidi"/>
          <w:i/>
        </w:rPr>
      </w:pPr>
      <w:r w:rsidRPr="00FC4465">
        <w:rPr>
          <w:rFonts w:asciiTheme="majorBidi" w:hAnsiTheme="majorBidi" w:cstheme="majorBidi"/>
        </w:rPr>
        <w:t>3.4.2.2.2</w:t>
      </w:r>
      <w:r w:rsidRPr="00FC4465">
        <w:rPr>
          <w:rFonts w:asciiTheme="majorBidi" w:hAnsiTheme="majorBidi" w:cstheme="majorBidi"/>
        </w:rPr>
        <w:tab/>
        <w:t xml:space="preserve">Modifíquese el encabezamiento para que diga: </w:t>
      </w:r>
      <w:r w:rsidR="008C5013" w:rsidRPr="00FC4465">
        <w:rPr>
          <w:rFonts w:asciiTheme="majorBidi" w:hAnsiTheme="majorBidi" w:cstheme="majorBidi"/>
        </w:rPr>
        <w:t>“</w:t>
      </w:r>
      <w:r w:rsidRPr="00FC4465">
        <w:rPr>
          <w:rFonts w:asciiTheme="majorBidi" w:hAnsiTheme="majorBidi" w:cstheme="majorBidi"/>
          <w:i/>
          <w:iCs/>
        </w:rPr>
        <w:t>Clasificación basada en datos obtenidos en seres humanos (etapa 1 de la figura 3.4.1)</w:t>
      </w:r>
      <w:r w:rsidR="008C5013" w:rsidRPr="00FC4465">
        <w:rPr>
          <w:rFonts w:asciiTheme="majorBidi" w:hAnsiTheme="majorBidi" w:cstheme="majorBidi"/>
        </w:rPr>
        <w:t>”</w:t>
      </w:r>
      <w:r w:rsidRPr="00FC4465">
        <w:rPr>
          <w:rFonts w:asciiTheme="majorBidi" w:hAnsiTheme="majorBidi" w:cstheme="majorBidi"/>
        </w:rPr>
        <w:t>.</w:t>
      </w:r>
    </w:p>
    <w:p w14:paraId="5BEBB63A" w14:textId="77777777" w:rsidR="008B6A70" w:rsidRPr="00FC4465" w:rsidRDefault="008B6A70" w:rsidP="008645FC">
      <w:pPr>
        <w:keepNext/>
        <w:keepLines/>
        <w:spacing w:after="120"/>
        <w:ind w:left="2268" w:right="1134" w:hanging="1134"/>
        <w:jc w:val="both"/>
        <w:rPr>
          <w:rFonts w:asciiTheme="majorBidi" w:hAnsiTheme="majorBidi" w:cstheme="majorBidi"/>
        </w:rPr>
      </w:pPr>
      <w:r w:rsidRPr="00FC4465">
        <w:rPr>
          <w:rFonts w:asciiTheme="majorBidi" w:hAnsiTheme="majorBidi" w:cstheme="majorBidi"/>
        </w:rPr>
        <w:t>3.4.2.2.2.1 (nuevo)</w:t>
      </w:r>
      <w:r w:rsidRPr="00FC4465">
        <w:rPr>
          <w:rFonts w:asciiTheme="majorBidi" w:hAnsiTheme="majorBidi" w:cstheme="majorBidi"/>
        </w:rPr>
        <w:tab/>
        <w:t>Añádase el nuevo párrafo siguiente y renumérense los párrafos restantes en consecuencia:</w:t>
      </w:r>
    </w:p>
    <w:p w14:paraId="7CBAA7B5" w14:textId="6AA031C5" w:rsidR="008B6A70" w:rsidRPr="00FC4465" w:rsidRDefault="008C5013" w:rsidP="008645FC">
      <w:pPr>
        <w:keepNext/>
        <w:keepLines/>
        <w:spacing w:after="120"/>
        <w:ind w:left="2268" w:right="1134"/>
        <w:jc w:val="both"/>
        <w:rPr>
          <w:rFonts w:asciiTheme="majorBidi" w:hAnsiTheme="majorBidi" w:cstheme="majorBidi"/>
        </w:rPr>
      </w:pPr>
      <w:r w:rsidRPr="00FC4465">
        <w:rPr>
          <w:rFonts w:asciiTheme="majorBidi" w:hAnsiTheme="majorBidi" w:cstheme="majorBidi"/>
        </w:rPr>
        <w:t>“</w:t>
      </w:r>
      <w:r w:rsidR="008B6A70" w:rsidRPr="00FC4465">
        <w:rPr>
          <w:rFonts w:asciiTheme="majorBidi" w:hAnsiTheme="majorBidi" w:cstheme="majorBidi"/>
        </w:rPr>
        <w:t>3.4.2.2.2.1</w:t>
      </w:r>
      <w:r w:rsidR="008B6A70" w:rsidRPr="00FC4465">
        <w:rPr>
          <w:rFonts w:asciiTheme="majorBidi" w:hAnsiTheme="majorBidi" w:cstheme="majorBidi"/>
        </w:rPr>
        <w:tab/>
        <w:t>Una sustancia se clasificará como sensibilizante cutáneo de categoría 1 si se dispone de datos obtenidos en seres humanos que indiquen que puede dar lugar a sensibilización por contacto con la piel en un número significativo de personas.</w:t>
      </w:r>
      <w:r w:rsidRPr="00FC4465">
        <w:rPr>
          <w:rFonts w:asciiTheme="majorBidi" w:hAnsiTheme="majorBidi" w:cstheme="majorBidi"/>
        </w:rPr>
        <w:t>”</w:t>
      </w:r>
      <w:r w:rsidR="008B6A70" w:rsidRPr="00FC4465">
        <w:rPr>
          <w:rFonts w:asciiTheme="majorBidi" w:hAnsiTheme="majorBidi" w:cstheme="majorBidi"/>
        </w:rPr>
        <w:t>.</w:t>
      </w:r>
    </w:p>
    <w:p w14:paraId="1FC0C663" w14:textId="77777777" w:rsidR="008B6A70" w:rsidRPr="00FC4465" w:rsidRDefault="008B6A70" w:rsidP="008645FC">
      <w:pPr>
        <w:pStyle w:val="SingleTxtG"/>
        <w:ind w:left="1701" w:hanging="567"/>
        <w:rPr>
          <w:rFonts w:asciiTheme="majorBidi" w:hAnsiTheme="majorBidi" w:cstheme="majorBidi"/>
        </w:rPr>
      </w:pPr>
      <w:r w:rsidRPr="00FC4465">
        <w:rPr>
          <w:rFonts w:asciiTheme="majorBidi" w:hAnsiTheme="majorBidi" w:cstheme="majorBidi"/>
        </w:rPr>
        <w:t>3.4.2.2.2.2 (antiguo 3.4.2.2.2.1)</w:t>
      </w:r>
      <w:r w:rsidRPr="00FC4465">
        <w:rPr>
          <w:rFonts w:asciiTheme="majorBidi" w:hAnsiTheme="majorBidi" w:cstheme="majorBidi"/>
        </w:rPr>
        <w:tab/>
        <w:t>Modifíquese el principio del párrafo para que diga:</w:t>
      </w:r>
    </w:p>
    <w:p w14:paraId="418792B7" w14:textId="4676339B" w:rsidR="008B6A70" w:rsidRPr="00FC4465" w:rsidRDefault="008C5013" w:rsidP="002A21D5">
      <w:pPr>
        <w:spacing w:after="120"/>
        <w:ind w:left="2268" w:right="1134"/>
        <w:jc w:val="both"/>
        <w:rPr>
          <w:rFonts w:asciiTheme="majorBidi" w:hAnsiTheme="majorBidi" w:cstheme="majorBidi"/>
        </w:rPr>
      </w:pPr>
      <w:r w:rsidRPr="00FC4465">
        <w:rPr>
          <w:rFonts w:asciiTheme="majorBidi" w:hAnsiTheme="majorBidi" w:cstheme="majorBidi"/>
        </w:rPr>
        <w:t>“</w:t>
      </w:r>
      <w:r w:rsidR="008B6A70" w:rsidRPr="00FC4465">
        <w:rPr>
          <w:rFonts w:asciiTheme="majorBidi" w:hAnsiTheme="majorBidi" w:cstheme="majorBidi"/>
        </w:rPr>
        <w:t>Las sustancias asociadas con una frecuencia elevada de casos de sensibilización en seres humanos pueden considerarse sustancias capaces de producir una sensibilización importante y se clasifican en la subcategoría 1A. También puede tomarse en consideración la gravedad de la reacción. Los datos obtenidos en seres humanos para la categoría 1A pueden consistir en:</w:t>
      </w:r>
      <w:r w:rsidRPr="00FC4465">
        <w:rPr>
          <w:rFonts w:asciiTheme="majorBidi" w:hAnsiTheme="majorBidi" w:cstheme="majorBidi"/>
        </w:rPr>
        <w:t>”</w:t>
      </w:r>
      <w:r w:rsidR="008B6A70" w:rsidRPr="00FC4465">
        <w:rPr>
          <w:rFonts w:asciiTheme="majorBidi" w:hAnsiTheme="majorBidi" w:cstheme="majorBidi"/>
        </w:rPr>
        <w:t>.</w:t>
      </w:r>
    </w:p>
    <w:p w14:paraId="09144CA7" w14:textId="77777777" w:rsidR="008B6A70" w:rsidRPr="00FC4465" w:rsidRDefault="008B6A70" w:rsidP="002A21D5">
      <w:pPr>
        <w:pStyle w:val="SingleTxtG"/>
        <w:keepNext/>
        <w:ind w:left="1701" w:hanging="567"/>
        <w:rPr>
          <w:rFonts w:asciiTheme="majorBidi" w:hAnsiTheme="majorBidi" w:cstheme="majorBidi"/>
        </w:rPr>
      </w:pPr>
      <w:r w:rsidRPr="00FC4465">
        <w:rPr>
          <w:rFonts w:asciiTheme="majorBidi" w:hAnsiTheme="majorBidi" w:cstheme="majorBidi"/>
        </w:rPr>
        <w:lastRenderedPageBreak/>
        <w:t>3.4.2.2.2.3 (antiguo 3.4.2.2.2.2)</w:t>
      </w:r>
      <w:r w:rsidRPr="00FC4465">
        <w:rPr>
          <w:rFonts w:asciiTheme="majorBidi" w:hAnsiTheme="majorBidi" w:cstheme="majorBidi"/>
        </w:rPr>
        <w:tab/>
        <w:t>Modifíquese el principio del párrafo para que diga:</w:t>
      </w:r>
    </w:p>
    <w:p w14:paraId="6ACD51CC" w14:textId="79EB0D4B" w:rsidR="008B6A70" w:rsidRPr="00FC4465" w:rsidRDefault="008C5013" w:rsidP="008645FC">
      <w:pPr>
        <w:keepNext/>
        <w:keepLines/>
        <w:spacing w:after="120"/>
        <w:ind w:left="2268" w:right="1134"/>
        <w:jc w:val="both"/>
        <w:rPr>
          <w:rFonts w:asciiTheme="majorBidi" w:hAnsiTheme="majorBidi" w:cstheme="majorBidi"/>
        </w:rPr>
      </w:pPr>
      <w:r w:rsidRPr="00FC4465">
        <w:rPr>
          <w:rFonts w:asciiTheme="majorBidi" w:hAnsiTheme="majorBidi" w:cstheme="majorBidi"/>
        </w:rPr>
        <w:t>“</w:t>
      </w:r>
      <w:r w:rsidR="008B6A70" w:rsidRPr="00FC4465">
        <w:rPr>
          <w:rFonts w:asciiTheme="majorBidi" w:hAnsiTheme="majorBidi" w:cstheme="majorBidi"/>
        </w:rPr>
        <w:t>Las sustancias asociadas con una frecuencia de baja a moderada de casos de sensibilización en seres humanos pueden considerarse sustancias capaces de producir sensibilización y se clasifican en la subcategoría 1B. También puede tomarse en consideración la gravedad de la reacción. Los datos obtenidos en seres humanos para la categoría 1B pueden consistir en:</w:t>
      </w:r>
      <w:r w:rsidRPr="00FC4465">
        <w:rPr>
          <w:rFonts w:asciiTheme="majorBidi" w:hAnsiTheme="majorBidi" w:cstheme="majorBidi"/>
        </w:rPr>
        <w:t>”</w:t>
      </w:r>
      <w:r w:rsidR="008B6A70" w:rsidRPr="00FC4465">
        <w:rPr>
          <w:rFonts w:asciiTheme="majorBidi" w:hAnsiTheme="majorBidi" w:cstheme="majorBidi"/>
        </w:rPr>
        <w:t>.</w:t>
      </w:r>
    </w:p>
    <w:p w14:paraId="61C7E29D" w14:textId="0C997B5A" w:rsidR="008B6A70" w:rsidRPr="00FC4465" w:rsidRDefault="008B6A70" w:rsidP="008645FC">
      <w:pPr>
        <w:pStyle w:val="SingleTxtG"/>
        <w:ind w:left="2268" w:hanging="1134"/>
        <w:rPr>
          <w:rFonts w:asciiTheme="majorBidi" w:hAnsiTheme="majorBidi" w:cstheme="majorBidi"/>
        </w:rPr>
      </w:pPr>
      <w:r w:rsidRPr="00FC4465">
        <w:rPr>
          <w:rFonts w:asciiTheme="majorBidi" w:hAnsiTheme="majorBidi" w:cstheme="majorBidi"/>
        </w:rPr>
        <w:t>3.4.2.2.3</w:t>
      </w:r>
      <w:r w:rsidRPr="00FC4465">
        <w:rPr>
          <w:rFonts w:asciiTheme="majorBidi" w:hAnsiTheme="majorBidi" w:cstheme="majorBidi"/>
        </w:rPr>
        <w:tab/>
        <w:t xml:space="preserve">Modifíquese el encabezamiento para que diga: </w:t>
      </w:r>
      <w:r w:rsidR="008C5013" w:rsidRPr="00FC4465">
        <w:rPr>
          <w:rFonts w:asciiTheme="majorBidi" w:hAnsiTheme="majorBidi" w:cstheme="majorBidi"/>
        </w:rPr>
        <w:t>“</w:t>
      </w:r>
      <w:r w:rsidRPr="00FC4465">
        <w:rPr>
          <w:rFonts w:asciiTheme="majorBidi" w:hAnsiTheme="majorBidi" w:cstheme="majorBidi"/>
          <w:i/>
          <w:iCs/>
        </w:rPr>
        <w:t>Clasificación basada en datos normalizados obtenidos en animales (etapa 1 de la figura 3.4.1)</w:t>
      </w:r>
      <w:r w:rsidR="008C5013" w:rsidRPr="00FC4465">
        <w:rPr>
          <w:rFonts w:asciiTheme="majorBidi" w:hAnsiTheme="majorBidi" w:cstheme="majorBidi"/>
        </w:rPr>
        <w:t>”</w:t>
      </w:r>
      <w:r w:rsidRPr="00FC4465">
        <w:rPr>
          <w:rFonts w:asciiTheme="majorBidi" w:hAnsiTheme="majorBidi" w:cstheme="majorBidi"/>
        </w:rPr>
        <w:t>.</w:t>
      </w:r>
    </w:p>
    <w:p w14:paraId="4C4D8344" w14:textId="77777777" w:rsidR="008B6A70" w:rsidRPr="00FC4465" w:rsidRDefault="008B6A70" w:rsidP="008645FC">
      <w:pPr>
        <w:pStyle w:val="Bullet1G"/>
        <w:numPr>
          <w:ilvl w:val="0"/>
          <w:numId w:val="0"/>
        </w:numPr>
        <w:ind w:left="2268" w:hanging="1134"/>
        <w:rPr>
          <w:rFonts w:asciiTheme="majorBidi" w:hAnsiTheme="majorBidi" w:cstheme="majorBidi"/>
        </w:rPr>
      </w:pPr>
      <w:r w:rsidRPr="00FC4465">
        <w:rPr>
          <w:rFonts w:asciiTheme="majorBidi" w:hAnsiTheme="majorBidi" w:cstheme="majorBidi"/>
        </w:rPr>
        <w:t>3.4.2.2.3.1</w:t>
      </w:r>
      <w:r w:rsidRPr="00FC4465">
        <w:rPr>
          <w:rFonts w:asciiTheme="majorBidi" w:hAnsiTheme="majorBidi" w:cstheme="majorBidi"/>
        </w:rPr>
        <w:tab/>
        <w:t>Modifíquese el párrafo e insértese una nueva tabla 3.4.2, como sigue:</w:t>
      </w:r>
    </w:p>
    <w:p w14:paraId="54B1A690" w14:textId="0A81599D" w:rsidR="008B6A70" w:rsidRPr="00FC4465" w:rsidRDefault="008C5013" w:rsidP="008645FC">
      <w:pPr>
        <w:pStyle w:val="SingleTxtG"/>
        <w:ind w:left="2268"/>
        <w:rPr>
          <w:rFonts w:asciiTheme="majorBidi" w:hAnsiTheme="majorBidi" w:cstheme="majorBidi"/>
        </w:rPr>
      </w:pPr>
      <w:r w:rsidRPr="00FC4465">
        <w:rPr>
          <w:rFonts w:asciiTheme="majorBidi" w:hAnsiTheme="majorBidi" w:cstheme="majorBidi"/>
        </w:rPr>
        <w:t>“</w:t>
      </w:r>
      <w:r w:rsidR="008B6A70" w:rsidRPr="00FC4465">
        <w:rPr>
          <w:rFonts w:asciiTheme="majorBidi" w:hAnsiTheme="majorBidi" w:cstheme="majorBidi"/>
        </w:rPr>
        <w:t>3.4.2.2.3.1</w:t>
      </w:r>
      <w:r w:rsidR="008B6A70" w:rsidRPr="00FC4465">
        <w:rPr>
          <w:rFonts w:asciiTheme="majorBidi" w:hAnsiTheme="majorBidi" w:cstheme="majorBidi"/>
        </w:rPr>
        <w:tab/>
        <w:t>Una sustancia se clasificará como sensibilizante cutáneo si un ensayo adecuado en animales arroja resultados positivos. Para la categoría 1, cuando se use un método de ensayo con adyuvantes para la sensibilización cutánea, una respuesta de al menos el 30</w:t>
      </w:r>
      <w:r w:rsidRPr="00FC4465">
        <w:rPr>
          <w:rFonts w:asciiTheme="majorBidi" w:hAnsiTheme="majorBidi" w:cstheme="majorBidi"/>
        </w:rPr>
        <w:t> %</w:t>
      </w:r>
      <w:r w:rsidR="008B6A70" w:rsidRPr="00FC4465">
        <w:rPr>
          <w:rFonts w:asciiTheme="majorBidi" w:hAnsiTheme="majorBidi" w:cstheme="majorBidi"/>
        </w:rPr>
        <w:t xml:space="preserve"> de los animales se considerará positiva. En un método sin adyuvante en cobayas se requerirá una respuesta de al menos el 15</w:t>
      </w:r>
      <w:r w:rsidRPr="00FC4465">
        <w:rPr>
          <w:rFonts w:asciiTheme="majorBidi" w:hAnsiTheme="majorBidi" w:cstheme="majorBidi"/>
        </w:rPr>
        <w:t> %</w:t>
      </w:r>
      <w:r w:rsidR="008B6A70" w:rsidRPr="00FC4465">
        <w:rPr>
          <w:rFonts w:asciiTheme="majorBidi" w:hAnsiTheme="majorBidi" w:cstheme="majorBidi"/>
        </w:rPr>
        <w:t>. Para la categoría 1, un índice de estimulación de tres o más se considera una respuesta positiva en un ensayo radioisotópico de estimulación local de los ganglios linfáticos (LLNA). En cuanto a las variantes no radiactivas del ensayo LLNA, se considera positivo un índice de estimulación igual o superior a 1,8 para el método LLNA: DA, a 1,6 para el LLNA: BrdU-ELISA, y a 2,7 para el LLNA: BrdU-FCM. Los métodos de ensayo de sensibilización cutánea se describen en las directrices 406 (ensayo de maximización en cobaya y ensayo de Buehler también en cobaya), y</w:t>
      </w:r>
      <w:r w:rsidR="002A21D5">
        <w:rPr>
          <w:rFonts w:asciiTheme="majorBidi" w:hAnsiTheme="majorBidi" w:cstheme="majorBidi"/>
        </w:rPr>
        <w:t> </w:t>
      </w:r>
      <w:r w:rsidR="008B6A70" w:rsidRPr="00FC4465">
        <w:rPr>
          <w:rFonts w:asciiTheme="majorBidi" w:hAnsiTheme="majorBidi" w:cstheme="majorBidi"/>
        </w:rPr>
        <w:t>429/442A/442B (ensayo de estimulación local de los ganglios linfáticos) de la OCDE. Podrán usarse otros métodos, siempre que estén bien validados y justificados científicamente. El ensayo de tumefacción de la oreja del ratón (MEST) parece ser una prueba fidedigna de selección para detectar sensibilizantes entre moderados y fuertes, y puede usarse como una primera etapa para evaluar el potencial de sensibilización de la piel.</w:t>
      </w:r>
    </w:p>
    <w:p w14:paraId="3E4FBA81" w14:textId="77777777" w:rsidR="008B6A70" w:rsidRPr="00FC4465" w:rsidRDefault="008B6A70" w:rsidP="008B6A70">
      <w:pPr>
        <w:spacing w:before="216" w:after="120" w:line="240" w:lineRule="exact"/>
        <w:jc w:val="center"/>
        <w:rPr>
          <w:rFonts w:asciiTheme="majorBidi" w:hAnsiTheme="majorBidi" w:cstheme="majorBidi"/>
          <w:b/>
          <w:bCs/>
          <w:color w:val="000000" w:themeColor="text1"/>
        </w:rPr>
      </w:pPr>
      <w:r w:rsidRPr="00FC4465">
        <w:rPr>
          <w:rFonts w:asciiTheme="majorBidi" w:hAnsiTheme="majorBidi" w:cstheme="majorBidi"/>
          <w:b/>
          <w:bCs/>
        </w:rPr>
        <w:t>Tabla 3.4.2: Resultados de ensayos en animales para la categoría 1</w:t>
      </w:r>
    </w:p>
    <w:tbl>
      <w:tblPr>
        <w:tblStyle w:val="TableGrid"/>
        <w:tblW w:w="0" w:type="auto"/>
        <w:tblInd w:w="1413" w:type="dxa"/>
        <w:tblLayout w:type="fixed"/>
        <w:tblLook w:val="04A0" w:firstRow="1" w:lastRow="0" w:firstColumn="1" w:lastColumn="0" w:noHBand="0" w:noVBand="1"/>
      </w:tblPr>
      <w:tblGrid>
        <w:gridCol w:w="3401"/>
        <w:gridCol w:w="4395"/>
      </w:tblGrid>
      <w:tr w:rsidR="008B6A70" w:rsidRPr="00FC4465" w14:paraId="78507BE6" w14:textId="77777777" w:rsidTr="00C93947">
        <w:tc>
          <w:tcPr>
            <w:tcW w:w="3401" w:type="dxa"/>
          </w:tcPr>
          <w:p w14:paraId="13B2B8B0" w14:textId="77777777" w:rsidR="008B6A70" w:rsidRPr="00FC4465" w:rsidRDefault="008B6A70" w:rsidP="00C93947">
            <w:pPr>
              <w:jc w:val="center"/>
              <w:rPr>
                <w:rFonts w:asciiTheme="majorBidi" w:hAnsiTheme="majorBidi" w:cstheme="majorBidi"/>
              </w:rPr>
            </w:pPr>
            <w:r w:rsidRPr="00FC4465">
              <w:rPr>
                <w:rFonts w:asciiTheme="majorBidi" w:hAnsiTheme="majorBidi" w:cstheme="majorBidi"/>
                <w:b/>
                <w:bCs/>
              </w:rPr>
              <w:t>Ensayo</w:t>
            </w:r>
          </w:p>
        </w:tc>
        <w:tc>
          <w:tcPr>
            <w:tcW w:w="4395" w:type="dxa"/>
          </w:tcPr>
          <w:p w14:paraId="4A63F8E6" w14:textId="77777777" w:rsidR="008B6A70" w:rsidRPr="00FC4465" w:rsidRDefault="008B6A70" w:rsidP="00C93947">
            <w:pPr>
              <w:jc w:val="center"/>
              <w:rPr>
                <w:rFonts w:asciiTheme="majorBidi" w:hAnsiTheme="majorBidi" w:cstheme="majorBidi"/>
              </w:rPr>
            </w:pPr>
            <w:r w:rsidRPr="00FC4465">
              <w:rPr>
                <w:rFonts w:asciiTheme="majorBidi" w:hAnsiTheme="majorBidi" w:cstheme="majorBidi"/>
                <w:b/>
                <w:bCs/>
              </w:rPr>
              <w:t>Criterios</w:t>
            </w:r>
          </w:p>
        </w:tc>
      </w:tr>
      <w:tr w:rsidR="008B6A70" w:rsidRPr="00FC4465" w14:paraId="4AF97487" w14:textId="77777777" w:rsidTr="00C93947">
        <w:tc>
          <w:tcPr>
            <w:tcW w:w="3401" w:type="dxa"/>
          </w:tcPr>
          <w:p w14:paraId="42AE196C" w14:textId="77777777" w:rsidR="008B6A70" w:rsidRPr="00FC4465" w:rsidRDefault="008B6A70" w:rsidP="00C93947">
            <w:pPr>
              <w:ind w:left="145"/>
              <w:rPr>
                <w:rFonts w:asciiTheme="majorBidi" w:hAnsiTheme="majorBidi" w:cstheme="majorBidi"/>
              </w:rPr>
            </w:pPr>
            <w:r w:rsidRPr="00FC4465">
              <w:rPr>
                <w:rFonts w:asciiTheme="majorBidi" w:hAnsiTheme="majorBidi" w:cstheme="majorBidi"/>
              </w:rPr>
              <w:t>Ensayo de estimulación local de los ganglios linfáticos (LLNA)</w:t>
            </w:r>
          </w:p>
        </w:tc>
        <w:tc>
          <w:tcPr>
            <w:tcW w:w="4395" w:type="dxa"/>
          </w:tcPr>
          <w:p w14:paraId="2C12093F" w14:textId="77777777" w:rsidR="008B6A70" w:rsidRPr="00FC4465" w:rsidRDefault="008B6A70" w:rsidP="00C93947">
            <w:pPr>
              <w:ind w:left="143"/>
              <w:rPr>
                <w:rFonts w:asciiTheme="majorBidi" w:hAnsiTheme="majorBidi" w:cstheme="majorBidi"/>
              </w:rPr>
            </w:pPr>
            <w:r w:rsidRPr="00FC4465">
              <w:rPr>
                <w:rFonts w:asciiTheme="majorBidi" w:hAnsiTheme="majorBidi" w:cstheme="majorBidi"/>
              </w:rPr>
              <w:t>Índice de estimulación (IE) ≥ 3</w:t>
            </w:r>
          </w:p>
        </w:tc>
      </w:tr>
      <w:tr w:rsidR="008B6A70" w:rsidRPr="00FC4465" w14:paraId="466EA0A1" w14:textId="77777777" w:rsidTr="00C93947">
        <w:tc>
          <w:tcPr>
            <w:tcW w:w="3401" w:type="dxa"/>
          </w:tcPr>
          <w:p w14:paraId="5EF83330" w14:textId="77777777" w:rsidR="008B6A70" w:rsidRPr="00FC4465" w:rsidRDefault="008B6A70" w:rsidP="00C93947">
            <w:pPr>
              <w:ind w:left="145"/>
              <w:rPr>
                <w:rFonts w:asciiTheme="majorBidi" w:hAnsiTheme="majorBidi" w:cstheme="majorBidi"/>
              </w:rPr>
            </w:pPr>
            <w:r w:rsidRPr="00FC4465">
              <w:rPr>
                <w:rFonts w:asciiTheme="majorBidi" w:hAnsiTheme="majorBidi" w:cstheme="majorBidi"/>
              </w:rPr>
              <w:t>LLNA: DA</w:t>
            </w:r>
          </w:p>
        </w:tc>
        <w:tc>
          <w:tcPr>
            <w:tcW w:w="4395" w:type="dxa"/>
          </w:tcPr>
          <w:p w14:paraId="72D09199" w14:textId="77777777" w:rsidR="008B6A70" w:rsidRPr="00FC4465" w:rsidRDefault="008B6A70" w:rsidP="00C93947">
            <w:pPr>
              <w:ind w:left="143"/>
              <w:rPr>
                <w:rFonts w:asciiTheme="majorBidi" w:hAnsiTheme="majorBidi" w:cstheme="majorBidi"/>
              </w:rPr>
            </w:pPr>
            <w:r w:rsidRPr="00FC4465">
              <w:rPr>
                <w:rFonts w:asciiTheme="majorBidi" w:hAnsiTheme="majorBidi" w:cstheme="majorBidi"/>
              </w:rPr>
              <w:t>IE ≥ 1,8</w:t>
            </w:r>
          </w:p>
        </w:tc>
      </w:tr>
      <w:tr w:rsidR="008B6A70" w:rsidRPr="00FC4465" w14:paraId="0E75233C" w14:textId="77777777" w:rsidTr="00C93947">
        <w:tc>
          <w:tcPr>
            <w:tcW w:w="3401" w:type="dxa"/>
          </w:tcPr>
          <w:p w14:paraId="1D1518AE" w14:textId="77777777" w:rsidR="008B6A70" w:rsidRPr="00FC4465" w:rsidRDefault="008B6A70" w:rsidP="00C93947">
            <w:pPr>
              <w:ind w:left="145"/>
              <w:rPr>
                <w:rFonts w:asciiTheme="majorBidi" w:hAnsiTheme="majorBidi" w:cstheme="majorBidi"/>
              </w:rPr>
            </w:pPr>
            <w:r w:rsidRPr="00FC4465">
              <w:rPr>
                <w:rFonts w:asciiTheme="majorBidi" w:hAnsiTheme="majorBidi" w:cstheme="majorBidi"/>
              </w:rPr>
              <w:t>LLNA: BrdU-ELISA</w:t>
            </w:r>
          </w:p>
        </w:tc>
        <w:tc>
          <w:tcPr>
            <w:tcW w:w="4395" w:type="dxa"/>
          </w:tcPr>
          <w:p w14:paraId="4D609D08" w14:textId="77777777" w:rsidR="008B6A70" w:rsidRPr="00FC4465" w:rsidRDefault="008B6A70" w:rsidP="00C93947">
            <w:pPr>
              <w:ind w:left="143"/>
              <w:rPr>
                <w:rFonts w:asciiTheme="majorBidi" w:hAnsiTheme="majorBidi" w:cstheme="majorBidi"/>
              </w:rPr>
            </w:pPr>
            <w:r w:rsidRPr="00FC4465">
              <w:rPr>
                <w:rFonts w:asciiTheme="majorBidi" w:hAnsiTheme="majorBidi" w:cstheme="majorBidi"/>
              </w:rPr>
              <w:t>IE ≥ 1,6</w:t>
            </w:r>
          </w:p>
        </w:tc>
      </w:tr>
      <w:tr w:rsidR="008B6A70" w:rsidRPr="00FC4465" w14:paraId="498944D4" w14:textId="77777777" w:rsidTr="00C93947">
        <w:tc>
          <w:tcPr>
            <w:tcW w:w="3401" w:type="dxa"/>
          </w:tcPr>
          <w:p w14:paraId="3ED57AC8" w14:textId="77777777" w:rsidR="008B6A70" w:rsidRPr="00FC4465" w:rsidRDefault="008B6A70" w:rsidP="00C93947">
            <w:pPr>
              <w:ind w:left="145"/>
              <w:rPr>
                <w:rFonts w:asciiTheme="majorBidi" w:hAnsiTheme="majorBidi" w:cstheme="majorBidi"/>
              </w:rPr>
            </w:pPr>
            <w:r w:rsidRPr="00FC4465">
              <w:rPr>
                <w:rFonts w:asciiTheme="majorBidi" w:hAnsiTheme="majorBidi" w:cstheme="majorBidi"/>
              </w:rPr>
              <w:t>LLNA: BrdU-FCM</w:t>
            </w:r>
          </w:p>
        </w:tc>
        <w:tc>
          <w:tcPr>
            <w:tcW w:w="4395" w:type="dxa"/>
          </w:tcPr>
          <w:p w14:paraId="1ED41729" w14:textId="77777777" w:rsidR="008B6A70" w:rsidRPr="00FC4465" w:rsidRDefault="008B6A70" w:rsidP="00C93947">
            <w:pPr>
              <w:ind w:left="143"/>
              <w:rPr>
                <w:rFonts w:asciiTheme="majorBidi" w:hAnsiTheme="majorBidi" w:cstheme="majorBidi"/>
              </w:rPr>
            </w:pPr>
            <w:r w:rsidRPr="00FC4465">
              <w:rPr>
                <w:rFonts w:asciiTheme="majorBidi" w:hAnsiTheme="majorBidi" w:cstheme="majorBidi"/>
              </w:rPr>
              <w:t>IE ≥ 2,7</w:t>
            </w:r>
          </w:p>
        </w:tc>
      </w:tr>
      <w:tr w:rsidR="008B6A70" w:rsidRPr="00FC4465" w14:paraId="41BF73B3" w14:textId="77777777" w:rsidTr="00C93947">
        <w:tc>
          <w:tcPr>
            <w:tcW w:w="3401" w:type="dxa"/>
          </w:tcPr>
          <w:p w14:paraId="3222570D" w14:textId="77777777" w:rsidR="008B6A70" w:rsidRPr="00FC4465" w:rsidRDefault="008B6A70" w:rsidP="00C93947">
            <w:pPr>
              <w:ind w:left="145"/>
              <w:rPr>
                <w:rFonts w:asciiTheme="majorBidi" w:hAnsiTheme="majorBidi" w:cstheme="majorBidi"/>
              </w:rPr>
            </w:pPr>
            <w:r w:rsidRPr="00FC4465">
              <w:rPr>
                <w:rFonts w:asciiTheme="majorBidi" w:hAnsiTheme="majorBidi" w:cstheme="majorBidi"/>
              </w:rPr>
              <w:t>Método de ensayo con adyuvante en cobayas</w:t>
            </w:r>
          </w:p>
        </w:tc>
        <w:tc>
          <w:tcPr>
            <w:tcW w:w="4395" w:type="dxa"/>
          </w:tcPr>
          <w:p w14:paraId="6A7265FC" w14:textId="70118927" w:rsidR="008B6A70" w:rsidRPr="00FC4465" w:rsidRDefault="008B6A70" w:rsidP="00C93947">
            <w:pPr>
              <w:ind w:left="143"/>
              <w:rPr>
                <w:rFonts w:asciiTheme="majorBidi" w:hAnsiTheme="majorBidi" w:cstheme="majorBidi"/>
              </w:rPr>
            </w:pPr>
            <w:r w:rsidRPr="00FC4465">
              <w:rPr>
                <w:rFonts w:asciiTheme="majorBidi" w:hAnsiTheme="majorBidi" w:cstheme="majorBidi"/>
              </w:rPr>
              <w:t>≥ 30</w:t>
            </w:r>
            <w:r w:rsidR="008C5013" w:rsidRPr="00FC4465">
              <w:rPr>
                <w:rFonts w:asciiTheme="majorBidi" w:hAnsiTheme="majorBidi" w:cstheme="majorBidi"/>
              </w:rPr>
              <w:t> %</w:t>
            </w:r>
            <w:r w:rsidRPr="00FC4465">
              <w:rPr>
                <w:rFonts w:asciiTheme="majorBidi" w:hAnsiTheme="majorBidi" w:cstheme="majorBidi"/>
              </w:rPr>
              <w:t xml:space="preserve"> responde a cualquier dosis de inducción intradérmica</w:t>
            </w:r>
          </w:p>
        </w:tc>
      </w:tr>
      <w:tr w:rsidR="008B6A70" w:rsidRPr="00FC4465" w14:paraId="3E342083" w14:textId="77777777" w:rsidTr="00C93947">
        <w:tc>
          <w:tcPr>
            <w:tcW w:w="3401" w:type="dxa"/>
          </w:tcPr>
          <w:p w14:paraId="68C67D3B" w14:textId="77777777" w:rsidR="008B6A70" w:rsidRPr="00FC4465" w:rsidRDefault="008B6A70" w:rsidP="00C93947">
            <w:pPr>
              <w:ind w:left="145"/>
              <w:rPr>
                <w:rFonts w:asciiTheme="majorBidi" w:hAnsiTheme="majorBidi" w:cstheme="majorBidi"/>
                <w:color w:val="000000" w:themeColor="text1"/>
              </w:rPr>
            </w:pPr>
            <w:r w:rsidRPr="00FC4465">
              <w:rPr>
                <w:rFonts w:asciiTheme="majorBidi" w:hAnsiTheme="majorBidi" w:cstheme="majorBidi"/>
              </w:rPr>
              <w:t>Método de ensayo sin adyuvante en cobayas</w:t>
            </w:r>
          </w:p>
        </w:tc>
        <w:tc>
          <w:tcPr>
            <w:tcW w:w="4395" w:type="dxa"/>
          </w:tcPr>
          <w:p w14:paraId="21BF2D28" w14:textId="64601215" w:rsidR="008B6A70" w:rsidRPr="00FC4465" w:rsidRDefault="008B6A70" w:rsidP="00C93947">
            <w:pPr>
              <w:ind w:left="143"/>
              <w:rPr>
                <w:rFonts w:asciiTheme="majorBidi" w:eastAsia="MS PMincho" w:hAnsiTheme="majorBidi" w:cstheme="majorBidi"/>
                <w:color w:val="000000" w:themeColor="text1"/>
              </w:rPr>
            </w:pPr>
            <w:r w:rsidRPr="00FC4465">
              <w:rPr>
                <w:rFonts w:asciiTheme="majorBidi" w:hAnsiTheme="majorBidi" w:cstheme="majorBidi"/>
              </w:rPr>
              <w:t>≥ 15</w:t>
            </w:r>
            <w:r w:rsidR="008C5013" w:rsidRPr="00FC4465">
              <w:rPr>
                <w:rFonts w:asciiTheme="majorBidi" w:hAnsiTheme="majorBidi" w:cstheme="majorBidi"/>
              </w:rPr>
              <w:t> %</w:t>
            </w:r>
            <w:r w:rsidRPr="00FC4465">
              <w:rPr>
                <w:rFonts w:asciiTheme="majorBidi" w:hAnsiTheme="majorBidi" w:cstheme="majorBidi"/>
              </w:rPr>
              <w:t xml:space="preserve"> responde a cualquier dosis de inducción tópica</w:t>
            </w:r>
          </w:p>
        </w:tc>
      </w:tr>
    </w:tbl>
    <w:p w14:paraId="70D01847" w14:textId="4B4A0775" w:rsidR="008B6A70" w:rsidRPr="00FC4465" w:rsidRDefault="00D07706" w:rsidP="008B6A70">
      <w:pPr>
        <w:pStyle w:val="Bullet1G"/>
        <w:numPr>
          <w:ilvl w:val="0"/>
          <w:numId w:val="0"/>
        </w:numPr>
        <w:ind w:left="1701" w:hanging="170"/>
        <w:jc w:val="right"/>
        <w:rPr>
          <w:rFonts w:asciiTheme="majorBidi" w:hAnsiTheme="majorBidi" w:cstheme="majorBidi"/>
        </w:rPr>
      </w:pPr>
      <w:r>
        <w:rPr>
          <w:rFonts w:asciiTheme="majorBidi" w:hAnsiTheme="majorBidi" w:cstheme="majorBidi"/>
        </w:rPr>
        <w:t>”</w:t>
      </w:r>
      <w:r w:rsidR="008B6A70" w:rsidRPr="00FC4465">
        <w:rPr>
          <w:rFonts w:asciiTheme="majorBidi" w:hAnsiTheme="majorBidi" w:cstheme="majorBidi"/>
        </w:rPr>
        <w:t>.</w:t>
      </w:r>
    </w:p>
    <w:p w14:paraId="7A406210" w14:textId="77777777" w:rsidR="008B6A70" w:rsidRPr="00FC4465" w:rsidRDefault="008B6A70" w:rsidP="0097739B">
      <w:pPr>
        <w:pStyle w:val="Bullet1G"/>
        <w:numPr>
          <w:ilvl w:val="0"/>
          <w:numId w:val="0"/>
        </w:numPr>
        <w:ind w:left="2268" w:hanging="1134"/>
        <w:rPr>
          <w:rFonts w:asciiTheme="majorBidi" w:hAnsiTheme="majorBidi" w:cstheme="majorBidi"/>
        </w:rPr>
      </w:pPr>
      <w:r w:rsidRPr="00FC4465">
        <w:rPr>
          <w:rFonts w:asciiTheme="majorBidi" w:hAnsiTheme="majorBidi" w:cstheme="majorBidi"/>
        </w:rPr>
        <w:t>3.4.2.2.3.2</w:t>
      </w:r>
      <w:r w:rsidRPr="00FC4465">
        <w:rPr>
          <w:rFonts w:asciiTheme="majorBidi" w:hAnsiTheme="majorBidi" w:cstheme="majorBidi"/>
        </w:rPr>
        <w:tab/>
        <w:t xml:space="preserve">Modifíquese para que diga (la actual tabla 3.4.3 no se modifica): </w:t>
      </w:r>
    </w:p>
    <w:p w14:paraId="12FEECD6" w14:textId="50092505" w:rsidR="008B6A70" w:rsidRPr="00FC4465" w:rsidRDefault="008B6A70" w:rsidP="0097739B">
      <w:pPr>
        <w:pStyle w:val="SingleTxtG"/>
        <w:tabs>
          <w:tab w:val="clear" w:pos="1701"/>
        </w:tabs>
        <w:ind w:left="2268" w:hanging="1134"/>
        <w:rPr>
          <w:rFonts w:asciiTheme="majorBidi" w:hAnsiTheme="majorBidi" w:cstheme="majorBidi"/>
        </w:rPr>
      </w:pPr>
      <w:r w:rsidRPr="00FC4465">
        <w:rPr>
          <w:rFonts w:asciiTheme="majorBidi" w:hAnsiTheme="majorBidi" w:cstheme="majorBidi"/>
        </w:rPr>
        <w:tab/>
      </w:r>
      <w:r w:rsidR="008C5013" w:rsidRPr="00FC4465">
        <w:rPr>
          <w:rFonts w:asciiTheme="majorBidi" w:hAnsiTheme="majorBidi" w:cstheme="majorBidi"/>
        </w:rPr>
        <w:t>“</w:t>
      </w:r>
      <w:r w:rsidRPr="00FC4465">
        <w:rPr>
          <w:rFonts w:asciiTheme="majorBidi" w:hAnsiTheme="majorBidi" w:cstheme="majorBidi"/>
        </w:rPr>
        <w:t>3.4.2.2.3.2</w:t>
      </w:r>
      <w:r w:rsidRPr="00FC4465">
        <w:rPr>
          <w:rFonts w:asciiTheme="majorBidi" w:hAnsiTheme="majorBidi" w:cstheme="majorBidi"/>
        </w:rPr>
        <w:tab/>
        <w:t>Las sustancias asociadas a una alta potencia en animales pueden considerarse capaces de producir una sensibilización importante en los seres humanos y se clasifican en la subcategoría 1A. También puede tomarse en consideración la gravedad de las reacciones. Los resultados de ensayos en animales para la subcategoría 1A pueden incluir datos con los valores indicados en la tabla 3.4.3:</w:t>
      </w:r>
      <w:r w:rsidR="008C5013" w:rsidRPr="00FC4465">
        <w:rPr>
          <w:rFonts w:asciiTheme="majorBidi" w:hAnsiTheme="majorBidi" w:cstheme="majorBidi"/>
        </w:rPr>
        <w:t>”</w:t>
      </w:r>
      <w:r w:rsidRPr="00FC4465">
        <w:rPr>
          <w:rFonts w:asciiTheme="majorBidi" w:hAnsiTheme="majorBidi" w:cstheme="majorBidi"/>
        </w:rPr>
        <w:t>.</w:t>
      </w:r>
    </w:p>
    <w:p w14:paraId="58D08C4E" w14:textId="77777777" w:rsidR="008B6A70" w:rsidRPr="00FC4465" w:rsidRDefault="008B6A70" w:rsidP="0097739B">
      <w:pPr>
        <w:pStyle w:val="SingleTxtG"/>
        <w:rPr>
          <w:rFonts w:asciiTheme="majorBidi" w:hAnsiTheme="majorBidi" w:cstheme="majorBidi"/>
          <w:color w:val="000000" w:themeColor="text1"/>
        </w:rPr>
      </w:pPr>
      <w:r w:rsidRPr="00FC4465">
        <w:rPr>
          <w:rFonts w:asciiTheme="majorBidi" w:hAnsiTheme="majorBidi" w:cstheme="majorBidi"/>
        </w:rPr>
        <w:t>Nota a la tabla 3.4.3</w:t>
      </w:r>
      <w:r w:rsidRPr="00FC4465">
        <w:rPr>
          <w:rFonts w:asciiTheme="majorBidi" w:hAnsiTheme="majorBidi" w:cstheme="majorBidi"/>
        </w:rPr>
        <w:tab/>
        <w:t>Añádase la siguiente nueva nota debajo de la actual tabla 3.4.3:</w:t>
      </w:r>
    </w:p>
    <w:p w14:paraId="53A37FE0" w14:textId="2C3405DC" w:rsidR="008B6A70" w:rsidRPr="00D07706" w:rsidRDefault="008C5013" w:rsidP="0097739B">
      <w:pPr>
        <w:pStyle w:val="SingleTxtG"/>
        <w:ind w:left="2268"/>
        <w:rPr>
          <w:rFonts w:asciiTheme="majorBidi" w:hAnsiTheme="majorBidi" w:cstheme="majorBidi"/>
          <w:i/>
          <w:iCs/>
          <w:color w:val="000000" w:themeColor="text1"/>
          <w:spacing w:val="-6"/>
          <w:sz w:val="18"/>
          <w:szCs w:val="18"/>
        </w:rPr>
      </w:pPr>
      <w:r w:rsidRPr="00D07706">
        <w:rPr>
          <w:rFonts w:asciiTheme="majorBidi" w:hAnsiTheme="majorBidi" w:cstheme="majorBidi"/>
          <w:sz w:val="18"/>
          <w:szCs w:val="18"/>
        </w:rPr>
        <w:t>“</w:t>
      </w:r>
      <w:r w:rsidR="008B6A70" w:rsidRPr="00D07706">
        <w:rPr>
          <w:rFonts w:asciiTheme="majorBidi" w:hAnsiTheme="majorBidi" w:cstheme="majorBidi"/>
          <w:b/>
          <w:bCs/>
          <w:i/>
          <w:iCs/>
          <w:sz w:val="18"/>
          <w:szCs w:val="18"/>
        </w:rPr>
        <w:t>Nota:</w:t>
      </w:r>
      <w:r w:rsidR="008B6A70" w:rsidRPr="00D07706">
        <w:rPr>
          <w:rFonts w:asciiTheme="majorBidi" w:hAnsiTheme="majorBidi" w:cstheme="majorBidi"/>
          <w:i/>
          <w:iCs/>
          <w:sz w:val="18"/>
          <w:szCs w:val="18"/>
        </w:rPr>
        <w:t xml:space="preserve"> Para el ensayo LLNA: BrdU-ELISA, la OCDE ha propuesto y validado criterios de subcategorización (1A: valor CE1,6 ≤ 6</w:t>
      </w:r>
      <w:r w:rsidRPr="00D07706">
        <w:rPr>
          <w:rFonts w:asciiTheme="majorBidi" w:hAnsiTheme="majorBidi" w:cstheme="majorBidi"/>
          <w:i/>
          <w:iCs/>
          <w:sz w:val="18"/>
          <w:szCs w:val="18"/>
        </w:rPr>
        <w:t> %</w:t>
      </w:r>
      <w:r w:rsidR="008B6A70" w:rsidRPr="00D07706">
        <w:rPr>
          <w:rFonts w:asciiTheme="majorBidi" w:hAnsiTheme="majorBidi" w:cstheme="majorBidi"/>
          <w:i/>
          <w:iCs/>
          <w:sz w:val="18"/>
          <w:szCs w:val="18"/>
        </w:rPr>
        <w:t>, 1B: valor CE1,6 &gt; 6</w:t>
      </w:r>
      <w:r w:rsidRPr="00D07706">
        <w:rPr>
          <w:rFonts w:asciiTheme="majorBidi" w:hAnsiTheme="majorBidi" w:cstheme="majorBidi"/>
          <w:i/>
          <w:iCs/>
          <w:sz w:val="18"/>
          <w:szCs w:val="18"/>
        </w:rPr>
        <w:t> %</w:t>
      </w:r>
      <w:r w:rsidR="008B6A70" w:rsidRPr="00D07706">
        <w:rPr>
          <w:rFonts w:asciiTheme="majorBidi" w:hAnsiTheme="majorBidi" w:cstheme="majorBidi"/>
          <w:i/>
          <w:iCs/>
          <w:sz w:val="18"/>
          <w:szCs w:val="18"/>
        </w:rPr>
        <w:t>, Maeda y Takeyoshi, 2019; Kobayashi y otros, 2020), pero aún no se han convenido criterios de subcategorización a nivel internacional.</w:t>
      </w:r>
      <w:r w:rsidR="008B6A70" w:rsidRPr="00D07706">
        <w:rPr>
          <w:rFonts w:asciiTheme="majorBidi" w:hAnsiTheme="majorBidi" w:cstheme="majorBidi"/>
          <w:sz w:val="18"/>
          <w:szCs w:val="18"/>
        </w:rPr>
        <w:t xml:space="preserve"> </w:t>
      </w:r>
      <w:r w:rsidR="008B6A70" w:rsidRPr="00D07706">
        <w:rPr>
          <w:rFonts w:asciiTheme="majorBidi" w:hAnsiTheme="majorBidi" w:cstheme="majorBidi"/>
          <w:i/>
          <w:iCs/>
          <w:sz w:val="18"/>
          <w:szCs w:val="18"/>
        </w:rPr>
        <w:t xml:space="preserve">Aun así, algunos criterios de subcategorización validados pueden ser aceptados por algunas autoridades </w:t>
      </w:r>
      <w:r w:rsidR="008B6A70" w:rsidRPr="00D07706">
        <w:rPr>
          <w:rFonts w:asciiTheme="majorBidi" w:hAnsiTheme="majorBidi" w:cstheme="majorBidi"/>
          <w:i/>
          <w:iCs/>
          <w:sz w:val="18"/>
          <w:szCs w:val="18"/>
        </w:rPr>
        <w:lastRenderedPageBreak/>
        <w:t>competentes.</w:t>
      </w:r>
      <w:r w:rsidR="008B6A70" w:rsidRPr="00D07706">
        <w:rPr>
          <w:rFonts w:asciiTheme="majorBidi" w:hAnsiTheme="majorBidi" w:cstheme="majorBidi"/>
          <w:sz w:val="18"/>
          <w:szCs w:val="18"/>
        </w:rPr>
        <w:t xml:space="preserve"> </w:t>
      </w:r>
      <w:r w:rsidR="008B6A70" w:rsidRPr="00D07706">
        <w:rPr>
          <w:rFonts w:asciiTheme="majorBidi" w:hAnsiTheme="majorBidi" w:cstheme="majorBidi"/>
          <w:i/>
          <w:iCs/>
          <w:sz w:val="18"/>
          <w:szCs w:val="18"/>
        </w:rPr>
        <w:t>Una autoridad competente podrá decidir qué criterios de subcategorización deberían aplicarse, si es el caso, a estos métodos de ensayo.</w:t>
      </w:r>
      <w:bookmarkStart w:id="12" w:name="_Hlk119053222"/>
      <w:bookmarkEnd w:id="12"/>
    </w:p>
    <w:p w14:paraId="426D91A9" w14:textId="30C7F903" w:rsidR="008B6A70" w:rsidRPr="00D07706" w:rsidRDefault="008B6A70" w:rsidP="0097739B">
      <w:pPr>
        <w:pStyle w:val="SingleTxtG"/>
        <w:ind w:left="2268"/>
        <w:rPr>
          <w:rFonts w:asciiTheme="majorBidi" w:hAnsiTheme="majorBidi" w:cstheme="majorBidi"/>
          <w:i/>
          <w:iCs/>
          <w:sz w:val="18"/>
          <w:szCs w:val="18"/>
        </w:rPr>
      </w:pPr>
      <w:r w:rsidRPr="00D07706">
        <w:rPr>
          <w:rFonts w:asciiTheme="majorBidi" w:hAnsiTheme="majorBidi" w:cstheme="majorBidi"/>
          <w:sz w:val="18"/>
          <w:szCs w:val="18"/>
        </w:rPr>
        <w:tab/>
      </w:r>
      <w:r w:rsidRPr="00D07706">
        <w:rPr>
          <w:rFonts w:asciiTheme="majorBidi" w:hAnsiTheme="majorBidi" w:cstheme="majorBidi"/>
          <w:i/>
          <w:iCs/>
          <w:sz w:val="18"/>
          <w:szCs w:val="18"/>
        </w:rPr>
        <w:t>En el caso de los ensayos LLNA: DA y LLNA: BrdU-FCM, actualmente no existen criterios validados y convenidos internacionalmente para la subcategorización de los sensibilizantes cutáneos.</w:t>
      </w:r>
      <w:r w:rsidRPr="00D07706">
        <w:rPr>
          <w:rFonts w:asciiTheme="majorBidi" w:hAnsiTheme="majorBidi" w:cstheme="majorBidi"/>
          <w:sz w:val="18"/>
          <w:szCs w:val="18"/>
        </w:rPr>
        <w:t xml:space="preserve"> </w:t>
      </w:r>
      <w:r w:rsidRPr="00D07706">
        <w:rPr>
          <w:rFonts w:asciiTheme="majorBidi" w:hAnsiTheme="majorBidi" w:cstheme="majorBidi"/>
          <w:i/>
          <w:iCs/>
          <w:sz w:val="18"/>
          <w:szCs w:val="18"/>
        </w:rPr>
        <w:t>Por consiguiente, dichos ensayos solo pueden utilizarse para concluir la clasificación en la categoría 1 o la no clasificación.</w:t>
      </w:r>
      <w:r w:rsidR="008C5013" w:rsidRPr="00D07706">
        <w:rPr>
          <w:rFonts w:asciiTheme="majorBidi" w:hAnsiTheme="majorBidi" w:cstheme="majorBidi"/>
          <w:sz w:val="18"/>
          <w:szCs w:val="18"/>
        </w:rPr>
        <w:t>”</w:t>
      </w:r>
      <w:r w:rsidRPr="00D07706">
        <w:rPr>
          <w:rFonts w:asciiTheme="majorBidi" w:hAnsiTheme="majorBidi" w:cstheme="majorBidi"/>
          <w:sz w:val="18"/>
          <w:szCs w:val="18"/>
        </w:rPr>
        <w:t>.</w:t>
      </w:r>
    </w:p>
    <w:p w14:paraId="0079DFB5" w14:textId="77777777" w:rsidR="008B6A70" w:rsidRPr="00FC4465" w:rsidRDefault="008B6A70" w:rsidP="0097739B">
      <w:pPr>
        <w:pStyle w:val="SingleTxtG"/>
        <w:tabs>
          <w:tab w:val="clear" w:pos="1701"/>
        </w:tabs>
        <w:ind w:left="2268" w:hanging="1134"/>
        <w:rPr>
          <w:rFonts w:asciiTheme="majorBidi" w:hAnsiTheme="majorBidi" w:cstheme="majorBidi"/>
          <w:color w:val="000000" w:themeColor="text1"/>
        </w:rPr>
      </w:pPr>
      <w:r w:rsidRPr="00FC4465">
        <w:rPr>
          <w:rFonts w:asciiTheme="majorBidi" w:hAnsiTheme="majorBidi" w:cstheme="majorBidi"/>
        </w:rPr>
        <w:t xml:space="preserve">3.4.2.2.3.3 </w:t>
      </w:r>
      <w:r w:rsidRPr="00FC4465">
        <w:rPr>
          <w:rFonts w:asciiTheme="majorBidi" w:hAnsiTheme="majorBidi" w:cstheme="majorBidi"/>
        </w:rPr>
        <w:tab/>
        <w:t xml:space="preserve">Modifíquese para que diga (la actual tabla 3.4.4 no se modifica): </w:t>
      </w:r>
    </w:p>
    <w:p w14:paraId="5E87D807" w14:textId="6DF2DC41" w:rsidR="008B6A70" w:rsidRPr="00FC4465" w:rsidRDefault="008C5013" w:rsidP="0097739B">
      <w:pPr>
        <w:pStyle w:val="Bullet1G"/>
        <w:numPr>
          <w:ilvl w:val="0"/>
          <w:numId w:val="0"/>
        </w:numPr>
        <w:ind w:left="2268"/>
        <w:rPr>
          <w:rFonts w:asciiTheme="majorBidi" w:hAnsiTheme="majorBidi" w:cstheme="majorBidi"/>
        </w:rPr>
      </w:pPr>
      <w:r w:rsidRPr="00FC4465">
        <w:rPr>
          <w:rFonts w:asciiTheme="majorBidi" w:hAnsiTheme="majorBidi" w:cstheme="majorBidi"/>
        </w:rPr>
        <w:t>“</w:t>
      </w:r>
      <w:r w:rsidR="008B6A70" w:rsidRPr="00FC4465">
        <w:rPr>
          <w:rFonts w:asciiTheme="majorBidi" w:hAnsiTheme="majorBidi" w:cstheme="majorBidi"/>
        </w:rPr>
        <w:t xml:space="preserve">3.4.2.2.3.3 </w:t>
      </w:r>
      <w:r w:rsidR="008B6A70" w:rsidRPr="00FC4465">
        <w:rPr>
          <w:rFonts w:asciiTheme="majorBidi" w:hAnsiTheme="majorBidi" w:cstheme="majorBidi"/>
        </w:rPr>
        <w:tab/>
        <w:t>Las sustancias asociadas con una potencia de baja a moderada en animales pueden considerarse capaces de producir una sensibilización importante en los seres humanos y se clasifican en la subcategoría 1B. También puede tomarse en consideración la gravedad de las reacciones. Los resultados de ensayos en animales para la subcategoría 1B pueden incluir datos con los valores que se indican en la tabla 3.4.4:</w:t>
      </w:r>
      <w:r w:rsidRPr="00FC4465">
        <w:rPr>
          <w:rFonts w:asciiTheme="majorBidi" w:hAnsiTheme="majorBidi" w:cstheme="majorBidi"/>
        </w:rPr>
        <w:t>”</w:t>
      </w:r>
      <w:r w:rsidR="008B6A70" w:rsidRPr="00FC4465">
        <w:rPr>
          <w:rFonts w:asciiTheme="majorBidi" w:hAnsiTheme="majorBidi" w:cstheme="majorBidi"/>
        </w:rPr>
        <w:t>.</w:t>
      </w:r>
    </w:p>
    <w:p w14:paraId="1C776401" w14:textId="77777777" w:rsidR="008B6A70" w:rsidRPr="00FC4465" w:rsidRDefault="008B6A70" w:rsidP="0097739B">
      <w:pPr>
        <w:pStyle w:val="SingleTxtG"/>
        <w:rPr>
          <w:rFonts w:asciiTheme="majorBidi" w:hAnsiTheme="majorBidi" w:cstheme="majorBidi"/>
          <w:color w:val="000000" w:themeColor="text1"/>
        </w:rPr>
      </w:pPr>
      <w:r w:rsidRPr="00FC4465">
        <w:rPr>
          <w:rFonts w:asciiTheme="majorBidi" w:hAnsiTheme="majorBidi" w:cstheme="majorBidi"/>
        </w:rPr>
        <w:t>Nota a la tabla 3.4.4</w:t>
      </w:r>
      <w:r w:rsidRPr="00FC4465">
        <w:rPr>
          <w:rFonts w:asciiTheme="majorBidi" w:hAnsiTheme="majorBidi" w:cstheme="majorBidi"/>
        </w:rPr>
        <w:tab/>
        <w:t>Añádase la siguiente nueva nota debajo de la actual tabla 3.4.4:</w:t>
      </w:r>
    </w:p>
    <w:p w14:paraId="2B44490A" w14:textId="720CFB6D" w:rsidR="008B6A70" w:rsidRPr="00D07706" w:rsidRDefault="008C5013" w:rsidP="0097739B">
      <w:pPr>
        <w:pStyle w:val="SingleTxtG"/>
        <w:ind w:left="2268"/>
        <w:rPr>
          <w:rFonts w:asciiTheme="majorBidi" w:hAnsiTheme="majorBidi" w:cstheme="majorBidi"/>
          <w:i/>
          <w:iCs/>
          <w:color w:val="000000" w:themeColor="text1"/>
          <w:spacing w:val="-6"/>
          <w:sz w:val="18"/>
          <w:szCs w:val="18"/>
        </w:rPr>
      </w:pPr>
      <w:r w:rsidRPr="00D07706">
        <w:rPr>
          <w:rFonts w:asciiTheme="majorBidi" w:hAnsiTheme="majorBidi" w:cstheme="majorBidi"/>
          <w:sz w:val="18"/>
          <w:szCs w:val="18"/>
        </w:rPr>
        <w:t>“</w:t>
      </w:r>
      <w:r w:rsidR="008B6A70" w:rsidRPr="00D07706">
        <w:rPr>
          <w:rFonts w:asciiTheme="majorBidi" w:hAnsiTheme="majorBidi" w:cstheme="majorBidi"/>
          <w:b/>
          <w:bCs/>
          <w:i/>
          <w:iCs/>
          <w:sz w:val="18"/>
          <w:szCs w:val="18"/>
        </w:rPr>
        <w:t>Nota:</w:t>
      </w:r>
      <w:r w:rsidR="008B6A70" w:rsidRPr="00D07706">
        <w:rPr>
          <w:rFonts w:asciiTheme="majorBidi" w:hAnsiTheme="majorBidi" w:cstheme="majorBidi"/>
          <w:i/>
          <w:iCs/>
          <w:sz w:val="18"/>
          <w:szCs w:val="18"/>
        </w:rPr>
        <w:t xml:space="preserve"> Para el ensayo LLNA: BrdU-ELISA, la OCDE ha propuesto y validado criterios de subcategorización (1A: valor CE1,6 ≤ 6</w:t>
      </w:r>
      <w:r w:rsidRPr="00D07706">
        <w:rPr>
          <w:rFonts w:asciiTheme="majorBidi" w:hAnsiTheme="majorBidi" w:cstheme="majorBidi"/>
          <w:i/>
          <w:iCs/>
          <w:sz w:val="18"/>
          <w:szCs w:val="18"/>
        </w:rPr>
        <w:t> %</w:t>
      </w:r>
      <w:r w:rsidR="008B6A70" w:rsidRPr="00D07706">
        <w:rPr>
          <w:rFonts w:asciiTheme="majorBidi" w:hAnsiTheme="majorBidi" w:cstheme="majorBidi"/>
          <w:i/>
          <w:iCs/>
          <w:sz w:val="18"/>
          <w:szCs w:val="18"/>
        </w:rPr>
        <w:t>, 1B: valor CE1,6 &gt; 6</w:t>
      </w:r>
      <w:r w:rsidRPr="00D07706">
        <w:rPr>
          <w:rFonts w:asciiTheme="majorBidi" w:hAnsiTheme="majorBidi" w:cstheme="majorBidi"/>
          <w:i/>
          <w:iCs/>
          <w:sz w:val="18"/>
          <w:szCs w:val="18"/>
        </w:rPr>
        <w:t> %</w:t>
      </w:r>
      <w:r w:rsidR="008B6A70" w:rsidRPr="00D07706">
        <w:rPr>
          <w:rFonts w:asciiTheme="majorBidi" w:hAnsiTheme="majorBidi" w:cstheme="majorBidi"/>
          <w:i/>
          <w:iCs/>
          <w:sz w:val="18"/>
          <w:szCs w:val="18"/>
        </w:rPr>
        <w:t>, Maeda y Takeyoshi, 2019; Kobayashi y otros, 2020), pero aún no se han convenido criterios de subcategorización a nivel internacional.</w:t>
      </w:r>
      <w:r w:rsidR="008B6A70" w:rsidRPr="00D07706">
        <w:rPr>
          <w:rFonts w:asciiTheme="majorBidi" w:hAnsiTheme="majorBidi" w:cstheme="majorBidi"/>
          <w:sz w:val="18"/>
          <w:szCs w:val="18"/>
        </w:rPr>
        <w:t xml:space="preserve"> </w:t>
      </w:r>
      <w:r w:rsidR="008B6A70" w:rsidRPr="00D07706">
        <w:rPr>
          <w:rFonts w:asciiTheme="majorBidi" w:hAnsiTheme="majorBidi" w:cstheme="majorBidi"/>
          <w:i/>
          <w:iCs/>
          <w:sz w:val="18"/>
          <w:szCs w:val="18"/>
        </w:rPr>
        <w:t>Aun así, algunos criterios de subcategorización validados pueden ser aceptados por algunas autoridades competentes.</w:t>
      </w:r>
      <w:r w:rsidR="008B6A70" w:rsidRPr="00D07706">
        <w:rPr>
          <w:rFonts w:asciiTheme="majorBidi" w:hAnsiTheme="majorBidi" w:cstheme="majorBidi"/>
          <w:sz w:val="18"/>
          <w:szCs w:val="18"/>
        </w:rPr>
        <w:t xml:space="preserve"> </w:t>
      </w:r>
      <w:r w:rsidR="008B6A70" w:rsidRPr="00D07706">
        <w:rPr>
          <w:rFonts w:asciiTheme="majorBidi" w:hAnsiTheme="majorBidi" w:cstheme="majorBidi"/>
          <w:i/>
          <w:iCs/>
          <w:sz w:val="18"/>
          <w:szCs w:val="18"/>
        </w:rPr>
        <w:t>Una autoridad competente podrá decidir qué criterios de subcategorización deberían aplicarse, si es el caso, a estos métodos de ensayo.</w:t>
      </w:r>
    </w:p>
    <w:p w14:paraId="75B2D3D4" w14:textId="6FBDFF36" w:rsidR="008B6A70" w:rsidRPr="00D07706" w:rsidRDefault="008B6A70" w:rsidP="0097739B">
      <w:pPr>
        <w:pStyle w:val="SingleTxtG"/>
        <w:ind w:left="2268"/>
        <w:rPr>
          <w:rFonts w:asciiTheme="majorBidi" w:hAnsiTheme="majorBidi" w:cstheme="majorBidi"/>
          <w:i/>
          <w:iCs/>
          <w:sz w:val="18"/>
          <w:szCs w:val="18"/>
        </w:rPr>
      </w:pPr>
      <w:r w:rsidRPr="00D07706">
        <w:rPr>
          <w:rFonts w:asciiTheme="majorBidi" w:hAnsiTheme="majorBidi" w:cstheme="majorBidi"/>
          <w:sz w:val="18"/>
          <w:szCs w:val="18"/>
        </w:rPr>
        <w:tab/>
      </w:r>
      <w:r w:rsidRPr="00D07706">
        <w:rPr>
          <w:rFonts w:asciiTheme="majorBidi" w:hAnsiTheme="majorBidi" w:cstheme="majorBidi"/>
          <w:i/>
          <w:iCs/>
          <w:sz w:val="18"/>
          <w:szCs w:val="18"/>
        </w:rPr>
        <w:t>En el caso de los ensayos LLNA: DA y LLNA: BrdU-FCM, actualmente no existen criterios validados y convenidos internacionalmente para la subcategorización de los sensibilizantes cutáneos.</w:t>
      </w:r>
      <w:r w:rsidRPr="00D07706">
        <w:rPr>
          <w:rFonts w:asciiTheme="majorBidi" w:hAnsiTheme="majorBidi" w:cstheme="majorBidi"/>
          <w:sz w:val="18"/>
          <w:szCs w:val="18"/>
        </w:rPr>
        <w:t xml:space="preserve"> </w:t>
      </w:r>
      <w:r w:rsidRPr="00D07706">
        <w:rPr>
          <w:rFonts w:asciiTheme="majorBidi" w:hAnsiTheme="majorBidi" w:cstheme="majorBidi"/>
          <w:i/>
          <w:iCs/>
          <w:sz w:val="18"/>
          <w:szCs w:val="18"/>
        </w:rPr>
        <w:t>Por consiguiente, dichos ensayos solo pueden utilizarse para concluir la clasificación en la categoría 1 o la no clasificación.</w:t>
      </w:r>
      <w:r w:rsidR="008C5013" w:rsidRPr="00D07706">
        <w:rPr>
          <w:rFonts w:asciiTheme="majorBidi" w:hAnsiTheme="majorBidi" w:cstheme="majorBidi"/>
          <w:iCs/>
          <w:sz w:val="18"/>
          <w:szCs w:val="18"/>
        </w:rPr>
        <w:t>”</w:t>
      </w:r>
      <w:r w:rsidRPr="00D07706">
        <w:rPr>
          <w:rFonts w:asciiTheme="majorBidi" w:hAnsiTheme="majorBidi" w:cstheme="majorBidi"/>
          <w:iCs/>
          <w:sz w:val="18"/>
          <w:szCs w:val="18"/>
        </w:rPr>
        <w:t>.</w:t>
      </w:r>
    </w:p>
    <w:p w14:paraId="68756BFE" w14:textId="77777777" w:rsidR="008B6A70" w:rsidRPr="00FC4465" w:rsidRDefault="008B6A70" w:rsidP="0097739B">
      <w:pPr>
        <w:pStyle w:val="SingleTxtG"/>
        <w:tabs>
          <w:tab w:val="clear" w:pos="1701"/>
        </w:tabs>
        <w:ind w:left="2268" w:hanging="1134"/>
        <w:rPr>
          <w:rFonts w:asciiTheme="majorBidi" w:hAnsiTheme="majorBidi" w:cstheme="majorBidi"/>
          <w:color w:val="000000" w:themeColor="text1"/>
        </w:rPr>
      </w:pPr>
      <w:r w:rsidRPr="00FC4465">
        <w:rPr>
          <w:rFonts w:asciiTheme="majorBidi" w:hAnsiTheme="majorBidi" w:cstheme="majorBidi"/>
        </w:rPr>
        <w:t>3.4.2.2.4</w:t>
      </w:r>
      <w:r w:rsidRPr="00FC4465">
        <w:rPr>
          <w:rFonts w:asciiTheme="majorBidi" w:hAnsiTheme="majorBidi" w:cstheme="majorBidi"/>
        </w:rPr>
        <w:tab/>
        <w:t>Sustitúyase el encabezamiento de 3.4.2.2.4 y los párrafos 3.4.2.2.4.1 a 3.4.2.2.4.3 (incluidas las nuevas llamadas a las notas a pie de página 3 y 4) por lo que sigue:</w:t>
      </w:r>
    </w:p>
    <w:p w14:paraId="7BBCD266" w14:textId="3592A290" w:rsidR="008B6A70" w:rsidRPr="00FC4465" w:rsidRDefault="008C5013" w:rsidP="00D07706">
      <w:pPr>
        <w:pStyle w:val="GHSHeading5"/>
        <w:widowControl/>
        <w:tabs>
          <w:tab w:val="clear" w:pos="1418"/>
          <w:tab w:val="clear" w:pos="1985"/>
          <w:tab w:val="clear" w:pos="2552"/>
          <w:tab w:val="clear" w:pos="3119"/>
          <w:tab w:val="left" w:pos="2268"/>
          <w:tab w:val="left" w:pos="2835"/>
        </w:tabs>
        <w:spacing w:after="120" w:line="240" w:lineRule="atLeast"/>
        <w:ind w:left="2268" w:right="1134"/>
        <w:rPr>
          <w:rFonts w:asciiTheme="majorBidi" w:hAnsiTheme="majorBidi" w:cstheme="majorBidi"/>
          <w:color w:val="auto"/>
          <w:sz w:val="20"/>
          <w:szCs w:val="20"/>
          <w:lang w:val="es-ES"/>
        </w:rPr>
      </w:pPr>
      <w:r w:rsidRPr="00FC4465">
        <w:rPr>
          <w:rFonts w:asciiTheme="majorBidi" w:hAnsiTheme="majorBidi" w:cstheme="majorBidi"/>
          <w:sz w:val="20"/>
          <w:szCs w:val="20"/>
          <w:lang w:val="es-ES"/>
        </w:rPr>
        <w:t>“</w:t>
      </w:r>
      <w:r w:rsidR="008B6A70" w:rsidRPr="00FC4465">
        <w:rPr>
          <w:rFonts w:asciiTheme="majorBidi" w:hAnsiTheme="majorBidi" w:cstheme="majorBidi"/>
          <w:sz w:val="20"/>
          <w:szCs w:val="20"/>
          <w:lang w:val="es-ES"/>
        </w:rPr>
        <w:t>3.4.2.2.4</w:t>
      </w:r>
      <w:r w:rsidR="008B6A70" w:rsidRPr="00FC4465">
        <w:rPr>
          <w:rFonts w:asciiTheme="majorBidi" w:hAnsiTheme="majorBidi" w:cstheme="majorBidi"/>
          <w:sz w:val="20"/>
          <w:szCs w:val="20"/>
          <w:lang w:val="es-ES"/>
        </w:rPr>
        <w:tab/>
      </w:r>
      <w:r w:rsidR="008B6A70" w:rsidRPr="00FC4465">
        <w:rPr>
          <w:rFonts w:asciiTheme="majorBidi" w:hAnsiTheme="majorBidi" w:cstheme="majorBidi"/>
          <w:i/>
          <w:iCs/>
          <w:sz w:val="20"/>
          <w:szCs w:val="20"/>
          <w:lang w:val="es-ES"/>
        </w:rPr>
        <w:t>Clasificación basada en enfoques definidos (etapa 1 o etapa</w:t>
      </w:r>
      <w:r w:rsidR="00D07706">
        <w:rPr>
          <w:rFonts w:asciiTheme="majorBidi" w:hAnsiTheme="majorBidi" w:cstheme="majorBidi"/>
          <w:i/>
          <w:iCs/>
          <w:sz w:val="20"/>
          <w:szCs w:val="20"/>
          <w:lang w:val="es-ES"/>
        </w:rPr>
        <w:t> </w:t>
      </w:r>
      <w:r w:rsidR="008B6A70" w:rsidRPr="00FC4465">
        <w:rPr>
          <w:rFonts w:asciiTheme="majorBidi" w:hAnsiTheme="majorBidi" w:cstheme="majorBidi"/>
          <w:i/>
          <w:iCs/>
          <w:sz w:val="20"/>
          <w:szCs w:val="20"/>
          <w:lang w:val="es-ES"/>
        </w:rPr>
        <w:t>2 en la figura 3.4.1)</w:t>
      </w:r>
    </w:p>
    <w:p w14:paraId="15E09F2C" w14:textId="29A7D622" w:rsidR="008B6A70" w:rsidRPr="00FC4465" w:rsidRDefault="008B6A70" w:rsidP="0097739B">
      <w:pPr>
        <w:tabs>
          <w:tab w:val="left" w:pos="2835"/>
        </w:tabs>
        <w:autoSpaceDE w:val="0"/>
        <w:autoSpaceDN w:val="0"/>
        <w:adjustRightInd w:val="0"/>
        <w:spacing w:after="120"/>
        <w:ind w:left="2268" w:right="1134"/>
        <w:jc w:val="both"/>
        <w:rPr>
          <w:rFonts w:asciiTheme="majorBidi" w:hAnsiTheme="majorBidi" w:cstheme="majorBidi"/>
        </w:rPr>
      </w:pPr>
      <w:r w:rsidRPr="00FC4465">
        <w:rPr>
          <w:rFonts w:asciiTheme="majorBidi" w:hAnsiTheme="majorBidi" w:cstheme="majorBidi"/>
        </w:rPr>
        <w:t>3.4.2.2.4.1</w:t>
      </w:r>
      <w:r w:rsidRPr="00FC4465">
        <w:rPr>
          <w:rFonts w:asciiTheme="majorBidi" w:hAnsiTheme="majorBidi" w:cstheme="majorBidi"/>
        </w:rPr>
        <w:tab/>
        <w:t xml:space="preserve">Los enfoques definidos consisten en una combinación basada en reglas de datos obtenidos a partir de un conjunto predefinido de diferentes fuentes de información (por ejemplo, métodos </w:t>
      </w:r>
      <w:r w:rsidRPr="00FC4465">
        <w:rPr>
          <w:rFonts w:asciiTheme="majorBidi" w:hAnsiTheme="majorBidi" w:cstheme="majorBidi"/>
          <w:i/>
          <w:iCs/>
        </w:rPr>
        <w:t>in</w:t>
      </w:r>
      <w:r w:rsidR="0081160D">
        <w:rPr>
          <w:rFonts w:asciiTheme="majorBidi" w:hAnsiTheme="majorBidi" w:cstheme="majorBidi"/>
          <w:i/>
          <w:iCs/>
        </w:rPr>
        <w:t> chemico</w:t>
      </w:r>
      <w:r w:rsidRPr="00FC4465">
        <w:rPr>
          <w:rFonts w:asciiTheme="majorBidi" w:hAnsiTheme="majorBidi" w:cstheme="majorBidi"/>
        </w:rPr>
        <w:t xml:space="preserve">, métodos </w:t>
      </w:r>
      <w:r w:rsidR="00762E66">
        <w:rPr>
          <w:rFonts w:asciiTheme="majorBidi" w:hAnsiTheme="majorBidi" w:cstheme="majorBidi"/>
          <w:i/>
          <w:iCs/>
        </w:rPr>
        <w:t>in vitro</w:t>
      </w:r>
      <w:r w:rsidRPr="00FC4465">
        <w:rPr>
          <w:rFonts w:asciiTheme="majorBidi" w:hAnsiTheme="majorBidi" w:cstheme="majorBidi"/>
        </w:rPr>
        <w:t xml:space="preserve">, propiedades fisicoquímicas o métodos distintos de los ensayos). Cabe reconocer que la mayor parte de los métodos llevados a cabo en animales no pueden por sí solos reemplazar completamente a los métodos </w:t>
      </w:r>
      <w:r w:rsidRPr="00FC4465">
        <w:rPr>
          <w:rFonts w:asciiTheme="majorBidi" w:hAnsiTheme="majorBidi" w:cstheme="majorBidi"/>
          <w:i/>
          <w:iCs/>
        </w:rPr>
        <w:t>in vivo</w:t>
      </w:r>
      <w:r w:rsidRPr="00FC4465">
        <w:rPr>
          <w:rFonts w:asciiTheme="majorBidi" w:hAnsiTheme="majorBidi" w:cstheme="majorBidi"/>
        </w:rPr>
        <w:t xml:space="preserve"> para la mayoría de los criterios terminales de valoración reglamentarios. Por ello, los enfoques definidos pueden servir para combinar datos con el fin de clasificar sustancias y mezclas. Los resultados obtenidos con un enfoque definido validado con arreglo a procedimientos internacionales, como la Directriz 497 de la OCDE o un enfoque equivalente, son concluyentes para la clasificación relativa a la sensibilización cutánea si se cumplen los criterios establecidos en el enfoque definido (véase la tabla table 3.4.7)</w:t>
      </w:r>
      <w:r w:rsidRPr="00FC4465">
        <w:rPr>
          <w:rFonts w:asciiTheme="majorBidi" w:hAnsiTheme="majorBidi" w:cstheme="majorBidi"/>
          <w:vertAlign w:val="superscript"/>
        </w:rPr>
        <w:t>3</w:t>
      </w:r>
      <w:r w:rsidRPr="00FC4465">
        <w:rPr>
          <w:rFonts w:asciiTheme="majorBidi" w:hAnsiTheme="majorBidi" w:cstheme="majorBidi"/>
        </w:rPr>
        <w:t>. Los datos obtenidos mediante un enfoque definido solo pueden utilizarse para la clasificación cuando la sustancia sometida a ensayo corresponde al ámbito de aplicabilidad del enfoque definido aplicado. También deben tenerse en cuenta otras limitaciones descritas en las publicaciones pertinentes.</w:t>
      </w:r>
    </w:p>
    <w:p w14:paraId="6547283C" w14:textId="77777777" w:rsidR="008B6A70" w:rsidRPr="00FC4465" w:rsidRDefault="008B6A70" w:rsidP="0097739B">
      <w:pPr>
        <w:tabs>
          <w:tab w:val="left" w:pos="2835"/>
        </w:tabs>
        <w:autoSpaceDE w:val="0"/>
        <w:autoSpaceDN w:val="0"/>
        <w:adjustRightInd w:val="0"/>
        <w:spacing w:after="120"/>
        <w:ind w:left="2268" w:right="1134"/>
        <w:jc w:val="both"/>
        <w:rPr>
          <w:rFonts w:asciiTheme="majorBidi" w:hAnsiTheme="majorBidi" w:cstheme="majorBidi"/>
        </w:rPr>
      </w:pPr>
      <w:r w:rsidRPr="00FC4465">
        <w:rPr>
          <w:rFonts w:asciiTheme="majorBidi" w:hAnsiTheme="majorBidi" w:cstheme="majorBidi"/>
        </w:rPr>
        <w:t>3.4.2.2.4.2</w:t>
      </w:r>
      <w:r w:rsidRPr="00FC4465">
        <w:rPr>
          <w:rFonts w:asciiTheme="majorBidi" w:hAnsiTheme="majorBidi" w:cstheme="majorBidi"/>
        </w:rPr>
        <w:tab/>
        <w:t>Cuando se atribuye a los resultados de los enfoques definidos un nivel de confianza, como en la Directiva 497 de la OCDE, un resultado poco fiable de un enfoque definido en la etapa 1 no es concluyente y, por lo tanto, no puede utilizarse por sí solo para la clasificación, pero puede tenerse en cuenta en combinación con otros datos en la etapa 2.</w:t>
      </w:r>
    </w:p>
    <w:p w14:paraId="75DF6A0C" w14:textId="77777777" w:rsidR="008B6A70" w:rsidRPr="00FC4465" w:rsidRDefault="008B6A70" w:rsidP="0097739B">
      <w:pPr>
        <w:tabs>
          <w:tab w:val="left" w:pos="2835"/>
        </w:tabs>
        <w:autoSpaceDE w:val="0"/>
        <w:autoSpaceDN w:val="0"/>
        <w:adjustRightInd w:val="0"/>
        <w:spacing w:after="120"/>
        <w:ind w:left="2268" w:right="1134"/>
        <w:jc w:val="both"/>
        <w:rPr>
          <w:rFonts w:asciiTheme="majorBidi" w:hAnsiTheme="majorBidi" w:cstheme="majorBidi"/>
        </w:rPr>
      </w:pPr>
      <w:r w:rsidRPr="00FC4465">
        <w:rPr>
          <w:rFonts w:asciiTheme="majorBidi" w:hAnsiTheme="majorBidi" w:cstheme="majorBidi"/>
        </w:rPr>
        <w:t>3.4.2.2.4.3</w:t>
      </w:r>
      <w:r w:rsidRPr="00FC4465">
        <w:rPr>
          <w:rFonts w:asciiTheme="majorBidi" w:hAnsiTheme="majorBidi" w:cstheme="majorBidi"/>
        </w:rPr>
        <w:tab/>
        <w:t>Una determinada prueba utilizada en el marco de un enfoque definido no debería utilizarse fuera de ese enfoque definido.</w:t>
      </w:r>
    </w:p>
    <w:p w14:paraId="16F44FEA" w14:textId="5FB7D716" w:rsidR="008B6A70" w:rsidRPr="00FC4465" w:rsidRDefault="008B6A70" w:rsidP="0097739B">
      <w:pPr>
        <w:tabs>
          <w:tab w:val="left" w:pos="2835"/>
        </w:tabs>
        <w:autoSpaceDE w:val="0"/>
        <w:autoSpaceDN w:val="0"/>
        <w:adjustRightInd w:val="0"/>
        <w:spacing w:after="120"/>
        <w:ind w:left="2268" w:right="1134"/>
        <w:jc w:val="both"/>
        <w:rPr>
          <w:rFonts w:asciiTheme="majorBidi" w:hAnsiTheme="majorBidi" w:cstheme="majorBidi"/>
        </w:rPr>
      </w:pPr>
      <w:r w:rsidRPr="00FC4465">
        <w:rPr>
          <w:rFonts w:asciiTheme="majorBidi" w:hAnsiTheme="majorBidi" w:cstheme="majorBidi"/>
        </w:rPr>
        <w:lastRenderedPageBreak/>
        <w:t>3.4.2.2.5</w:t>
      </w:r>
      <w:r w:rsidRPr="00FC4465">
        <w:rPr>
          <w:rFonts w:asciiTheme="majorBidi" w:hAnsiTheme="majorBidi" w:cstheme="majorBidi"/>
        </w:rPr>
        <w:tab/>
        <w:t xml:space="preserve">Clasificación basada en datos </w:t>
      </w:r>
      <w:r w:rsidRPr="00FC4465">
        <w:rPr>
          <w:rFonts w:asciiTheme="majorBidi" w:hAnsiTheme="majorBidi" w:cstheme="majorBidi"/>
          <w:i/>
          <w:iCs/>
        </w:rPr>
        <w:t>in</w:t>
      </w:r>
      <w:r w:rsidR="0081160D">
        <w:rPr>
          <w:rFonts w:asciiTheme="majorBidi" w:hAnsiTheme="majorBidi" w:cstheme="majorBidi"/>
          <w:i/>
          <w:iCs/>
        </w:rPr>
        <w:t> chemico</w:t>
      </w:r>
      <w:r w:rsidRPr="00FC4465">
        <w:rPr>
          <w:rFonts w:asciiTheme="majorBidi" w:hAnsiTheme="majorBidi" w:cstheme="majorBidi"/>
        </w:rPr>
        <w:t>/</w:t>
      </w:r>
      <w:r w:rsidR="00762E66">
        <w:rPr>
          <w:rFonts w:asciiTheme="majorBidi" w:hAnsiTheme="majorBidi" w:cstheme="majorBidi"/>
          <w:i/>
          <w:iCs/>
        </w:rPr>
        <w:t>in vitro</w:t>
      </w:r>
      <w:r w:rsidRPr="00FC4465">
        <w:rPr>
          <w:rFonts w:asciiTheme="majorBidi" w:hAnsiTheme="majorBidi" w:cstheme="majorBidi"/>
        </w:rPr>
        <w:t xml:space="preserve"> (etapa 1 o etapa 2 en la figura 3.4.1)</w:t>
      </w:r>
    </w:p>
    <w:p w14:paraId="35AA79BB" w14:textId="285F01F3" w:rsidR="008B6A70" w:rsidRPr="00FC4465" w:rsidRDefault="008B6A70" w:rsidP="0097739B">
      <w:pPr>
        <w:spacing w:after="120"/>
        <w:ind w:left="2268" w:right="1134"/>
        <w:jc w:val="both"/>
        <w:rPr>
          <w:rFonts w:asciiTheme="majorBidi" w:hAnsiTheme="majorBidi" w:cstheme="majorBidi"/>
        </w:rPr>
      </w:pPr>
      <w:r w:rsidRPr="00FC4465">
        <w:rPr>
          <w:rFonts w:asciiTheme="majorBidi" w:hAnsiTheme="majorBidi" w:cstheme="majorBidi"/>
        </w:rPr>
        <w:t>3.4.2.2.5.1</w:t>
      </w:r>
      <w:r w:rsidRPr="00FC4465">
        <w:rPr>
          <w:rFonts w:asciiTheme="majorBidi" w:hAnsiTheme="majorBidi" w:cstheme="majorBidi"/>
        </w:rPr>
        <w:tab/>
        <w:t xml:space="preserve">Los métodos </w:t>
      </w:r>
      <w:r w:rsidRPr="00FC4465">
        <w:rPr>
          <w:rFonts w:asciiTheme="majorBidi" w:hAnsiTheme="majorBidi" w:cstheme="majorBidi"/>
          <w:i/>
          <w:iCs/>
        </w:rPr>
        <w:t>in</w:t>
      </w:r>
      <w:r w:rsidR="0081160D">
        <w:rPr>
          <w:rFonts w:asciiTheme="majorBidi" w:hAnsiTheme="majorBidi" w:cstheme="majorBidi"/>
          <w:i/>
          <w:iCs/>
        </w:rPr>
        <w:t> chemico</w:t>
      </w:r>
      <w:r w:rsidRPr="00FC4465">
        <w:rPr>
          <w:rFonts w:asciiTheme="majorBidi" w:hAnsiTheme="majorBidi" w:cstheme="majorBidi"/>
        </w:rPr>
        <w:t>/</w:t>
      </w:r>
      <w:r w:rsidR="00762E66">
        <w:rPr>
          <w:rFonts w:asciiTheme="majorBidi" w:hAnsiTheme="majorBidi" w:cstheme="majorBidi"/>
          <w:i/>
          <w:iCs/>
        </w:rPr>
        <w:t>in vitro</w:t>
      </w:r>
      <w:r w:rsidRPr="00FC4465">
        <w:rPr>
          <w:rFonts w:asciiTheme="majorBidi" w:hAnsiTheme="majorBidi" w:cstheme="majorBidi"/>
        </w:rPr>
        <w:t xml:space="preserve"> disponibles actualmente se fijan en los mecanismos biológicos específicos que conducen a la adquisición de sensibilización cutánea, tal como se describe, por ejemplo, en la publicación</w:t>
      </w:r>
      <w:r w:rsidR="00D07706">
        <w:rPr>
          <w:rFonts w:asciiTheme="majorBidi" w:hAnsiTheme="majorBidi" w:cstheme="majorBidi"/>
        </w:rPr>
        <w:t> </w:t>
      </w:r>
      <w:r w:rsidRPr="00FC4465">
        <w:rPr>
          <w:rFonts w:asciiTheme="majorBidi" w:hAnsiTheme="majorBidi" w:cstheme="majorBidi"/>
        </w:rPr>
        <w:t>Adverse Outcome Pathway for Skin Sensitisation de la OCDE (véase OCDE (2014)). Los métodos de ensayo validados con arreglo a procedimientos internacionales y aceptados como métodos autónomos pueden emplearse para extraer una conclusión con respecto a la clasificación en la etapa 1. Una autoridad competente podrá decidir si aplica el método descrito en el apéndice III de la Directriz 442C de la OCDE como método autónomo para distinguir entre las sustancias de la subcategoría 1A y las no clasificadas en esta subcategoría (véase 3.4.5.3.5).</w:t>
      </w:r>
    </w:p>
    <w:p w14:paraId="680CDDD6" w14:textId="02ED34CC" w:rsidR="008B6A70" w:rsidRPr="00FC4465" w:rsidRDefault="008B6A70" w:rsidP="0097739B">
      <w:pPr>
        <w:tabs>
          <w:tab w:val="left" w:pos="2835"/>
          <w:tab w:val="left" w:pos="3402"/>
        </w:tabs>
        <w:autoSpaceDE w:val="0"/>
        <w:autoSpaceDN w:val="0"/>
        <w:adjustRightInd w:val="0"/>
        <w:spacing w:after="120"/>
        <w:ind w:left="2268" w:right="1134"/>
        <w:jc w:val="both"/>
        <w:rPr>
          <w:rFonts w:asciiTheme="majorBidi" w:hAnsiTheme="majorBidi" w:cstheme="majorBidi"/>
        </w:rPr>
      </w:pPr>
      <w:r w:rsidRPr="00FC4465">
        <w:rPr>
          <w:rFonts w:asciiTheme="majorBidi" w:hAnsiTheme="majorBidi" w:cstheme="majorBidi"/>
        </w:rPr>
        <w:t>3.4.2.2.5.2</w:t>
      </w:r>
      <w:r w:rsidRPr="00FC4465">
        <w:rPr>
          <w:rFonts w:asciiTheme="majorBidi" w:hAnsiTheme="majorBidi" w:cstheme="majorBidi"/>
        </w:rPr>
        <w:tab/>
        <w:t xml:space="preserve">Otros métodos </w:t>
      </w:r>
      <w:r w:rsidRPr="00FC4465">
        <w:rPr>
          <w:rFonts w:asciiTheme="majorBidi" w:hAnsiTheme="majorBidi" w:cstheme="majorBidi"/>
          <w:i/>
          <w:iCs/>
        </w:rPr>
        <w:t>in</w:t>
      </w:r>
      <w:r w:rsidR="0081160D">
        <w:rPr>
          <w:rFonts w:asciiTheme="majorBidi" w:hAnsiTheme="majorBidi" w:cstheme="majorBidi"/>
          <w:i/>
          <w:iCs/>
        </w:rPr>
        <w:t> chemico</w:t>
      </w:r>
      <w:r w:rsidRPr="00FC4465">
        <w:rPr>
          <w:rFonts w:asciiTheme="majorBidi" w:hAnsiTheme="majorBidi" w:cstheme="majorBidi"/>
        </w:rPr>
        <w:t>/</w:t>
      </w:r>
      <w:r w:rsidR="00762E66">
        <w:rPr>
          <w:rFonts w:asciiTheme="majorBidi" w:hAnsiTheme="majorBidi" w:cstheme="majorBidi"/>
          <w:i/>
          <w:iCs/>
        </w:rPr>
        <w:t>in vitro</w:t>
      </w:r>
      <w:r w:rsidRPr="00FC4465">
        <w:rPr>
          <w:rFonts w:asciiTheme="majorBidi" w:hAnsiTheme="majorBidi" w:cstheme="majorBidi"/>
        </w:rPr>
        <w:t xml:space="preserve"> no autónomos validados con arreglo a procedimientos internacionales, como las directrices 442C (anexos I y II), 442D y 442E de la OCDE, se aceptan como elementos adicionales de prueba y, en la etapa 1, solo deberían utilizarse en combinación con otros tipos de datos en el marco de enfoques definidos. El empleo de estos métodos en la etapa 2 se describe en 3.4.2.2.7.5. </w:t>
      </w:r>
    </w:p>
    <w:p w14:paraId="50A751F4" w14:textId="1DBE110A" w:rsidR="008B6A70" w:rsidRPr="00FC4465" w:rsidRDefault="008B6A70" w:rsidP="0097739B">
      <w:pPr>
        <w:tabs>
          <w:tab w:val="left" w:pos="2835"/>
          <w:tab w:val="left" w:pos="3402"/>
        </w:tabs>
        <w:autoSpaceDE w:val="0"/>
        <w:autoSpaceDN w:val="0"/>
        <w:adjustRightInd w:val="0"/>
        <w:spacing w:after="120"/>
        <w:ind w:left="2268" w:right="1134"/>
        <w:jc w:val="both"/>
        <w:rPr>
          <w:rFonts w:asciiTheme="majorBidi" w:hAnsiTheme="majorBidi" w:cstheme="majorBidi"/>
        </w:rPr>
      </w:pPr>
      <w:r w:rsidRPr="00FC4465">
        <w:rPr>
          <w:rFonts w:asciiTheme="majorBidi" w:hAnsiTheme="majorBidi" w:cstheme="majorBidi"/>
        </w:rPr>
        <w:t>3.4.2.2.5.3</w:t>
      </w:r>
      <w:r w:rsidRPr="00FC4465">
        <w:rPr>
          <w:rFonts w:asciiTheme="majorBidi" w:hAnsiTheme="majorBidi" w:cstheme="majorBidi"/>
        </w:rPr>
        <w:tab/>
        <w:t>En 3.4.5.3.6.2</w:t>
      </w:r>
      <w:r w:rsidRPr="00FC4465">
        <w:rPr>
          <w:rFonts w:asciiTheme="majorBidi" w:hAnsiTheme="majorBidi" w:cstheme="majorBidi"/>
          <w:vertAlign w:val="superscript"/>
        </w:rPr>
        <w:t>4</w:t>
      </w:r>
      <w:r w:rsidRPr="00FC4465">
        <w:rPr>
          <w:rFonts w:asciiTheme="majorBidi" w:hAnsiTheme="majorBidi" w:cstheme="majorBidi"/>
        </w:rPr>
        <w:t xml:space="preserve"> se describen otros métodos de ensayo </w:t>
      </w:r>
      <w:r w:rsidRPr="00FC4465">
        <w:rPr>
          <w:rFonts w:asciiTheme="majorBidi" w:hAnsiTheme="majorBidi" w:cstheme="majorBidi"/>
          <w:i/>
          <w:iCs/>
        </w:rPr>
        <w:t>in</w:t>
      </w:r>
      <w:r w:rsidR="0081160D">
        <w:rPr>
          <w:rFonts w:asciiTheme="majorBidi" w:hAnsiTheme="majorBidi" w:cstheme="majorBidi"/>
          <w:i/>
          <w:iCs/>
        </w:rPr>
        <w:t> chemico</w:t>
      </w:r>
      <w:r w:rsidRPr="00FC4465">
        <w:rPr>
          <w:rFonts w:asciiTheme="majorBidi" w:hAnsiTheme="majorBidi" w:cstheme="majorBidi"/>
        </w:rPr>
        <w:t>/</w:t>
      </w:r>
      <w:r w:rsidR="00762E66">
        <w:rPr>
          <w:rFonts w:asciiTheme="majorBidi" w:hAnsiTheme="majorBidi" w:cstheme="majorBidi"/>
          <w:i/>
          <w:iCs/>
        </w:rPr>
        <w:t>in vitro</w:t>
      </w:r>
      <w:r w:rsidRPr="00FC4465">
        <w:rPr>
          <w:rFonts w:asciiTheme="majorBidi" w:hAnsiTheme="majorBidi" w:cstheme="majorBidi"/>
          <w:i/>
          <w:iCs/>
        </w:rPr>
        <w:t xml:space="preserve"> </w:t>
      </w:r>
      <w:r w:rsidRPr="00FC4465">
        <w:rPr>
          <w:rFonts w:asciiTheme="majorBidi" w:hAnsiTheme="majorBidi" w:cstheme="majorBidi"/>
        </w:rPr>
        <w:t>validados y aceptados por algunas autoridades competentes. Una autoridad competente podrá decidir qué criterios de clasificación deberían aplicarse, si es el caso, a estos métodos de ensayo para llegar a una conclusión sobre la clasificación.</w:t>
      </w:r>
    </w:p>
    <w:p w14:paraId="3DFFD71B" w14:textId="69570407" w:rsidR="008B6A70" w:rsidRPr="00FC4465" w:rsidRDefault="008B6A70" w:rsidP="0097739B">
      <w:pPr>
        <w:pStyle w:val="GHSHeading5"/>
        <w:keepNext w:val="0"/>
        <w:keepLines w:val="0"/>
        <w:widowControl/>
        <w:tabs>
          <w:tab w:val="clear" w:pos="1418"/>
          <w:tab w:val="clear" w:pos="1985"/>
          <w:tab w:val="clear" w:pos="2552"/>
          <w:tab w:val="clear" w:pos="3119"/>
          <w:tab w:val="left" w:pos="2268"/>
          <w:tab w:val="left" w:pos="2835"/>
          <w:tab w:val="left" w:pos="3402"/>
        </w:tabs>
        <w:autoSpaceDE w:val="0"/>
        <w:autoSpaceDN w:val="0"/>
        <w:adjustRightInd w:val="0"/>
        <w:spacing w:after="120" w:line="240" w:lineRule="atLeast"/>
        <w:ind w:left="2268" w:right="1134"/>
        <w:rPr>
          <w:rFonts w:asciiTheme="majorBidi" w:hAnsiTheme="majorBidi" w:cstheme="majorBidi"/>
          <w:color w:val="auto"/>
          <w:sz w:val="20"/>
          <w:szCs w:val="20"/>
          <w:lang w:val="es-ES"/>
        </w:rPr>
      </w:pPr>
      <w:r w:rsidRPr="00FC4465">
        <w:rPr>
          <w:rFonts w:asciiTheme="majorBidi" w:hAnsiTheme="majorBidi" w:cstheme="majorBidi"/>
          <w:sz w:val="20"/>
          <w:szCs w:val="20"/>
          <w:lang w:val="es-ES"/>
        </w:rPr>
        <w:t>3.4.2.2.5.4</w:t>
      </w:r>
      <w:r w:rsidRPr="00FC4465">
        <w:rPr>
          <w:rFonts w:asciiTheme="majorBidi" w:hAnsiTheme="majorBidi" w:cstheme="majorBidi"/>
          <w:sz w:val="20"/>
          <w:szCs w:val="20"/>
          <w:lang w:val="es-ES"/>
        </w:rPr>
        <w:tab/>
        <w:t xml:space="preserve">Los datos </w:t>
      </w:r>
      <w:r w:rsidRPr="00FC4465">
        <w:rPr>
          <w:rFonts w:asciiTheme="majorBidi" w:hAnsiTheme="majorBidi" w:cstheme="majorBidi"/>
          <w:i/>
          <w:iCs/>
          <w:sz w:val="20"/>
          <w:szCs w:val="20"/>
          <w:lang w:val="es-ES"/>
        </w:rPr>
        <w:t>in</w:t>
      </w:r>
      <w:r w:rsidR="0081160D">
        <w:rPr>
          <w:rFonts w:asciiTheme="majorBidi" w:hAnsiTheme="majorBidi" w:cstheme="majorBidi"/>
          <w:i/>
          <w:iCs/>
          <w:sz w:val="20"/>
          <w:szCs w:val="20"/>
          <w:lang w:val="es-ES"/>
        </w:rPr>
        <w:t> chemico</w:t>
      </w:r>
      <w:r w:rsidRPr="00FC4465">
        <w:rPr>
          <w:rFonts w:asciiTheme="majorBidi" w:hAnsiTheme="majorBidi" w:cstheme="majorBidi"/>
          <w:sz w:val="20"/>
          <w:szCs w:val="20"/>
          <w:lang w:val="es-ES"/>
        </w:rPr>
        <w:t>/</w:t>
      </w:r>
      <w:r w:rsidR="00762E66">
        <w:rPr>
          <w:rFonts w:asciiTheme="majorBidi" w:hAnsiTheme="majorBidi" w:cstheme="majorBidi"/>
          <w:i/>
          <w:iCs/>
          <w:sz w:val="20"/>
          <w:szCs w:val="20"/>
          <w:lang w:val="es-ES"/>
        </w:rPr>
        <w:t>in vitro</w:t>
      </w:r>
      <w:r w:rsidRPr="00FC4465">
        <w:rPr>
          <w:rFonts w:asciiTheme="majorBidi" w:hAnsiTheme="majorBidi" w:cstheme="majorBidi"/>
          <w:i/>
          <w:iCs/>
          <w:sz w:val="20"/>
          <w:szCs w:val="20"/>
          <w:lang w:val="es-ES"/>
        </w:rPr>
        <w:t xml:space="preserve"> </w:t>
      </w:r>
      <w:r w:rsidRPr="00FC4465">
        <w:rPr>
          <w:rFonts w:asciiTheme="majorBidi" w:hAnsiTheme="majorBidi" w:cstheme="majorBidi"/>
          <w:sz w:val="20"/>
          <w:szCs w:val="20"/>
          <w:lang w:val="es-ES"/>
        </w:rPr>
        <w:t>solo pueden utilizarse para la clasificación cuando la sustancia sometida a ensayo corresponde al ámbito de aplicabilidad del método o métodos de ensayo utilizados. También deben tenerse en cuenta otras limitaciones descritas en las publicaciones pertinentes.</w:t>
      </w:r>
    </w:p>
    <w:p w14:paraId="1AEBFC01" w14:textId="5F7E036D" w:rsidR="008B6A70" w:rsidRPr="00FC4465" w:rsidRDefault="008B6A70" w:rsidP="0097739B">
      <w:pPr>
        <w:pStyle w:val="GHSHeading5"/>
        <w:keepNext w:val="0"/>
        <w:keepLines w:val="0"/>
        <w:widowControl/>
        <w:tabs>
          <w:tab w:val="clear" w:pos="1418"/>
          <w:tab w:val="clear" w:pos="1985"/>
          <w:tab w:val="clear" w:pos="2552"/>
          <w:tab w:val="clear" w:pos="3119"/>
          <w:tab w:val="left" w:pos="2268"/>
          <w:tab w:val="left" w:pos="2835"/>
          <w:tab w:val="left" w:pos="3402"/>
        </w:tabs>
        <w:spacing w:after="120" w:line="240" w:lineRule="atLeast"/>
        <w:ind w:left="2268" w:right="1134"/>
        <w:rPr>
          <w:rFonts w:asciiTheme="majorBidi" w:hAnsiTheme="majorBidi" w:cstheme="majorBidi"/>
          <w:color w:val="auto"/>
          <w:sz w:val="20"/>
          <w:szCs w:val="20"/>
          <w:lang w:val="es-ES"/>
        </w:rPr>
      </w:pPr>
      <w:r w:rsidRPr="00FC4465">
        <w:rPr>
          <w:rFonts w:asciiTheme="majorBidi" w:hAnsiTheme="majorBidi" w:cstheme="majorBidi"/>
          <w:sz w:val="20"/>
          <w:szCs w:val="20"/>
          <w:lang w:val="es-ES"/>
        </w:rPr>
        <w:t>3.4.2.2.6</w:t>
      </w:r>
      <w:r w:rsidRPr="00FC4465">
        <w:rPr>
          <w:rFonts w:asciiTheme="majorBidi" w:hAnsiTheme="majorBidi" w:cstheme="majorBidi"/>
          <w:sz w:val="20"/>
          <w:szCs w:val="20"/>
          <w:lang w:val="es-ES"/>
        </w:rPr>
        <w:tab/>
      </w:r>
      <w:r w:rsidRPr="00FC4465">
        <w:rPr>
          <w:rFonts w:asciiTheme="majorBidi" w:hAnsiTheme="majorBidi" w:cstheme="majorBidi"/>
          <w:i/>
          <w:iCs/>
          <w:sz w:val="20"/>
          <w:szCs w:val="20"/>
          <w:lang w:val="es-ES"/>
        </w:rPr>
        <w:t>Clasificación basada en métodos distintos de los ensayos (etapa</w:t>
      </w:r>
      <w:r w:rsidR="00D07706">
        <w:rPr>
          <w:rFonts w:asciiTheme="majorBidi" w:hAnsiTheme="majorBidi" w:cstheme="majorBidi"/>
          <w:i/>
          <w:iCs/>
          <w:sz w:val="20"/>
          <w:szCs w:val="20"/>
          <w:lang w:val="es-ES"/>
        </w:rPr>
        <w:t> </w:t>
      </w:r>
      <w:r w:rsidRPr="00FC4465">
        <w:rPr>
          <w:rFonts w:asciiTheme="majorBidi" w:hAnsiTheme="majorBidi" w:cstheme="majorBidi"/>
          <w:i/>
          <w:iCs/>
          <w:sz w:val="20"/>
          <w:szCs w:val="20"/>
          <w:lang w:val="es-ES"/>
        </w:rPr>
        <w:t>2 en la figura 3.4.1)</w:t>
      </w:r>
    </w:p>
    <w:p w14:paraId="6A2F79FE" w14:textId="09AADEEC" w:rsidR="008B6A70" w:rsidRPr="00FC4465" w:rsidRDefault="008B6A70" w:rsidP="0097739B">
      <w:pPr>
        <w:pStyle w:val="GHSHeading5"/>
        <w:keepNext w:val="0"/>
        <w:keepLines w:val="0"/>
        <w:widowControl/>
        <w:tabs>
          <w:tab w:val="clear" w:pos="1418"/>
          <w:tab w:val="clear" w:pos="1985"/>
          <w:tab w:val="clear" w:pos="2552"/>
          <w:tab w:val="clear" w:pos="3119"/>
          <w:tab w:val="left" w:pos="2268"/>
          <w:tab w:val="left" w:pos="2835"/>
          <w:tab w:val="left" w:pos="3402"/>
        </w:tabs>
        <w:spacing w:after="120" w:line="240" w:lineRule="atLeast"/>
        <w:ind w:left="2268" w:right="1134"/>
        <w:rPr>
          <w:rFonts w:asciiTheme="majorBidi" w:hAnsiTheme="majorBidi" w:cstheme="majorBidi"/>
          <w:color w:val="auto"/>
          <w:sz w:val="20"/>
          <w:szCs w:val="20"/>
          <w:lang w:val="es-ES"/>
        </w:rPr>
      </w:pPr>
      <w:r w:rsidRPr="00FC4465">
        <w:rPr>
          <w:rFonts w:asciiTheme="majorBidi" w:hAnsiTheme="majorBidi" w:cstheme="majorBidi"/>
          <w:sz w:val="20"/>
          <w:szCs w:val="20"/>
          <w:lang w:val="es-ES"/>
        </w:rPr>
        <w:t>3.4.2.2.6.1</w:t>
      </w:r>
      <w:r w:rsidRPr="00FC4465">
        <w:rPr>
          <w:rFonts w:asciiTheme="majorBidi" w:hAnsiTheme="majorBidi" w:cstheme="majorBidi"/>
          <w:sz w:val="20"/>
          <w:szCs w:val="20"/>
          <w:lang w:val="es-ES"/>
        </w:rPr>
        <w:tab/>
        <w:t>La clasificación, en la que se incluye la conclusión de no clasificación, puede basarse en métodos que no sean ensayos, teniendo debidamente en cuenta su fiabilidad y aplicabilidad, según las circunstancias de cada caso. Entre los métodos distintos de los ensayos pueden mencionarse los modelos informáticos que predicen las relaciones cualitativas estructura</w:t>
      </w:r>
      <w:r w:rsidR="00D07706">
        <w:rPr>
          <w:rFonts w:asciiTheme="majorBidi" w:hAnsiTheme="majorBidi" w:cstheme="majorBidi"/>
          <w:sz w:val="20"/>
          <w:szCs w:val="20"/>
          <w:lang w:val="es-ES"/>
        </w:rPr>
        <w:noBreakHyphen/>
      </w:r>
      <w:r w:rsidRPr="00FC4465">
        <w:rPr>
          <w:rFonts w:asciiTheme="majorBidi" w:hAnsiTheme="majorBidi" w:cstheme="majorBidi"/>
          <w:sz w:val="20"/>
          <w:szCs w:val="20"/>
          <w:lang w:val="es-ES"/>
        </w:rPr>
        <w:t xml:space="preserve">actividad (alertas estructurales, SAR) o las relaciones cuantitativas estructura-actividad (QSAR), los sistemas informáticos expertos y la extrapolación de propiedades por similitud estructural, utilizando análogos y categorías. </w:t>
      </w:r>
    </w:p>
    <w:p w14:paraId="3A67F7FD" w14:textId="77777777" w:rsidR="008B6A70" w:rsidRPr="00FC4465" w:rsidRDefault="008B6A70" w:rsidP="0097739B">
      <w:pPr>
        <w:pStyle w:val="GHSHeading5"/>
        <w:keepNext w:val="0"/>
        <w:keepLines w:val="0"/>
        <w:widowControl/>
        <w:tabs>
          <w:tab w:val="clear" w:pos="1418"/>
          <w:tab w:val="clear" w:pos="1985"/>
          <w:tab w:val="clear" w:pos="2552"/>
          <w:tab w:val="clear" w:pos="3119"/>
          <w:tab w:val="left" w:pos="2268"/>
          <w:tab w:val="left" w:pos="2835"/>
          <w:tab w:val="left" w:pos="3402"/>
        </w:tabs>
        <w:spacing w:after="120" w:line="240" w:lineRule="atLeast"/>
        <w:ind w:left="2268" w:right="1134"/>
        <w:rPr>
          <w:rFonts w:asciiTheme="majorBidi" w:hAnsiTheme="majorBidi" w:cstheme="majorBidi"/>
          <w:color w:val="auto"/>
          <w:sz w:val="20"/>
          <w:szCs w:val="20"/>
          <w:lang w:val="es-ES"/>
        </w:rPr>
      </w:pPr>
      <w:r w:rsidRPr="00FC4465">
        <w:rPr>
          <w:rFonts w:asciiTheme="majorBidi" w:hAnsiTheme="majorBidi" w:cstheme="majorBidi"/>
          <w:sz w:val="20"/>
          <w:szCs w:val="20"/>
          <w:lang w:val="es-ES"/>
        </w:rPr>
        <w:t xml:space="preserve">3.4.2.2.6.2 </w:t>
      </w:r>
      <w:r w:rsidRPr="00FC4465">
        <w:rPr>
          <w:rFonts w:asciiTheme="majorBidi" w:hAnsiTheme="majorBidi" w:cstheme="majorBidi"/>
          <w:sz w:val="20"/>
          <w:szCs w:val="20"/>
          <w:lang w:val="es-ES"/>
        </w:rPr>
        <w:tab/>
        <w:t xml:space="preserve">La extrapolación utilizando análogos y categorías requiere datos experimentales suficientemente fiables sobre una o varias sustancias similares, y la justificación de la similitud de la sustancia o sustancias sometidas a ensayo con la que se ha de clasificar. Cuando está debidamente justificado, el enfoque de la extrapolación de propiedades por similitud estructural tiene en general más peso que las relaciones estructura-actividad cuantitativas o cualitativas. </w:t>
      </w:r>
    </w:p>
    <w:p w14:paraId="41A18245" w14:textId="5941E7FD" w:rsidR="008B6A70" w:rsidRPr="00FC4465" w:rsidRDefault="008B6A70" w:rsidP="0097739B">
      <w:pPr>
        <w:pStyle w:val="GHSHeading5"/>
        <w:keepNext w:val="0"/>
        <w:keepLines w:val="0"/>
        <w:widowControl/>
        <w:tabs>
          <w:tab w:val="clear" w:pos="1418"/>
          <w:tab w:val="clear" w:pos="1985"/>
          <w:tab w:val="clear" w:pos="2552"/>
          <w:tab w:val="clear" w:pos="3119"/>
          <w:tab w:val="left" w:pos="2268"/>
          <w:tab w:val="left" w:pos="3402"/>
        </w:tabs>
        <w:autoSpaceDE w:val="0"/>
        <w:autoSpaceDN w:val="0"/>
        <w:adjustRightInd w:val="0"/>
        <w:spacing w:after="120" w:line="240" w:lineRule="atLeast"/>
        <w:ind w:left="2268" w:right="1134"/>
        <w:rPr>
          <w:rFonts w:asciiTheme="majorBidi" w:hAnsiTheme="majorBidi" w:cstheme="majorBidi"/>
          <w:color w:val="auto"/>
          <w:sz w:val="20"/>
          <w:szCs w:val="20"/>
          <w:lang w:val="es-ES"/>
        </w:rPr>
      </w:pPr>
      <w:r w:rsidRPr="00FC4465">
        <w:rPr>
          <w:rFonts w:asciiTheme="majorBidi" w:hAnsiTheme="majorBidi" w:cstheme="majorBidi"/>
          <w:sz w:val="20"/>
          <w:szCs w:val="20"/>
          <w:lang w:val="es-ES"/>
        </w:rPr>
        <w:t xml:space="preserve">3.4.2.2.6.3 </w:t>
      </w:r>
      <w:r w:rsidRPr="00FC4465">
        <w:rPr>
          <w:rFonts w:asciiTheme="majorBidi" w:hAnsiTheme="majorBidi" w:cstheme="majorBidi"/>
          <w:sz w:val="20"/>
          <w:szCs w:val="20"/>
          <w:lang w:val="es-ES"/>
        </w:rPr>
        <w:tab/>
        <w:t>La clasificación basada en las QSAR requiere suficientes datos y la validación del modelo. La validez de los modelos informáticos y de la predicción deben evaluarse utilizando principios reconocidos internacionalmente para la validación de las QSAR. Con respecto a la fiabilidad, la ausencia de alertas en una SAR o un sistema experto no es prueba suficiente para la no clasificación.</w:t>
      </w:r>
    </w:p>
    <w:p w14:paraId="6C0F7757" w14:textId="2546E8A1" w:rsidR="008B6A70" w:rsidRPr="00FC4465" w:rsidRDefault="008B6A70" w:rsidP="0097739B">
      <w:pPr>
        <w:pStyle w:val="GHSHeading5"/>
        <w:keepNext w:val="0"/>
        <w:keepLines w:val="0"/>
        <w:tabs>
          <w:tab w:val="clear" w:pos="1418"/>
          <w:tab w:val="clear" w:pos="1985"/>
          <w:tab w:val="clear" w:pos="2552"/>
          <w:tab w:val="clear" w:pos="3119"/>
          <w:tab w:val="left" w:pos="2268"/>
          <w:tab w:val="left" w:pos="3402"/>
        </w:tabs>
        <w:spacing w:after="120" w:line="240" w:lineRule="atLeast"/>
        <w:ind w:left="2268" w:right="1134"/>
        <w:rPr>
          <w:rFonts w:asciiTheme="majorBidi" w:hAnsiTheme="majorBidi" w:cstheme="majorBidi"/>
          <w:color w:val="auto"/>
          <w:sz w:val="20"/>
          <w:szCs w:val="20"/>
          <w:lang w:val="es-ES"/>
        </w:rPr>
      </w:pPr>
      <w:r w:rsidRPr="00FC4465">
        <w:rPr>
          <w:rFonts w:asciiTheme="majorBidi" w:hAnsiTheme="majorBidi" w:cstheme="majorBidi"/>
          <w:sz w:val="20"/>
          <w:szCs w:val="20"/>
          <w:lang w:val="es-ES"/>
        </w:rPr>
        <w:t>3.4.2.2.6.4</w:t>
      </w:r>
      <w:r w:rsidRPr="00FC4465">
        <w:rPr>
          <w:rFonts w:asciiTheme="majorBidi" w:hAnsiTheme="majorBidi" w:cstheme="majorBidi"/>
          <w:sz w:val="20"/>
          <w:szCs w:val="20"/>
          <w:lang w:val="es-ES"/>
        </w:rPr>
        <w:tab/>
        <w:t xml:space="preserve">Para las conclusiones de no clasificación basadas en la extrapolación de propiedades por similitud estructural y las QSAR, la idoneidad y la solidez del razonamiento científico y de los datos con que este se respalda deberían estar bien fundamentadas, lo que por regla general </w:t>
      </w:r>
      <w:r w:rsidRPr="00FC4465">
        <w:rPr>
          <w:rFonts w:asciiTheme="majorBidi" w:hAnsiTheme="majorBidi" w:cstheme="majorBidi"/>
          <w:sz w:val="20"/>
          <w:szCs w:val="20"/>
          <w:lang w:val="es-ES"/>
        </w:rPr>
        <w:lastRenderedPageBreak/>
        <w:t>comporta la existencia de varias sustancias negativas que presenten una buena similitud estructural y física (en términos toxicocinéticos) con la sustancia que se pretende clasificar, así como una ausencia manifiesta de sustancias positivas con una buena similitud estructural y física con esa misma sustancia.</w:t>
      </w:r>
    </w:p>
    <w:p w14:paraId="2862427D" w14:textId="77777777" w:rsidR="008B6A70" w:rsidRPr="00FC4465" w:rsidRDefault="008B6A70" w:rsidP="0097739B">
      <w:pPr>
        <w:pStyle w:val="GHSHeading5"/>
        <w:keepNext w:val="0"/>
        <w:keepLines w:val="0"/>
        <w:widowControl/>
        <w:tabs>
          <w:tab w:val="clear" w:pos="1418"/>
          <w:tab w:val="clear" w:pos="1985"/>
          <w:tab w:val="clear" w:pos="2552"/>
          <w:tab w:val="clear" w:pos="3119"/>
          <w:tab w:val="left" w:pos="3402"/>
        </w:tabs>
        <w:spacing w:after="120" w:line="240" w:lineRule="atLeast"/>
        <w:ind w:left="2268" w:right="1134"/>
        <w:rPr>
          <w:rFonts w:asciiTheme="majorBidi" w:hAnsiTheme="majorBidi" w:cstheme="majorBidi"/>
          <w:strike/>
          <w:color w:val="auto"/>
          <w:sz w:val="20"/>
          <w:szCs w:val="20"/>
          <w:lang w:val="es-ES"/>
        </w:rPr>
      </w:pPr>
      <w:r w:rsidRPr="00FC4465">
        <w:rPr>
          <w:rFonts w:asciiTheme="majorBidi" w:hAnsiTheme="majorBidi" w:cstheme="majorBidi"/>
          <w:sz w:val="20"/>
          <w:szCs w:val="20"/>
          <w:lang w:val="es-ES"/>
        </w:rPr>
        <w:t>3.4.2.2.7</w:t>
      </w:r>
      <w:r w:rsidRPr="00FC4465">
        <w:rPr>
          <w:rFonts w:asciiTheme="majorBidi" w:hAnsiTheme="majorBidi" w:cstheme="majorBidi"/>
          <w:sz w:val="20"/>
          <w:szCs w:val="20"/>
          <w:lang w:val="es-ES"/>
        </w:rPr>
        <w:tab/>
      </w:r>
      <w:r w:rsidRPr="00FC4465">
        <w:rPr>
          <w:rFonts w:asciiTheme="majorBidi" w:hAnsiTheme="majorBidi" w:cstheme="majorBidi"/>
          <w:i/>
          <w:iCs/>
          <w:sz w:val="20"/>
          <w:szCs w:val="20"/>
          <w:lang w:val="es-ES"/>
        </w:rPr>
        <w:t>Clasificación con un enfoque por etapas (figura 3.41)</w:t>
      </w:r>
      <w:r w:rsidRPr="00FC4465">
        <w:rPr>
          <w:rFonts w:asciiTheme="majorBidi" w:hAnsiTheme="majorBidi" w:cstheme="majorBidi"/>
          <w:sz w:val="20"/>
          <w:szCs w:val="20"/>
          <w:lang w:val="es-ES"/>
        </w:rPr>
        <w:t xml:space="preserve"> </w:t>
      </w:r>
    </w:p>
    <w:p w14:paraId="5C9D6EE1" w14:textId="77777777" w:rsidR="008B6A70" w:rsidRPr="00FC4465" w:rsidRDefault="008B6A70" w:rsidP="0097739B">
      <w:pPr>
        <w:pStyle w:val="GHSHeading5"/>
        <w:keepNext w:val="0"/>
        <w:keepLines w:val="0"/>
        <w:widowControl/>
        <w:tabs>
          <w:tab w:val="clear" w:pos="1418"/>
          <w:tab w:val="clear" w:pos="1985"/>
          <w:tab w:val="clear" w:pos="2552"/>
          <w:tab w:val="clear" w:pos="3119"/>
          <w:tab w:val="left" w:pos="3402"/>
        </w:tabs>
        <w:spacing w:after="120" w:line="240" w:lineRule="atLeast"/>
        <w:ind w:left="2268" w:right="1134"/>
        <w:rPr>
          <w:rFonts w:asciiTheme="majorBidi" w:hAnsiTheme="majorBidi" w:cstheme="majorBidi"/>
          <w:color w:val="auto"/>
          <w:sz w:val="20"/>
          <w:szCs w:val="20"/>
          <w:lang w:val="es-ES"/>
        </w:rPr>
      </w:pPr>
      <w:r w:rsidRPr="00FC4465">
        <w:rPr>
          <w:rFonts w:asciiTheme="majorBidi" w:hAnsiTheme="majorBidi" w:cstheme="majorBidi"/>
          <w:sz w:val="20"/>
          <w:szCs w:val="20"/>
          <w:lang w:val="es-ES"/>
        </w:rPr>
        <w:t>3.4.2.2.7.1</w:t>
      </w:r>
      <w:r w:rsidRPr="00FC4465">
        <w:rPr>
          <w:rFonts w:asciiTheme="majorBidi" w:hAnsiTheme="majorBidi" w:cstheme="majorBidi"/>
          <w:sz w:val="20"/>
          <w:szCs w:val="20"/>
          <w:lang w:val="es-ES"/>
        </w:rPr>
        <w:tab/>
        <w:t>Cuando sea pertinente, debería tomarse en consideración la aplicación de un enfoque por etapas (figura 3.4.1) para la evaluación de la información, teniendo en cuenta que no todas las etapas ni toda la información relativa a cada una de las etapas serán necesariamente pertinentes. Sin embargo, deberá examinarse toda la información pertinente y de suficiente calidad que esté disponible para verificar que sea coherente con la clasificación resultante.</w:t>
      </w:r>
    </w:p>
    <w:p w14:paraId="1EB393CB" w14:textId="1F1A1C48" w:rsidR="008B6A70" w:rsidRPr="00FC4465" w:rsidRDefault="008B6A70" w:rsidP="0097739B">
      <w:pPr>
        <w:tabs>
          <w:tab w:val="left" w:pos="3402"/>
        </w:tabs>
        <w:spacing w:after="120"/>
        <w:ind w:left="2268" w:right="1134"/>
        <w:jc w:val="both"/>
        <w:rPr>
          <w:rFonts w:asciiTheme="majorBidi" w:hAnsiTheme="majorBidi" w:cstheme="majorBidi"/>
        </w:rPr>
      </w:pPr>
      <w:r w:rsidRPr="00FC4465">
        <w:rPr>
          <w:rFonts w:asciiTheme="majorBidi" w:hAnsiTheme="majorBidi" w:cstheme="majorBidi"/>
        </w:rPr>
        <w:t>3.4.2.2.7.2</w:t>
      </w:r>
      <w:r w:rsidRPr="00FC4465">
        <w:rPr>
          <w:rFonts w:asciiTheme="majorBidi" w:hAnsiTheme="majorBidi" w:cstheme="majorBidi"/>
        </w:rPr>
        <w:tab/>
        <w:t xml:space="preserve">Etapa 1 </w:t>
      </w:r>
      <w:r w:rsidR="00D07706">
        <w:rPr>
          <w:rFonts w:asciiTheme="majorBidi" w:hAnsiTheme="majorBidi" w:cstheme="majorBidi"/>
        </w:rPr>
        <w:t>–</w:t>
      </w:r>
      <w:r w:rsidRPr="00FC4465">
        <w:rPr>
          <w:rFonts w:asciiTheme="majorBidi" w:hAnsiTheme="majorBidi" w:cstheme="majorBidi"/>
        </w:rPr>
        <w:t xml:space="preserve"> Clasificación basada en datos obtenidos en seres humanos, datos normalizados obtenidos en animales, enfoques definidos o métodos </w:t>
      </w:r>
      <w:r w:rsidRPr="00FC4465">
        <w:rPr>
          <w:rFonts w:asciiTheme="majorBidi" w:hAnsiTheme="majorBidi" w:cstheme="majorBidi"/>
          <w:i/>
          <w:iCs/>
        </w:rPr>
        <w:t>in</w:t>
      </w:r>
      <w:r w:rsidR="0081160D">
        <w:rPr>
          <w:rFonts w:asciiTheme="majorBidi" w:hAnsiTheme="majorBidi" w:cstheme="majorBidi"/>
          <w:i/>
          <w:iCs/>
        </w:rPr>
        <w:t> chemico</w:t>
      </w:r>
      <w:r w:rsidRPr="00FC4465">
        <w:rPr>
          <w:rFonts w:asciiTheme="majorBidi" w:hAnsiTheme="majorBidi" w:cstheme="majorBidi"/>
        </w:rPr>
        <w:t>/</w:t>
      </w:r>
      <w:r w:rsidR="00762E66">
        <w:rPr>
          <w:rFonts w:asciiTheme="majorBidi" w:hAnsiTheme="majorBidi" w:cstheme="majorBidi"/>
          <w:i/>
          <w:iCs/>
        </w:rPr>
        <w:t>in vitro</w:t>
      </w:r>
      <w:r w:rsidRPr="00FC4465">
        <w:rPr>
          <w:rFonts w:asciiTheme="majorBidi" w:hAnsiTheme="majorBidi" w:cstheme="majorBidi"/>
        </w:rPr>
        <w:t xml:space="preserve"> autónomos. </w:t>
      </w:r>
    </w:p>
    <w:p w14:paraId="6A39955B" w14:textId="065EB268" w:rsidR="008B6A70" w:rsidRPr="00FC4465" w:rsidRDefault="008B6A70" w:rsidP="0097739B">
      <w:pPr>
        <w:tabs>
          <w:tab w:val="left" w:pos="3402"/>
        </w:tabs>
        <w:spacing w:after="120"/>
        <w:ind w:left="2268" w:right="1134"/>
        <w:jc w:val="both"/>
        <w:rPr>
          <w:rFonts w:asciiTheme="majorBidi" w:hAnsiTheme="majorBidi" w:cstheme="majorBidi"/>
        </w:rPr>
      </w:pPr>
      <w:r w:rsidRPr="00FC4465">
        <w:rPr>
          <w:rFonts w:asciiTheme="majorBidi" w:hAnsiTheme="majorBidi" w:cstheme="majorBidi"/>
        </w:rPr>
        <w:tab/>
        <w:t>Para la clasificación de una sustancia, entre los elementos de prueba de la etapa 1 pueden figurar datos procedentes de una o de todas las fuentes que se indican a continuación. Cuando la información aportada por los datos de la etapa 1 es incoherente o contradictoria, la conclusión se adopta mediante una evaluación del peso de las pruebas</w:t>
      </w:r>
      <w:r w:rsidR="00D07706">
        <w:rPr>
          <w:rFonts w:asciiTheme="majorBidi" w:hAnsiTheme="majorBidi" w:cstheme="majorBidi"/>
        </w:rPr>
        <w:t>:</w:t>
      </w:r>
    </w:p>
    <w:p w14:paraId="3E23B041" w14:textId="77777777" w:rsidR="008B6A70" w:rsidRPr="00FC4465" w:rsidRDefault="008B6A70" w:rsidP="0097739B">
      <w:pPr>
        <w:pStyle w:val="NormalWeb"/>
        <w:tabs>
          <w:tab w:val="left" w:pos="3402"/>
        </w:tabs>
        <w:spacing w:after="120"/>
        <w:ind w:left="2835" w:right="1134" w:hanging="567"/>
        <w:jc w:val="both"/>
        <w:rPr>
          <w:rFonts w:asciiTheme="majorBidi" w:hAnsiTheme="majorBidi" w:cstheme="majorBidi"/>
          <w:snapToGrid w:val="0"/>
          <w:sz w:val="20"/>
          <w:szCs w:val="20"/>
        </w:rPr>
      </w:pPr>
      <w:r w:rsidRPr="00FC4465">
        <w:rPr>
          <w:rFonts w:asciiTheme="majorBidi" w:hAnsiTheme="majorBidi" w:cstheme="majorBidi"/>
          <w:sz w:val="20"/>
          <w:szCs w:val="20"/>
        </w:rPr>
        <w:t>a)</w:t>
      </w:r>
      <w:r w:rsidRPr="00FC4465">
        <w:rPr>
          <w:rFonts w:asciiTheme="majorBidi" w:hAnsiTheme="majorBidi" w:cstheme="majorBidi"/>
          <w:sz w:val="20"/>
          <w:szCs w:val="20"/>
        </w:rPr>
        <w:tab/>
        <w:t>Estudios experimentales en seres humanos, como ensayos epicutáneos predictivos, HRIPT o HMT (véanse el párrafo 1.3.2.4.7, los criterios indicados en 3.4.2.2.2.2 a) y 3.4.2.2.2.3 a) y las orientaciones que figuran en 3.4.5.3.2);</w:t>
      </w:r>
    </w:p>
    <w:p w14:paraId="7A2D928A" w14:textId="77777777" w:rsidR="008B6A70" w:rsidRPr="00FC4465" w:rsidRDefault="008B6A70" w:rsidP="0097739B">
      <w:pPr>
        <w:pStyle w:val="NormalWeb"/>
        <w:tabs>
          <w:tab w:val="left" w:pos="3402"/>
        </w:tabs>
        <w:spacing w:after="120"/>
        <w:ind w:left="2835" w:right="1134" w:hanging="567"/>
        <w:jc w:val="both"/>
        <w:rPr>
          <w:rFonts w:asciiTheme="majorBidi" w:hAnsiTheme="majorBidi" w:cstheme="majorBidi"/>
          <w:snapToGrid w:val="0"/>
          <w:sz w:val="20"/>
          <w:szCs w:val="20"/>
        </w:rPr>
      </w:pPr>
      <w:r w:rsidRPr="00FC4465">
        <w:rPr>
          <w:rFonts w:asciiTheme="majorBidi" w:hAnsiTheme="majorBidi" w:cstheme="majorBidi"/>
          <w:sz w:val="20"/>
          <w:szCs w:val="20"/>
        </w:rPr>
        <w:t>b)</w:t>
      </w:r>
      <w:r w:rsidRPr="00FC4465">
        <w:rPr>
          <w:rFonts w:asciiTheme="majorBidi" w:hAnsiTheme="majorBidi" w:cstheme="majorBidi"/>
          <w:sz w:val="20"/>
          <w:szCs w:val="20"/>
        </w:rPr>
        <w:tab/>
        <w:t>Estudios epidemiológicos (como estudios de confirmación de casos o estudios prospectivos) que evalúen la dermatitis alérgica de contacto (véanse el párrafo 1.3.2.4.7, los criterios indicados en 3.4.2.2.2.2 b) y c) y en 3.4.2.2.2.3 b) y c), y las orientaciones que figuran en 3.4.5.3.2);</w:t>
      </w:r>
    </w:p>
    <w:p w14:paraId="415BABAC" w14:textId="77777777" w:rsidR="008B6A70" w:rsidRPr="00FC4465" w:rsidRDefault="008B6A70" w:rsidP="0097739B">
      <w:pPr>
        <w:pStyle w:val="NormalWeb"/>
        <w:tabs>
          <w:tab w:val="left" w:pos="3402"/>
        </w:tabs>
        <w:spacing w:after="120"/>
        <w:ind w:left="2835" w:right="1134" w:hanging="567"/>
        <w:jc w:val="both"/>
        <w:rPr>
          <w:rFonts w:asciiTheme="majorBidi" w:hAnsiTheme="majorBidi" w:cstheme="majorBidi"/>
          <w:snapToGrid w:val="0"/>
          <w:sz w:val="20"/>
          <w:szCs w:val="20"/>
        </w:rPr>
      </w:pPr>
      <w:r w:rsidRPr="00FC4465">
        <w:rPr>
          <w:rFonts w:asciiTheme="majorBidi" w:hAnsiTheme="majorBidi" w:cstheme="majorBidi"/>
          <w:sz w:val="20"/>
          <w:szCs w:val="20"/>
        </w:rPr>
        <w:t>c)</w:t>
      </w:r>
      <w:r w:rsidRPr="00FC4465">
        <w:rPr>
          <w:rFonts w:asciiTheme="majorBidi" w:hAnsiTheme="majorBidi" w:cstheme="majorBidi"/>
          <w:sz w:val="20"/>
          <w:szCs w:val="20"/>
        </w:rPr>
        <w:tab/>
        <w:t>Casos bien documentados de dermatitis alérgica de contacto (véanse los criterios indicados en 3.4.2.2.2.2 b) y 3.4.2.2.2.3 b), y las orientaciones que figuran en 3.4.5.3.2);</w:t>
      </w:r>
    </w:p>
    <w:p w14:paraId="74D5C2EB" w14:textId="7C18528B" w:rsidR="008B6A70" w:rsidRPr="00FC4465" w:rsidRDefault="008B6A70" w:rsidP="0097739B">
      <w:pPr>
        <w:pStyle w:val="NormalWeb"/>
        <w:tabs>
          <w:tab w:val="left" w:pos="3402"/>
        </w:tabs>
        <w:spacing w:after="120"/>
        <w:ind w:left="2835" w:right="1134" w:hanging="567"/>
        <w:jc w:val="both"/>
        <w:rPr>
          <w:rFonts w:asciiTheme="majorBidi" w:hAnsiTheme="majorBidi" w:cstheme="majorBidi"/>
          <w:snapToGrid w:val="0"/>
          <w:sz w:val="20"/>
          <w:szCs w:val="20"/>
        </w:rPr>
      </w:pPr>
      <w:r w:rsidRPr="00FC4465">
        <w:rPr>
          <w:rFonts w:asciiTheme="majorBidi" w:hAnsiTheme="majorBidi" w:cstheme="majorBidi"/>
          <w:sz w:val="20"/>
          <w:szCs w:val="20"/>
        </w:rPr>
        <w:t>d)</w:t>
      </w:r>
      <w:r w:rsidRPr="00FC4465">
        <w:rPr>
          <w:rFonts w:asciiTheme="majorBidi" w:hAnsiTheme="majorBidi" w:cstheme="majorBidi"/>
          <w:sz w:val="20"/>
          <w:szCs w:val="20"/>
        </w:rPr>
        <w:tab/>
        <w:t>Estudios adecuados en animales (véanse los criterios indicados en</w:t>
      </w:r>
      <w:r w:rsidR="002A21D5">
        <w:rPr>
          <w:rFonts w:asciiTheme="majorBidi" w:hAnsiTheme="majorBidi" w:cstheme="majorBidi"/>
          <w:sz w:val="20"/>
          <w:szCs w:val="20"/>
        </w:rPr>
        <w:t> </w:t>
      </w:r>
      <w:r w:rsidRPr="00FC4465">
        <w:rPr>
          <w:rFonts w:asciiTheme="majorBidi" w:hAnsiTheme="majorBidi" w:cstheme="majorBidi"/>
          <w:sz w:val="20"/>
          <w:szCs w:val="20"/>
        </w:rPr>
        <w:t>3.4.2.2.3 y las orientaciones que figuran en 3.4.5.3.3);</w:t>
      </w:r>
    </w:p>
    <w:p w14:paraId="47A39E9E" w14:textId="0EA89E0D" w:rsidR="008B6A70" w:rsidRPr="00FC4465" w:rsidRDefault="008B6A70" w:rsidP="0097739B">
      <w:pPr>
        <w:pStyle w:val="NormalWeb"/>
        <w:tabs>
          <w:tab w:val="left" w:pos="3402"/>
        </w:tabs>
        <w:spacing w:after="120"/>
        <w:ind w:left="2835" w:right="1134" w:hanging="567"/>
        <w:jc w:val="both"/>
        <w:rPr>
          <w:rFonts w:asciiTheme="majorBidi" w:hAnsiTheme="majorBidi" w:cstheme="majorBidi"/>
          <w:snapToGrid w:val="0"/>
          <w:sz w:val="20"/>
          <w:szCs w:val="20"/>
        </w:rPr>
      </w:pPr>
      <w:r w:rsidRPr="00FC4465">
        <w:rPr>
          <w:rFonts w:asciiTheme="majorBidi" w:hAnsiTheme="majorBidi" w:cstheme="majorBidi"/>
          <w:sz w:val="20"/>
          <w:szCs w:val="20"/>
        </w:rPr>
        <w:t>e)</w:t>
      </w:r>
      <w:r w:rsidRPr="00FC4465">
        <w:rPr>
          <w:rFonts w:asciiTheme="majorBidi" w:hAnsiTheme="majorBidi" w:cstheme="majorBidi"/>
          <w:sz w:val="20"/>
          <w:szCs w:val="20"/>
        </w:rPr>
        <w:tab/>
        <w:t>Enfoques definidos validados con arreglo a procedimientos internacionales (véanse 3.4.2.2.4, las orientaciones que figuran en</w:t>
      </w:r>
      <w:r w:rsidR="002A21D5">
        <w:rPr>
          <w:rFonts w:asciiTheme="majorBidi" w:hAnsiTheme="majorBidi" w:cstheme="majorBidi"/>
          <w:sz w:val="20"/>
          <w:szCs w:val="20"/>
        </w:rPr>
        <w:t> </w:t>
      </w:r>
      <w:r w:rsidRPr="00FC4465">
        <w:rPr>
          <w:rFonts w:asciiTheme="majorBidi" w:hAnsiTheme="majorBidi" w:cstheme="majorBidi"/>
          <w:sz w:val="20"/>
          <w:szCs w:val="20"/>
        </w:rPr>
        <w:t>3.4.5.3.4 y la tabla 3.4.7);</w:t>
      </w:r>
    </w:p>
    <w:p w14:paraId="6B08E6F1" w14:textId="6CB5C9FC" w:rsidR="008B6A70" w:rsidRPr="00FC4465" w:rsidRDefault="008B6A70" w:rsidP="0097739B">
      <w:pPr>
        <w:pStyle w:val="NormalWeb"/>
        <w:tabs>
          <w:tab w:val="left" w:pos="3402"/>
        </w:tabs>
        <w:spacing w:after="120"/>
        <w:ind w:left="2835" w:right="1134" w:hanging="567"/>
        <w:jc w:val="both"/>
        <w:rPr>
          <w:rFonts w:asciiTheme="majorBidi" w:hAnsiTheme="majorBidi" w:cstheme="majorBidi"/>
          <w:snapToGrid w:val="0"/>
          <w:sz w:val="20"/>
          <w:szCs w:val="20"/>
        </w:rPr>
      </w:pPr>
      <w:r w:rsidRPr="00FC4465">
        <w:rPr>
          <w:rFonts w:asciiTheme="majorBidi" w:hAnsiTheme="majorBidi" w:cstheme="majorBidi"/>
          <w:sz w:val="20"/>
          <w:szCs w:val="20"/>
        </w:rPr>
        <w:t>f)</w:t>
      </w:r>
      <w:r w:rsidRPr="00FC4465">
        <w:rPr>
          <w:rFonts w:asciiTheme="majorBidi" w:hAnsiTheme="majorBidi" w:cstheme="majorBidi"/>
          <w:sz w:val="20"/>
          <w:szCs w:val="20"/>
        </w:rPr>
        <w:tab/>
        <w:t xml:space="preserve">Métodos </w:t>
      </w:r>
      <w:r w:rsidRPr="00FC4465">
        <w:rPr>
          <w:rFonts w:asciiTheme="majorBidi" w:hAnsiTheme="majorBidi" w:cstheme="majorBidi"/>
          <w:i/>
          <w:iCs/>
          <w:sz w:val="20"/>
          <w:szCs w:val="20"/>
        </w:rPr>
        <w:t>in</w:t>
      </w:r>
      <w:r w:rsidR="0081160D">
        <w:rPr>
          <w:rFonts w:asciiTheme="majorBidi" w:hAnsiTheme="majorBidi" w:cstheme="majorBidi"/>
          <w:i/>
          <w:iCs/>
          <w:sz w:val="20"/>
          <w:szCs w:val="20"/>
        </w:rPr>
        <w:t> chemico</w:t>
      </w:r>
      <w:r w:rsidRPr="00FC4465">
        <w:rPr>
          <w:rFonts w:asciiTheme="majorBidi" w:hAnsiTheme="majorBidi" w:cstheme="majorBidi"/>
          <w:sz w:val="20"/>
          <w:szCs w:val="20"/>
        </w:rPr>
        <w:t>/</w:t>
      </w:r>
      <w:r w:rsidR="00762E66">
        <w:rPr>
          <w:rFonts w:asciiTheme="majorBidi" w:hAnsiTheme="majorBidi" w:cstheme="majorBidi"/>
          <w:i/>
          <w:iCs/>
          <w:sz w:val="20"/>
          <w:szCs w:val="20"/>
        </w:rPr>
        <w:t>in vitro</w:t>
      </w:r>
      <w:r w:rsidRPr="00FC4465">
        <w:rPr>
          <w:rFonts w:asciiTheme="majorBidi" w:hAnsiTheme="majorBidi" w:cstheme="majorBidi"/>
          <w:sz w:val="20"/>
          <w:szCs w:val="20"/>
        </w:rPr>
        <w:t xml:space="preserve"> autónomos validados con arreglo a procedimientos internacionales (véanse 3.4.2.2.5, las orientaciones que figuran en 3.4.5.3.5 y la tabla 3.4.8).</w:t>
      </w:r>
    </w:p>
    <w:p w14:paraId="4F9099B2" w14:textId="5D870D33" w:rsidR="008B6A70" w:rsidRPr="00FC4465" w:rsidRDefault="008B6A70" w:rsidP="0097739B">
      <w:pPr>
        <w:keepNext/>
        <w:keepLines/>
        <w:tabs>
          <w:tab w:val="left" w:pos="3402"/>
        </w:tabs>
        <w:spacing w:after="120"/>
        <w:ind w:left="2268" w:right="1134"/>
        <w:jc w:val="both"/>
        <w:rPr>
          <w:rFonts w:asciiTheme="majorBidi" w:hAnsiTheme="majorBidi" w:cstheme="majorBidi"/>
        </w:rPr>
      </w:pPr>
      <w:r w:rsidRPr="00FC4465">
        <w:rPr>
          <w:rFonts w:asciiTheme="majorBidi" w:hAnsiTheme="majorBidi" w:cstheme="majorBidi"/>
        </w:rPr>
        <w:t xml:space="preserve">3.4.2.2.7.3 </w:t>
      </w:r>
      <w:r w:rsidRPr="00FC4465">
        <w:rPr>
          <w:rFonts w:asciiTheme="majorBidi" w:hAnsiTheme="majorBidi" w:cstheme="majorBidi"/>
        </w:rPr>
        <w:tab/>
        <w:t xml:space="preserve">Etapa 2 </w:t>
      </w:r>
      <w:r w:rsidR="00D07706">
        <w:rPr>
          <w:rFonts w:asciiTheme="majorBidi" w:hAnsiTheme="majorBidi" w:cstheme="majorBidi"/>
        </w:rPr>
        <w:t>–</w:t>
      </w:r>
      <w:r w:rsidRPr="00FC4465">
        <w:rPr>
          <w:rFonts w:asciiTheme="majorBidi" w:hAnsiTheme="majorBidi" w:cstheme="majorBidi"/>
        </w:rPr>
        <w:t xml:space="preserve"> Clasificación basada en datos no concluyentes de la etapa 1, métodos </w:t>
      </w:r>
      <w:r w:rsidRPr="00FC4465">
        <w:rPr>
          <w:rFonts w:asciiTheme="majorBidi" w:hAnsiTheme="majorBidi" w:cstheme="majorBidi"/>
          <w:i/>
          <w:iCs/>
        </w:rPr>
        <w:t>in</w:t>
      </w:r>
      <w:r w:rsidR="0081160D">
        <w:rPr>
          <w:rFonts w:asciiTheme="majorBidi" w:hAnsiTheme="majorBidi" w:cstheme="majorBidi"/>
          <w:i/>
          <w:iCs/>
        </w:rPr>
        <w:t> chemico</w:t>
      </w:r>
      <w:r w:rsidRPr="00FC4465">
        <w:rPr>
          <w:rFonts w:asciiTheme="majorBidi" w:hAnsiTheme="majorBidi" w:cstheme="majorBidi"/>
        </w:rPr>
        <w:t>/</w:t>
      </w:r>
      <w:r w:rsidR="00762E66">
        <w:rPr>
          <w:rFonts w:asciiTheme="majorBidi" w:hAnsiTheme="majorBidi" w:cstheme="majorBidi"/>
          <w:i/>
          <w:iCs/>
        </w:rPr>
        <w:t>in vitro</w:t>
      </w:r>
      <w:r w:rsidRPr="00FC4465">
        <w:rPr>
          <w:rFonts w:asciiTheme="majorBidi" w:hAnsiTheme="majorBidi" w:cstheme="majorBidi"/>
        </w:rPr>
        <w:t xml:space="preserve"> no autónomos o métodos distintos de los ensayos. </w:t>
      </w:r>
    </w:p>
    <w:p w14:paraId="79651C19" w14:textId="77777777" w:rsidR="008B6A70" w:rsidRPr="00FC4465" w:rsidRDefault="008B6A70" w:rsidP="0097739B">
      <w:pPr>
        <w:keepNext/>
        <w:keepLines/>
        <w:tabs>
          <w:tab w:val="left" w:pos="3402"/>
        </w:tabs>
        <w:spacing w:after="120"/>
        <w:ind w:left="2268" w:right="1134"/>
        <w:jc w:val="both"/>
        <w:rPr>
          <w:rFonts w:asciiTheme="majorBidi" w:hAnsiTheme="majorBidi" w:cstheme="majorBidi"/>
        </w:rPr>
      </w:pPr>
      <w:r w:rsidRPr="00FC4465">
        <w:rPr>
          <w:rFonts w:asciiTheme="majorBidi" w:hAnsiTheme="majorBidi" w:cstheme="majorBidi"/>
        </w:rPr>
        <w:tab/>
        <w:t>En caso de que no pueda extraerse de la etapa 1 una conclusión definitiva sobre la clasificación, incluida la subcategorización cuando así lo exija una autoridad competente, se tendrán en cuenta otras fuentes de datos en la evaluación del peso de las pruebas de la etapa 2. Entre dichas fuentes pueden figurar:</w:t>
      </w:r>
    </w:p>
    <w:p w14:paraId="36F3F480" w14:textId="468936AB" w:rsidR="008B6A70" w:rsidRPr="00FC4465" w:rsidRDefault="008B6A70" w:rsidP="0097739B">
      <w:pPr>
        <w:pStyle w:val="NormalWeb"/>
        <w:tabs>
          <w:tab w:val="left" w:pos="3402"/>
        </w:tabs>
        <w:spacing w:after="120"/>
        <w:ind w:left="2835" w:right="1134" w:hanging="567"/>
        <w:jc w:val="both"/>
        <w:rPr>
          <w:rFonts w:asciiTheme="majorBidi" w:hAnsiTheme="majorBidi" w:cstheme="majorBidi"/>
          <w:snapToGrid w:val="0"/>
          <w:sz w:val="20"/>
          <w:szCs w:val="20"/>
        </w:rPr>
      </w:pPr>
      <w:r w:rsidRPr="00FC4465">
        <w:rPr>
          <w:rFonts w:asciiTheme="majorBidi" w:hAnsiTheme="majorBidi" w:cstheme="majorBidi"/>
          <w:sz w:val="20"/>
          <w:szCs w:val="20"/>
        </w:rPr>
        <w:t>a)</w:t>
      </w:r>
      <w:r w:rsidRPr="00FC4465">
        <w:rPr>
          <w:rFonts w:asciiTheme="majorBidi" w:hAnsiTheme="majorBidi" w:cstheme="majorBidi"/>
          <w:sz w:val="20"/>
          <w:szCs w:val="20"/>
        </w:rPr>
        <w:tab/>
        <w:t xml:space="preserve">Datos procedentes de métodos </w:t>
      </w:r>
      <w:r w:rsidRPr="00FC4465">
        <w:rPr>
          <w:rFonts w:asciiTheme="majorBidi" w:hAnsiTheme="majorBidi" w:cstheme="majorBidi"/>
          <w:i/>
          <w:iCs/>
          <w:sz w:val="20"/>
          <w:szCs w:val="20"/>
        </w:rPr>
        <w:t>in</w:t>
      </w:r>
      <w:r w:rsidR="0081160D">
        <w:rPr>
          <w:rFonts w:asciiTheme="majorBidi" w:hAnsiTheme="majorBidi" w:cstheme="majorBidi"/>
          <w:i/>
          <w:iCs/>
          <w:sz w:val="20"/>
          <w:szCs w:val="20"/>
        </w:rPr>
        <w:t> chemico</w:t>
      </w:r>
      <w:r w:rsidRPr="00FC4465">
        <w:rPr>
          <w:rFonts w:asciiTheme="majorBidi" w:hAnsiTheme="majorBidi" w:cstheme="majorBidi"/>
          <w:sz w:val="20"/>
          <w:szCs w:val="20"/>
        </w:rPr>
        <w:t>/</w:t>
      </w:r>
      <w:r w:rsidR="00762E66">
        <w:rPr>
          <w:rFonts w:asciiTheme="majorBidi" w:hAnsiTheme="majorBidi" w:cstheme="majorBidi"/>
          <w:i/>
          <w:iCs/>
          <w:sz w:val="20"/>
          <w:szCs w:val="20"/>
        </w:rPr>
        <w:t>in vitro</w:t>
      </w:r>
      <w:r w:rsidRPr="00FC4465">
        <w:rPr>
          <w:rFonts w:asciiTheme="majorBidi" w:hAnsiTheme="majorBidi" w:cstheme="majorBidi"/>
          <w:sz w:val="20"/>
          <w:szCs w:val="20"/>
        </w:rPr>
        <w:t xml:space="preserve"> no autónomos (véanse 3.4.2.2.5 y 3.4.5.3.5);</w:t>
      </w:r>
    </w:p>
    <w:p w14:paraId="47F7B16F" w14:textId="7B7404F3" w:rsidR="008B6A70" w:rsidRPr="00FC4465" w:rsidRDefault="008B6A70" w:rsidP="0097739B">
      <w:pPr>
        <w:pStyle w:val="NormalWeb"/>
        <w:tabs>
          <w:tab w:val="left" w:pos="3402"/>
        </w:tabs>
        <w:spacing w:after="120"/>
        <w:ind w:left="2835" w:right="1134" w:hanging="567"/>
        <w:jc w:val="both"/>
        <w:rPr>
          <w:rFonts w:asciiTheme="majorBidi" w:hAnsiTheme="majorBidi" w:cstheme="majorBidi"/>
          <w:snapToGrid w:val="0"/>
          <w:sz w:val="20"/>
          <w:szCs w:val="20"/>
        </w:rPr>
      </w:pPr>
      <w:r w:rsidRPr="00FC4465">
        <w:rPr>
          <w:rFonts w:asciiTheme="majorBidi" w:hAnsiTheme="majorBidi" w:cstheme="majorBidi"/>
          <w:sz w:val="20"/>
          <w:szCs w:val="20"/>
        </w:rPr>
        <w:t>b)</w:t>
      </w:r>
      <w:r w:rsidRPr="00FC4465">
        <w:rPr>
          <w:rFonts w:asciiTheme="majorBidi" w:hAnsiTheme="majorBidi" w:cstheme="majorBidi"/>
          <w:sz w:val="20"/>
          <w:szCs w:val="20"/>
        </w:rPr>
        <w:tab/>
        <w:t>Datos procedentes de métodos distintos de los ensayos (véase</w:t>
      </w:r>
      <w:r w:rsidR="002A21D5">
        <w:rPr>
          <w:rFonts w:asciiTheme="majorBidi" w:hAnsiTheme="majorBidi" w:cstheme="majorBidi"/>
          <w:sz w:val="20"/>
          <w:szCs w:val="20"/>
        </w:rPr>
        <w:t> </w:t>
      </w:r>
      <w:r w:rsidRPr="00FC4465">
        <w:rPr>
          <w:rFonts w:asciiTheme="majorBidi" w:hAnsiTheme="majorBidi" w:cstheme="majorBidi"/>
          <w:sz w:val="20"/>
          <w:szCs w:val="20"/>
        </w:rPr>
        <w:t>3.4.2.2.6);</w:t>
      </w:r>
    </w:p>
    <w:p w14:paraId="045ECE7D" w14:textId="263F6F9A" w:rsidR="008B6A70" w:rsidRPr="00FC4465" w:rsidRDefault="008B6A70" w:rsidP="0097739B">
      <w:pPr>
        <w:keepNext/>
        <w:keepLines/>
        <w:tabs>
          <w:tab w:val="left" w:pos="2835"/>
        </w:tabs>
        <w:spacing w:after="120"/>
        <w:ind w:left="2268" w:right="1134"/>
        <w:jc w:val="both"/>
        <w:rPr>
          <w:rFonts w:asciiTheme="majorBidi" w:hAnsiTheme="majorBidi" w:cstheme="majorBidi"/>
        </w:rPr>
      </w:pPr>
      <w:r w:rsidRPr="00FC4465">
        <w:rPr>
          <w:rFonts w:asciiTheme="majorBidi" w:hAnsiTheme="majorBidi" w:cstheme="majorBidi"/>
        </w:rPr>
        <w:lastRenderedPageBreak/>
        <w:t>3.4.2.2.7.4</w:t>
      </w:r>
      <w:r w:rsidRPr="00FC4465">
        <w:rPr>
          <w:rFonts w:asciiTheme="majorBidi" w:hAnsiTheme="majorBidi" w:cstheme="majorBidi"/>
        </w:rPr>
        <w:tab/>
        <w:t xml:space="preserve">Los elementos de prueba procedentes de métodos </w:t>
      </w:r>
      <w:r w:rsidRPr="00FC4465">
        <w:rPr>
          <w:rFonts w:asciiTheme="majorBidi" w:hAnsiTheme="majorBidi" w:cstheme="majorBidi"/>
          <w:i/>
          <w:iCs/>
        </w:rPr>
        <w:t>in</w:t>
      </w:r>
      <w:r w:rsidR="0081160D">
        <w:rPr>
          <w:rFonts w:asciiTheme="majorBidi" w:hAnsiTheme="majorBidi" w:cstheme="majorBidi"/>
          <w:i/>
          <w:iCs/>
        </w:rPr>
        <w:t> chemico</w:t>
      </w:r>
      <w:r w:rsidRPr="00FC4465">
        <w:rPr>
          <w:rFonts w:asciiTheme="majorBidi" w:hAnsiTheme="majorBidi" w:cstheme="majorBidi"/>
        </w:rPr>
        <w:t>/</w:t>
      </w:r>
      <w:r w:rsidR="00762E66">
        <w:rPr>
          <w:rFonts w:asciiTheme="majorBidi" w:hAnsiTheme="majorBidi" w:cstheme="majorBidi"/>
          <w:i/>
          <w:iCs/>
        </w:rPr>
        <w:t>in vitro</w:t>
      </w:r>
      <w:r w:rsidRPr="00FC4465">
        <w:rPr>
          <w:rFonts w:asciiTheme="majorBidi" w:hAnsiTheme="majorBidi" w:cstheme="majorBidi"/>
        </w:rPr>
        <w:t xml:space="preserve"> no autónomos y de métodos distintos de los ensayos no deberían tenerse en cuenta en esta etapa si los mismos datos ya se utilizan en un enfoque definido con arreglo a 3.4.2.2.7.2. </w:t>
      </w:r>
    </w:p>
    <w:p w14:paraId="442438BF" w14:textId="60D88EC5" w:rsidR="008B6A70" w:rsidRPr="00FC4465" w:rsidRDefault="008B6A70" w:rsidP="0097739B">
      <w:pPr>
        <w:tabs>
          <w:tab w:val="left" w:pos="2835"/>
        </w:tabs>
        <w:spacing w:after="120"/>
        <w:ind w:left="2268" w:right="1134"/>
        <w:jc w:val="both"/>
        <w:rPr>
          <w:rFonts w:asciiTheme="majorBidi" w:hAnsiTheme="majorBidi" w:cstheme="majorBidi"/>
          <w:iCs/>
        </w:rPr>
      </w:pPr>
      <w:r w:rsidRPr="00FC4465">
        <w:rPr>
          <w:rFonts w:asciiTheme="majorBidi" w:hAnsiTheme="majorBidi" w:cstheme="majorBidi"/>
        </w:rPr>
        <w:t>3.4.2.2.7.5</w:t>
      </w:r>
      <w:r w:rsidRPr="00FC4465">
        <w:rPr>
          <w:rFonts w:asciiTheme="majorBidi" w:hAnsiTheme="majorBidi" w:cstheme="majorBidi"/>
        </w:rPr>
        <w:tab/>
        <w:t xml:space="preserve">Los métodos </w:t>
      </w:r>
      <w:r w:rsidRPr="00FC4465">
        <w:rPr>
          <w:rFonts w:asciiTheme="majorBidi" w:hAnsiTheme="majorBidi" w:cstheme="majorBidi"/>
          <w:i/>
          <w:iCs/>
        </w:rPr>
        <w:t>in</w:t>
      </w:r>
      <w:r w:rsidR="0081160D">
        <w:rPr>
          <w:rFonts w:asciiTheme="majorBidi" w:hAnsiTheme="majorBidi" w:cstheme="majorBidi"/>
          <w:i/>
          <w:iCs/>
        </w:rPr>
        <w:t> chemico</w:t>
      </w:r>
      <w:r w:rsidRPr="00FC4465">
        <w:rPr>
          <w:rFonts w:asciiTheme="majorBidi" w:hAnsiTheme="majorBidi" w:cstheme="majorBidi"/>
        </w:rPr>
        <w:t>/</w:t>
      </w:r>
      <w:r w:rsidR="00762E66">
        <w:rPr>
          <w:rFonts w:asciiTheme="majorBidi" w:hAnsiTheme="majorBidi" w:cstheme="majorBidi"/>
          <w:i/>
          <w:iCs/>
        </w:rPr>
        <w:t>in vitro</w:t>
      </w:r>
      <w:r w:rsidRPr="00FC4465">
        <w:rPr>
          <w:rFonts w:asciiTheme="majorBidi" w:hAnsiTheme="majorBidi" w:cstheme="majorBidi"/>
        </w:rPr>
        <w:t xml:space="preserve"> no autónomos validados con arreglo a procedimientos internacionales y los métodos distintos de los ensayos (incluida la extrapolación de propiedades por similitud estructural) pueden utilizarse en una evaluación del peso de las pruebas junto con datos no concluyentes procedentes de la etapa 1 y deberían emplearse en esta segunda etapa, ya que por regla general no pueden utilizarse por sí solos (a excepción de la extrapolación de propiedades por similitud estructural de buena calidad). No obstante, una autoridad competente podrá decidir si un resultado positivo obtenido con uno de estos métodos </w:t>
      </w:r>
      <w:r w:rsidRPr="00FC4465">
        <w:rPr>
          <w:rFonts w:asciiTheme="majorBidi" w:hAnsiTheme="majorBidi" w:cstheme="majorBidi"/>
          <w:i/>
          <w:iCs/>
        </w:rPr>
        <w:t>in</w:t>
      </w:r>
      <w:r w:rsidR="0081160D">
        <w:rPr>
          <w:rFonts w:asciiTheme="majorBidi" w:hAnsiTheme="majorBidi" w:cstheme="majorBidi"/>
          <w:i/>
          <w:iCs/>
        </w:rPr>
        <w:t> chemico</w:t>
      </w:r>
      <w:r w:rsidRPr="00FC4465">
        <w:rPr>
          <w:rFonts w:asciiTheme="majorBidi" w:hAnsiTheme="majorBidi" w:cstheme="majorBidi"/>
        </w:rPr>
        <w:t>/</w:t>
      </w:r>
      <w:r w:rsidR="00762E66">
        <w:rPr>
          <w:rFonts w:asciiTheme="majorBidi" w:hAnsiTheme="majorBidi" w:cstheme="majorBidi"/>
          <w:i/>
          <w:iCs/>
        </w:rPr>
        <w:t>in vitro</w:t>
      </w:r>
      <w:r w:rsidRPr="00FC4465">
        <w:rPr>
          <w:rFonts w:asciiTheme="majorBidi" w:hAnsiTheme="majorBidi" w:cstheme="majorBidi"/>
        </w:rPr>
        <w:t xml:space="preserve"> no autónomos se puede utilizar por sí solo para la clasificación en la categoría 1 (véase la tabla 3.4.8).</w:t>
      </w:r>
    </w:p>
    <w:p w14:paraId="3CA1DF17" w14:textId="322AE6B7" w:rsidR="008B6A70" w:rsidRPr="00FC4465" w:rsidRDefault="008B6A70" w:rsidP="0097739B">
      <w:pPr>
        <w:tabs>
          <w:tab w:val="left" w:pos="2835"/>
        </w:tabs>
        <w:spacing w:after="120"/>
        <w:ind w:left="2268" w:right="1134"/>
        <w:jc w:val="both"/>
        <w:rPr>
          <w:rFonts w:asciiTheme="majorBidi" w:hAnsiTheme="majorBidi" w:cstheme="majorBidi"/>
        </w:rPr>
      </w:pPr>
      <w:r w:rsidRPr="00FC4465">
        <w:rPr>
          <w:rFonts w:asciiTheme="majorBidi" w:hAnsiTheme="majorBidi" w:cstheme="majorBidi"/>
        </w:rPr>
        <w:t>3.4.2.2.7.6</w:t>
      </w:r>
      <w:r w:rsidRPr="00FC4465">
        <w:rPr>
          <w:rFonts w:asciiTheme="majorBidi" w:hAnsiTheme="majorBidi" w:cstheme="majorBidi"/>
        </w:rPr>
        <w:tab/>
        <w:t xml:space="preserve">Etapa 3 </w:t>
      </w:r>
      <w:r w:rsidR="0097739B" w:rsidRPr="00FC4465">
        <w:rPr>
          <w:rFonts w:asciiTheme="majorBidi" w:hAnsiTheme="majorBidi" w:cstheme="majorBidi"/>
        </w:rPr>
        <w:t>–</w:t>
      </w:r>
      <w:r w:rsidRPr="00FC4465">
        <w:rPr>
          <w:rFonts w:asciiTheme="majorBidi" w:hAnsiTheme="majorBidi" w:cstheme="majorBidi"/>
        </w:rPr>
        <w:t xml:space="preserve"> Clasificación basada en una evaluación del peso total de las pruebas, incluidos los indicadores adicionales </w:t>
      </w:r>
    </w:p>
    <w:p w14:paraId="28F837D2" w14:textId="77777777" w:rsidR="008B6A70" w:rsidRPr="00FC4465" w:rsidRDefault="008B6A70" w:rsidP="0097739B">
      <w:pPr>
        <w:tabs>
          <w:tab w:val="left" w:pos="3402"/>
        </w:tabs>
        <w:spacing w:after="120"/>
        <w:ind w:left="2268" w:right="1134"/>
        <w:jc w:val="both"/>
        <w:rPr>
          <w:rFonts w:asciiTheme="majorBidi" w:hAnsiTheme="majorBidi" w:cstheme="majorBidi"/>
          <w:strike/>
        </w:rPr>
      </w:pPr>
      <w:r w:rsidRPr="00FC4465">
        <w:rPr>
          <w:rFonts w:asciiTheme="majorBidi" w:hAnsiTheme="majorBidi" w:cstheme="majorBidi"/>
        </w:rPr>
        <w:tab/>
        <w:t xml:space="preserve">En caso de que no pueda extraerse de las etapas anteriores una conclusión definitiva sobre la clasificación, incluida la subcategorización cuando así lo exija una autoridad competente, debería realizarse una evaluación del peso total de las pruebas que cuente con la opinión de expertos, en la que se puede tener en cuenta una combinación de dos o más indicadores de sensibilización cutánea, como los que figuran a continuación: </w:t>
      </w:r>
    </w:p>
    <w:p w14:paraId="55822B2F" w14:textId="77777777" w:rsidR="008B6A70" w:rsidRPr="00FC4465" w:rsidRDefault="008B6A70" w:rsidP="0097739B">
      <w:pPr>
        <w:pStyle w:val="NormalWeb"/>
        <w:tabs>
          <w:tab w:val="left" w:pos="3402"/>
        </w:tabs>
        <w:spacing w:after="120"/>
        <w:ind w:left="2835" w:right="1134" w:hanging="567"/>
        <w:jc w:val="both"/>
        <w:rPr>
          <w:rFonts w:asciiTheme="majorBidi" w:hAnsiTheme="majorBidi" w:cstheme="majorBidi"/>
          <w:snapToGrid w:val="0"/>
          <w:sz w:val="20"/>
          <w:szCs w:val="20"/>
        </w:rPr>
      </w:pPr>
      <w:r w:rsidRPr="00FC4465">
        <w:rPr>
          <w:rFonts w:asciiTheme="majorBidi" w:hAnsiTheme="majorBidi" w:cstheme="majorBidi"/>
          <w:sz w:val="20"/>
          <w:szCs w:val="20"/>
        </w:rPr>
        <w:t>a)</w:t>
      </w:r>
      <w:r w:rsidRPr="00FC4465">
        <w:rPr>
          <w:rFonts w:asciiTheme="majorBidi" w:hAnsiTheme="majorBidi" w:cstheme="majorBidi"/>
          <w:sz w:val="20"/>
          <w:szCs w:val="20"/>
        </w:rPr>
        <w:tab/>
        <w:t>Episodios aislados de dermatitis alérgica de contacto;</w:t>
      </w:r>
    </w:p>
    <w:p w14:paraId="7DBF973E" w14:textId="77777777" w:rsidR="008B6A70" w:rsidRPr="00FC4465" w:rsidRDefault="008B6A70" w:rsidP="0097739B">
      <w:pPr>
        <w:pStyle w:val="NormalWeb"/>
        <w:tabs>
          <w:tab w:val="left" w:pos="3402"/>
        </w:tabs>
        <w:spacing w:after="120"/>
        <w:ind w:left="2835" w:right="1134" w:hanging="567"/>
        <w:jc w:val="both"/>
        <w:rPr>
          <w:rFonts w:asciiTheme="majorBidi" w:hAnsiTheme="majorBidi" w:cstheme="majorBidi"/>
          <w:snapToGrid w:val="0"/>
          <w:sz w:val="20"/>
          <w:szCs w:val="20"/>
        </w:rPr>
      </w:pPr>
      <w:r w:rsidRPr="00FC4465">
        <w:rPr>
          <w:rFonts w:asciiTheme="majorBidi" w:hAnsiTheme="majorBidi" w:cstheme="majorBidi"/>
          <w:sz w:val="20"/>
          <w:szCs w:val="20"/>
        </w:rPr>
        <w:t>b)</w:t>
      </w:r>
      <w:r w:rsidRPr="00FC4465">
        <w:rPr>
          <w:rFonts w:asciiTheme="majorBidi" w:hAnsiTheme="majorBidi" w:cstheme="majorBidi"/>
          <w:sz w:val="20"/>
          <w:szCs w:val="20"/>
        </w:rPr>
        <w:tab/>
        <w:t>Estudios epidemiológicos de alcance limitado, por ejemplo cuando no cabe confiar razonablemente en que se hayan descartado totalmente casualidades, sesgos o factores de confusión;</w:t>
      </w:r>
    </w:p>
    <w:p w14:paraId="3A1A1850" w14:textId="77777777" w:rsidR="008B6A70" w:rsidRPr="00FC4465" w:rsidRDefault="008B6A70" w:rsidP="0097739B">
      <w:pPr>
        <w:pStyle w:val="NormalWeb"/>
        <w:tabs>
          <w:tab w:val="left" w:pos="3402"/>
        </w:tabs>
        <w:spacing w:after="120"/>
        <w:ind w:left="2835" w:right="1134" w:hanging="567"/>
        <w:jc w:val="both"/>
        <w:rPr>
          <w:rFonts w:asciiTheme="majorBidi" w:hAnsiTheme="majorBidi" w:cstheme="majorBidi"/>
          <w:snapToGrid w:val="0"/>
          <w:sz w:val="20"/>
          <w:szCs w:val="20"/>
        </w:rPr>
      </w:pPr>
      <w:r w:rsidRPr="00FC4465">
        <w:rPr>
          <w:rFonts w:asciiTheme="majorBidi" w:hAnsiTheme="majorBidi" w:cstheme="majorBidi"/>
          <w:sz w:val="20"/>
          <w:szCs w:val="20"/>
        </w:rPr>
        <w:t>c)</w:t>
      </w:r>
      <w:r w:rsidRPr="00FC4465">
        <w:rPr>
          <w:rFonts w:asciiTheme="majorBidi" w:hAnsiTheme="majorBidi" w:cstheme="majorBidi"/>
          <w:sz w:val="20"/>
          <w:szCs w:val="20"/>
        </w:rPr>
        <w:tab/>
        <w:t>Datos de ensayos en animales, efectuados con arreglo a las pautas existentes, que no cumplen los criterios sobre resultados positivos descritos en 3.4.2.2.3, pero que son lo bastante cercanos al límite para que se consideren significativos;</w:t>
      </w:r>
    </w:p>
    <w:p w14:paraId="16239965" w14:textId="77777777" w:rsidR="008B6A70" w:rsidRPr="00FC4465" w:rsidRDefault="008B6A70" w:rsidP="0097739B">
      <w:pPr>
        <w:pStyle w:val="NormalWeb"/>
        <w:tabs>
          <w:tab w:val="left" w:pos="3402"/>
        </w:tabs>
        <w:spacing w:after="120"/>
        <w:ind w:left="2835" w:right="1134" w:hanging="567"/>
        <w:jc w:val="both"/>
        <w:rPr>
          <w:rFonts w:asciiTheme="majorBidi" w:hAnsiTheme="majorBidi" w:cstheme="majorBidi"/>
          <w:snapToGrid w:val="0"/>
          <w:sz w:val="20"/>
          <w:szCs w:val="20"/>
        </w:rPr>
      </w:pPr>
      <w:r w:rsidRPr="00FC4465">
        <w:rPr>
          <w:rFonts w:asciiTheme="majorBidi" w:hAnsiTheme="majorBidi" w:cstheme="majorBidi"/>
          <w:sz w:val="20"/>
          <w:szCs w:val="20"/>
        </w:rPr>
        <w:t>d)</w:t>
      </w:r>
      <w:r w:rsidRPr="00FC4465">
        <w:rPr>
          <w:rFonts w:asciiTheme="majorBidi" w:hAnsiTheme="majorBidi" w:cstheme="majorBidi"/>
          <w:sz w:val="20"/>
          <w:szCs w:val="20"/>
        </w:rPr>
        <w:tab/>
        <w:t>Datos procedentes de métodos no normalizados.</w:t>
      </w:r>
    </w:p>
    <w:p w14:paraId="6EC0737B" w14:textId="605BC324" w:rsidR="008B6A70" w:rsidRPr="00FC4465" w:rsidRDefault="008B6A70" w:rsidP="0097739B">
      <w:pPr>
        <w:tabs>
          <w:tab w:val="left" w:pos="3402"/>
        </w:tabs>
        <w:spacing w:after="120"/>
        <w:ind w:left="2268" w:right="1134"/>
        <w:jc w:val="both"/>
        <w:rPr>
          <w:rFonts w:asciiTheme="majorBidi" w:eastAsiaTheme="minorEastAsia" w:hAnsiTheme="majorBidi" w:cstheme="majorBidi"/>
        </w:rPr>
      </w:pPr>
      <w:r w:rsidRPr="00FC4465">
        <w:rPr>
          <w:rFonts w:asciiTheme="majorBidi" w:hAnsiTheme="majorBidi" w:cstheme="majorBidi"/>
        </w:rPr>
        <w:t xml:space="preserve">3.4.2.2.7.7 </w:t>
      </w:r>
      <w:r w:rsidRPr="00FC4465">
        <w:rPr>
          <w:rFonts w:asciiTheme="majorBidi" w:hAnsiTheme="majorBidi" w:cstheme="majorBidi"/>
        </w:rPr>
        <w:tab/>
        <w:t>Cuando la información de las diferentes etapas es incoherente o contradictoria con la clasificación resultante, se da generalmente más peso a la información de suficiente calidad de una etapa superior que a la de una etapa inferior. Sin embargo, si la información de una etapa inferior da lugar a una clasificación más estricta que la información de la etapa superior y preocupa la posibilidad de una clasificación incorrecta, la conclusión se adoptará mediante una evaluación del peso total de las pruebas (por ejemplo, en la etapa</w:t>
      </w:r>
      <w:r w:rsidR="002A21D5">
        <w:rPr>
          <w:rFonts w:asciiTheme="majorBidi" w:hAnsiTheme="majorBidi" w:cstheme="majorBidi"/>
        </w:rPr>
        <w:t> </w:t>
      </w:r>
      <w:r w:rsidRPr="00FC4465">
        <w:rPr>
          <w:rFonts w:asciiTheme="majorBidi" w:hAnsiTheme="majorBidi" w:cstheme="majorBidi"/>
        </w:rPr>
        <w:t>3). Por ejemplo, los encargados de la clasificación que, habiendo consultado debidamente la orientación formulada en 3.4.5.3, estén preocupados por un resultado negativo con respecto a la sensibilización cutánea en un estudio de Buehler, siendo así que existe un resultado positivo claro en seres humanos para sustancias muy parecidas (por extrapolación de propiedades), deberán realizar una evaluación del peso total de las pruebas.</w:t>
      </w:r>
      <w:r w:rsidR="00D07706">
        <w:rPr>
          <w:rFonts w:asciiTheme="majorBidi" w:hAnsiTheme="majorBidi" w:cstheme="majorBidi"/>
        </w:rPr>
        <w:t>”.</w:t>
      </w:r>
    </w:p>
    <w:p w14:paraId="681B33F0" w14:textId="7F89AA8B" w:rsidR="008B6A70" w:rsidRPr="00FC4465" w:rsidRDefault="008B6A70" w:rsidP="0097739B">
      <w:pPr>
        <w:pStyle w:val="SingleTxtG"/>
        <w:tabs>
          <w:tab w:val="clear" w:pos="1701"/>
          <w:tab w:val="clear" w:pos="2835"/>
          <w:tab w:val="left" w:pos="3402"/>
        </w:tabs>
        <w:ind w:left="2268" w:hanging="1134"/>
        <w:rPr>
          <w:rFonts w:asciiTheme="majorBidi" w:hAnsiTheme="majorBidi" w:cstheme="majorBidi"/>
          <w:color w:val="000000" w:themeColor="text1"/>
        </w:rPr>
      </w:pPr>
      <w:r w:rsidRPr="00FC4465">
        <w:rPr>
          <w:rFonts w:asciiTheme="majorBidi" w:hAnsiTheme="majorBidi" w:cstheme="majorBidi"/>
        </w:rPr>
        <w:t>3.4.2.2.4.4</w:t>
      </w:r>
      <w:r w:rsidRPr="00FC4465">
        <w:rPr>
          <w:rFonts w:asciiTheme="majorBidi" w:hAnsiTheme="majorBidi" w:cstheme="majorBidi"/>
        </w:rPr>
        <w:tab/>
        <w:t>El actual epígrafe 3.4.2.2.4.4 (</w:t>
      </w:r>
      <w:r w:rsidR="008C5013" w:rsidRPr="00FC4465">
        <w:rPr>
          <w:rFonts w:asciiTheme="majorBidi" w:hAnsiTheme="majorBidi" w:cstheme="majorBidi"/>
        </w:rPr>
        <w:t>“</w:t>
      </w:r>
      <w:r w:rsidRPr="00FC4465">
        <w:rPr>
          <w:rFonts w:asciiTheme="majorBidi" w:hAnsiTheme="majorBidi" w:cstheme="majorBidi"/>
        </w:rPr>
        <w:t>Urticaria inmunológica de contacto</w:t>
      </w:r>
      <w:r w:rsidR="008C5013" w:rsidRPr="00FC4465">
        <w:rPr>
          <w:rFonts w:asciiTheme="majorBidi" w:hAnsiTheme="majorBidi" w:cstheme="majorBidi"/>
        </w:rPr>
        <w:t>”</w:t>
      </w:r>
      <w:r w:rsidRPr="00FC4465">
        <w:rPr>
          <w:rFonts w:asciiTheme="majorBidi" w:hAnsiTheme="majorBidi" w:cstheme="majorBidi"/>
        </w:rPr>
        <w:t>) pasa a ser la nueva sección 3.4.2.2.8. Renumérense los dos párrafos de este epígrafe como sigue:</w:t>
      </w:r>
    </w:p>
    <w:p w14:paraId="76A45A92" w14:textId="35FA04A9" w:rsidR="008B6A70" w:rsidRPr="00FC4465" w:rsidRDefault="008B6A70" w:rsidP="00850C79">
      <w:pPr>
        <w:pStyle w:val="SingleTxtG"/>
        <w:tabs>
          <w:tab w:val="clear" w:pos="1701"/>
          <w:tab w:val="clear" w:pos="2835"/>
          <w:tab w:val="left" w:pos="3402"/>
        </w:tabs>
        <w:ind w:left="3402" w:hanging="1134"/>
        <w:rPr>
          <w:rFonts w:asciiTheme="majorBidi" w:hAnsiTheme="majorBidi" w:cstheme="majorBidi"/>
          <w:color w:val="000000" w:themeColor="text1"/>
          <w:spacing w:val="-2"/>
        </w:rPr>
      </w:pPr>
      <w:r w:rsidRPr="00FC4465">
        <w:rPr>
          <w:rFonts w:asciiTheme="majorBidi" w:hAnsiTheme="majorBidi" w:cstheme="majorBidi"/>
          <w:spacing w:val="-2"/>
        </w:rPr>
        <w:t xml:space="preserve">3.4.2.2.8.1 </w:t>
      </w:r>
      <w:r w:rsidR="008C5013" w:rsidRPr="00FC4465">
        <w:rPr>
          <w:rFonts w:asciiTheme="majorBidi" w:hAnsiTheme="majorBidi" w:cstheme="majorBidi"/>
          <w:spacing w:val="-2"/>
        </w:rPr>
        <w:t>“</w:t>
      </w:r>
      <w:r w:rsidRPr="00FC4465">
        <w:rPr>
          <w:rFonts w:asciiTheme="majorBidi" w:hAnsiTheme="majorBidi" w:cstheme="majorBidi"/>
          <w:spacing w:val="-2"/>
        </w:rPr>
        <w:t>Las sustancias que cumplen los criterios de clasificación como [...]</w:t>
      </w:r>
      <w:r w:rsidR="008C5013" w:rsidRPr="00FC4465">
        <w:rPr>
          <w:rFonts w:asciiTheme="majorBidi" w:hAnsiTheme="majorBidi" w:cstheme="majorBidi"/>
          <w:spacing w:val="-2"/>
        </w:rPr>
        <w:t>”</w:t>
      </w:r>
      <w:r w:rsidR="00D07706">
        <w:rPr>
          <w:rFonts w:asciiTheme="majorBidi" w:hAnsiTheme="majorBidi" w:cstheme="majorBidi"/>
          <w:spacing w:val="-2"/>
        </w:rPr>
        <w:t>.</w:t>
      </w:r>
    </w:p>
    <w:p w14:paraId="1A3391D2" w14:textId="0516C1DC" w:rsidR="008B6A70" w:rsidRPr="00FC4465" w:rsidRDefault="008B6A70" w:rsidP="00850C79">
      <w:pPr>
        <w:pStyle w:val="SingleTxtG"/>
        <w:tabs>
          <w:tab w:val="clear" w:pos="1701"/>
          <w:tab w:val="clear" w:pos="2835"/>
          <w:tab w:val="left" w:pos="3402"/>
        </w:tabs>
        <w:ind w:left="3402" w:hanging="1134"/>
        <w:rPr>
          <w:rFonts w:asciiTheme="majorBidi" w:hAnsiTheme="majorBidi" w:cstheme="majorBidi"/>
          <w:color w:val="000000" w:themeColor="text1"/>
        </w:rPr>
      </w:pPr>
      <w:r w:rsidRPr="00FC4465">
        <w:rPr>
          <w:rFonts w:asciiTheme="majorBidi" w:hAnsiTheme="majorBidi" w:cstheme="majorBidi"/>
        </w:rPr>
        <w:t xml:space="preserve">3.4.2.2.8.2 </w:t>
      </w:r>
      <w:r w:rsidR="008C5013" w:rsidRPr="00FC4465">
        <w:rPr>
          <w:rFonts w:asciiTheme="majorBidi" w:hAnsiTheme="majorBidi" w:cstheme="majorBidi"/>
        </w:rPr>
        <w:t>“</w:t>
      </w:r>
      <w:r w:rsidRPr="00FC4465">
        <w:rPr>
          <w:rFonts w:asciiTheme="majorBidi" w:hAnsiTheme="majorBidi" w:cstheme="majorBidi"/>
        </w:rPr>
        <w:t>No existe un modelo animal reconocido para [...]</w:t>
      </w:r>
      <w:r w:rsidR="008C5013" w:rsidRPr="00FC4465">
        <w:rPr>
          <w:rFonts w:asciiTheme="majorBidi" w:hAnsiTheme="majorBidi" w:cstheme="majorBidi"/>
        </w:rPr>
        <w:t>”</w:t>
      </w:r>
      <w:r w:rsidRPr="00FC4465">
        <w:rPr>
          <w:rFonts w:asciiTheme="majorBidi" w:hAnsiTheme="majorBidi" w:cstheme="majorBidi"/>
        </w:rPr>
        <w:t>.</w:t>
      </w:r>
    </w:p>
    <w:p w14:paraId="476DE5A7" w14:textId="77777777" w:rsidR="008B6A70" w:rsidRPr="00FC4465" w:rsidRDefault="008B6A70" w:rsidP="0097739B">
      <w:pPr>
        <w:pStyle w:val="SingleTxtG"/>
        <w:ind w:left="2268" w:hanging="1134"/>
        <w:rPr>
          <w:rFonts w:asciiTheme="majorBidi" w:hAnsiTheme="majorBidi" w:cstheme="majorBidi"/>
        </w:rPr>
      </w:pPr>
      <w:r w:rsidRPr="00FC4465">
        <w:rPr>
          <w:rFonts w:asciiTheme="majorBidi" w:hAnsiTheme="majorBidi" w:cstheme="majorBidi"/>
        </w:rPr>
        <w:t>Notas a pie de página 3 y 4</w:t>
      </w:r>
      <w:r w:rsidRPr="00FC4465">
        <w:rPr>
          <w:rFonts w:asciiTheme="majorBidi" w:hAnsiTheme="majorBidi" w:cstheme="majorBidi"/>
        </w:rPr>
        <w:tab/>
        <w:t>Insértense las siguientes nuevas notas a pie de página 3 y 4, cuyas llamadas figuran en los párrafos 3.4.2.2.4.1 (para la nota 3) y 3.4.2.2.5.3 (para la nota 4):</w:t>
      </w:r>
    </w:p>
    <w:p w14:paraId="5E1012A1" w14:textId="37FFC300" w:rsidR="008B6A70" w:rsidRPr="00D07706" w:rsidRDefault="008C5013" w:rsidP="008645FC">
      <w:pPr>
        <w:pStyle w:val="GHStext"/>
        <w:tabs>
          <w:tab w:val="left" w:pos="3119"/>
        </w:tabs>
        <w:spacing w:after="0" w:line="240" w:lineRule="atLeast"/>
        <w:ind w:left="2268" w:right="1134"/>
        <w:rPr>
          <w:rFonts w:asciiTheme="majorBidi" w:hAnsiTheme="majorBidi" w:cstheme="majorBidi"/>
          <w:i/>
          <w:iCs/>
          <w:color w:val="auto"/>
          <w:sz w:val="18"/>
          <w:szCs w:val="18"/>
          <w:lang w:eastAsia="zh-CN"/>
        </w:rPr>
      </w:pPr>
      <w:r w:rsidRPr="00D07706">
        <w:rPr>
          <w:rFonts w:asciiTheme="majorBidi" w:hAnsiTheme="majorBidi" w:cstheme="majorBidi"/>
          <w:sz w:val="18"/>
          <w:szCs w:val="18"/>
        </w:rPr>
        <w:lastRenderedPageBreak/>
        <w:t>“</w:t>
      </w:r>
      <w:r w:rsidR="008B6A70" w:rsidRPr="00D07706">
        <w:rPr>
          <w:rFonts w:asciiTheme="majorBidi" w:hAnsiTheme="majorBidi" w:cstheme="majorBidi"/>
          <w:color w:val="auto"/>
          <w:sz w:val="18"/>
          <w:szCs w:val="18"/>
          <w:vertAlign w:val="superscript"/>
          <w:lang w:eastAsia="zh-CN"/>
        </w:rPr>
        <w:t>3</w:t>
      </w:r>
      <w:r w:rsidR="008645FC">
        <w:rPr>
          <w:rFonts w:asciiTheme="majorBidi" w:hAnsiTheme="majorBidi" w:cstheme="majorBidi"/>
          <w:color w:val="auto"/>
          <w:sz w:val="18"/>
          <w:szCs w:val="18"/>
          <w:lang w:eastAsia="zh-CN"/>
        </w:rPr>
        <w:tab/>
      </w:r>
      <w:r w:rsidR="008B6A70" w:rsidRPr="00D07706">
        <w:rPr>
          <w:rFonts w:asciiTheme="majorBidi" w:hAnsiTheme="majorBidi" w:cstheme="majorBidi"/>
          <w:i/>
          <w:iCs/>
          <w:color w:val="auto"/>
          <w:sz w:val="18"/>
          <w:szCs w:val="18"/>
          <w:lang w:eastAsia="zh-CN"/>
        </w:rPr>
        <w:t>Se han propuesto enfoques definidos adicionales para la sensibilización cutánea (OCDE 2017), pero aún no se han convenido criterios de clasificación a nivel internacional.</w:t>
      </w:r>
      <w:r w:rsidRPr="0081508F">
        <w:rPr>
          <w:rFonts w:asciiTheme="majorBidi" w:hAnsiTheme="majorBidi" w:cstheme="majorBidi"/>
          <w:iCs/>
          <w:color w:val="auto"/>
          <w:sz w:val="18"/>
          <w:szCs w:val="18"/>
          <w:lang w:eastAsia="zh-CN"/>
        </w:rPr>
        <w:t>”</w:t>
      </w:r>
    </w:p>
    <w:p w14:paraId="29A797F6" w14:textId="59576473" w:rsidR="008B6A70" w:rsidRPr="00D07706" w:rsidRDefault="008C5013" w:rsidP="0097739B">
      <w:pPr>
        <w:spacing w:after="120"/>
        <w:ind w:left="2268" w:right="1134"/>
        <w:jc w:val="both"/>
        <w:rPr>
          <w:rFonts w:asciiTheme="majorBidi" w:hAnsiTheme="majorBidi" w:cstheme="majorBidi"/>
          <w:i/>
          <w:iCs/>
          <w:sz w:val="18"/>
          <w:szCs w:val="18"/>
        </w:rPr>
      </w:pPr>
      <w:r w:rsidRPr="00D07706">
        <w:rPr>
          <w:rFonts w:asciiTheme="majorBidi" w:hAnsiTheme="majorBidi" w:cstheme="majorBidi"/>
          <w:sz w:val="18"/>
          <w:szCs w:val="18"/>
        </w:rPr>
        <w:t>“</w:t>
      </w:r>
      <w:r w:rsidR="008B6A70" w:rsidRPr="00D07706">
        <w:rPr>
          <w:rFonts w:asciiTheme="majorBidi" w:hAnsiTheme="majorBidi" w:cstheme="majorBidi"/>
          <w:sz w:val="18"/>
          <w:szCs w:val="18"/>
          <w:vertAlign w:val="superscript"/>
        </w:rPr>
        <w:t>4</w:t>
      </w:r>
      <w:r w:rsidR="008645FC">
        <w:rPr>
          <w:rFonts w:asciiTheme="majorBidi" w:hAnsiTheme="majorBidi" w:cstheme="majorBidi"/>
          <w:sz w:val="18"/>
          <w:szCs w:val="18"/>
        </w:rPr>
        <w:tab/>
      </w:r>
      <w:r w:rsidR="008B6A70" w:rsidRPr="00D07706">
        <w:rPr>
          <w:rFonts w:asciiTheme="majorBidi" w:hAnsiTheme="majorBidi" w:cstheme="majorBidi"/>
          <w:i/>
          <w:iCs/>
          <w:sz w:val="18"/>
          <w:szCs w:val="18"/>
        </w:rPr>
        <w:t xml:space="preserve">Se han propuesto métodos </w:t>
      </w:r>
      <w:r w:rsidR="008B6A70" w:rsidRPr="00D07706">
        <w:rPr>
          <w:rFonts w:asciiTheme="majorBidi" w:hAnsiTheme="majorBidi" w:cstheme="majorBidi"/>
          <w:sz w:val="18"/>
          <w:szCs w:val="18"/>
        </w:rPr>
        <w:t>in</w:t>
      </w:r>
      <w:r w:rsidR="0081160D" w:rsidRPr="00D07706">
        <w:rPr>
          <w:rFonts w:asciiTheme="majorBidi" w:hAnsiTheme="majorBidi" w:cstheme="majorBidi"/>
          <w:sz w:val="18"/>
          <w:szCs w:val="18"/>
        </w:rPr>
        <w:t> chemico</w:t>
      </w:r>
      <w:r w:rsidR="008B6A70" w:rsidRPr="00D07706">
        <w:rPr>
          <w:rFonts w:asciiTheme="majorBidi" w:hAnsiTheme="majorBidi" w:cstheme="majorBidi"/>
          <w:i/>
          <w:iCs/>
          <w:sz w:val="18"/>
          <w:szCs w:val="18"/>
        </w:rPr>
        <w:t>/</w:t>
      </w:r>
      <w:r w:rsidR="00762E66" w:rsidRPr="00D07706">
        <w:rPr>
          <w:rFonts w:asciiTheme="majorBidi" w:hAnsiTheme="majorBidi" w:cstheme="majorBidi"/>
          <w:sz w:val="18"/>
          <w:szCs w:val="18"/>
        </w:rPr>
        <w:t>in vitro</w:t>
      </w:r>
      <w:r w:rsidR="008B6A70" w:rsidRPr="00D07706">
        <w:rPr>
          <w:rFonts w:asciiTheme="majorBidi" w:hAnsiTheme="majorBidi" w:cstheme="majorBidi"/>
          <w:i/>
          <w:iCs/>
          <w:sz w:val="18"/>
          <w:szCs w:val="18"/>
        </w:rPr>
        <w:t xml:space="preserve"> adicionales para la sensibilización cutánea (véase 3.4.5.3.6.2), pero aún no se han convenido criterios de clasificación a nivel internacional.</w:t>
      </w:r>
      <w:r w:rsidRPr="00D07706">
        <w:rPr>
          <w:rFonts w:asciiTheme="majorBidi" w:hAnsiTheme="majorBidi" w:cstheme="majorBidi"/>
          <w:iCs/>
          <w:sz w:val="18"/>
          <w:szCs w:val="18"/>
        </w:rPr>
        <w:t>”</w:t>
      </w:r>
      <w:r w:rsidR="008B6A70" w:rsidRPr="00D07706">
        <w:rPr>
          <w:rFonts w:asciiTheme="majorBidi" w:hAnsiTheme="majorBidi" w:cstheme="majorBidi"/>
          <w:iCs/>
          <w:sz w:val="18"/>
          <w:szCs w:val="18"/>
        </w:rPr>
        <w:t>.</w:t>
      </w:r>
    </w:p>
    <w:p w14:paraId="1D7D7A4E" w14:textId="77777777" w:rsidR="008B6A70" w:rsidRPr="00FC4465" w:rsidRDefault="008B6A70" w:rsidP="008B6A70">
      <w:pPr>
        <w:rPr>
          <w:rFonts w:asciiTheme="majorBidi" w:hAnsiTheme="majorBidi" w:cstheme="majorBidi"/>
        </w:rPr>
      </w:pPr>
      <w:r w:rsidRPr="00FC4465">
        <w:rPr>
          <w:rFonts w:asciiTheme="majorBidi" w:hAnsiTheme="majorBidi" w:cstheme="majorBidi"/>
        </w:rPr>
        <w:br w:type="page"/>
      </w:r>
    </w:p>
    <w:p w14:paraId="71C9D62E" w14:textId="77777777" w:rsidR="008B6A70" w:rsidRPr="00FC4465" w:rsidRDefault="008B6A70" w:rsidP="008B6A70">
      <w:pPr>
        <w:keepNext/>
        <w:keepLines/>
        <w:spacing w:after="240" w:line="240" w:lineRule="auto"/>
        <w:ind w:left="1134" w:right="1134"/>
        <w:rPr>
          <w:rFonts w:asciiTheme="majorBidi" w:hAnsiTheme="majorBidi" w:cstheme="majorBidi"/>
          <w:iCs/>
        </w:rPr>
      </w:pPr>
      <w:r w:rsidRPr="00FC4465">
        <w:rPr>
          <w:rFonts w:asciiTheme="majorBidi" w:hAnsiTheme="majorBidi" w:cstheme="majorBidi"/>
        </w:rPr>
        <w:lastRenderedPageBreak/>
        <w:t>Figura 3.4.1</w:t>
      </w:r>
      <w:r w:rsidRPr="00FC4465">
        <w:rPr>
          <w:rFonts w:asciiTheme="majorBidi" w:hAnsiTheme="majorBidi" w:cstheme="majorBidi"/>
        </w:rPr>
        <w:tab/>
        <w:t xml:space="preserve">Insértese la nueva figura 3.4.1 con sus correspondientes notas después de la sección 3.4.2.2.8 (antigua 3.4.2.2.4.4): </w:t>
      </w:r>
    </w:p>
    <w:p w14:paraId="672A865D" w14:textId="77777777" w:rsidR="008B6A70" w:rsidRPr="00FC4465" w:rsidRDefault="008B6A70" w:rsidP="00850C79">
      <w:pPr>
        <w:spacing w:after="200" w:line="276" w:lineRule="auto"/>
        <w:ind w:left="1162" w:right="301"/>
        <w:jc w:val="center"/>
        <w:rPr>
          <w:rFonts w:asciiTheme="majorBidi" w:hAnsiTheme="majorBidi" w:cstheme="majorBidi"/>
          <w:b/>
          <w:bCs/>
        </w:rPr>
      </w:pPr>
      <w:r w:rsidRPr="00FC4465">
        <w:rPr>
          <w:rFonts w:asciiTheme="majorBidi" w:hAnsiTheme="majorBidi" w:cstheme="majorBidi"/>
          <w:b/>
          <w:bCs/>
        </w:rPr>
        <w:t>Figura 3.4.1: Aplicación del enfoque por etapas para la sensibilización cutánea</w:t>
      </w:r>
      <w:r w:rsidRPr="00FC4465">
        <w:rPr>
          <w:rFonts w:asciiTheme="majorBidi" w:hAnsiTheme="majorBidi" w:cstheme="majorBidi"/>
          <w:b/>
          <w:bCs/>
          <w:vertAlign w:val="superscript"/>
        </w:rPr>
        <w:t>a</w:t>
      </w:r>
    </w:p>
    <w:p w14:paraId="65718E1A" w14:textId="40A74CC3" w:rsidR="008B6A70" w:rsidRPr="00FC4465" w:rsidRDefault="00D07706" w:rsidP="008B6A70">
      <w:pPr>
        <w:pStyle w:val="Bullet1G"/>
        <w:numPr>
          <w:ilvl w:val="0"/>
          <w:numId w:val="0"/>
        </w:numPr>
        <w:ind w:left="1134"/>
        <w:jc w:val="center"/>
        <w:rPr>
          <w:rFonts w:asciiTheme="majorBidi" w:hAnsiTheme="majorBidi" w:cstheme="majorBidi"/>
        </w:rPr>
      </w:pPr>
      <w:r>
        <w:object w:dxaOrig="8295" w:dyaOrig="7696" w14:anchorId="53034CD4">
          <v:shape id="_x0000_i1033" type="#_x0000_t75" style="width:414.75pt;height:384.75pt" o:ole="">
            <v:imagedata r:id="rId37" o:title=""/>
          </v:shape>
          <o:OLEObject Type="Embed" ProgID="Visio.Drawing.15" ShapeID="_x0000_i1033" DrawAspect="Content" ObjectID="_1754120340" r:id="rId38"/>
        </w:object>
      </w:r>
    </w:p>
    <w:p w14:paraId="690E7852" w14:textId="77777777" w:rsidR="008B6A70" w:rsidRPr="00D07706" w:rsidRDefault="008B6A70" w:rsidP="00802EA2">
      <w:pPr>
        <w:ind w:left="1701" w:right="1134" w:hanging="283"/>
        <w:jc w:val="both"/>
        <w:rPr>
          <w:rFonts w:asciiTheme="majorBidi" w:hAnsiTheme="majorBidi" w:cstheme="majorBidi"/>
          <w:i/>
          <w:sz w:val="18"/>
          <w:szCs w:val="18"/>
        </w:rPr>
      </w:pPr>
      <w:r w:rsidRPr="00D07706">
        <w:rPr>
          <w:rFonts w:asciiTheme="majorBidi" w:hAnsiTheme="majorBidi" w:cstheme="majorBidi"/>
          <w:sz w:val="18"/>
          <w:szCs w:val="18"/>
          <w:vertAlign w:val="superscript"/>
        </w:rPr>
        <w:t>a</w:t>
      </w:r>
      <w:r w:rsidRPr="00D07706">
        <w:rPr>
          <w:rFonts w:asciiTheme="majorBidi" w:hAnsiTheme="majorBidi" w:cstheme="majorBidi"/>
          <w:sz w:val="18"/>
          <w:szCs w:val="18"/>
        </w:rPr>
        <w:tab/>
      </w:r>
      <w:r w:rsidRPr="00D07706">
        <w:rPr>
          <w:rFonts w:asciiTheme="majorBidi" w:hAnsiTheme="majorBidi" w:cstheme="majorBidi"/>
          <w:i/>
          <w:iCs/>
          <w:sz w:val="18"/>
          <w:szCs w:val="18"/>
        </w:rPr>
        <w:t>Antes de aplicar este enfoque, deberían consultarse el texto explicativo que figura en 3.4.2.2.7 y la orientación ofrecida en 3.4.5.3.</w:t>
      </w:r>
      <w:r w:rsidRPr="00D07706">
        <w:rPr>
          <w:rFonts w:asciiTheme="majorBidi" w:hAnsiTheme="majorBidi" w:cstheme="majorBidi"/>
          <w:sz w:val="18"/>
          <w:szCs w:val="18"/>
        </w:rPr>
        <w:t xml:space="preserve"> </w:t>
      </w:r>
      <w:r w:rsidRPr="00D07706">
        <w:rPr>
          <w:rFonts w:asciiTheme="majorBidi" w:hAnsiTheme="majorBidi" w:cstheme="majorBidi"/>
          <w:i/>
          <w:iCs/>
          <w:sz w:val="18"/>
          <w:szCs w:val="18"/>
        </w:rPr>
        <w:t>En el enfoque por etapas deberían incluirse solo datos adecuados, fiables y de suficiente calidad.</w:t>
      </w:r>
    </w:p>
    <w:p w14:paraId="6B2AC225" w14:textId="77777777" w:rsidR="008B6A70" w:rsidRPr="00D07706" w:rsidRDefault="008B6A70" w:rsidP="00802EA2">
      <w:pPr>
        <w:ind w:left="1701" w:right="1134" w:hanging="283"/>
        <w:jc w:val="both"/>
        <w:rPr>
          <w:rFonts w:asciiTheme="majorBidi" w:hAnsiTheme="majorBidi" w:cstheme="majorBidi"/>
          <w:i/>
          <w:sz w:val="18"/>
          <w:szCs w:val="18"/>
        </w:rPr>
      </w:pPr>
      <w:r w:rsidRPr="00D07706">
        <w:rPr>
          <w:rFonts w:asciiTheme="majorBidi" w:hAnsiTheme="majorBidi" w:cstheme="majorBidi"/>
          <w:sz w:val="18"/>
          <w:szCs w:val="18"/>
          <w:vertAlign w:val="superscript"/>
        </w:rPr>
        <w:t>b</w:t>
      </w:r>
      <w:r w:rsidRPr="00D07706">
        <w:rPr>
          <w:rFonts w:asciiTheme="majorBidi" w:hAnsiTheme="majorBidi" w:cstheme="majorBidi"/>
          <w:sz w:val="18"/>
          <w:szCs w:val="18"/>
        </w:rPr>
        <w:tab/>
      </w:r>
      <w:r w:rsidRPr="00D07706">
        <w:rPr>
          <w:rFonts w:asciiTheme="majorBidi" w:hAnsiTheme="majorBidi" w:cstheme="majorBidi"/>
          <w:i/>
          <w:iCs/>
          <w:sz w:val="18"/>
          <w:szCs w:val="18"/>
        </w:rPr>
        <w:t>La información puede no ser concluyente por varias razones, como:</w:t>
      </w:r>
    </w:p>
    <w:p w14:paraId="6266F5E8" w14:textId="77777777" w:rsidR="008B6A70" w:rsidRPr="00D07706" w:rsidRDefault="008B6A70" w:rsidP="00802EA2">
      <w:pPr>
        <w:ind w:left="1985" w:right="1134" w:hanging="284"/>
        <w:jc w:val="both"/>
        <w:rPr>
          <w:rFonts w:asciiTheme="majorBidi" w:hAnsiTheme="majorBidi" w:cstheme="majorBidi"/>
          <w:i/>
          <w:sz w:val="18"/>
          <w:szCs w:val="18"/>
        </w:rPr>
      </w:pPr>
      <w:r w:rsidRPr="00D07706">
        <w:rPr>
          <w:rFonts w:asciiTheme="majorBidi" w:hAnsiTheme="majorBidi" w:cstheme="majorBidi"/>
          <w:i/>
          <w:iCs/>
          <w:sz w:val="18"/>
          <w:szCs w:val="18"/>
        </w:rPr>
        <w:t>-</w:t>
      </w:r>
      <w:r w:rsidRPr="00D07706">
        <w:rPr>
          <w:rFonts w:asciiTheme="majorBidi" w:hAnsiTheme="majorBidi" w:cstheme="majorBidi"/>
          <w:i/>
          <w:iCs/>
          <w:sz w:val="18"/>
          <w:szCs w:val="18"/>
        </w:rPr>
        <w:tab/>
        <w:t>Los datos pueden no ser de calidad suficientemente buena, o ser insuficientes o inadecuados a los fines de la clasificación por otras razones, por ejemplo debido a problemas de calidad relacionados con el diseño del experimento y/o con la información presentada al respecto;</w:t>
      </w:r>
    </w:p>
    <w:p w14:paraId="22F4B7D9" w14:textId="3A853D0E" w:rsidR="008B6A70" w:rsidRPr="00D07706" w:rsidRDefault="008B6A70" w:rsidP="00802EA2">
      <w:pPr>
        <w:spacing w:after="120"/>
        <w:ind w:left="1985" w:right="1134" w:hanging="284"/>
        <w:jc w:val="both"/>
        <w:rPr>
          <w:rFonts w:asciiTheme="majorBidi" w:hAnsiTheme="majorBidi" w:cstheme="majorBidi"/>
          <w:i/>
          <w:iCs/>
          <w:sz w:val="18"/>
          <w:szCs w:val="18"/>
        </w:rPr>
      </w:pPr>
      <w:r w:rsidRPr="00D07706">
        <w:rPr>
          <w:rFonts w:asciiTheme="majorBidi" w:hAnsiTheme="majorBidi" w:cstheme="majorBidi"/>
          <w:i/>
          <w:iCs/>
          <w:sz w:val="18"/>
          <w:szCs w:val="18"/>
        </w:rPr>
        <w:t>-</w:t>
      </w:r>
      <w:r w:rsidRPr="00D07706">
        <w:rPr>
          <w:rFonts w:asciiTheme="majorBidi" w:hAnsiTheme="majorBidi" w:cstheme="majorBidi"/>
          <w:i/>
          <w:iCs/>
          <w:sz w:val="18"/>
          <w:szCs w:val="18"/>
        </w:rPr>
        <w:tab/>
        <w:t>Cuando las autoridades competentes aplican las subcategorías 1A y 1B de sensibilización cutánea, es posible que los datos disponibles no permitan distinguir entre ambas subcategorías.</w:t>
      </w:r>
      <w:r w:rsidR="008C5013" w:rsidRPr="008645FC">
        <w:rPr>
          <w:rFonts w:asciiTheme="majorBidi" w:hAnsiTheme="majorBidi" w:cstheme="majorBidi"/>
          <w:iCs/>
          <w:sz w:val="18"/>
          <w:szCs w:val="18"/>
        </w:rPr>
        <w:t>”</w:t>
      </w:r>
      <w:r w:rsidRPr="008645FC">
        <w:rPr>
          <w:rFonts w:asciiTheme="majorBidi" w:hAnsiTheme="majorBidi" w:cstheme="majorBidi"/>
          <w:iCs/>
          <w:sz w:val="18"/>
          <w:szCs w:val="18"/>
        </w:rPr>
        <w:t>.</w:t>
      </w:r>
    </w:p>
    <w:p w14:paraId="213DCF42" w14:textId="72E3DB13" w:rsidR="008B6A70" w:rsidRPr="00FC4465" w:rsidRDefault="008B6A70" w:rsidP="00802EA2">
      <w:pPr>
        <w:pStyle w:val="SingleTxtG"/>
        <w:tabs>
          <w:tab w:val="clear" w:pos="2268"/>
          <w:tab w:val="clear" w:pos="2835"/>
          <w:tab w:val="left" w:pos="3402"/>
        </w:tabs>
        <w:ind w:left="2268" w:hanging="1134"/>
        <w:rPr>
          <w:rFonts w:asciiTheme="majorBidi" w:hAnsiTheme="majorBidi" w:cstheme="majorBidi"/>
        </w:rPr>
      </w:pPr>
      <w:r w:rsidRPr="00FC4465">
        <w:rPr>
          <w:rFonts w:asciiTheme="majorBidi" w:hAnsiTheme="majorBidi" w:cstheme="majorBidi"/>
        </w:rPr>
        <w:t>3.4.3.1</w:t>
      </w:r>
      <w:r w:rsidRPr="00FC4465">
        <w:rPr>
          <w:rFonts w:asciiTheme="majorBidi" w:hAnsiTheme="majorBidi" w:cstheme="majorBidi"/>
        </w:rPr>
        <w:tab/>
      </w:r>
      <w:r w:rsidRPr="00FC4465">
        <w:rPr>
          <w:rFonts w:asciiTheme="majorBidi" w:hAnsiTheme="majorBidi" w:cstheme="majorBidi"/>
        </w:rPr>
        <w:tab/>
        <w:t xml:space="preserve">En la primera oración, sustitúyase </w:t>
      </w:r>
      <w:r w:rsidR="008C5013" w:rsidRPr="00FC4465">
        <w:rPr>
          <w:rFonts w:asciiTheme="majorBidi" w:hAnsiTheme="majorBidi" w:cstheme="majorBidi"/>
        </w:rPr>
        <w:t>“</w:t>
      </w:r>
      <w:r w:rsidRPr="00FC4465">
        <w:rPr>
          <w:rFonts w:asciiTheme="majorBidi" w:hAnsiTheme="majorBidi" w:cstheme="majorBidi"/>
        </w:rPr>
        <w:t>podrá clasificarse mediante esos datos</w:t>
      </w:r>
      <w:r w:rsidR="008C5013" w:rsidRPr="00FC4465">
        <w:rPr>
          <w:rFonts w:asciiTheme="majorBidi" w:hAnsiTheme="majorBidi" w:cstheme="majorBidi"/>
        </w:rPr>
        <w:t>”</w:t>
      </w:r>
      <w:r w:rsidRPr="00FC4465">
        <w:rPr>
          <w:rFonts w:asciiTheme="majorBidi" w:hAnsiTheme="majorBidi" w:cstheme="majorBidi"/>
        </w:rPr>
        <w:t xml:space="preserve"> por </w:t>
      </w:r>
      <w:r w:rsidR="008C5013" w:rsidRPr="00FC4465">
        <w:rPr>
          <w:rFonts w:asciiTheme="majorBidi" w:hAnsiTheme="majorBidi" w:cstheme="majorBidi"/>
        </w:rPr>
        <w:t>“</w:t>
      </w:r>
      <w:r w:rsidRPr="00FC4465">
        <w:rPr>
          <w:rFonts w:asciiTheme="majorBidi" w:hAnsiTheme="majorBidi" w:cstheme="majorBidi"/>
        </w:rPr>
        <w:t>podrá clasificarse realizando una evaluación del peso de las pruebas para esos datos</w:t>
      </w:r>
      <w:r w:rsidR="008C5013" w:rsidRPr="00FC4465">
        <w:rPr>
          <w:rFonts w:asciiTheme="majorBidi" w:hAnsiTheme="majorBidi" w:cstheme="majorBidi"/>
        </w:rPr>
        <w:t>”</w:t>
      </w:r>
      <w:r w:rsidRPr="00FC4465">
        <w:rPr>
          <w:rFonts w:asciiTheme="majorBidi" w:hAnsiTheme="majorBidi" w:cstheme="majorBidi"/>
        </w:rPr>
        <w:t>.</w:t>
      </w:r>
    </w:p>
    <w:p w14:paraId="5B44DF22" w14:textId="516E87A2" w:rsidR="008B6A70" w:rsidRPr="00FC4465" w:rsidRDefault="008B6A70" w:rsidP="00802EA2">
      <w:pPr>
        <w:pStyle w:val="Bullet1G"/>
        <w:numPr>
          <w:ilvl w:val="0"/>
          <w:numId w:val="0"/>
        </w:numPr>
        <w:tabs>
          <w:tab w:val="left" w:pos="2552"/>
          <w:tab w:val="left" w:pos="3402"/>
        </w:tabs>
        <w:suppressAutoHyphens/>
        <w:kinsoku w:val="0"/>
        <w:overflowPunct w:val="0"/>
        <w:autoSpaceDE w:val="0"/>
        <w:autoSpaceDN w:val="0"/>
        <w:adjustRightInd w:val="0"/>
        <w:snapToGrid w:val="0"/>
        <w:ind w:left="2268" w:hanging="1134"/>
        <w:rPr>
          <w:rFonts w:asciiTheme="majorBidi" w:hAnsiTheme="majorBidi" w:cstheme="majorBidi"/>
        </w:rPr>
      </w:pPr>
      <w:r w:rsidRPr="00FC4465">
        <w:rPr>
          <w:rFonts w:asciiTheme="majorBidi" w:hAnsiTheme="majorBidi" w:cstheme="majorBidi"/>
        </w:rPr>
        <w:t xml:space="preserve">3.4.3.2.6 </w:t>
      </w:r>
      <w:r w:rsidRPr="00FC4465">
        <w:rPr>
          <w:rFonts w:asciiTheme="majorBidi" w:hAnsiTheme="majorBidi" w:cstheme="majorBidi"/>
        </w:rPr>
        <w:tab/>
        <w:t xml:space="preserve">En la última oración, sustitúyase </w:t>
      </w:r>
      <w:r w:rsidR="008C5013" w:rsidRPr="00FC4465">
        <w:rPr>
          <w:rFonts w:asciiTheme="majorBidi" w:hAnsiTheme="majorBidi" w:cstheme="majorBidi"/>
        </w:rPr>
        <w:t>“</w:t>
      </w:r>
      <w:r w:rsidRPr="00FC4465">
        <w:rPr>
          <w:rFonts w:asciiTheme="majorBidi" w:hAnsiTheme="majorBidi" w:cstheme="majorBidi"/>
        </w:rPr>
        <w:t>gracias a los ensayos</w:t>
      </w:r>
      <w:r w:rsidR="008C5013" w:rsidRPr="00FC4465">
        <w:rPr>
          <w:rFonts w:asciiTheme="majorBidi" w:hAnsiTheme="majorBidi" w:cstheme="majorBidi"/>
        </w:rPr>
        <w:t>”</w:t>
      </w:r>
      <w:r w:rsidRPr="00FC4465">
        <w:rPr>
          <w:rFonts w:asciiTheme="majorBidi" w:hAnsiTheme="majorBidi" w:cstheme="majorBidi"/>
        </w:rPr>
        <w:t xml:space="preserve"> por </w:t>
      </w:r>
      <w:r w:rsidR="008C5013" w:rsidRPr="00FC4465">
        <w:rPr>
          <w:rFonts w:asciiTheme="majorBidi" w:hAnsiTheme="majorBidi" w:cstheme="majorBidi"/>
        </w:rPr>
        <w:t>“</w:t>
      </w:r>
      <w:r w:rsidRPr="00FC4465">
        <w:rPr>
          <w:rFonts w:asciiTheme="majorBidi" w:hAnsiTheme="majorBidi" w:cstheme="majorBidi"/>
        </w:rPr>
        <w:t>sobre la base de los datos procedentes de los ensayos</w:t>
      </w:r>
      <w:r w:rsidR="008C5013" w:rsidRPr="00FC4465">
        <w:rPr>
          <w:rFonts w:asciiTheme="majorBidi" w:hAnsiTheme="majorBidi" w:cstheme="majorBidi"/>
        </w:rPr>
        <w:t>”</w:t>
      </w:r>
      <w:r w:rsidRPr="00FC4465">
        <w:rPr>
          <w:rFonts w:asciiTheme="majorBidi" w:hAnsiTheme="majorBidi" w:cstheme="majorBidi"/>
        </w:rPr>
        <w:t xml:space="preserve"> y </w:t>
      </w:r>
      <w:r w:rsidR="008C5013" w:rsidRPr="00FC4465">
        <w:rPr>
          <w:rFonts w:asciiTheme="majorBidi" w:hAnsiTheme="majorBidi" w:cstheme="majorBidi"/>
        </w:rPr>
        <w:t>“</w:t>
      </w:r>
      <w:r w:rsidRPr="00FC4465">
        <w:rPr>
          <w:rFonts w:asciiTheme="majorBidi" w:hAnsiTheme="majorBidi" w:cstheme="majorBidi"/>
        </w:rPr>
        <w:t>podrá asignarse a</w:t>
      </w:r>
      <w:r w:rsidR="008C5013" w:rsidRPr="00FC4465">
        <w:rPr>
          <w:rFonts w:asciiTheme="majorBidi" w:hAnsiTheme="majorBidi" w:cstheme="majorBidi"/>
        </w:rPr>
        <w:t>”</w:t>
      </w:r>
      <w:r w:rsidRPr="00FC4465">
        <w:rPr>
          <w:rFonts w:asciiTheme="majorBidi" w:hAnsiTheme="majorBidi" w:cstheme="majorBidi"/>
        </w:rPr>
        <w:t xml:space="preserve"> por </w:t>
      </w:r>
      <w:r w:rsidR="008C5013" w:rsidRPr="00FC4465">
        <w:rPr>
          <w:rFonts w:asciiTheme="majorBidi" w:hAnsiTheme="majorBidi" w:cstheme="majorBidi"/>
        </w:rPr>
        <w:t>“</w:t>
      </w:r>
      <w:r w:rsidRPr="00FC4465">
        <w:rPr>
          <w:rFonts w:asciiTheme="majorBidi" w:hAnsiTheme="majorBidi" w:cstheme="majorBidi"/>
        </w:rPr>
        <w:t>podrá clasificarse en</w:t>
      </w:r>
      <w:r w:rsidR="008C5013" w:rsidRPr="00FC4465">
        <w:rPr>
          <w:rFonts w:asciiTheme="majorBidi" w:hAnsiTheme="majorBidi" w:cstheme="majorBidi"/>
        </w:rPr>
        <w:t>”</w:t>
      </w:r>
      <w:r w:rsidRPr="00FC4465">
        <w:rPr>
          <w:rFonts w:asciiTheme="majorBidi" w:hAnsiTheme="majorBidi" w:cstheme="majorBidi"/>
        </w:rPr>
        <w:t>.</w:t>
      </w:r>
    </w:p>
    <w:p w14:paraId="7C30F21D" w14:textId="42941558" w:rsidR="008B6A70" w:rsidRPr="00FC4465" w:rsidRDefault="008B6A70" w:rsidP="00802EA2">
      <w:pPr>
        <w:pStyle w:val="SingleTxtG"/>
        <w:tabs>
          <w:tab w:val="clear" w:pos="2268"/>
          <w:tab w:val="clear" w:pos="2835"/>
          <w:tab w:val="left" w:pos="3402"/>
        </w:tabs>
        <w:ind w:left="2268" w:hanging="1134"/>
        <w:rPr>
          <w:rFonts w:asciiTheme="majorBidi" w:hAnsiTheme="majorBidi" w:cstheme="majorBidi"/>
        </w:rPr>
      </w:pPr>
      <w:r w:rsidRPr="00FC4465">
        <w:rPr>
          <w:rFonts w:asciiTheme="majorBidi" w:hAnsiTheme="majorBidi" w:cstheme="majorBidi"/>
        </w:rPr>
        <w:t>3.4.3.2.7</w:t>
      </w:r>
      <w:r w:rsidRPr="00FC4465">
        <w:rPr>
          <w:rFonts w:asciiTheme="majorBidi" w:hAnsiTheme="majorBidi" w:cstheme="majorBidi"/>
        </w:rPr>
        <w:tab/>
        <w:t xml:space="preserve">Al inicio de la oración, sustitúyase </w:t>
      </w:r>
      <w:r w:rsidR="008C5013" w:rsidRPr="00FC4465">
        <w:rPr>
          <w:rFonts w:asciiTheme="majorBidi" w:hAnsiTheme="majorBidi" w:cstheme="majorBidi"/>
        </w:rPr>
        <w:t>“</w:t>
      </w:r>
      <w:r w:rsidRPr="00FC4465">
        <w:rPr>
          <w:rFonts w:asciiTheme="majorBidi" w:hAnsiTheme="majorBidi" w:cstheme="majorBidi"/>
        </w:rPr>
        <w:t>mezcla en forma de aerosol</w:t>
      </w:r>
      <w:r w:rsidR="008C5013" w:rsidRPr="00FC4465">
        <w:rPr>
          <w:rFonts w:asciiTheme="majorBidi" w:hAnsiTheme="majorBidi" w:cstheme="majorBidi"/>
        </w:rPr>
        <w:t>”</w:t>
      </w:r>
      <w:r w:rsidRPr="00FC4465">
        <w:rPr>
          <w:rFonts w:asciiTheme="majorBidi" w:hAnsiTheme="majorBidi" w:cstheme="majorBidi"/>
        </w:rPr>
        <w:t xml:space="preserve"> por </w:t>
      </w:r>
      <w:r w:rsidR="008C5013" w:rsidRPr="00FC4465">
        <w:rPr>
          <w:rFonts w:asciiTheme="majorBidi" w:hAnsiTheme="majorBidi" w:cstheme="majorBidi"/>
        </w:rPr>
        <w:t>“</w:t>
      </w:r>
      <w:r w:rsidRPr="00FC4465">
        <w:rPr>
          <w:rFonts w:asciiTheme="majorBidi" w:hAnsiTheme="majorBidi" w:cstheme="majorBidi"/>
        </w:rPr>
        <w:t>mezcla aerosolizada</w:t>
      </w:r>
      <w:r w:rsidR="008C5013" w:rsidRPr="00FC4465">
        <w:rPr>
          <w:rFonts w:asciiTheme="majorBidi" w:hAnsiTheme="majorBidi" w:cstheme="majorBidi"/>
        </w:rPr>
        <w:t>”</w:t>
      </w:r>
      <w:r w:rsidRPr="00FC4465">
        <w:rPr>
          <w:rFonts w:asciiTheme="majorBidi" w:hAnsiTheme="majorBidi" w:cstheme="majorBidi"/>
        </w:rPr>
        <w:t>.</w:t>
      </w:r>
    </w:p>
    <w:p w14:paraId="7CC54FC6" w14:textId="7AAFA116" w:rsidR="008B6A70" w:rsidRPr="00FC4465" w:rsidRDefault="008B6A70" w:rsidP="00802EA2">
      <w:pPr>
        <w:pStyle w:val="SingleTxtG"/>
        <w:tabs>
          <w:tab w:val="clear" w:pos="2268"/>
          <w:tab w:val="clear" w:pos="2835"/>
          <w:tab w:val="left" w:pos="3402"/>
        </w:tabs>
        <w:ind w:left="2268" w:hanging="1134"/>
        <w:rPr>
          <w:rFonts w:asciiTheme="majorBidi" w:hAnsiTheme="majorBidi" w:cstheme="majorBidi"/>
        </w:rPr>
      </w:pPr>
      <w:r w:rsidRPr="00FC4465">
        <w:rPr>
          <w:rFonts w:asciiTheme="majorBidi" w:hAnsiTheme="majorBidi" w:cstheme="majorBidi"/>
        </w:rPr>
        <w:lastRenderedPageBreak/>
        <w:t>3.4.4.1</w:t>
      </w:r>
      <w:r w:rsidRPr="00FC4465">
        <w:rPr>
          <w:rFonts w:asciiTheme="majorBidi" w:hAnsiTheme="majorBidi" w:cstheme="majorBidi"/>
        </w:rPr>
        <w:tab/>
      </w:r>
      <w:r w:rsidRPr="00FC4465">
        <w:rPr>
          <w:rFonts w:asciiTheme="majorBidi" w:hAnsiTheme="majorBidi" w:cstheme="majorBidi"/>
        </w:rPr>
        <w:tab/>
        <w:t xml:space="preserve">Modifíquese la última oración del párrafo para que diga: </w:t>
      </w:r>
      <w:r w:rsidR="008C5013" w:rsidRPr="00FC4465">
        <w:rPr>
          <w:rFonts w:asciiTheme="majorBidi" w:hAnsiTheme="majorBidi" w:cstheme="majorBidi"/>
        </w:rPr>
        <w:t>“</w:t>
      </w:r>
      <w:r w:rsidRPr="00FC4465">
        <w:rPr>
          <w:rFonts w:asciiTheme="majorBidi" w:hAnsiTheme="majorBidi" w:cstheme="majorBidi"/>
        </w:rPr>
        <w:t>La tabla 3.4.6 presenta los elementos específicos que deben figurar en las etiquetas de las sustancias y mezclas clasificadas en esta clase de peligro con arreglo a los criterios indicados en el presente capítulo.</w:t>
      </w:r>
      <w:r w:rsidR="008C5013" w:rsidRPr="00FC4465">
        <w:rPr>
          <w:rFonts w:asciiTheme="majorBidi" w:hAnsiTheme="majorBidi" w:cstheme="majorBidi"/>
        </w:rPr>
        <w:t>”</w:t>
      </w:r>
      <w:r w:rsidRPr="00FC4465">
        <w:rPr>
          <w:rFonts w:asciiTheme="majorBidi" w:hAnsiTheme="majorBidi" w:cstheme="majorBidi"/>
        </w:rPr>
        <w:t>.</w:t>
      </w:r>
    </w:p>
    <w:p w14:paraId="389247E8" w14:textId="127A62CF" w:rsidR="008B6A70" w:rsidRPr="00FC4465" w:rsidRDefault="008B6A70" w:rsidP="00802EA2">
      <w:pPr>
        <w:pStyle w:val="SingleTxtG"/>
        <w:tabs>
          <w:tab w:val="clear" w:pos="2268"/>
          <w:tab w:val="clear" w:pos="2835"/>
          <w:tab w:val="left" w:pos="3402"/>
        </w:tabs>
        <w:ind w:left="2268" w:hanging="1134"/>
        <w:rPr>
          <w:rFonts w:asciiTheme="majorBidi" w:hAnsiTheme="majorBidi" w:cstheme="majorBidi"/>
        </w:rPr>
      </w:pPr>
      <w:r w:rsidRPr="00FC4465">
        <w:rPr>
          <w:rFonts w:asciiTheme="majorBidi" w:hAnsiTheme="majorBidi" w:cstheme="majorBidi"/>
        </w:rPr>
        <w:t>3.4.5</w:t>
      </w:r>
      <w:r w:rsidRPr="00FC4465">
        <w:rPr>
          <w:rFonts w:asciiTheme="majorBidi" w:hAnsiTheme="majorBidi" w:cstheme="majorBidi"/>
        </w:rPr>
        <w:tab/>
      </w:r>
      <w:r w:rsidRPr="00FC4465">
        <w:rPr>
          <w:rFonts w:asciiTheme="majorBidi" w:hAnsiTheme="majorBidi" w:cstheme="majorBidi"/>
        </w:rPr>
        <w:tab/>
        <w:t xml:space="preserve">Modifíquese el encabezamiento para que diga: </w:t>
      </w:r>
      <w:r w:rsidR="008C5013" w:rsidRPr="00FC4465">
        <w:rPr>
          <w:rFonts w:asciiTheme="majorBidi" w:hAnsiTheme="majorBidi" w:cstheme="majorBidi"/>
        </w:rPr>
        <w:t>“</w:t>
      </w:r>
      <w:r w:rsidRPr="00FC4465">
        <w:rPr>
          <w:rFonts w:asciiTheme="majorBidi" w:hAnsiTheme="majorBidi" w:cstheme="majorBidi"/>
          <w:b/>
          <w:bCs/>
        </w:rPr>
        <w:t>Procedimiento de decisión e indicaciones complementarias</w:t>
      </w:r>
      <w:r w:rsidR="008C5013" w:rsidRPr="00FC4465">
        <w:rPr>
          <w:rFonts w:asciiTheme="majorBidi" w:hAnsiTheme="majorBidi" w:cstheme="majorBidi"/>
        </w:rPr>
        <w:t>”</w:t>
      </w:r>
      <w:r w:rsidRPr="00FC4465">
        <w:rPr>
          <w:rFonts w:asciiTheme="majorBidi" w:hAnsiTheme="majorBidi" w:cstheme="majorBidi"/>
        </w:rPr>
        <w:t>.</w:t>
      </w:r>
    </w:p>
    <w:p w14:paraId="5EDD5530" w14:textId="77777777" w:rsidR="008B6A70" w:rsidRPr="00FC4465" w:rsidRDefault="008B6A70" w:rsidP="00802EA2">
      <w:pPr>
        <w:tabs>
          <w:tab w:val="left" w:pos="3402"/>
        </w:tabs>
        <w:spacing w:after="120"/>
        <w:ind w:left="2268" w:hanging="1134"/>
        <w:rPr>
          <w:rFonts w:asciiTheme="majorBidi" w:hAnsiTheme="majorBidi" w:cstheme="majorBidi"/>
        </w:rPr>
      </w:pPr>
      <w:r w:rsidRPr="00FC4465">
        <w:rPr>
          <w:rFonts w:asciiTheme="majorBidi" w:hAnsiTheme="majorBidi" w:cstheme="majorBidi"/>
        </w:rPr>
        <w:t>3.4.5.1</w:t>
      </w:r>
      <w:r w:rsidRPr="00FC4465">
        <w:rPr>
          <w:rFonts w:asciiTheme="majorBidi" w:hAnsiTheme="majorBidi" w:cstheme="majorBidi"/>
        </w:rPr>
        <w:tab/>
        <w:t>Modifíquese el procedimiento de decisión 3.4.1 como sigue:</w:t>
      </w:r>
    </w:p>
    <w:p w14:paraId="6C19FE55" w14:textId="61648E30" w:rsidR="008B6A70" w:rsidRPr="00FC4465" w:rsidRDefault="008B6A70" w:rsidP="00802EA2">
      <w:pPr>
        <w:pStyle w:val="Bullet1G"/>
        <w:numPr>
          <w:ilvl w:val="0"/>
          <w:numId w:val="0"/>
        </w:numPr>
        <w:ind w:left="2268"/>
        <w:rPr>
          <w:rFonts w:asciiTheme="majorBidi" w:hAnsiTheme="majorBidi" w:cstheme="majorBidi"/>
        </w:rPr>
      </w:pPr>
      <w:r w:rsidRPr="00FC4465">
        <w:rPr>
          <w:rFonts w:asciiTheme="majorBidi" w:hAnsiTheme="majorBidi" w:cstheme="majorBidi"/>
        </w:rPr>
        <w:t xml:space="preserve">En el segundo recuadro de la derecha empezando desde arriba, sustitúyase </w:t>
      </w:r>
      <w:r w:rsidR="008C5013" w:rsidRPr="00FC4465">
        <w:rPr>
          <w:rFonts w:asciiTheme="majorBidi" w:hAnsiTheme="majorBidi" w:cstheme="majorBidi"/>
        </w:rPr>
        <w:t>“</w:t>
      </w:r>
      <w:r w:rsidRPr="00FC4465">
        <w:rPr>
          <w:rFonts w:asciiTheme="majorBidi" w:hAnsiTheme="majorBidi" w:cstheme="majorBidi"/>
        </w:rPr>
        <w:t>Categoría 1</w:t>
      </w:r>
      <w:r w:rsidRPr="00FC4465">
        <w:rPr>
          <w:rFonts w:asciiTheme="majorBidi" w:hAnsiTheme="majorBidi" w:cstheme="majorBidi"/>
          <w:vertAlign w:val="superscript"/>
        </w:rPr>
        <w:t>5</w:t>
      </w:r>
      <w:r w:rsidR="008C5013" w:rsidRPr="00FC4465">
        <w:rPr>
          <w:rFonts w:asciiTheme="majorBidi" w:hAnsiTheme="majorBidi" w:cstheme="majorBidi"/>
        </w:rPr>
        <w:t>”</w:t>
      </w:r>
      <w:r w:rsidRPr="00FC4465">
        <w:rPr>
          <w:rFonts w:asciiTheme="majorBidi" w:hAnsiTheme="majorBidi" w:cstheme="majorBidi"/>
        </w:rPr>
        <w:t xml:space="preserve"> por </w:t>
      </w:r>
      <w:r w:rsidR="008C5013" w:rsidRPr="00FC4465">
        <w:rPr>
          <w:rFonts w:asciiTheme="majorBidi" w:hAnsiTheme="majorBidi" w:cstheme="majorBidi"/>
        </w:rPr>
        <w:t>“</w:t>
      </w:r>
      <w:r w:rsidRPr="00FC4465">
        <w:rPr>
          <w:rFonts w:asciiTheme="majorBidi" w:hAnsiTheme="majorBidi" w:cstheme="majorBidi"/>
        </w:rPr>
        <w:t>Categoría 1</w:t>
      </w:r>
      <w:r w:rsidRPr="00FC4465">
        <w:rPr>
          <w:rFonts w:asciiTheme="majorBidi" w:hAnsiTheme="majorBidi" w:cstheme="majorBidi"/>
          <w:vertAlign w:val="superscript"/>
        </w:rPr>
        <w:t>7</w:t>
      </w:r>
      <w:r w:rsidR="008C5013" w:rsidRPr="00FC4465">
        <w:rPr>
          <w:rFonts w:asciiTheme="majorBidi" w:hAnsiTheme="majorBidi" w:cstheme="majorBidi"/>
        </w:rPr>
        <w:t>”</w:t>
      </w:r>
      <w:r w:rsidRPr="00FC4465">
        <w:rPr>
          <w:rFonts w:asciiTheme="majorBidi" w:hAnsiTheme="majorBidi" w:cstheme="majorBidi"/>
        </w:rPr>
        <w:t>.</w:t>
      </w:r>
    </w:p>
    <w:p w14:paraId="3C3EF24C" w14:textId="5684D06B" w:rsidR="008B6A70" w:rsidRPr="00D07706" w:rsidRDefault="008B6A70" w:rsidP="00802EA2">
      <w:pPr>
        <w:pStyle w:val="Bullet1G"/>
        <w:numPr>
          <w:ilvl w:val="0"/>
          <w:numId w:val="0"/>
        </w:numPr>
        <w:ind w:left="2268"/>
        <w:rPr>
          <w:rFonts w:asciiTheme="majorBidi" w:hAnsiTheme="majorBidi" w:cstheme="majorBidi"/>
        </w:rPr>
      </w:pPr>
      <w:r w:rsidRPr="00D07706">
        <w:rPr>
          <w:rFonts w:asciiTheme="majorBidi" w:hAnsiTheme="majorBidi" w:cstheme="majorBidi"/>
        </w:rPr>
        <w:t xml:space="preserve">En el recuadro inferior izquierdo que comienza con </w:t>
      </w:r>
      <w:r w:rsidR="008C5013" w:rsidRPr="00D07706">
        <w:rPr>
          <w:rFonts w:asciiTheme="majorBidi" w:hAnsiTheme="majorBidi" w:cstheme="majorBidi"/>
        </w:rPr>
        <w:t>“</w:t>
      </w:r>
      <w:r w:rsidRPr="00D07706">
        <w:rPr>
          <w:rFonts w:asciiTheme="majorBidi" w:hAnsiTheme="majorBidi" w:cstheme="majorBidi"/>
        </w:rPr>
        <w:t>¿Contiene la mezcla [...]</w:t>
      </w:r>
      <w:r w:rsidR="008C5013" w:rsidRPr="00D07706">
        <w:rPr>
          <w:rFonts w:asciiTheme="majorBidi" w:hAnsiTheme="majorBidi" w:cstheme="majorBidi"/>
        </w:rPr>
        <w:t>”</w:t>
      </w:r>
      <w:r w:rsidRPr="00D07706">
        <w:rPr>
          <w:rFonts w:asciiTheme="majorBidi" w:hAnsiTheme="majorBidi" w:cstheme="majorBidi"/>
        </w:rPr>
        <w:t xml:space="preserve">, modifíquese la llamada a las notas a pie de página </w:t>
      </w:r>
      <w:r w:rsidR="008C5013" w:rsidRPr="00D07706">
        <w:rPr>
          <w:rFonts w:asciiTheme="majorBidi" w:hAnsiTheme="majorBidi" w:cstheme="majorBidi"/>
        </w:rPr>
        <w:t>“</w:t>
      </w:r>
      <w:r w:rsidRPr="00D07706">
        <w:rPr>
          <w:rFonts w:asciiTheme="majorBidi" w:hAnsiTheme="majorBidi" w:cstheme="majorBidi"/>
        </w:rPr>
        <w:t>3, 4</w:t>
      </w:r>
      <w:r w:rsidR="008C5013" w:rsidRPr="00D07706">
        <w:rPr>
          <w:rFonts w:asciiTheme="majorBidi" w:hAnsiTheme="majorBidi" w:cstheme="majorBidi"/>
        </w:rPr>
        <w:t>”</w:t>
      </w:r>
      <w:r w:rsidRPr="00D07706">
        <w:rPr>
          <w:rFonts w:asciiTheme="majorBidi" w:hAnsiTheme="majorBidi" w:cstheme="majorBidi"/>
        </w:rPr>
        <w:t xml:space="preserve"> por </w:t>
      </w:r>
      <w:r w:rsidR="008C5013" w:rsidRPr="00D07706">
        <w:rPr>
          <w:rFonts w:asciiTheme="majorBidi" w:hAnsiTheme="majorBidi" w:cstheme="majorBidi"/>
        </w:rPr>
        <w:t>“</w:t>
      </w:r>
      <w:r w:rsidRPr="00D07706">
        <w:rPr>
          <w:rFonts w:asciiTheme="majorBidi" w:hAnsiTheme="majorBidi" w:cstheme="majorBidi"/>
        </w:rPr>
        <w:t>5, 6</w:t>
      </w:r>
      <w:r w:rsidR="008C5013" w:rsidRPr="00D07706">
        <w:rPr>
          <w:rFonts w:asciiTheme="majorBidi" w:hAnsiTheme="majorBidi" w:cstheme="majorBidi"/>
        </w:rPr>
        <w:t>”</w:t>
      </w:r>
      <w:r w:rsidRPr="00D07706">
        <w:rPr>
          <w:rFonts w:asciiTheme="majorBidi" w:hAnsiTheme="majorBidi" w:cstheme="majorBidi"/>
        </w:rPr>
        <w:t>.</w:t>
      </w:r>
    </w:p>
    <w:p w14:paraId="55E22B58" w14:textId="06699322" w:rsidR="008B6A70" w:rsidRPr="00FC4465" w:rsidRDefault="008B6A70" w:rsidP="00802EA2">
      <w:pPr>
        <w:pStyle w:val="Bullet1G"/>
        <w:numPr>
          <w:ilvl w:val="0"/>
          <w:numId w:val="0"/>
        </w:numPr>
        <w:ind w:left="2268"/>
        <w:rPr>
          <w:rFonts w:asciiTheme="majorBidi" w:hAnsiTheme="majorBidi" w:cstheme="majorBidi"/>
        </w:rPr>
      </w:pPr>
      <w:r w:rsidRPr="00FC4465">
        <w:rPr>
          <w:rFonts w:asciiTheme="majorBidi" w:hAnsiTheme="majorBidi" w:cstheme="majorBidi"/>
        </w:rPr>
        <w:t xml:space="preserve">Las actuales notas a pie de página </w:t>
      </w:r>
      <w:r w:rsidR="008C5013" w:rsidRPr="00FC4465">
        <w:rPr>
          <w:rFonts w:asciiTheme="majorBidi" w:hAnsiTheme="majorBidi" w:cstheme="majorBidi"/>
        </w:rPr>
        <w:t>“</w:t>
      </w:r>
      <w:r w:rsidRPr="00FC4465">
        <w:rPr>
          <w:rFonts w:asciiTheme="majorBidi" w:hAnsiTheme="majorBidi" w:cstheme="majorBidi"/>
        </w:rPr>
        <w:t>3</w:t>
      </w:r>
      <w:r w:rsidR="008C5013" w:rsidRPr="00FC4465">
        <w:rPr>
          <w:rFonts w:asciiTheme="majorBidi" w:hAnsiTheme="majorBidi" w:cstheme="majorBidi"/>
        </w:rPr>
        <w:t>”</w:t>
      </w:r>
      <w:r w:rsidRPr="00FC4465">
        <w:rPr>
          <w:rFonts w:asciiTheme="majorBidi" w:hAnsiTheme="majorBidi" w:cstheme="majorBidi"/>
        </w:rPr>
        <w:t xml:space="preserve">, </w:t>
      </w:r>
      <w:r w:rsidR="008C5013" w:rsidRPr="00FC4465">
        <w:rPr>
          <w:rFonts w:asciiTheme="majorBidi" w:hAnsiTheme="majorBidi" w:cstheme="majorBidi"/>
        </w:rPr>
        <w:t>“</w:t>
      </w:r>
      <w:r w:rsidRPr="00FC4465">
        <w:rPr>
          <w:rFonts w:asciiTheme="majorBidi" w:hAnsiTheme="majorBidi" w:cstheme="majorBidi"/>
        </w:rPr>
        <w:t>4</w:t>
      </w:r>
      <w:r w:rsidR="008C5013" w:rsidRPr="00FC4465">
        <w:rPr>
          <w:rFonts w:asciiTheme="majorBidi" w:hAnsiTheme="majorBidi" w:cstheme="majorBidi"/>
        </w:rPr>
        <w:t>”</w:t>
      </w:r>
      <w:r w:rsidRPr="00FC4465">
        <w:rPr>
          <w:rFonts w:asciiTheme="majorBidi" w:hAnsiTheme="majorBidi" w:cstheme="majorBidi"/>
        </w:rPr>
        <w:t xml:space="preserve"> y </w:t>
      </w:r>
      <w:r w:rsidR="008C5013" w:rsidRPr="00FC4465">
        <w:rPr>
          <w:rFonts w:asciiTheme="majorBidi" w:hAnsiTheme="majorBidi" w:cstheme="majorBidi"/>
        </w:rPr>
        <w:t>“</w:t>
      </w:r>
      <w:r w:rsidRPr="00FC4465">
        <w:rPr>
          <w:rFonts w:asciiTheme="majorBidi" w:hAnsiTheme="majorBidi" w:cstheme="majorBidi"/>
        </w:rPr>
        <w:t>5</w:t>
      </w:r>
      <w:r w:rsidR="008C5013" w:rsidRPr="00FC4465">
        <w:rPr>
          <w:rFonts w:asciiTheme="majorBidi" w:hAnsiTheme="majorBidi" w:cstheme="majorBidi"/>
        </w:rPr>
        <w:t>”</w:t>
      </w:r>
      <w:r w:rsidRPr="00FC4465">
        <w:rPr>
          <w:rFonts w:asciiTheme="majorBidi" w:hAnsiTheme="majorBidi" w:cstheme="majorBidi"/>
        </w:rPr>
        <w:t xml:space="preserve"> pasan a ser las notas </w:t>
      </w:r>
      <w:r w:rsidR="008C5013" w:rsidRPr="00FC4465">
        <w:rPr>
          <w:rFonts w:asciiTheme="majorBidi" w:hAnsiTheme="majorBidi" w:cstheme="majorBidi"/>
        </w:rPr>
        <w:t>“</w:t>
      </w:r>
      <w:r w:rsidRPr="00FC4465">
        <w:rPr>
          <w:rFonts w:asciiTheme="majorBidi" w:hAnsiTheme="majorBidi" w:cstheme="majorBidi"/>
        </w:rPr>
        <w:t>5</w:t>
      </w:r>
      <w:r w:rsidR="008C5013" w:rsidRPr="00FC4465">
        <w:rPr>
          <w:rFonts w:asciiTheme="majorBidi" w:hAnsiTheme="majorBidi" w:cstheme="majorBidi"/>
        </w:rPr>
        <w:t>”</w:t>
      </w:r>
      <w:r w:rsidRPr="00FC4465">
        <w:rPr>
          <w:rFonts w:asciiTheme="majorBidi" w:hAnsiTheme="majorBidi" w:cstheme="majorBidi"/>
        </w:rPr>
        <w:t xml:space="preserve">, </w:t>
      </w:r>
      <w:r w:rsidR="008C5013" w:rsidRPr="00FC4465">
        <w:rPr>
          <w:rFonts w:asciiTheme="majorBidi" w:hAnsiTheme="majorBidi" w:cstheme="majorBidi"/>
        </w:rPr>
        <w:t>“</w:t>
      </w:r>
      <w:r w:rsidRPr="00FC4465">
        <w:rPr>
          <w:rFonts w:asciiTheme="majorBidi" w:hAnsiTheme="majorBidi" w:cstheme="majorBidi"/>
        </w:rPr>
        <w:t>6</w:t>
      </w:r>
      <w:r w:rsidR="008C5013" w:rsidRPr="00FC4465">
        <w:rPr>
          <w:rFonts w:asciiTheme="majorBidi" w:hAnsiTheme="majorBidi" w:cstheme="majorBidi"/>
        </w:rPr>
        <w:t>”</w:t>
      </w:r>
      <w:r w:rsidRPr="00FC4465">
        <w:rPr>
          <w:rFonts w:asciiTheme="majorBidi" w:hAnsiTheme="majorBidi" w:cstheme="majorBidi"/>
        </w:rPr>
        <w:t xml:space="preserve"> y </w:t>
      </w:r>
      <w:r w:rsidR="008C5013" w:rsidRPr="00FC4465">
        <w:rPr>
          <w:rFonts w:asciiTheme="majorBidi" w:hAnsiTheme="majorBidi" w:cstheme="majorBidi"/>
        </w:rPr>
        <w:t>“</w:t>
      </w:r>
      <w:r w:rsidRPr="00FC4465">
        <w:rPr>
          <w:rFonts w:asciiTheme="majorBidi" w:hAnsiTheme="majorBidi" w:cstheme="majorBidi"/>
        </w:rPr>
        <w:t>7</w:t>
      </w:r>
      <w:r w:rsidR="008C5013" w:rsidRPr="00FC4465">
        <w:rPr>
          <w:rFonts w:asciiTheme="majorBidi" w:hAnsiTheme="majorBidi" w:cstheme="majorBidi"/>
        </w:rPr>
        <w:t>”</w:t>
      </w:r>
      <w:r w:rsidRPr="00FC4465">
        <w:rPr>
          <w:rFonts w:asciiTheme="majorBidi" w:hAnsiTheme="majorBidi" w:cstheme="majorBidi"/>
        </w:rPr>
        <w:t>, respectivamente.</w:t>
      </w:r>
    </w:p>
    <w:p w14:paraId="60A5B1B9" w14:textId="77777777" w:rsidR="008B6A70" w:rsidRPr="00FC4465" w:rsidRDefault="008B6A70" w:rsidP="00802EA2">
      <w:pPr>
        <w:pStyle w:val="GHStext"/>
        <w:tabs>
          <w:tab w:val="left" w:pos="2268"/>
        </w:tabs>
        <w:spacing w:after="120" w:line="240" w:lineRule="atLeast"/>
        <w:ind w:left="1134" w:right="1134"/>
        <w:rPr>
          <w:rFonts w:asciiTheme="majorBidi" w:hAnsiTheme="majorBidi" w:cstheme="majorBidi"/>
          <w:color w:val="auto"/>
          <w:szCs w:val="20"/>
          <w:lang w:eastAsia="zh-CN"/>
        </w:rPr>
      </w:pPr>
      <w:r w:rsidRPr="00FC4465">
        <w:rPr>
          <w:rFonts w:asciiTheme="majorBidi" w:hAnsiTheme="majorBidi" w:cstheme="majorBidi"/>
          <w:color w:val="auto"/>
          <w:szCs w:val="20"/>
          <w:lang w:eastAsia="zh-CN"/>
        </w:rPr>
        <w:t>3.4.5.2</w:t>
      </w:r>
      <w:r w:rsidRPr="00FC4465">
        <w:rPr>
          <w:rFonts w:asciiTheme="majorBidi" w:hAnsiTheme="majorBidi" w:cstheme="majorBidi"/>
          <w:color w:val="auto"/>
          <w:szCs w:val="20"/>
          <w:lang w:eastAsia="zh-CN"/>
        </w:rPr>
        <w:tab/>
        <w:t>Modifíquese el procedimiento de decisión 3.4.2 como sigue:</w:t>
      </w:r>
    </w:p>
    <w:p w14:paraId="4F9FEF7B" w14:textId="1AC8F390" w:rsidR="008B6A70" w:rsidRPr="00FC4465" w:rsidRDefault="008B6A70" w:rsidP="00802EA2">
      <w:pPr>
        <w:pStyle w:val="SingleTxtG"/>
        <w:tabs>
          <w:tab w:val="clear" w:pos="2268"/>
        </w:tabs>
        <w:ind w:left="2268"/>
        <w:rPr>
          <w:rFonts w:asciiTheme="majorBidi" w:hAnsiTheme="majorBidi" w:cstheme="majorBidi"/>
        </w:rPr>
      </w:pPr>
      <w:r w:rsidRPr="00FC4465">
        <w:rPr>
          <w:rFonts w:asciiTheme="majorBidi" w:hAnsiTheme="majorBidi" w:cstheme="majorBidi"/>
        </w:rPr>
        <w:t xml:space="preserve">Sustitúyase el texto del recuadro central que empieza por </w:t>
      </w:r>
      <w:r w:rsidR="008C5013" w:rsidRPr="00FC4465">
        <w:rPr>
          <w:rFonts w:asciiTheme="majorBidi" w:hAnsiTheme="majorBidi" w:cstheme="majorBidi"/>
        </w:rPr>
        <w:t>“</w:t>
      </w:r>
      <w:r w:rsidRPr="00FC4465">
        <w:rPr>
          <w:rFonts w:asciiTheme="majorBidi" w:hAnsiTheme="majorBidi" w:cstheme="majorBidi"/>
        </w:rPr>
        <w:t>a) ¿Hay información de que [...]</w:t>
      </w:r>
      <w:r w:rsidR="008C5013" w:rsidRPr="00FC4465">
        <w:rPr>
          <w:rFonts w:asciiTheme="majorBidi" w:hAnsiTheme="majorBidi" w:cstheme="majorBidi"/>
        </w:rPr>
        <w:t>”</w:t>
      </w:r>
      <w:r w:rsidRPr="00FC4465">
        <w:rPr>
          <w:rFonts w:asciiTheme="majorBidi" w:hAnsiTheme="majorBidi" w:cstheme="majorBidi"/>
        </w:rPr>
        <w:t xml:space="preserve"> por el siguiente: </w:t>
      </w:r>
      <w:r w:rsidR="008C5013" w:rsidRPr="00FC4465">
        <w:rPr>
          <w:rFonts w:asciiTheme="majorBidi" w:hAnsiTheme="majorBidi" w:cstheme="majorBidi"/>
        </w:rPr>
        <w:t>“</w:t>
      </w:r>
      <w:r w:rsidRPr="00FC4465">
        <w:rPr>
          <w:rFonts w:asciiTheme="majorBidi" w:hAnsiTheme="majorBidi" w:cstheme="majorBidi"/>
        </w:rPr>
        <w:t>¿Hay información de que la sustancia/mezcla cumple los criterios indicados en 3.4.2.2.2.2 a 3.4.2.2.2.8 para las sustancias y en 3.4.3.1 para las mezclas?</w:t>
      </w:r>
      <w:r w:rsidR="008C5013" w:rsidRPr="00FC4465">
        <w:rPr>
          <w:rFonts w:asciiTheme="majorBidi" w:hAnsiTheme="majorBidi" w:cstheme="majorBidi"/>
        </w:rPr>
        <w:t>”</w:t>
      </w:r>
      <w:r w:rsidRPr="00FC4465">
        <w:rPr>
          <w:rFonts w:asciiTheme="majorBidi" w:hAnsiTheme="majorBidi" w:cstheme="majorBidi"/>
        </w:rPr>
        <w:t>.</w:t>
      </w:r>
    </w:p>
    <w:p w14:paraId="45B32364" w14:textId="56BB6168" w:rsidR="008B6A70" w:rsidRPr="00FC4465" w:rsidRDefault="008B6A70" w:rsidP="00802EA2">
      <w:pPr>
        <w:pStyle w:val="ListParagraph"/>
        <w:spacing w:after="120"/>
        <w:ind w:left="2268" w:right="1134"/>
        <w:jc w:val="both"/>
        <w:rPr>
          <w:rFonts w:asciiTheme="majorBidi" w:hAnsiTheme="majorBidi" w:cstheme="majorBidi"/>
          <w:lang w:val="es-ES"/>
        </w:rPr>
      </w:pPr>
      <w:r w:rsidRPr="00FC4465">
        <w:rPr>
          <w:rFonts w:asciiTheme="majorBidi" w:hAnsiTheme="majorBidi" w:cstheme="majorBidi"/>
          <w:lang w:val="es-ES"/>
        </w:rPr>
        <w:t xml:space="preserve">En el segundo recuadro de la derecha empezando desde arriba, sustitúyase </w:t>
      </w:r>
      <w:r w:rsidR="008C5013" w:rsidRPr="00FC4465">
        <w:rPr>
          <w:rFonts w:asciiTheme="majorBidi" w:hAnsiTheme="majorBidi" w:cstheme="majorBidi"/>
          <w:lang w:val="es-ES"/>
        </w:rPr>
        <w:t>“</w:t>
      </w:r>
      <w:r w:rsidRPr="00FC4465">
        <w:rPr>
          <w:rFonts w:asciiTheme="majorBidi" w:hAnsiTheme="majorBidi" w:cstheme="majorBidi"/>
          <w:lang w:val="es-ES"/>
        </w:rPr>
        <w:t>Categoría 1</w:t>
      </w:r>
      <w:r w:rsidRPr="00FC4465">
        <w:rPr>
          <w:rFonts w:asciiTheme="majorBidi" w:hAnsiTheme="majorBidi" w:cstheme="majorBidi"/>
          <w:vertAlign w:val="superscript"/>
          <w:lang w:val="es-ES"/>
        </w:rPr>
        <w:t>6</w:t>
      </w:r>
      <w:r w:rsidR="008C5013" w:rsidRPr="00FC4465">
        <w:rPr>
          <w:rFonts w:asciiTheme="majorBidi" w:hAnsiTheme="majorBidi" w:cstheme="majorBidi"/>
          <w:lang w:val="es-ES"/>
        </w:rPr>
        <w:t>”</w:t>
      </w:r>
      <w:r w:rsidRPr="00FC4465">
        <w:rPr>
          <w:rFonts w:asciiTheme="majorBidi" w:hAnsiTheme="majorBidi" w:cstheme="majorBidi"/>
          <w:lang w:val="es-ES"/>
        </w:rPr>
        <w:t xml:space="preserve"> por </w:t>
      </w:r>
      <w:r w:rsidR="008C5013" w:rsidRPr="00FC4465">
        <w:rPr>
          <w:rFonts w:asciiTheme="majorBidi" w:hAnsiTheme="majorBidi" w:cstheme="majorBidi"/>
          <w:lang w:val="es-ES"/>
        </w:rPr>
        <w:t>“</w:t>
      </w:r>
      <w:r w:rsidRPr="00FC4465">
        <w:rPr>
          <w:rFonts w:asciiTheme="majorBidi" w:hAnsiTheme="majorBidi" w:cstheme="majorBidi"/>
          <w:lang w:val="es-ES"/>
        </w:rPr>
        <w:t>Categoría 1</w:t>
      </w:r>
      <w:r w:rsidRPr="00FC4465">
        <w:rPr>
          <w:rFonts w:asciiTheme="majorBidi" w:hAnsiTheme="majorBidi" w:cstheme="majorBidi"/>
          <w:vertAlign w:val="superscript"/>
          <w:lang w:val="es-ES"/>
        </w:rPr>
        <w:t>8</w:t>
      </w:r>
      <w:r w:rsidR="008C5013" w:rsidRPr="00FC4465">
        <w:rPr>
          <w:rFonts w:asciiTheme="majorBidi" w:hAnsiTheme="majorBidi" w:cstheme="majorBidi"/>
          <w:lang w:val="es-ES"/>
        </w:rPr>
        <w:t>”</w:t>
      </w:r>
      <w:r w:rsidRPr="00FC4465">
        <w:rPr>
          <w:rFonts w:asciiTheme="majorBidi" w:hAnsiTheme="majorBidi" w:cstheme="majorBidi"/>
          <w:lang w:val="es-ES"/>
        </w:rPr>
        <w:t>.</w:t>
      </w:r>
    </w:p>
    <w:p w14:paraId="046187C7" w14:textId="4315A500" w:rsidR="008B6A70" w:rsidRPr="00D07706" w:rsidRDefault="008B6A70" w:rsidP="00802EA2">
      <w:pPr>
        <w:pStyle w:val="SingleTxtG"/>
        <w:ind w:left="2268"/>
        <w:rPr>
          <w:rFonts w:asciiTheme="majorBidi" w:hAnsiTheme="majorBidi" w:cstheme="majorBidi"/>
        </w:rPr>
      </w:pPr>
      <w:r w:rsidRPr="00D07706">
        <w:rPr>
          <w:rFonts w:asciiTheme="majorBidi" w:hAnsiTheme="majorBidi" w:cstheme="majorBidi"/>
        </w:rPr>
        <w:t xml:space="preserve">En el recuadro inferior izquierdo que comienza con </w:t>
      </w:r>
      <w:r w:rsidR="008C5013" w:rsidRPr="00D07706">
        <w:rPr>
          <w:rFonts w:asciiTheme="majorBidi" w:hAnsiTheme="majorBidi" w:cstheme="majorBidi"/>
        </w:rPr>
        <w:t>“</w:t>
      </w:r>
      <w:r w:rsidRPr="00D07706">
        <w:rPr>
          <w:rFonts w:asciiTheme="majorBidi" w:hAnsiTheme="majorBidi" w:cstheme="majorBidi"/>
        </w:rPr>
        <w:t>¿Contiene la mezcla [...]</w:t>
      </w:r>
      <w:r w:rsidR="008C5013" w:rsidRPr="00D07706">
        <w:rPr>
          <w:rFonts w:asciiTheme="majorBidi" w:hAnsiTheme="majorBidi" w:cstheme="majorBidi"/>
        </w:rPr>
        <w:t>”</w:t>
      </w:r>
      <w:r w:rsidRPr="00D07706">
        <w:rPr>
          <w:rFonts w:asciiTheme="majorBidi" w:hAnsiTheme="majorBidi" w:cstheme="majorBidi"/>
        </w:rPr>
        <w:t xml:space="preserve">, modifíquese la llamada a las notas a pie de página </w:t>
      </w:r>
      <w:r w:rsidR="008C5013" w:rsidRPr="00D07706">
        <w:rPr>
          <w:rFonts w:asciiTheme="majorBidi" w:hAnsiTheme="majorBidi" w:cstheme="majorBidi"/>
        </w:rPr>
        <w:t>“</w:t>
      </w:r>
      <w:r w:rsidRPr="00D07706">
        <w:rPr>
          <w:rFonts w:asciiTheme="majorBidi" w:hAnsiTheme="majorBidi" w:cstheme="majorBidi"/>
        </w:rPr>
        <w:t>3, 4</w:t>
      </w:r>
      <w:r w:rsidR="008C5013" w:rsidRPr="00D07706">
        <w:rPr>
          <w:rFonts w:asciiTheme="majorBidi" w:hAnsiTheme="majorBidi" w:cstheme="majorBidi"/>
        </w:rPr>
        <w:t>”</w:t>
      </w:r>
      <w:r w:rsidRPr="00D07706">
        <w:rPr>
          <w:rFonts w:asciiTheme="majorBidi" w:hAnsiTheme="majorBidi" w:cstheme="majorBidi"/>
        </w:rPr>
        <w:t xml:space="preserve"> por </w:t>
      </w:r>
      <w:r w:rsidR="008C5013" w:rsidRPr="00D07706">
        <w:rPr>
          <w:rFonts w:asciiTheme="majorBidi" w:hAnsiTheme="majorBidi" w:cstheme="majorBidi"/>
        </w:rPr>
        <w:t>“</w:t>
      </w:r>
      <w:r w:rsidRPr="00D07706">
        <w:rPr>
          <w:rFonts w:asciiTheme="majorBidi" w:hAnsiTheme="majorBidi" w:cstheme="majorBidi"/>
        </w:rPr>
        <w:t>5, 6</w:t>
      </w:r>
      <w:r w:rsidR="008C5013" w:rsidRPr="00D07706">
        <w:rPr>
          <w:rFonts w:asciiTheme="majorBidi" w:hAnsiTheme="majorBidi" w:cstheme="majorBidi"/>
        </w:rPr>
        <w:t>”</w:t>
      </w:r>
      <w:r w:rsidRPr="00D07706">
        <w:rPr>
          <w:rFonts w:asciiTheme="majorBidi" w:hAnsiTheme="majorBidi" w:cstheme="majorBidi"/>
        </w:rPr>
        <w:t>.</w:t>
      </w:r>
    </w:p>
    <w:p w14:paraId="2CA2859B" w14:textId="61023FF5" w:rsidR="008B6A70" w:rsidRPr="00FC4465" w:rsidRDefault="008B6A70" w:rsidP="00802EA2">
      <w:pPr>
        <w:pStyle w:val="SingleTxtG"/>
        <w:ind w:left="2268"/>
        <w:rPr>
          <w:rFonts w:asciiTheme="majorBidi" w:hAnsiTheme="majorBidi" w:cstheme="majorBidi"/>
          <w:i/>
          <w:iCs/>
        </w:rPr>
      </w:pPr>
      <w:r w:rsidRPr="00FC4465">
        <w:rPr>
          <w:rFonts w:asciiTheme="majorBidi" w:hAnsiTheme="majorBidi" w:cstheme="majorBidi"/>
        </w:rPr>
        <w:t xml:space="preserve">Las actuales notas a pie de página </w:t>
      </w:r>
      <w:r w:rsidR="008C5013" w:rsidRPr="00FC4465">
        <w:rPr>
          <w:rFonts w:asciiTheme="majorBidi" w:hAnsiTheme="majorBidi" w:cstheme="majorBidi"/>
        </w:rPr>
        <w:t>“</w:t>
      </w:r>
      <w:r w:rsidRPr="00FC4465">
        <w:rPr>
          <w:rFonts w:asciiTheme="majorBidi" w:hAnsiTheme="majorBidi" w:cstheme="majorBidi"/>
        </w:rPr>
        <w:t>3</w:t>
      </w:r>
      <w:r w:rsidR="008C5013" w:rsidRPr="00FC4465">
        <w:rPr>
          <w:rFonts w:asciiTheme="majorBidi" w:hAnsiTheme="majorBidi" w:cstheme="majorBidi"/>
        </w:rPr>
        <w:t>”</w:t>
      </w:r>
      <w:r w:rsidRPr="00FC4465">
        <w:rPr>
          <w:rFonts w:asciiTheme="majorBidi" w:hAnsiTheme="majorBidi" w:cstheme="majorBidi"/>
        </w:rPr>
        <w:t xml:space="preserve">, </w:t>
      </w:r>
      <w:r w:rsidR="008C5013" w:rsidRPr="00FC4465">
        <w:rPr>
          <w:rFonts w:asciiTheme="majorBidi" w:hAnsiTheme="majorBidi" w:cstheme="majorBidi"/>
        </w:rPr>
        <w:t>“</w:t>
      </w:r>
      <w:r w:rsidRPr="00FC4465">
        <w:rPr>
          <w:rFonts w:asciiTheme="majorBidi" w:hAnsiTheme="majorBidi" w:cstheme="majorBidi"/>
        </w:rPr>
        <w:t>4</w:t>
      </w:r>
      <w:r w:rsidR="008C5013" w:rsidRPr="00FC4465">
        <w:rPr>
          <w:rFonts w:asciiTheme="majorBidi" w:hAnsiTheme="majorBidi" w:cstheme="majorBidi"/>
        </w:rPr>
        <w:t>”</w:t>
      </w:r>
      <w:r w:rsidRPr="00FC4465">
        <w:rPr>
          <w:rFonts w:asciiTheme="majorBidi" w:hAnsiTheme="majorBidi" w:cstheme="majorBidi"/>
        </w:rPr>
        <w:t xml:space="preserve"> y </w:t>
      </w:r>
      <w:r w:rsidR="008C5013" w:rsidRPr="00FC4465">
        <w:rPr>
          <w:rFonts w:asciiTheme="majorBidi" w:hAnsiTheme="majorBidi" w:cstheme="majorBidi"/>
        </w:rPr>
        <w:t>“</w:t>
      </w:r>
      <w:r w:rsidRPr="00FC4465">
        <w:rPr>
          <w:rFonts w:asciiTheme="majorBidi" w:hAnsiTheme="majorBidi" w:cstheme="majorBidi"/>
        </w:rPr>
        <w:t>6</w:t>
      </w:r>
      <w:r w:rsidR="008C5013" w:rsidRPr="00FC4465">
        <w:rPr>
          <w:rFonts w:asciiTheme="majorBidi" w:hAnsiTheme="majorBidi" w:cstheme="majorBidi"/>
        </w:rPr>
        <w:t>”</w:t>
      </w:r>
      <w:r w:rsidRPr="00FC4465">
        <w:rPr>
          <w:rFonts w:asciiTheme="majorBidi" w:hAnsiTheme="majorBidi" w:cstheme="majorBidi"/>
        </w:rPr>
        <w:t xml:space="preserve"> pasan a ser las notas </w:t>
      </w:r>
      <w:r w:rsidR="008C5013" w:rsidRPr="00FC4465">
        <w:rPr>
          <w:rFonts w:asciiTheme="majorBidi" w:hAnsiTheme="majorBidi" w:cstheme="majorBidi"/>
        </w:rPr>
        <w:t>“</w:t>
      </w:r>
      <w:r w:rsidRPr="00FC4465">
        <w:rPr>
          <w:rFonts w:asciiTheme="majorBidi" w:hAnsiTheme="majorBidi" w:cstheme="majorBidi"/>
        </w:rPr>
        <w:t>5</w:t>
      </w:r>
      <w:r w:rsidR="008C5013" w:rsidRPr="00FC4465">
        <w:rPr>
          <w:rFonts w:asciiTheme="majorBidi" w:hAnsiTheme="majorBidi" w:cstheme="majorBidi"/>
        </w:rPr>
        <w:t>”</w:t>
      </w:r>
      <w:r w:rsidRPr="00FC4465">
        <w:rPr>
          <w:rFonts w:asciiTheme="majorBidi" w:hAnsiTheme="majorBidi" w:cstheme="majorBidi"/>
        </w:rPr>
        <w:t xml:space="preserve">, </w:t>
      </w:r>
      <w:r w:rsidR="008C5013" w:rsidRPr="00FC4465">
        <w:rPr>
          <w:rFonts w:asciiTheme="majorBidi" w:hAnsiTheme="majorBidi" w:cstheme="majorBidi"/>
        </w:rPr>
        <w:t>“</w:t>
      </w:r>
      <w:r w:rsidRPr="00FC4465">
        <w:rPr>
          <w:rFonts w:asciiTheme="majorBidi" w:hAnsiTheme="majorBidi" w:cstheme="majorBidi"/>
        </w:rPr>
        <w:t>6</w:t>
      </w:r>
      <w:r w:rsidR="008C5013" w:rsidRPr="00FC4465">
        <w:rPr>
          <w:rFonts w:asciiTheme="majorBidi" w:hAnsiTheme="majorBidi" w:cstheme="majorBidi"/>
        </w:rPr>
        <w:t>”</w:t>
      </w:r>
      <w:r w:rsidRPr="00FC4465">
        <w:rPr>
          <w:rFonts w:asciiTheme="majorBidi" w:hAnsiTheme="majorBidi" w:cstheme="majorBidi"/>
        </w:rPr>
        <w:t xml:space="preserve"> y </w:t>
      </w:r>
      <w:r w:rsidR="008C5013" w:rsidRPr="00FC4465">
        <w:rPr>
          <w:rFonts w:asciiTheme="majorBidi" w:hAnsiTheme="majorBidi" w:cstheme="majorBidi"/>
        </w:rPr>
        <w:t>“</w:t>
      </w:r>
      <w:r w:rsidRPr="00FC4465">
        <w:rPr>
          <w:rFonts w:asciiTheme="majorBidi" w:hAnsiTheme="majorBidi" w:cstheme="majorBidi"/>
        </w:rPr>
        <w:t>8</w:t>
      </w:r>
      <w:r w:rsidR="008C5013" w:rsidRPr="00FC4465">
        <w:rPr>
          <w:rFonts w:asciiTheme="majorBidi" w:hAnsiTheme="majorBidi" w:cstheme="majorBidi"/>
        </w:rPr>
        <w:t>”</w:t>
      </w:r>
      <w:r w:rsidRPr="00FC4465">
        <w:rPr>
          <w:rFonts w:asciiTheme="majorBidi" w:hAnsiTheme="majorBidi" w:cstheme="majorBidi"/>
        </w:rPr>
        <w:t>, respectivamente.</w:t>
      </w:r>
    </w:p>
    <w:p w14:paraId="71EC5A81" w14:textId="77777777" w:rsidR="008B6A70" w:rsidRPr="00FC4465" w:rsidRDefault="008B6A70" w:rsidP="00802EA2">
      <w:pPr>
        <w:pStyle w:val="SingleTxtG"/>
        <w:tabs>
          <w:tab w:val="clear" w:pos="1701"/>
          <w:tab w:val="clear" w:pos="2835"/>
          <w:tab w:val="left" w:pos="5670"/>
        </w:tabs>
        <w:rPr>
          <w:rFonts w:asciiTheme="majorBidi" w:hAnsiTheme="majorBidi" w:cstheme="majorBidi"/>
        </w:rPr>
      </w:pPr>
      <w:r w:rsidRPr="00FC4465">
        <w:rPr>
          <w:rFonts w:asciiTheme="majorBidi" w:hAnsiTheme="majorBidi" w:cstheme="majorBidi"/>
        </w:rPr>
        <w:t>3.4.5.3</w:t>
      </w:r>
      <w:r w:rsidRPr="00FC4465">
        <w:rPr>
          <w:rFonts w:asciiTheme="majorBidi" w:hAnsiTheme="majorBidi" w:cstheme="majorBidi"/>
        </w:rPr>
        <w:tab/>
        <w:t>Insértese el nuevo texto siguiente:</w:t>
      </w:r>
    </w:p>
    <w:p w14:paraId="135906D8" w14:textId="5A314A22" w:rsidR="008B6A70" w:rsidRPr="00FC4465" w:rsidRDefault="00802EA2" w:rsidP="00802EA2">
      <w:pPr>
        <w:pStyle w:val="H23G"/>
        <w:rPr>
          <w:bCs/>
          <w:iCs/>
        </w:rPr>
      </w:pPr>
      <w:bookmarkStart w:id="13" w:name="_Hlk124930316"/>
      <w:r>
        <w:tab/>
      </w:r>
      <w:r>
        <w:tab/>
      </w:r>
      <w:r>
        <w:tab/>
      </w:r>
      <w:r>
        <w:tab/>
      </w:r>
      <w:r>
        <w:tab/>
      </w:r>
      <w:r w:rsidR="008C5013" w:rsidRPr="00FC4465">
        <w:t>“</w:t>
      </w:r>
      <w:r w:rsidR="008B6A70" w:rsidRPr="00FC4465">
        <w:t>3.4.5.3</w:t>
      </w:r>
      <w:r w:rsidR="008B6A70" w:rsidRPr="00FC4465">
        <w:tab/>
        <w:t>Indicaciones complementarias</w:t>
      </w:r>
    </w:p>
    <w:p w14:paraId="5968493C" w14:textId="77777777" w:rsidR="008B6A70" w:rsidRPr="00FC4465" w:rsidRDefault="008B6A70" w:rsidP="00802EA2">
      <w:pPr>
        <w:pStyle w:val="SingleTxtG"/>
        <w:ind w:left="2268"/>
        <w:rPr>
          <w:rFonts w:asciiTheme="majorBidi" w:hAnsiTheme="majorBidi" w:cstheme="majorBidi"/>
          <w:i/>
          <w:iCs/>
        </w:rPr>
      </w:pPr>
      <w:r w:rsidRPr="00FC4465">
        <w:rPr>
          <w:rFonts w:asciiTheme="majorBidi" w:hAnsiTheme="majorBidi" w:cstheme="majorBidi"/>
        </w:rPr>
        <w:t xml:space="preserve">3.4.5.3.1 </w:t>
      </w:r>
      <w:r w:rsidRPr="00FC4465">
        <w:rPr>
          <w:rFonts w:asciiTheme="majorBidi" w:hAnsiTheme="majorBidi" w:cstheme="majorBidi"/>
        </w:rPr>
        <w:tab/>
      </w:r>
      <w:r w:rsidRPr="00FC4465">
        <w:rPr>
          <w:rFonts w:asciiTheme="majorBidi" w:hAnsiTheme="majorBidi" w:cstheme="majorBidi"/>
          <w:i/>
          <w:iCs/>
        </w:rPr>
        <w:t>Documentos de orientación pertinentes</w:t>
      </w:r>
    </w:p>
    <w:p w14:paraId="10CE688D" w14:textId="7B049F38" w:rsidR="008B6A70" w:rsidRPr="00FC4465" w:rsidRDefault="008B6A70" w:rsidP="00802EA2">
      <w:pPr>
        <w:pStyle w:val="SingleTxtG"/>
        <w:ind w:left="2268" w:firstLine="1134"/>
        <w:rPr>
          <w:rFonts w:asciiTheme="majorBidi" w:hAnsiTheme="majorBidi" w:cstheme="majorBidi"/>
        </w:rPr>
      </w:pPr>
      <w:r w:rsidRPr="00FC4465">
        <w:rPr>
          <w:rFonts w:asciiTheme="majorBidi" w:hAnsiTheme="majorBidi" w:cstheme="majorBidi"/>
        </w:rPr>
        <w:t xml:space="preserve">En el documento de la OCDE Adverse Outcome Pathway for Skin Sensitisation (véase OCDE (2014)) figura información sobre los mecanismos del proceso de sensibilización cutánea. Dicha información puede servir para comprender el valor de los métodos </w:t>
      </w:r>
      <w:r w:rsidRPr="00FC4465">
        <w:rPr>
          <w:rFonts w:asciiTheme="majorBidi" w:hAnsiTheme="majorBidi" w:cstheme="majorBidi"/>
          <w:i/>
          <w:iCs/>
        </w:rPr>
        <w:t>in</w:t>
      </w:r>
      <w:r w:rsidR="0081160D">
        <w:rPr>
          <w:rFonts w:asciiTheme="majorBidi" w:hAnsiTheme="majorBidi" w:cstheme="majorBidi"/>
          <w:i/>
          <w:iCs/>
        </w:rPr>
        <w:t> chemico</w:t>
      </w:r>
      <w:r w:rsidRPr="00FC4465">
        <w:rPr>
          <w:rFonts w:asciiTheme="majorBidi" w:hAnsiTheme="majorBidi" w:cstheme="majorBidi"/>
        </w:rPr>
        <w:t xml:space="preserve"> e </w:t>
      </w:r>
      <w:r w:rsidR="00762E66">
        <w:rPr>
          <w:rFonts w:asciiTheme="majorBidi" w:hAnsiTheme="majorBidi" w:cstheme="majorBidi"/>
          <w:i/>
          <w:iCs/>
        </w:rPr>
        <w:t>in vitro</w:t>
      </w:r>
      <w:r w:rsidRPr="00FC4465">
        <w:rPr>
          <w:rFonts w:asciiTheme="majorBidi" w:hAnsiTheme="majorBidi" w:cstheme="majorBidi"/>
        </w:rPr>
        <w:t xml:space="preserve"> en comparación con los métodos </w:t>
      </w:r>
      <w:r w:rsidRPr="00FC4465">
        <w:rPr>
          <w:rFonts w:asciiTheme="majorBidi" w:hAnsiTheme="majorBidi" w:cstheme="majorBidi"/>
          <w:i/>
          <w:iCs/>
        </w:rPr>
        <w:t>in vivo</w:t>
      </w:r>
      <w:r w:rsidRPr="00FC4465">
        <w:rPr>
          <w:rFonts w:asciiTheme="majorBidi" w:hAnsiTheme="majorBidi" w:cstheme="majorBidi"/>
        </w:rPr>
        <w:t>.</w:t>
      </w:r>
    </w:p>
    <w:p w14:paraId="598DB653" w14:textId="77777777" w:rsidR="008B6A70" w:rsidRPr="00FC4465" w:rsidRDefault="008B6A70" w:rsidP="00802EA2">
      <w:pPr>
        <w:pStyle w:val="SingleTxtG"/>
        <w:keepNext/>
        <w:keepLines/>
        <w:ind w:left="2268"/>
        <w:rPr>
          <w:rFonts w:asciiTheme="majorBidi" w:hAnsiTheme="majorBidi" w:cstheme="majorBidi"/>
        </w:rPr>
      </w:pPr>
      <w:r w:rsidRPr="00FC4465">
        <w:rPr>
          <w:rFonts w:asciiTheme="majorBidi" w:hAnsiTheme="majorBidi" w:cstheme="majorBidi"/>
        </w:rPr>
        <w:t>3.4.5.3.2</w:t>
      </w:r>
      <w:r w:rsidRPr="00FC4465">
        <w:rPr>
          <w:rFonts w:asciiTheme="majorBidi" w:hAnsiTheme="majorBidi" w:cstheme="majorBidi"/>
        </w:rPr>
        <w:tab/>
      </w:r>
      <w:r w:rsidRPr="00FC4465">
        <w:rPr>
          <w:rFonts w:asciiTheme="majorBidi" w:hAnsiTheme="majorBidi" w:cstheme="majorBidi"/>
          <w:i/>
          <w:iCs/>
        </w:rPr>
        <w:t>Orientaciones sobre el uso de datos obtenidos en seres humanos</w:t>
      </w:r>
    </w:p>
    <w:p w14:paraId="2C986479" w14:textId="77777777" w:rsidR="008B6A70" w:rsidRPr="00FC4465" w:rsidRDefault="008B6A70" w:rsidP="00802EA2">
      <w:pPr>
        <w:pStyle w:val="SingleTxtG"/>
        <w:ind w:left="2268"/>
        <w:rPr>
          <w:rFonts w:asciiTheme="majorBidi" w:hAnsiTheme="majorBidi" w:cstheme="majorBidi"/>
        </w:rPr>
      </w:pPr>
      <w:r w:rsidRPr="00FC4465">
        <w:rPr>
          <w:rFonts w:asciiTheme="majorBidi" w:hAnsiTheme="majorBidi" w:cstheme="majorBidi"/>
        </w:rPr>
        <w:t>3.4.5.3.2.1</w:t>
      </w:r>
      <w:r w:rsidRPr="00FC4465">
        <w:rPr>
          <w:rFonts w:asciiTheme="majorBidi" w:hAnsiTheme="majorBidi" w:cstheme="majorBidi"/>
        </w:rPr>
        <w:tab/>
        <w:t>La clasificación de una sustancia puede basarse en datos obtenidos en seres humanos procedentes de varias fuentes, como ensayos epicutáneos predictivos en humanos, estudios epidemiológicos, estudios de casos, informes o historiales de casos, ensayos epicutáneos diagnósticos e informes de vigilancia médica, así como información procedente de los centros de toxicología. Dichos datos pueden haberse obtenido para los consumidores, los trabajadores o la población en general. Al examinar datos obtenidos en seres humanos debería tenerse en cuenta el tamaño de la población expuesta, así como del nivel y la frecuencia de la exposición. Algunas autoridades competentes han publicado orientaciones para evaluar los datos obtenidos en humanos y los criterios de 3.4.2.2.2 (véase, por ejemplo, ECHA Guidance on the Application of the CLP Criteria, 2017).</w:t>
      </w:r>
    </w:p>
    <w:p w14:paraId="6D533305" w14:textId="77777777" w:rsidR="008B6A70" w:rsidRPr="00FC4465" w:rsidRDefault="008B6A70" w:rsidP="00802EA2">
      <w:pPr>
        <w:pStyle w:val="SingleTxtG"/>
        <w:ind w:left="2268"/>
        <w:rPr>
          <w:rFonts w:asciiTheme="majorBidi" w:hAnsiTheme="majorBidi" w:cstheme="majorBidi"/>
        </w:rPr>
      </w:pPr>
      <w:r w:rsidRPr="00FC4465">
        <w:rPr>
          <w:rFonts w:asciiTheme="majorBidi" w:hAnsiTheme="majorBidi" w:cstheme="majorBidi"/>
        </w:rPr>
        <w:t>3.4.5.3.2.2</w:t>
      </w:r>
      <w:r w:rsidRPr="00FC4465">
        <w:rPr>
          <w:rFonts w:asciiTheme="majorBidi" w:hAnsiTheme="majorBidi" w:cstheme="majorBidi"/>
        </w:rPr>
        <w:tab/>
        <w:t xml:space="preserve">Los datos positivos de ensayos epicutáneos predictivos (HRIPT o HMT) realizados en el marco de estudios experimentales y clínicos en humanos que muestren que la sustancia sometida a ensayo causa dermatitis alérgica de contacto pueden utilizarse para clasificar las sustancias en relación con la sensibilización cutánea. Estos estudios suelen llevarse a cabo en </w:t>
      </w:r>
      <w:r w:rsidRPr="00FC4465">
        <w:rPr>
          <w:rFonts w:asciiTheme="majorBidi" w:hAnsiTheme="majorBidi" w:cstheme="majorBidi"/>
        </w:rPr>
        <w:lastRenderedPageBreak/>
        <w:t>entornos clínicos controlados y, en general, cuanto mayor es el tamaño de la población, más fiable es su resultado. En 3.4.2.2.2.1 y 3.4.2.2.2 figuran los criterios de evaluación de esos datos.</w:t>
      </w:r>
    </w:p>
    <w:p w14:paraId="2BD94872" w14:textId="77777777" w:rsidR="008B6A70" w:rsidRPr="00FC4465" w:rsidRDefault="008B6A70" w:rsidP="00802EA2">
      <w:pPr>
        <w:pStyle w:val="SingleTxtG"/>
        <w:ind w:left="2268"/>
        <w:rPr>
          <w:rFonts w:asciiTheme="majorBidi" w:hAnsiTheme="majorBidi" w:cstheme="majorBidi"/>
        </w:rPr>
      </w:pPr>
      <w:r w:rsidRPr="00FC4465">
        <w:rPr>
          <w:rFonts w:asciiTheme="majorBidi" w:hAnsiTheme="majorBidi" w:cstheme="majorBidi"/>
        </w:rPr>
        <w:t>3.4.5.3.2.3</w:t>
      </w:r>
      <w:r w:rsidRPr="00FC4465">
        <w:rPr>
          <w:rFonts w:asciiTheme="majorBidi" w:hAnsiTheme="majorBidi" w:cstheme="majorBidi"/>
        </w:rPr>
        <w:tab/>
        <w:t>Los datos positivos de estudios epidemiológicos bien realizados (de conformidad con las directrices CIOMS de la OMS, 2009) pueden utilizarse para clasificar las sustancias en relación con la sensibilización cutánea. Entre los ejemplos de estudios epidemiológicos pueden mencionarse los estudios de casos y controles, los estudios de cohortes, los estudios de prevalencia o los estudios longitudinales. Dichos estudios deberían contar con una muestra grande y una exposición a la sustancia bien documentada.</w:t>
      </w:r>
    </w:p>
    <w:p w14:paraId="49BCFA2E" w14:textId="77777777" w:rsidR="008B6A70" w:rsidRPr="00FC4465" w:rsidRDefault="008B6A70" w:rsidP="00802EA2">
      <w:pPr>
        <w:pStyle w:val="SingleTxtG"/>
        <w:ind w:left="2268"/>
        <w:rPr>
          <w:rFonts w:asciiTheme="majorBidi" w:hAnsiTheme="majorBidi" w:cstheme="majorBidi"/>
        </w:rPr>
      </w:pPr>
      <w:r w:rsidRPr="00FC4465">
        <w:rPr>
          <w:rFonts w:asciiTheme="majorBidi" w:hAnsiTheme="majorBidi" w:cstheme="majorBidi"/>
        </w:rPr>
        <w:t>3.4.5.3.2.4</w:t>
      </w:r>
      <w:r w:rsidRPr="00FC4465">
        <w:rPr>
          <w:rFonts w:asciiTheme="majorBidi" w:hAnsiTheme="majorBidi" w:cstheme="majorBidi"/>
        </w:rPr>
        <w:tab/>
        <w:t xml:space="preserve">Un tipo concreto de estudio epidemiológico (como los estudios o ensayos de control aleatorizados) puede incluir información procedente de ensayos epicutáneos diagnósticos. Algunas autoridades competentes consideran que los ensayos epicutáneos diagnósticos son la referencia en el diagnóstico de la alergia de contacto en pacientes con dermatitis (Johansen y otros, 2015). Es importante prestar la debida atención a la selección adecuada del vehículo, la sustancia y las concentraciones del ensayo epicutáneo para que no se produzcan falsos negativos, falsos positivos o reacciones irritantes y no se induzca alergia de contacto (sensibilización cutánea). Los datos positivos procedentes de estudios experimentales/clínicos/diagnósticos en seres humanos o de episodios bien documentados de dermatitis alérgica de contacto pueden utilizarse para clasificar la sustancia sometida a ensayo como sensibilizante cutáneo cuando pueda inferirse con una probabilidad suficiente que dicha sustancia fue efectivamente la causa de la sensibilización inducida. Para ello, debería establecerse que existe al menos una probabilidad general de que el paciente o pacientes estuvieron expuestos previamente a la sustancia. En cambio, los resultados negativos procedentes de estos ensayos no bastan para demostrar que la sustancia sometida a ensayo no debe clasificarse como sensibilizante cutáneo. </w:t>
      </w:r>
    </w:p>
    <w:p w14:paraId="71D69C76" w14:textId="77777777" w:rsidR="008B6A70" w:rsidRPr="00FC4465" w:rsidRDefault="008B6A70" w:rsidP="00802EA2">
      <w:pPr>
        <w:pStyle w:val="SingleTxtG"/>
        <w:ind w:left="2268"/>
        <w:rPr>
          <w:rFonts w:asciiTheme="majorBidi" w:hAnsiTheme="majorBidi" w:cstheme="majorBidi"/>
        </w:rPr>
      </w:pPr>
      <w:r w:rsidRPr="00FC4465">
        <w:rPr>
          <w:rFonts w:asciiTheme="majorBidi" w:hAnsiTheme="majorBidi" w:cstheme="majorBidi"/>
        </w:rPr>
        <w:t>3.4.5.3.2.5</w:t>
      </w:r>
      <w:r w:rsidRPr="00FC4465">
        <w:rPr>
          <w:rFonts w:asciiTheme="majorBidi" w:hAnsiTheme="majorBidi" w:cstheme="majorBidi"/>
        </w:rPr>
        <w:tab/>
        <w:t xml:space="preserve">Los datos en humanos no obtenidos en experimentos controlados con voluntarios para fines de clasificación de peligros (como estudios de casos, informes e historiales de casos o información procedente de los centros de toxicología) pueden utilizarse, aunque con cautela. Deberían tenerse en cuenta la frecuencia de los casos, las propiedades inherentes de las sustancias y factores como la situación de exposición, la biodisponibilidad, la predisposición individual, la reactividad cruzada y las medidas preventivas adoptadas. </w:t>
      </w:r>
    </w:p>
    <w:p w14:paraId="513D4E55" w14:textId="77777777" w:rsidR="008B6A70" w:rsidRPr="00FC4465" w:rsidRDefault="008B6A70" w:rsidP="00802EA2">
      <w:pPr>
        <w:pStyle w:val="SingleTxtG"/>
        <w:ind w:left="2268"/>
        <w:rPr>
          <w:rFonts w:asciiTheme="majorBidi" w:hAnsiTheme="majorBidi" w:cstheme="majorBidi"/>
          <w:strike/>
        </w:rPr>
      </w:pPr>
      <w:r w:rsidRPr="00FC4465">
        <w:rPr>
          <w:rFonts w:asciiTheme="majorBidi" w:hAnsiTheme="majorBidi" w:cstheme="majorBidi"/>
        </w:rPr>
        <w:t>3.4.5.3.2.6</w:t>
      </w:r>
      <w:r w:rsidRPr="00FC4465">
        <w:rPr>
          <w:rFonts w:asciiTheme="majorBidi" w:hAnsiTheme="majorBidi" w:cstheme="majorBidi"/>
        </w:rPr>
        <w:tab/>
        <w:t>Debería prestarse especial atención a los datos negativos obtenidos en humanos, ya que por regla general no se dispone de datos exhaustivos de dosis-respuesta. Por ejemplo, un resultado negativo en un ensayo HRIPT o HMT a una concentración baja no permite concluir que la sustancia no tiene propiedades de sensibilizador cutáneo, ya que no puede excluirse que ese efecto se produzca a una concentración más elevada. Además, los datos negativos obtenidos en humanos no deberían emplearse para descartar los resultados positivos de los estudios realizados en animales o los enfoques definidos, pero pueden utilizarse en el marco de una evaluación del peso de las pruebas. Tanto en el caso de datos obtenidos en humanos como en el de los obtenidos en animales, debería tenerse en cuenta el efecto del vehículo (véase, por ejemplo, Wright y otros, 2001, y Kligman, 1966).</w:t>
      </w:r>
    </w:p>
    <w:p w14:paraId="37F2E946" w14:textId="79002947" w:rsidR="008B6A70" w:rsidRPr="00FC4465" w:rsidRDefault="008B6A70" w:rsidP="00802EA2">
      <w:pPr>
        <w:pStyle w:val="SingleTxtG"/>
        <w:ind w:left="2268"/>
        <w:rPr>
          <w:rFonts w:asciiTheme="majorBidi" w:hAnsiTheme="majorBidi" w:cstheme="majorBidi"/>
        </w:rPr>
      </w:pPr>
      <w:r w:rsidRPr="00FC4465">
        <w:rPr>
          <w:rFonts w:asciiTheme="majorBidi" w:hAnsiTheme="majorBidi" w:cstheme="majorBidi"/>
        </w:rPr>
        <w:t>3.4.5.3.2.7</w:t>
      </w:r>
      <w:r w:rsidRPr="00FC4465">
        <w:rPr>
          <w:rFonts w:asciiTheme="majorBidi" w:hAnsiTheme="majorBidi" w:cstheme="majorBidi"/>
        </w:rPr>
        <w:tab/>
        <w:t>Por ejemplo, los resultados negativos de las sustancias sometidas a un ensayo epicutáneo predictivo para una DSC (dosis por superficie cutánea) &lt; 500 μg/cm</w:t>
      </w:r>
      <w:r w:rsidRPr="00FC4465">
        <w:rPr>
          <w:rFonts w:asciiTheme="majorBidi" w:hAnsiTheme="majorBidi" w:cstheme="majorBidi"/>
          <w:vertAlign w:val="superscript"/>
        </w:rPr>
        <w:t>2</w:t>
      </w:r>
      <w:r w:rsidRPr="00FC4465">
        <w:rPr>
          <w:rFonts w:asciiTheme="majorBidi" w:hAnsiTheme="majorBidi" w:cstheme="majorBidi"/>
        </w:rPr>
        <w:t xml:space="preserve"> podrían dar a entender que la clasificación en relación con la sensibilización cutánea podría no ser necesaria. Sin embargo, no puede descartarse la clasificación en las subcategorías 1A o 1B, ya que la concentración de ensayo no era lo suficientemente elevada para excluir esta posibilidad. Lo mismo ocurre con los resultados de los ensayos en los que se desconoce si la concentración correspondía a una DSA &lt; 500 μg/cm</w:t>
      </w:r>
      <w:r w:rsidRPr="00FC4465">
        <w:rPr>
          <w:rFonts w:asciiTheme="majorBidi" w:hAnsiTheme="majorBidi" w:cstheme="majorBidi"/>
          <w:vertAlign w:val="superscript"/>
        </w:rPr>
        <w:t>2</w:t>
      </w:r>
      <w:r w:rsidRPr="00FC4465">
        <w:rPr>
          <w:rFonts w:asciiTheme="majorBidi" w:hAnsiTheme="majorBidi" w:cstheme="majorBidi"/>
        </w:rPr>
        <w:t xml:space="preserve">. En el </w:t>
      </w:r>
      <w:r w:rsidRPr="00FC4465">
        <w:rPr>
          <w:rFonts w:asciiTheme="majorBidi" w:hAnsiTheme="majorBidi" w:cstheme="majorBidi"/>
        </w:rPr>
        <w:lastRenderedPageBreak/>
        <w:t>caso de las sustancias sometidas a ensayo con una DSA ≥ 500 μg/cm</w:t>
      </w:r>
      <w:r w:rsidRPr="00FC4465">
        <w:rPr>
          <w:rFonts w:asciiTheme="majorBidi" w:hAnsiTheme="majorBidi" w:cstheme="majorBidi"/>
          <w:vertAlign w:val="superscript"/>
        </w:rPr>
        <w:t>2</w:t>
      </w:r>
      <w:r w:rsidRPr="00FC4465">
        <w:rPr>
          <w:rFonts w:asciiTheme="majorBidi" w:hAnsiTheme="majorBidi" w:cstheme="majorBidi"/>
        </w:rPr>
        <w:t>, los resultados negativos sugieren que la clasificación podría no ser necesaria. No obstante, si bien puede descartarse la clasificación en la subcategoría 1A, no puede descartarse la clasificación en la subcategoría 1B, ya que una concentración de ensayo más elevada podría haber arrojado un resultado positivo. Sin embargo, un resultado negativo para una concentración del 100</w:t>
      </w:r>
      <w:r w:rsidR="008C5013" w:rsidRPr="00FC4465">
        <w:rPr>
          <w:rFonts w:asciiTheme="majorBidi" w:hAnsiTheme="majorBidi" w:cstheme="majorBidi"/>
        </w:rPr>
        <w:t> %</w:t>
      </w:r>
      <w:r w:rsidRPr="00FC4465">
        <w:rPr>
          <w:rFonts w:asciiTheme="majorBidi" w:hAnsiTheme="majorBidi" w:cstheme="majorBidi"/>
        </w:rPr>
        <w:t xml:space="preserve"> puede justificar la no clasificación (sobre la base de esta prueba). En cambio, resultados negativos a concentraciones bajas pueden proporcionar información para mezclas que contengan la sustancia a concentraciones similares o inferiores.</w:t>
      </w:r>
    </w:p>
    <w:p w14:paraId="7CEBE676" w14:textId="77777777" w:rsidR="008B6A70" w:rsidRPr="00FC4465" w:rsidRDefault="008B6A70" w:rsidP="00802EA2">
      <w:pPr>
        <w:pStyle w:val="SingleTxtG"/>
        <w:ind w:left="2268"/>
        <w:rPr>
          <w:rFonts w:asciiTheme="majorBidi" w:hAnsiTheme="majorBidi" w:cstheme="majorBidi"/>
          <w:i/>
        </w:rPr>
      </w:pPr>
      <w:r w:rsidRPr="00FC4465">
        <w:rPr>
          <w:rFonts w:asciiTheme="majorBidi" w:hAnsiTheme="majorBidi" w:cstheme="majorBidi"/>
        </w:rPr>
        <w:t xml:space="preserve">3.4.5.3.3 </w:t>
      </w:r>
      <w:r w:rsidRPr="00FC4465">
        <w:rPr>
          <w:rFonts w:asciiTheme="majorBidi" w:hAnsiTheme="majorBidi" w:cstheme="majorBidi"/>
        </w:rPr>
        <w:tab/>
      </w:r>
      <w:r w:rsidRPr="00FC4465">
        <w:rPr>
          <w:rFonts w:asciiTheme="majorBidi" w:hAnsiTheme="majorBidi" w:cstheme="majorBidi"/>
          <w:i/>
          <w:iCs/>
        </w:rPr>
        <w:t>Orientaciones sobre el uso de datos normalizados obtenidos en animales</w:t>
      </w:r>
    </w:p>
    <w:p w14:paraId="00F53A60" w14:textId="509ED1C3" w:rsidR="008B6A70" w:rsidRPr="00FC4465" w:rsidRDefault="008B6A70" w:rsidP="00802EA2">
      <w:pPr>
        <w:pStyle w:val="SingleTxtG"/>
        <w:ind w:left="2268"/>
        <w:rPr>
          <w:rStyle w:val="normaltextrun"/>
          <w:rFonts w:asciiTheme="majorBidi" w:hAnsiTheme="majorBidi" w:cstheme="majorBidi"/>
        </w:rPr>
      </w:pPr>
      <w:r w:rsidRPr="00FC4465">
        <w:rPr>
          <w:rFonts w:asciiTheme="majorBidi" w:hAnsiTheme="majorBidi" w:cstheme="majorBidi"/>
        </w:rPr>
        <w:t>3.4.5.3.3.1</w:t>
      </w:r>
      <w:r w:rsidRPr="00FC4465">
        <w:rPr>
          <w:rFonts w:asciiTheme="majorBidi" w:hAnsiTheme="majorBidi" w:cstheme="majorBidi"/>
        </w:rPr>
        <w:tab/>
        <w:t>Los ensayos más habituales para determinar la sensibilización cutánea en animales son el ensayo de estimulación local de los ganglios linfáticos (LLNA, directrices 429, 442A y 442B de la OCDE), el ensayo de maximización con cobayas (GPMT, Directriz 406 de la OCDE) y el ensayo de Buehler (Directriz 406 de la OCDE). Al evaluar la calidad del estudio deberían tenerse en cuenta, según proceda, las cepas de ratón y de cobaya utilizadas, el número, la edad y el sexo de los animales y las condiciones de ensayo (como la preparación del lugar en que se llevará a cabo el ensayo epicutáneo, la selección de las dosis, la preparación química o los controles de ensayo positivos y negativos).</w:t>
      </w:r>
      <w:r w:rsidR="008C5013" w:rsidRPr="00FC4465">
        <w:rPr>
          <w:rFonts w:asciiTheme="majorBidi" w:hAnsiTheme="majorBidi" w:cstheme="majorBidi"/>
        </w:rPr>
        <w:t xml:space="preserve"> </w:t>
      </w:r>
    </w:p>
    <w:p w14:paraId="5ACD31F1" w14:textId="0A2188E2" w:rsidR="008B6A70" w:rsidRPr="00FC4465" w:rsidRDefault="008B6A70" w:rsidP="00802EA2">
      <w:pPr>
        <w:pStyle w:val="SingleTxtG"/>
        <w:ind w:left="2268"/>
        <w:rPr>
          <w:rFonts w:asciiTheme="majorBidi" w:hAnsiTheme="majorBidi" w:cstheme="majorBidi"/>
        </w:rPr>
      </w:pPr>
      <w:r w:rsidRPr="00FC4465">
        <w:rPr>
          <w:rFonts w:asciiTheme="majorBidi" w:hAnsiTheme="majorBidi" w:cstheme="majorBidi"/>
        </w:rPr>
        <w:t>3.4.5.3.3.2</w:t>
      </w:r>
      <w:r w:rsidRPr="00FC4465">
        <w:rPr>
          <w:rFonts w:asciiTheme="majorBidi" w:hAnsiTheme="majorBidi" w:cstheme="majorBidi"/>
        </w:rPr>
        <w:tab/>
        <w:t>Las directrices de la OCDE sobre los ensayos LLNA abarcan un ensayo radiactivo (directriz 429) y ensayos no radiactivos (directrices 442A y</w:t>
      </w:r>
      <w:r w:rsidR="002A21D5">
        <w:rPr>
          <w:rFonts w:asciiTheme="majorBidi" w:hAnsiTheme="majorBidi" w:cstheme="majorBidi"/>
        </w:rPr>
        <w:t> </w:t>
      </w:r>
      <w:r w:rsidRPr="00FC4465">
        <w:rPr>
          <w:rFonts w:asciiTheme="majorBidi" w:hAnsiTheme="majorBidi" w:cstheme="majorBidi"/>
        </w:rPr>
        <w:t>442B; LLNA: DA, LLNA: BrdU-ELISA y LLNA: BrdU-FCM). En estos ensayos, las sustancias sensibilizantes se caracterizan por el hecho de que el valor medio del índice de estimulación (</w:t>
      </w:r>
      <w:r w:rsidR="008C5013" w:rsidRPr="00FC4465">
        <w:rPr>
          <w:rFonts w:asciiTheme="majorBidi" w:hAnsiTheme="majorBidi" w:cstheme="majorBidi"/>
        </w:rPr>
        <w:t>“</w:t>
      </w:r>
      <w:r w:rsidRPr="00FC4465">
        <w:rPr>
          <w:rFonts w:asciiTheme="majorBidi" w:hAnsiTheme="majorBidi" w:cstheme="majorBidi"/>
        </w:rPr>
        <w:t>IE</w:t>
      </w:r>
      <w:r w:rsidR="008C5013" w:rsidRPr="00FC4465">
        <w:rPr>
          <w:rFonts w:asciiTheme="majorBidi" w:hAnsiTheme="majorBidi" w:cstheme="majorBidi"/>
        </w:rPr>
        <w:t>”</w:t>
      </w:r>
      <w:r w:rsidRPr="00FC4465">
        <w:rPr>
          <w:rFonts w:asciiTheme="majorBidi" w:hAnsiTheme="majorBidi" w:cstheme="majorBidi"/>
        </w:rPr>
        <w:t xml:space="preserve">, que mide la proliferación de linfocitos en los ganglios linfáticos) en los grupos tratados aumenta con respecto a los grupos de control tratados con el vehículo por encima de un valor crítico predefinido, que varía para cada forma de LLNA (por ejemplo, IE ≥ 3 para el LLNA radiactivo e IE ≥ 1,6 para el LLNA: BrdU-ELISA). En el caso de los sensibilizantes, la subcategorización se realiza en función de la concentración efectiva (CE) que causa un aumento de la IE exactamente igual al valor crítico (por ejemplo, la CE3 en la Directriz 429 de la OCDE es la concentración que da lugar a un aumento igual al triple de la IE media en el grupo tratado con respecto al de control). </w:t>
      </w:r>
    </w:p>
    <w:p w14:paraId="0D01C5D1" w14:textId="276C9DE8" w:rsidR="008B6A70" w:rsidRPr="00FC4465" w:rsidRDefault="008B6A70" w:rsidP="00802EA2">
      <w:pPr>
        <w:pStyle w:val="SingleTxtG"/>
        <w:ind w:left="2268"/>
        <w:rPr>
          <w:rFonts w:asciiTheme="majorBidi" w:hAnsiTheme="majorBidi" w:cstheme="majorBidi"/>
        </w:rPr>
      </w:pPr>
      <w:r w:rsidRPr="00FC4465">
        <w:rPr>
          <w:rFonts w:asciiTheme="majorBidi" w:hAnsiTheme="majorBidi" w:cstheme="majorBidi"/>
        </w:rPr>
        <w:t>3.4.5.3.3.3</w:t>
      </w:r>
      <w:r w:rsidRPr="00FC4465">
        <w:rPr>
          <w:rFonts w:asciiTheme="majorBidi" w:hAnsiTheme="majorBidi" w:cstheme="majorBidi"/>
        </w:rPr>
        <w:tab/>
        <w:t>En las directrices de la OCDE para las diferentes variantes de LLNA se especifica que debe realizarse un ensayo preliminar para determinar la concentración más alta a la que debe llevarse a cabo el ensayo. En caso de que no se haya realizado dicho ensayo preliminar y el LLNA se haya llevado a cabo con una concentración &lt; 100</w:t>
      </w:r>
      <w:r w:rsidR="008C5013" w:rsidRPr="00FC4465">
        <w:rPr>
          <w:rFonts w:asciiTheme="majorBidi" w:hAnsiTheme="majorBidi" w:cstheme="majorBidi"/>
        </w:rPr>
        <w:t> %</w:t>
      </w:r>
      <w:r w:rsidRPr="00FC4465">
        <w:rPr>
          <w:rFonts w:asciiTheme="majorBidi" w:hAnsiTheme="majorBidi" w:cstheme="majorBidi"/>
        </w:rPr>
        <w:t>, será necesario fundamentar (por ejemplo, sobre la base de la solubilidad o de la toxicidad local o sistémica; véanse las directrices 429, 442A y 442B de la OCDE) que la concentración más alta utilizada en el ensayo representa la concentración máxima utilizable. De lo contrario, deberá ponerse en duda la fiabilidad de los resultados negativos.</w:t>
      </w:r>
    </w:p>
    <w:p w14:paraId="180EAB02" w14:textId="126F1305" w:rsidR="008B6A70" w:rsidRPr="00FC4465" w:rsidRDefault="008B6A70" w:rsidP="00802EA2">
      <w:pPr>
        <w:pStyle w:val="SingleTxtG"/>
        <w:ind w:left="2268"/>
        <w:rPr>
          <w:rFonts w:asciiTheme="majorBidi" w:hAnsiTheme="majorBidi" w:cstheme="majorBidi"/>
        </w:rPr>
      </w:pPr>
      <w:r w:rsidRPr="00FC4465">
        <w:rPr>
          <w:rFonts w:asciiTheme="majorBidi" w:hAnsiTheme="majorBidi" w:cstheme="majorBidi"/>
        </w:rPr>
        <w:t>3.4.5.3.3.4</w:t>
      </w:r>
      <w:r w:rsidRPr="00FC4465">
        <w:rPr>
          <w:rFonts w:asciiTheme="majorBidi" w:hAnsiTheme="majorBidi" w:cstheme="majorBidi"/>
        </w:rPr>
        <w:tab/>
        <w:t>Por regla general, los valores de la C</w:t>
      </w:r>
      <w:r w:rsidR="00D07706">
        <w:rPr>
          <w:rFonts w:asciiTheme="majorBidi" w:hAnsiTheme="majorBidi" w:cstheme="majorBidi"/>
        </w:rPr>
        <w:t>E</w:t>
      </w:r>
      <w:r w:rsidRPr="00FC4465">
        <w:rPr>
          <w:rFonts w:asciiTheme="majorBidi" w:hAnsiTheme="majorBidi" w:cstheme="majorBidi"/>
        </w:rPr>
        <w:t xml:space="preserve"> se obtienen por interpolación entre concentraciones de ensayo adyacentes, es decir, entre la concentración más alta que da lugar a un IE inferior al valor crítico y la concentración más baja que da lugar a un IE superior al valor crítico. En cambio, cabrá extremar la prudencia en caso de que el valor de la </w:t>
      </w:r>
      <w:r w:rsidR="00D07706">
        <w:rPr>
          <w:rFonts w:asciiTheme="majorBidi" w:hAnsiTheme="majorBidi" w:cstheme="majorBidi"/>
        </w:rPr>
        <w:t>C</w:t>
      </w:r>
      <w:r w:rsidRPr="00FC4465">
        <w:rPr>
          <w:rFonts w:asciiTheme="majorBidi" w:hAnsiTheme="majorBidi" w:cstheme="majorBidi"/>
        </w:rPr>
        <w:t xml:space="preserve">E sea inferior a la concentración de ensayo más baja y, por lo tanto, solo pueda estimarse por extrapolación, lo que se asocia a una mayor incertidumbre. En algunos casos, el IE a la concentración de ensayo más elevada es solo ligeramente inferior al valor crítico, lo que plantea la cuestión de la extrapolación hacia arriba (a menos que se haya aplicado la concentración máxima utilizable). Estas y otras cuestiones relativas a la fiabilidad de los </w:t>
      </w:r>
      <w:r w:rsidRPr="00FC4465">
        <w:rPr>
          <w:rFonts w:asciiTheme="majorBidi" w:hAnsiTheme="majorBidi" w:cstheme="majorBidi"/>
        </w:rPr>
        <w:lastRenderedPageBreak/>
        <w:t>resultados del LLNA se tratan con más detalle en Ryan y otros (2007) y en el anexo 3 del documento núm. 336 de la serie sobre ensayos y evaluaciones de la OCDE (documento de apoyo a la Directriz 497), en el que también figura una base de datos detallada de valores de EC3 para el LLNA de la Directriz</w:t>
      </w:r>
      <w:r w:rsidR="002A21D5">
        <w:rPr>
          <w:rFonts w:asciiTheme="majorBidi" w:hAnsiTheme="majorBidi" w:cstheme="majorBidi"/>
        </w:rPr>
        <w:t> </w:t>
      </w:r>
      <w:r w:rsidRPr="00FC4465">
        <w:rPr>
          <w:rFonts w:asciiTheme="majorBidi" w:hAnsiTheme="majorBidi" w:cstheme="majorBidi"/>
        </w:rPr>
        <w:t xml:space="preserve">429. </w:t>
      </w:r>
    </w:p>
    <w:p w14:paraId="05C33B87" w14:textId="77777777" w:rsidR="008B6A70" w:rsidRPr="00FC4465" w:rsidRDefault="008B6A70" w:rsidP="00802EA2">
      <w:pPr>
        <w:pStyle w:val="SingleTxtG"/>
        <w:ind w:left="2268"/>
        <w:rPr>
          <w:rFonts w:asciiTheme="majorBidi" w:hAnsiTheme="majorBidi" w:cstheme="majorBidi"/>
        </w:rPr>
      </w:pPr>
      <w:r w:rsidRPr="00FC4465">
        <w:rPr>
          <w:rFonts w:asciiTheme="majorBidi" w:hAnsiTheme="majorBidi" w:cstheme="majorBidi"/>
        </w:rPr>
        <w:t>3.4.5.3.3.5</w:t>
      </w:r>
      <w:r w:rsidRPr="00FC4465">
        <w:rPr>
          <w:rFonts w:asciiTheme="majorBidi" w:hAnsiTheme="majorBidi" w:cstheme="majorBidi"/>
        </w:rPr>
        <w:tab/>
        <w:t>Se han detectado otras limitaciones asociadas a los LLNA tanto radiactivos como no radiactivos. Por ejemplo, las sustancias que contienen determinados grupos funcionales pueden afectar a la precisión del ensayo. Estas limitaciones, así como la posibilidad de obtener resultados positivos cercanos a los límites, se describen en las directrices 429, 442A y 442B de la OCDE. La variabilidad de los valores de la EC para una misma sustancia también puede deberse al vehículo utilizado. Por ejemplo, los análisis han puesto de manifiesto una subestimación de la potencia (es decir, valores de EC3 más elevados) cuando se utilizan vehículos predominantemente acuosos o propilenglicol (véase Jowsey, 2008).</w:t>
      </w:r>
    </w:p>
    <w:p w14:paraId="2DCF6EAE" w14:textId="77777777" w:rsidR="008B6A70" w:rsidRPr="00FC4465" w:rsidRDefault="008B6A70" w:rsidP="00802EA2">
      <w:pPr>
        <w:pStyle w:val="SingleTxtG"/>
        <w:ind w:left="2268"/>
        <w:rPr>
          <w:rStyle w:val="normaltextrun"/>
          <w:rFonts w:asciiTheme="majorBidi" w:hAnsiTheme="majorBidi" w:cstheme="majorBidi"/>
        </w:rPr>
      </w:pPr>
      <w:r w:rsidRPr="00FC4465">
        <w:rPr>
          <w:rFonts w:asciiTheme="majorBidi" w:hAnsiTheme="majorBidi" w:cstheme="majorBidi"/>
        </w:rPr>
        <w:t>3.4.5.3.3.6</w:t>
      </w:r>
      <w:r w:rsidRPr="00FC4465">
        <w:rPr>
          <w:rFonts w:asciiTheme="majorBidi" w:hAnsiTheme="majorBidi" w:cstheme="majorBidi"/>
        </w:rPr>
        <w:tab/>
        <w:t>En la Directriz 406 de la OCDE se establece que la concentración de producto químico sometido a ensayo utilizada en cada exposición de inducción debe ser bien tolerada por el organismo y corresponder a la dosis más alta de entre las que causan una irritación cutánea de leve a moderada. La concentración utilizada para la exposición de provocación debe corresponder a la dosis más alta no irritante. Un resultado positivo en un ensayo con cobayas se define como una puntuación superior a cero según la escala de clasificación aplicable, como la escala de Magnusson y Kligman en el caso de la Directriz 406 de la OCDE, en uno o más de los dos instantes de observación. Por consiguiente, una puntuación de 0,5, que se da a veces, se considera un resultado positivo.</w:t>
      </w:r>
    </w:p>
    <w:p w14:paraId="09D5CB60" w14:textId="77777777" w:rsidR="008B6A70" w:rsidRPr="00FC4465" w:rsidRDefault="008B6A70" w:rsidP="00802EA2">
      <w:pPr>
        <w:pStyle w:val="SingleTxtG"/>
        <w:ind w:left="2268"/>
        <w:rPr>
          <w:rFonts w:asciiTheme="majorBidi" w:hAnsiTheme="majorBidi" w:cstheme="majorBidi"/>
          <w:bCs/>
          <w:i/>
        </w:rPr>
      </w:pPr>
      <w:r w:rsidRPr="00FC4465">
        <w:rPr>
          <w:rFonts w:asciiTheme="majorBidi" w:hAnsiTheme="majorBidi" w:cstheme="majorBidi"/>
        </w:rPr>
        <w:t>3.4.5.3.4</w:t>
      </w:r>
      <w:r w:rsidRPr="00FC4465">
        <w:rPr>
          <w:rFonts w:asciiTheme="majorBidi" w:hAnsiTheme="majorBidi" w:cstheme="majorBidi"/>
        </w:rPr>
        <w:tab/>
      </w:r>
      <w:r w:rsidRPr="00FC4465">
        <w:rPr>
          <w:rFonts w:asciiTheme="majorBidi" w:hAnsiTheme="majorBidi" w:cstheme="majorBidi"/>
          <w:i/>
          <w:iCs/>
        </w:rPr>
        <w:t>Orientaciones sobre el uso de enfoques definidos</w:t>
      </w:r>
    </w:p>
    <w:p w14:paraId="69E7E442" w14:textId="7C7EF714" w:rsidR="008B6A70" w:rsidRPr="00FC4465" w:rsidRDefault="008B6A70" w:rsidP="00802EA2">
      <w:pPr>
        <w:pStyle w:val="SingleTxtG"/>
        <w:tabs>
          <w:tab w:val="clear" w:pos="1701"/>
          <w:tab w:val="left" w:pos="3402"/>
        </w:tabs>
        <w:ind w:left="2268"/>
        <w:rPr>
          <w:rStyle w:val="eop"/>
          <w:rFonts w:asciiTheme="majorBidi" w:hAnsiTheme="majorBidi" w:cstheme="majorBidi"/>
        </w:rPr>
      </w:pPr>
      <w:r w:rsidRPr="00FC4465">
        <w:rPr>
          <w:rFonts w:asciiTheme="majorBidi" w:hAnsiTheme="majorBidi" w:cstheme="majorBidi"/>
        </w:rPr>
        <w:tab/>
      </w:r>
      <w:r w:rsidRPr="00FC4465">
        <w:rPr>
          <w:rFonts w:asciiTheme="majorBidi" w:hAnsiTheme="majorBidi" w:cstheme="majorBidi"/>
        </w:rPr>
        <w:tab/>
        <w:t xml:space="preserve">Los enfoques definidos validados con arreglo a procedimientos internacionales y descritos en la Directriz 497 de la OCDE se han caracterizado por el nivel de confianza que puede asignarse a sus predicciones en función del ámbito de aplicabilidad de las fuentes de información utilizadas y del procedimiento de interpretación de datos aplicado (véase </w:t>
      </w:r>
      <w:r w:rsidR="009A5517">
        <w:rPr>
          <w:rFonts w:asciiTheme="majorBidi" w:hAnsiTheme="majorBidi" w:cstheme="majorBidi"/>
        </w:rPr>
        <w:t>la tabla</w:t>
      </w:r>
      <w:r w:rsidRPr="00FC4465">
        <w:rPr>
          <w:rFonts w:asciiTheme="majorBidi" w:hAnsiTheme="majorBidi" w:cstheme="majorBidi"/>
        </w:rPr>
        <w:t xml:space="preserve"> 3.4.7). Algunas autoridades competentes pueden aceptar otros enfoques definidos que se encuentran en proceso de estudio pero no han sido validados con arreglo a procedimientos internacionales y que se describen en el documento de orientación 256 de la OCDE según los criterios convenidos a nivel internacional para su notificación (documento de orientación 255 de la OCDE).</w:t>
      </w:r>
    </w:p>
    <w:p w14:paraId="002CB5A3" w14:textId="3D56138B" w:rsidR="008B6A70" w:rsidRPr="00FC4465" w:rsidRDefault="008B6A70" w:rsidP="00802EA2">
      <w:pPr>
        <w:pStyle w:val="SingleTxtG"/>
        <w:ind w:left="2268"/>
        <w:rPr>
          <w:rFonts w:asciiTheme="majorBidi" w:hAnsiTheme="majorBidi" w:cstheme="majorBidi"/>
          <w:bCs/>
          <w:i/>
          <w:iCs/>
        </w:rPr>
      </w:pPr>
      <w:r w:rsidRPr="00FC4465">
        <w:rPr>
          <w:rFonts w:asciiTheme="majorBidi" w:hAnsiTheme="majorBidi" w:cstheme="majorBidi"/>
        </w:rPr>
        <w:t>3.4.5.3.5</w:t>
      </w:r>
      <w:r w:rsidRPr="00FC4465">
        <w:rPr>
          <w:rFonts w:asciiTheme="majorBidi" w:hAnsiTheme="majorBidi" w:cstheme="majorBidi"/>
        </w:rPr>
        <w:tab/>
      </w:r>
      <w:r w:rsidRPr="00FC4465">
        <w:rPr>
          <w:rFonts w:asciiTheme="majorBidi" w:hAnsiTheme="majorBidi" w:cstheme="majorBidi"/>
          <w:i/>
          <w:iCs/>
        </w:rPr>
        <w:t xml:space="preserve">Orientaciones sobre el uso de métodos </w:t>
      </w:r>
      <w:r w:rsidRPr="00FC4465">
        <w:rPr>
          <w:rFonts w:asciiTheme="majorBidi" w:hAnsiTheme="majorBidi" w:cstheme="majorBidi"/>
        </w:rPr>
        <w:t>in</w:t>
      </w:r>
      <w:r w:rsidR="0081160D">
        <w:rPr>
          <w:rFonts w:asciiTheme="majorBidi" w:hAnsiTheme="majorBidi" w:cstheme="majorBidi"/>
        </w:rPr>
        <w:t> chemico</w:t>
      </w:r>
      <w:r w:rsidRPr="00FC4465">
        <w:rPr>
          <w:rFonts w:asciiTheme="majorBidi" w:hAnsiTheme="majorBidi" w:cstheme="majorBidi"/>
          <w:i/>
          <w:iCs/>
        </w:rPr>
        <w:t>/</w:t>
      </w:r>
      <w:r w:rsidR="00762E66">
        <w:rPr>
          <w:rFonts w:asciiTheme="majorBidi" w:hAnsiTheme="majorBidi" w:cstheme="majorBidi"/>
        </w:rPr>
        <w:t>in vitro</w:t>
      </w:r>
      <w:r w:rsidRPr="00FC4465">
        <w:rPr>
          <w:rFonts w:asciiTheme="majorBidi" w:hAnsiTheme="majorBidi" w:cstheme="majorBidi"/>
          <w:i/>
          <w:iCs/>
        </w:rPr>
        <w:t xml:space="preserve"> no autónomos</w:t>
      </w:r>
    </w:p>
    <w:p w14:paraId="4E40D2C8" w14:textId="5C711565" w:rsidR="008B6A70" w:rsidRPr="00FC4465" w:rsidRDefault="008B6A70" w:rsidP="00802EA2">
      <w:pPr>
        <w:pStyle w:val="SingleTxtG"/>
        <w:tabs>
          <w:tab w:val="clear" w:pos="1701"/>
        </w:tabs>
        <w:ind w:left="2268"/>
        <w:rPr>
          <w:rFonts w:asciiTheme="majorBidi" w:hAnsiTheme="majorBidi" w:cstheme="majorBidi"/>
          <w:iCs/>
        </w:rPr>
      </w:pPr>
      <w:r w:rsidRPr="00FC4465">
        <w:rPr>
          <w:rFonts w:asciiTheme="majorBidi" w:hAnsiTheme="majorBidi" w:cstheme="majorBidi"/>
        </w:rPr>
        <w:tab/>
        <w:t xml:space="preserve">Debido a sus limitaciones en relación con los mecanismos de sensibilización, algunos métodos </w:t>
      </w:r>
      <w:r w:rsidRPr="00FC4465">
        <w:rPr>
          <w:rFonts w:asciiTheme="majorBidi" w:hAnsiTheme="majorBidi" w:cstheme="majorBidi"/>
          <w:i/>
          <w:iCs/>
        </w:rPr>
        <w:t>in</w:t>
      </w:r>
      <w:r w:rsidR="0081160D">
        <w:rPr>
          <w:rFonts w:asciiTheme="majorBidi" w:hAnsiTheme="majorBidi" w:cstheme="majorBidi"/>
          <w:i/>
          <w:iCs/>
        </w:rPr>
        <w:t> chemico</w:t>
      </w:r>
      <w:r w:rsidRPr="00FC4465">
        <w:rPr>
          <w:rFonts w:asciiTheme="majorBidi" w:hAnsiTheme="majorBidi" w:cstheme="majorBidi"/>
        </w:rPr>
        <w:t>/</w:t>
      </w:r>
      <w:r w:rsidR="00762E66">
        <w:rPr>
          <w:rFonts w:asciiTheme="majorBidi" w:hAnsiTheme="majorBidi" w:cstheme="majorBidi"/>
          <w:i/>
          <w:iCs/>
        </w:rPr>
        <w:t>in vitro</w:t>
      </w:r>
      <w:r w:rsidRPr="00FC4465">
        <w:rPr>
          <w:rFonts w:asciiTheme="majorBidi" w:hAnsiTheme="majorBidi" w:cstheme="majorBidi"/>
        </w:rPr>
        <w:t xml:space="preserve">, como los descritos en las directrices 442C, 442D y 442E de la OCDE, no pueden utilizarse por sí solos para concluir la clasificación en la categoría 1 o la no clasificación de conformidad con los criterios definidos en la tabla 3.4.8, y se necesitan datos adicionales para la clasificación en la categoría 2. Además, si bien algunos de ellos proporcionan información cuantitativa, no pueden utilizarse a efectos de la clasificación en las subcategorías 1A y 1B porque los criterios no han sido validados con arreglo a un procedimiento internacional. No obstante, dicha información cuantitativa puede ser aceptada por una autoridad competente en el marco de una evaluación del peso de las pruebas en la etapa 2 a efectos de la subcategorización, lo que está en consonancia con las directrices de ensayo mencionadas, en las que se dice: </w:t>
      </w:r>
      <w:r w:rsidR="008C5013" w:rsidRPr="00FC4465">
        <w:rPr>
          <w:rFonts w:asciiTheme="majorBidi" w:hAnsiTheme="majorBidi" w:cstheme="majorBidi"/>
        </w:rPr>
        <w:t>“</w:t>
      </w:r>
      <w:r w:rsidRPr="00D07706">
        <w:rPr>
          <w:rFonts w:asciiTheme="majorBidi" w:hAnsiTheme="majorBidi" w:cstheme="majorBidi"/>
          <w:i/>
        </w:rPr>
        <w:t>En función del marco regulatorio, los resultados positivos obtenidos con estos métodos pueden utilizarse por sí solos para clasificar un producto químico en la categoría 1 del SGA de las Naciones Unidas</w:t>
      </w:r>
      <w:r w:rsidR="008C5013" w:rsidRPr="00FC4465">
        <w:rPr>
          <w:rFonts w:asciiTheme="majorBidi" w:hAnsiTheme="majorBidi" w:cstheme="majorBidi"/>
        </w:rPr>
        <w:t>”</w:t>
      </w:r>
      <w:r w:rsidRPr="00FC4465">
        <w:rPr>
          <w:rFonts w:asciiTheme="majorBidi" w:hAnsiTheme="majorBidi" w:cstheme="majorBidi"/>
        </w:rPr>
        <w:t xml:space="preserve">. Por consiguiente, el SGA también permite que una autoridad competente decida que un resultado positivo obtenido mediante uno de estos </w:t>
      </w:r>
      <w:r w:rsidRPr="00FC4465">
        <w:rPr>
          <w:rFonts w:asciiTheme="majorBidi" w:hAnsiTheme="majorBidi" w:cstheme="majorBidi"/>
        </w:rPr>
        <w:lastRenderedPageBreak/>
        <w:t xml:space="preserve">métodos </w:t>
      </w:r>
      <w:r w:rsidRPr="00FC4465">
        <w:rPr>
          <w:rFonts w:asciiTheme="majorBidi" w:hAnsiTheme="majorBidi" w:cstheme="majorBidi"/>
          <w:i/>
          <w:iCs/>
        </w:rPr>
        <w:t>in</w:t>
      </w:r>
      <w:r w:rsidR="0081160D">
        <w:rPr>
          <w:rFonts w:asciiTheme="majorBidi" w:hAnsiTheme="majorBidi" w:cstheme="majorBidi"/>
          <w:i/>
          <w:iCs/>
        </w:rPr>
        <w:t> chemico</w:t>
      </w:r>
      <w:r w:rsidRPr="00FC4465">
        <w:rPr>
          <w:rFonts w:asciiTheme="majorBidi" w:hAnsiTheme="majorBidi" w:cstheme="majorBidi"/>
        </w:rPr>
        <w:t>/</w:t>
      </w:r>
      <w:r w:rsidR="00762E66">
        <w:rPr>
          <w:rFonts w:asciiTheme="majorBidi" w:hAnsiTheme="majorBidi" w:cstheme="majorBidi"/>
          <w:i/>
          <w:iCs/>
        </w:rPr>
        <w:t>in vitro</w:t>
      </w:r>
      <w:r w:rsidRPr="00FC4465">
        <w:rPr>
          <w:rFonts w:asciiTheme="majorBidi" w:hAnsiTheme="majorBidi" w:cstheme="majorBidi"/>
        </w:rPr>
        <w:t xml:space="preserve"> no autónomos se puede utilizar por sí solo para la clasificación en la categoría 1 y si el ensayo cinético de reactividad peptídica directa (kDPRA) que figura en la Directriz 442C (apéndice III) se puede utilizar para diferenciar entre la clasificación y la no clasificación en la subcategoría 1A.</w:t>
      </w:r>
      <w:bookmarkStart w:id="14" w:name="_Hlk116634080"/>
      <w:bookmarkEnd w:id="14"/>
    </w:p>
    <w:p w14:paraId="27E30EB6" w14:textId="77777777" w:rsidR="008B6A70" w:rsidRPr="00FC4465" w:rsidRDefault="008B6A70" w:rsidP="00802EA2">
      <w:pPr>
        <w:pStyle w:val="SingleTxtG"/>
        <w:ind w:left="2268"/>
        <w:rPr>
          <w:rFonts w:asciiTheme="majorBidi" w:hAnsiTheme="majorBidi" w:cstheme="majorBidi"/>
          <w:bCs/>
        </w:rPr>
      </w:pPr>
      <w:r w:rsidRPr="00FC4465">
        <w:rPr>
          <w:rFonts w:asciiTheme="majorBidi" w:hAnsiTheme="majorBidi" w:cstheme="majorBidi"/>
        </w:rPr>
        <w:t>3.4.5.3.6</w:t>
      </w:r>
      <w:r w:rsidRPr="00FC4465">
        <w:rPr>
          <w:rFonts w:asciiTheme="majorBidi" w:hAnsiTheme="majorBidi" w:cstheme="majorBidi"/>
        </w:rPr>
        <w:tab/>
      </w:r>
      <w:r w:rsidRPr="00FC4465">
        <w:rPr>
          <w:rFonts w:asciiTheme="majorBidi" w:hAnsiTheme="majorBidi" w:cstheme="majorBidi"/>
          <w:i/>
          <w:iCs/>
        </w:rPr>
        <w:t>Orientaciones sobre el uso de datos no normalizados</w:t>
      </w:r>
    </w:p>
    <w:p w14:paraId="4CB82BFE" w14:textId="5809BB8F" w:rsidR="008B6A70" w:rsidRPr="00FC4465" w:rsidRDefault="008B6A70" w:rsidP="00802EA2">
      <w:pPr>
        <w:pStyle w:val="SingleTxtG"/>
        <w:ind w:left="2268"/>
        <w:rPr>
          <w:rFonts w:asciiTheme="majorBidi" w:hAnsiTheme="majorBidi" w:cstheme="majorBidi"/>
        </w:rPr>
      </w:pPr>
      <w:r w:rsidRPr="00FC4465">
        <w:rPr>
          <w:rFonts w:asciiTheme="majorBidi" w:hAnsiTheme="majorBidi" w:cstheme="majorBidi"/>
        </w:rPr>
        <w:t>3.4.5.3.6.1</w:t>
      </w:r>
      <w:r w:rsidRPr="00FC4465">
        <w:rPr>
          <w:rFonts w:asciiTheme="majorBidi" w:hAnsiTheme="majorBidi" w:cstheme="majorBidi"/>
        </w:rPr>
        <w:tab/>
        <w:t xml:space="preserve">Los métodos </w:t>
      </w:r>
      <w:r w:rsidRPr="00FC4465">
        <w:rPr>
          <w:rFonts w:asciiTheme="majorBidi" w:hAnsiTheme="majorBidi" w:cstheme="majorBidi"/>
          <w:i/>
          <w:iCs/>
        </w:rPr>
        <w:t>in</w:t>
      </w:r>
      <w:r w:rsidR="0081160D">
        <w:rPr>
          <w:rFonts w:asciiTheme="majorBidi" w:hAnsiTheme="majorBidi" w:cstheme="majorBidi"/>
          <w:i/>
          <w:iCs/>
        </w:rPr>
        <w:t> chemico</w:t>
      </w:r>
      <w:r w:rsidRPr="00FC4465">
        <w:rPr>
          <w:rFonts w:asciiTheme="majorBidi" w:hAnsiTheme="majorBidi" w:cstheme="majorBidi"/>
        </w:rPr>
        <w:t>/</w:t>
      </w:r>
      <w:r w:rsidR="00762E66">
        <w:rPr>
          <w:rFonts w:asciiTheme="majorBidi" w:hAnsiTheme="majorBidi" w:cstheme="majorBidi"/>
          <w:i/>
          <w:iCs/>
        </w:rPr>
        <w:t>in vitro</w:t>
      </w:r>
      <w:r w:rsidRPr="00FC4465">
        <w:rPr>
          <w:rFonts w:asciiTheme="majorBidi" w:hAnsiTheme="majorBidi" w:cstheme="majorBidi"/>
        </w:rPr>
        <w:t xml:space="preserve"> validados pero aún no adoptados, como los descritos en 3.4.5.3.6.2, y los métodos </w:t>
      </w:r>
      <w:r w:rsidRPr="00FC4465">
        <w:rPr>
          <w:rFonts w:asciiTheme="majorBidi" w:hAnsiTheme="majorBidi" w:cstheme="majorBidi"/>
          <w:i/>
          <w:iCs/>
        </w:rPr>
        <w:t>in vivo</w:t>
      </w:r>
      <w:r w:rsidRPr="00FC4465">
        <w:rPr>
          <w:rFonts w:asciiTheme="majorBidi" w:hAnsiTheme="majorBidi" w:cstheme="majorBidi"/>
        </w:rPr>
        <w:t xml:space="preserve"> que no cumplen las directrices convenidas a nivel internacional para la identificación de sensibilizantes cutáneos o la evaluación de la potencia de sensibilización cutánea pueden aportar elementos de prueba cuando se utilizan en el marco de una evaluación del peso total de las pruebas (es decir, en la etapa 3). </w:t>
      </w:r>
    </w:p>
    <w:p w14:paraId="507C7AE0" w14:textId="64178FCF" w:rsidR="008B6A70" w:rsidRPr="00FC4465" w:rsidRDefault="008B6A70" w:rsidP="00802EA2">
      <w:pPr>
        <w:pStyle w:val="SingleTxtG"/>
        <w:ind w:left="2268"/>
        <w:rPr>
          <w:rFonts w:asciiTheme="majorBidi" w:hAnsiTheme="majorBidi" w:cstheme="majorBidi"/>
        </w:rPr>
      </w:pPr>
      <w:r w:rsidRPr="00FC4465">
        <w:rPr>
          <w:rFonts w:asciiTheme="majorBidi" w:hAnsiTheme="majorBidi" w:cstheme="majorBidi"/>
        </w:rPr>
        <w:t>3.4.5.3.6.2</w:t>
      </w:r>
      <w:r w:rsidRPr="00FC4465">
        <w:rPr>
          <w:rFonts w:asciiTheme="majorBidi" w:hAnsiTheme="majorBidi" w:cstheme="majorBidi"/>
        </w:rPr>
        <w:tab/>
        <w:t xml:space="preserve">A continuación figura una lista no exhaustiva de otros métodos de ensayo </w:t>
      </w:r>
      <w:r w:rsidRPr="00FC4465">
        <w:rPr>
          <w:rFonts w:asciiTheme="majorBidi" w:hAnsiTheme="majorBidi" w:cstheme="majorBidi"/>
          <w:i/>
          <w:iCs/>
        </w:rPr>
        <w:t>in</w:t>
      </w:r>
      <w:r w:rsidR="0081160D">
        <w:rPr>
          <w:rFonts w:asciiTheme="majorBidi" w:hAnsiTheme="majorBidi" w:cstheme="majorBidi"/>
          <w:i/>
          <w:iCs/>
        </w:rPr>
        <w:t> chemico</w:t>
      </w:r>
      <w:r w:rsidRPr="00FC4465">
        <w:rPr>
          <w:rFonts w:asciiTheme="majorBidi" w:hAnsiTheme="majorBidi" w:cstheme="majorBidi"/>
        </w:rPr>
        <w:t>/</w:t>
      </w:r>
      <w:r w:rsidR="00762E66">
        <w:rPr>
          <w:rFonts w:asciiTheme="majorBidi" w:hAnsiTheme="majorBidi" w:cstheme="majorBidi"/>
          <w:i/>
          <w:iCs/>
        </w:rPr>
        <w:t>in vitro</w:t>
      </w:r>
      <w:r w:rsidRPr="00FC4465">
        <w:rPr>
          <w:rFonts w:asciiTheme="majorBidi" w:hAnsiTheme="majorBidi" w:cstheme="majorBidi"/>
        </w:rPr>
        <w:t xml:space="preserve"> validados que han sido aceptados por algunas autoridades competentes, pero no han sido adoptados por la OCDE como directrices. Una autoridad competente podrá decidir qué criterios de clasificación deberían aplicarse, si es el caso, a estos métodos de ensayo:</w:t>
      </w:r>
    </w:p>
    <w:p w14:paraId="5282C7C7" w14:textId="6A2B10A8" w:rsidR="008B6A70" w:rsidRPr="00FC4465" w:rsidRDefault="008B6A70" w:rsidP="00802EA2">
      <w:pPr>
        <w:spacing w:after="120"/>
        <w:ind w:left="2835" w:right="1134" w:hanging="567"/>
        <w:jc w:val="both"/>
        <w:rPr>
          <w:rFonts w:asciiTheme="majorBidi" w:hAnsiTheme="majorBidi" w:cstheme="majorBidi"/>
        </w:rPr>
      </w:pPr>
      <w:r w:rsidRPr="00FC4465">
        <w:rPr>
          <w:rFonts w:asciiTheme="majorBidi" w:hAnsiTheme="majorBidi" w:cstheme="majorBidi"/>
        </w:rPr>
        <w:t>a)</w:t>
      </w:r>
      <w:r w:rsidRPr="00FC4465">
        <w:rPr>
          <w:rFonts w:asciiTheme="majorBidi" w:hAnsiTheme="majorBidi" w:cstheme="majorBidi"/>
        </w:rPr>
        <w:tab/>
        <w:t xml:space="preserve">El ensayo de detección rápida de alérgenos genómicos (GARDpotency) es un ensayo </w:t>
      </w:r>
      <w:r w:rsidR="00762E66">
        <w:rPr>
          <w:rFonts w:asciiTheme="majorBidi" w:hAnsiTheme="majorBidi" w:cstheme="majorBidi"/>
          <w:i/>
          <w:iCs/>
        </w:rPr>
        <w:t>in vitro</w:t>
      </w:r>
      <w:r w:rsidRPr="00FC4465">
        <w:rPr>
          <w:rFonts w:asciiTheme="majorBidi" w:hAnsiTheme="majorBidi" w:cstheme="majorBidi"/>
        </w:rPr>
        <w:t xml:space="preserve"> basado en la transcriptómica que se centra en el tercer evento clave de la ruta de resultados adversos de la sensibilización cutánea (activación de las células dendríticas). Es similar al ensayo GARDskin, pero utiliza una firma genética diferente que permite la subcategorización de los sensibilizantes cutáneos (Gradin y otros, 2020; Zeller y otros, 2017; Corsini y otros 2021).</w:t>
      </w:r>
    </w:p>
    <w:p w14:paraId="7E37066A" w14:textId="77777777" w:rsidR="008B6A70" w:rsidRPr="00FC4465" w:rsidRDefault="008B6A70" w:rsidP="00802EA2">
      <w:pPr>
        <w:spacing w:after="120"/>
        <w:ind w:left="2835" w:right="1134" w:hanging="567"/>
        <w:jc w:val="both"/>
        <w:rPr>
          <w:rFonts w:asciiTheme="majorBidi" w:hAnsiTheme="majorBidi" w:cstheme="majorBidi"/>
        </w:rPr>
      </w:pPr>
      <w:r w:rsidRPr="00FC4465">
        <w:rPr>
          <w:rFonts w:asciiTheme="majorBidi" w:hAnsiTheme="majorBidi" w:cstheme="majorBidi"/>
        </w:rPr>
        <w:t>b)</w:t>
      </w:r>
      <w:r w:rsidRPr="00FC4465">
        <w:rPr>
          <w:rFonts w:asciiTheme="majorBidi" w:hAnsiTheme="majorBidi" w:cstheme="majorBidi"/>
        </w:rPr>
        <w:tab/>
        <w:t>El ensayo SENS-IS es un método genómico que se aplica a una epidermis humana reconstruida (RhE) (Cottrez y otros, 2015; Cottrez y otros, 2016).</w:t>
      </w:r>
    </w:p>
    <w:p w14:paraId="1FFE0AA5" w14:textId="77777777" w:rsidR="008B6A70" w:rsidRPr="00FC4465" w:rsidRDefault="008B6A70" w:rsidP="00802EA2">
      <w:pPr>
        <w:spacing w:after="120"/>
        <w:ind w:left="2835" w:right="1134" w:hanging="567"/>
        <w:jc w:val="both"/>
        <w:rPr>
          <w:rFonts w:asciiTheme="majorBidi" w:hAnsiTheme="majorBidi" w:cstheme="majorBidi"/>
        </w:rPr>
      </w:pPr>
      <w:r w:rsidRPr="00FC4465">
        <w:rPr>
          <w:rFonts w:asciiTheme="majorBidi" w:hAnsiTheme="majorBidi" w:cstheme="majorBidi"/>
        </w:rPr>
        <w:t>c)</w:t>
      </w:r>
      <w:r w:rsidRPr="00FC4465">
        <w:rPr>
          <w:rFonts w:asciiTheme="majorBidi" w:hAnsiTheme="majorBidi" w:cstheme="majorBidi"/>
        </w:rPr>
        <w:tab/>
        <w:t>El ensayo de sensibilización epidérmica (EpisensA) se basa en la medición de la regulación al alza de cuatro genes en una epidermis humana reconstruida (RhE) para diferenciar los sensibilizantes de los no sensibilizantes (Saito y otros, 2017).</w:t>
      </w:r>
    </w:p>
    <w:p w14:paraId="6FEB1269" w14:textId="77777777" w:rsidR="008B6A70" w:rsidRPr="00FC4465" w:rsidRDefault="008B6A70" w:rsidP="00802EA2">
      <w:pPr>
        <w:pStyle w:val="SingleTxtG"/>
        <w:ind w:left="2268"/>
        <w:rPr>
          <w:rFonts w:asciiTheme="majorBidi" w:hAnsiTheme="majorBidi" w:cstheme="majorBidi"/>
          <w:i/>
          <w:iCs/>
        </w:rPr>
      </w:pPr>
      <w:r w:rsidRPr="00FC4465">
        <w:rPr>
          <w:rFonts w:asciiTheme="majorBidi" w:hAnsiTheme="majorBidi" w:cstheme="majorBidi"/>
        </w:rPr>
        <w:t>3.4.5.3.7</w:t>
      </w:r>
      <w:r w:rsidRPr="00FC4465">
        <w:rPr>
          <w:rFonts w:asciiTheme="majorBidi" w:hAnsiTheme="majorBidi" w:cstheme="majorBidi"/>
        </w:rPr>
        <w:tab/>
      </w:r>
      <w:r w:rsidRPr="00FC4465">
        <w:rPr>
          <w:rFonts w:asciiTheme="majorBidi" w:hAnsiTheme="majorBidi" w:cstheme="majorBidi"/>
          <w:i/>
          <w:iCs/>
        </w:rPr>
        <w:t>Orientación sobre la evaluación del peso de las pruebas para clasificar sustancias y mezclas en relación con la sensibilización cutánea</w:t>
      </w:r>
    </w:p>
    <w:p w14:paraId="282E485F" w14:textId="142D2DB9" w:rsidR="008B6A70" w:rsidRPr="00FC4465" w:rsidRDefault="008B6A70" w:rsidP="00802EA2">
      <w:pPr>
        <w:pStyle w:val="SingleTxtG"/>
        <w:ind w:left="2268"/>
        <w:rPr>
          <w:rFonts w:asciiTheme="majorBidi" w:hAnsiTheme="majorBidi" w:cstheme="majorBidi"/>
        </w:rPr>
      </w:pPr>
      <w:r w:rsidRPr="00FC4465">
        <w:rPr>
          <w:rFonts w:asciiTheme="majorBidi" w:hAnsiTheme="majorBidi" w:cstheme="majorBidi"/>
        </w:rPr>
        <w:t>3.4.5.3.7.1</w:t>
      </w:r>
      <w:r w:rsidRPr="00FC4465">
        <w:rPr>
          <w:rFonts w:asciiTheme="majorBidi" w:hAnsiTheme="majorBidi" w:cstheme="majorBidi"/>
        </w:rPr>
        <w:tab/>
        <w:t>Puede darse el caso de que se disponga de resultados de ensayos o de métodos distintos de los ensayos y que estos difieran entre sí con respecto a la clasificación. En estas situaciones, el enfoque por etapas para la clasificación relativa a la sensibilización cutánea exige una evaluación del peso de las pruebas de conformidad con los principios descritos en las secciones</w:t>
      </w:r>
      <w:r w:rsidR="002A21D5">
        <w:rPr>
          <w:rFonts w:asciiTheme="majorBidi" w:hAnsiTheme="majorBidi" w:cstheme="majorBidi"/>
        </w:rPr>
        <w:t> </w:t>
      </w:r>
      <w:r w:rsidRPr="00FC4465">
        <w:rPr>
          <w:rFonts w:asciiTheme="majorBidi" w:hAnsiTheme="majorBidi" w:cstheme="majorBidi"/>
        </w:rPr>
        <w:t>1.3.2.4.2 y 1.3.2.4.9 sobre la calidad de los datos de ensayo y la evaluación del peso de las pruebas, respectivamente. Además, a continuación figuran algunas orientaciones sobre la evaluación del peso de las pruebas específicas para la sensibilización cutánea, que pueden aplicarse cuando los principios generales no permitan llegar a una conclusión sobre la clasificación. Cabe señalar que los resultados obtenidos en humanos y en animales para una determinada sustancia a bajas concentraciones pueden proporcionar información útil para clasificar una mezcla que contenga esa sustancia a concentraciones similares o inferiores.</w:t>
      </w:r>
    </w:p>
    <w:p w14:paraId="129B32AA" w14:textId="77777777" w:rsidR="008B6A70" w:rsidRPr="00FC4465" w:rsidRDefault="008B6A70" w:rsidP="00802EA2">
      <w:pPr>
        <w:pStyle w:val="SingleTxtG"/>
        <w:tabs>
          <w:tab w:val="clear" w:pos="1701"/>
        </w:tabs>
        <w:ind w:left="2268"/>
        <w:rPr>
          <w:rFonts w:asciiTheme="majorBidi" w:hAnsiTheme="majorBidi" w:cstheme="majorBidi"/>
        </w:rPr>
      </w:pPr>
      <w:r w:rsidRPr="00FC4465">
        <w:rPr>
          <w:rFonts w:asciiTheme="majorBidi" w:hAnsiTheme="majorBidi" w:cstheme="majorBidi"/>
        </w:rPr>
        <w:t>3.4.5.3.7.2</w:t>
      </w:r>
      <w:r w:rsidRPr="00FC4465">
        <w:rPr>
          <w:rFonts w:asciiTheme="majorBidi" w:hAnsiTheme="majorBidi" w:cstheme="majorBidi"/>
        </w:rPr>
        <w:tab/>
        <w:t>Compatibilidad mutua de los resultados de los estudios</w:t>
      </w:r>
    </w:p>
    <w:p w14:paraId="66F3688A" w14:textId="77777777" w:rsidR="008B6A70" w:rsidRPr="00FC4465" w:rsidRDefault="008B6A70" w:rsidP="00802EA2">
      <w:pPr>
        <w:pStyle w:val="SingleTxtG"/>
        <w:tabs>
          <w:tab w:val="clear" w:pos="1701"/>
        </w:tabs>
        <w:ind w:left="2268"/>
        <w:rPr>
          <w:rFonts w:asciiTheme="majorBidi" w:hAnsiTheme="majorBidi" w:cstheme="majorBidi"/>
        </w:rPr>
      </w:pPr>
      <w:r w:rsidRPr="00FC4465">
        <w:rPr>
          <w:rFonts w:asciiTheme="majorBidi" w:hAnsiTheme="majorBidi" w:cstheme="majorBidi"/>
        </w:rPr>
        <w:t>3.4.5.3.7.2.1</w:t>
      </w:r>
      <w:r w:rsidRPr="00FC4465">
        <w:rPr>
          <w:rFonts w:asciiTheme="majorBidi" w:hAnsiTheme="majorBidi" w:cstheme="majorBidi"/>
        </w:rPr>
        <w:tab/>
        <w:t xml:space="preserve">Cuando los resultados discrepen entre sí (por ejemplo, conclusión de no clasificación frente a clasificación en la categoría 1, subcategorías 1A o 1B; clasificación en la subcategoría 1A frente a clasificación en la subcategoría 1B), será necesario llevar a cabo una evaluación del peso de las pruebas. Aun así, también pueden darse situaciones menos evidentes, como que determinados estudios sugieran la no clasificación </w:t>
      </w:r>
      <w:r w:rsidRPr="00FC4465">
        <w:rPr>
          <w:rFonts w:asciiTheme="majorBidi" w:hAnsiTheme="majorBidi" w:cstheme="majorBidi"/>
        </w:rPr>
        <w:lastRenderedPageBreak/>
        <w:t>o la clasificación en la subcategoría 1B pero no pueda excluirse que otro régimen de dosificación hubiera dado lugar a una clasificación más estricta. Por ejemplo, un resultado negativo en un ensayo HMT a una dosis por superficie cutánea de 100 µg/cm</w:t>
      </w:r>
      <w:r w:rsidRPr="00FC4465">
        <w:rPr>
          <w:rFonts w:asciiTheme="majorBidi" w:hAnsiTheme="majorBidi" w:cstheme="majorBidi"/>
          <w:vertAlign w:val="superscript"/>
        </w:rPr>
        <w:t>2</w:t>
      </w:r>
      <w:r w:rsidRPr="00FC4465">
        <w:rPr>
          <w:rFonts w:asciiTheme="majorBidi" w:hAnsiTheme="majorBidi" w:cstheme="majorBidi"/>
        </w:rPr>
        <w:t xml:space="preserve"> no permite excluir la posibilidad de que se hubiera obtenido un resultado positivo, por ejemplo, a una dosis de 300 µg/cm</w:t>
      </w:r>
      <w:r w:rsidRPr="00FC4465">
        <w:rPr>
          <w:rFonts w:asciiTheme="majorBidi" w:hAnsiTheme="majorBidi" w:cstheme="majorBidi"/>
          <w:vertAlign w:val="superscript"/>
        </w:rPr>
        <w:t>2</w:t>
      </w:r>
      <w:r w:rsidRPr="00FC4465">
        <w:rPr>
          <w:rFonts w:asciiTheme="majorBidi" w:hAnsiTheme="majorBidi" w:cstheme="majorBidi"/>
        </w:rPr>
        <w:t xml:space="preserve"> (subcategoría 1A) o de 700 µg/cm</w:t>
      </w:r>
      <w:r w:rsidRPr="00FC4465">
        <w:rPr>
          <w:rFonts w:asciiTheme="majorBidi" w:hAnsiTheme="majorBidi" w:cstheme="majorBidi"/>
          <w:vertAlign w:val="superscript"/>
        </w:rPr>
        <w:t>2</w:t>
      </w:r>
      <w:r w:rsidRPr="00FC4465">
        <w:rPr>
          <w:rFonts w:asciiTheme="majorBidi" w:hAnsiTheme="majorBidi" w:cstheme="majorBidi"/>
        </w:rPr>
        <w:t xml:space="preserve"> (subcategoría 1B). Esta consideración se aplica igualmente a los resultados de ensayos LLNA obtenidos en ensayos que no se hayan realizado utilizando la concentración de ensayo más elevada posible (véase la Directriz 429 de la OCDE para más información).</w:t>
      </w:r>
    </w:p>
    <w:p w14:paraId="22FE6C99" w14:textId="77777777" w:rsidR="008B6A70" w:rsidRPr="00FC4465" w:rsidRDefault="008B6A70" w:rsidP="00802EA2">
      <w:pPr>
        <w:pStyle w:val="SingleTxtG"/>
        <w:tabs>
          <w:tab w:val="clear" w:pos="1701"/>
        </w:tabs>
        <w:ind w:left="2268"/>
        <w:rPr>
          <w:rFonts w:asciiTheme="majorBidi" w:hAnsiTheme="majorBidi" w:cstheme="majorBidi"/>
        </w:rPr>
      </w:pPr>
      <w:r w:rsidRPr="00FC4465">
        <w:rPr>
          <w:rFonts w:asciiTheme="majorBidi" w:hAnsiTheme="majorBidi" w:cstheme="majorBidi"/>
        </w:rPr>
        <w:t>3.4.5.3.7.2.2</w:t>
      </w:r>
      <w:r w:rsidRPr="00FC4465">
        <w:rPr>
          <w:rFonts w:asciiTheme="majorBidi" w:hAnsiTheme="majorBidi" w:cstheme="majorBidi"/>
        </w:rPr>
        <w:tab/>
        <w:t>En los siguientes casos ambiguos, los resultados obtenidos para las sustancias y mezclas no estarían en desacuerdo con otro resultado que indicara una clasificación más estricta:</w:t>
      </w:r>
    </w:p>
    <w:p w14:paraId="1598E3BB" w14:textId="77777777" w:rsidR="008B6A70" w:rsidRPr="00FC4465" w:rsidRDefault="008B6A70" w:rsidP="00802EA2">
      <w:pPr>
        <w:pStyle w:val="SingleTxtG"/>
        <w:tabs>
          <w:tab w:val="clear" w:pos="1701"/>
          <w:tab w:val="clear" w:pos="2268"/>
          <w:tab w:val="clear" w:pos="2835"/>
        </w:tabs>
        <w:ind w:left="2835" w:hanging="567"/>
        <w:rPr>
          <w:rFonts w:asciiTheme="majorBidi" w:hAnsiTheme="majorBidi" w:cstheme="majorBidi"/>
        </w:rPr>
      </w:pPr>
      <w:r w:rsidRPr="00FC4465">
        <w:rPr>
          <w:rFonts w:asciiTheme="majorBidi" w:hAnsiTheme="majorBidi" w:cstheme="majorBidi"/>
        </w:rPr>
        <w:t>a)</w:t>
      </w:r>
      <w:r w:rsidRPr="00FC4465">
        <w:rPr>
          <w:rFonts w:asciiTheme="majorBidi" w:hAnsiTheme="majorBidi" w:cstheme="majorBidi"/>
        </w:rPr>
        <w:tab/>
        <w:t>Un resultado de no clasificación obtenido a una concentración de ensayo inferior no excluye la posibilidad de un resultado de clasificación en la subcategoría 1B a una concentración más elevada. Por consiguiente, un resultado de no clasificación obtenido a una concentración baja es compatible con otros resultados de no clasificación, o de clasificación en la categoría 1 y la subcategoría 1B, obtenidos a concentraciones de ensayo más elevadas;</w:t>
      </w:r>
    </w:p>
    <w:p w14:paraId="25652E9D" w14:textId="412492FE" w:rsidR="008B6A70" w:rsidRPr="00FC4465" w:rsidRDefault="008B6A70" w:rsidP="00802EA2">
      <w:pPr>
        <w:pStyle w:val="SingleTxtG"/>
        <w:tabs>
          <w:tab w:val="clear" w:pos="1701"/>
          <w:tab w:val="clear" w:pos="2268"/>
          <w:tab w:val="clear" w:pos="2835"/>
        </w:tabs>
        <w:ind w:left="2835" w:hanging="567"/>
        <w:rPr>
          <w:rFonts w:asciiTheme="majorBidi" w:hAnsiTheme="majorBidi" w:cstheme="majorBidi"/>
        </w:rPr>
      </w:pPr>
      <w:r w:rsidRPr="00FC4465">
        <w:rPr>
          <w:rFonts w:asciiTheme="majorBidi" w:hAnsiTheme="majorBidi" w:cstheme="majorBidi"/>
        </w:rPr>
        <w:t>b)</w:t>
      </w:r>
      <w:r w:rsidRPr="00FC4465">
        <w:rPr>
          <w:rFonts w:asciiTheme="majorBidi" w:hAnsiTheme="majorBidi" w:cstheme="majorBidi"/>
        </w:rPr>
        <w:tab/>
        <w:t>Un resultado de no clasificación a una concentración de ensayo muy baja no excluye ni siquiera un posible resultado de clasificación en la subcategoría 1A a una concentración más elevada. Por lo tanto, un resultado de no clasificación obtenido a una concentración de ensayo muy baja es compatible con todos los posibles resultados de clasificación (es decir, no clasificación, categoría 1, subcategoría 1A o</w:t>
      </w:r>
      <w:r w:rsidR="002A21D5">
        <w:rPr>
          <w:rFonts w:asciiTheme="majorBidi" w:hAnsiTheme="majorBidi" w:cstheme="majorBidi"/>
        </w:rPr>
        <w:t> </w:t>
      </w:r>
      <w:r w:rsidRPr="00FC4465">
        <w:rPr>
          <w:rFonts w:asciiTheme="majorBidi" w:hAnsiTheme="majorBidi" w:cstheme="majorBidi"/>
        </w:rPr>
        <w:t xml:space="preserve">1B) obtenidos a concentraciones de ensayo más elevadas; </w:t>
      </w:r>
    </w:p>
    <w:p w14:paraId="35BA00EC" w14:textId="77777777" w:rsidR="008B6A70" w:rsidRPr="00FC4465" w:rsidRDefault="008B6A70" w:rsidP="00802EA2">
      <w:pPr>
        <w:pStyle w:val="SingleTxtG"/>
        <w:tabs>
          <w:tab w:val="clear" w:pos="1701"/>
          <w:tab w:val="clear" w:pos="2268"/>
          <w:tab w:val="clear" w:pos="2835"/>
        </w:tabs>
        <w:ind w:left="2835" w:hanging="567"/>
        <w:rPr>
          <w:rFonts w:asciiTheme="majorBidi" w:hAnsiTheme="majorBidi" w:cstheme="majorBidi"/>
        </w:rPr>
      </w:pPr>
      <w:r w:rsidRPr="00FC4465">
        <w:rPr>
          <w:rFonts w:asciiTheme="majorBidi" w:hAnsiTheme="majorBidi" w:cstheme="majorBidi"/>
        </w:rPr>
        <w:t>c)</w:t>
      </w:r>
      <w:r w:rsidRPr="00FC4465">
        <w:rPr>
          <w:rFonts w:asciiTheme="majorBidi" w:hAnsiTheme="majorBidi" w:cstheme="majorBidi"/>
        </w:rPr>
        <w:tab/>
        <w:t>Un resultado de clasificación en la subcategoría 1B a una concentración de ensayo superior no excluye un resultado de clasificación en la subcategoría 1A a una concentración más baja. Por lo tanto, un resultado de clasificación en la subcategoría 1B a una concentración de ensayo elevada es compatible con otros resultados de clasificación en la subcategoría 1B, o incluso en la subcategoría 1A, obtenidos a concentraciones más bajas.</w:t>
      </w:r>
    </w:p>
    <w:p w14:paraId="3BC226F1" w14:textId="77777777" w:rsidR="008B6A70" w:rsidRPr="00FC4465" w:rsidRDefault="008B6A70" w:rsidP="00802EA2">
      <w:pPr>
        <w:pStyle w:val="SingleTxtG"/>
        <w:tabs>
          <w:tab w:val="clear" w:pos="1701"/>
        </w:tabs>
        <w:ind w:left="2268"/>
        <w:rPr>
          <w:rFonts w:asciiTheme="majorBidi" w:hAnsiTheme="majorBidi" w:cstheme="majorBidi"/>
        </w:rPr>
      </w:pPr>
      <w:r w:rsidRPr="00FC4465">
        <w:rPr>
          <w:rFonts w:asciiTheme="majorBidi" w:hAnsiTheme="majorBidi" w:cstheme="majorBidi"/>
        </w:rPr>
        <w:t>3.4.5.3.7.2.3</w:t>
      </w:r>
      <w:r w:rsidRPr="00FC4465">
        <w:rPr>
          <w:rFonts w:asciiTheme="majorBidi" w:hAnsiTheme="majorBidi" w:cstheme="majorBidi"/>
        </w:rPr>
        <w:tab/>
        <w:t>Si al menos un resultado inequívoco permite la clasificación de una sustancia o mezcla en una subcategoría y ninguno de los demás resultados es incompatible con dicha clasificación (véase más arriba), la sustancia o mezcla puede clasificarse en esa subcategoría. Por ejemplo, si todos los resultados indican la clasificación en la misma subcategoría (es decir, la subcategoría 1A o la subcategoría 1B), o al menos un estudio permite la subcategorización (es decir, la clasificación en la subcategoría 1A o la subcategoría 1B) y todos los demás indican la clasificación en la categoría 1 sin dar lugar a la subcategorización, la sustancia o mezcla puede clasificarse en la subcategoría correspondiente.</w:t>
      </w:r>
    </w:p>
    <w:p w14:paraId="225CB0C9" w14:textId="77777777" w:rsidR="008B6A70" w:rsidRPr="00FC4465" w:rsidRDefault="008B6A70" w:rsidP="00802EA2">
      <w:pPr>
        <w:pStyle w:val="SingleTxtG"/>
        <w:tabs>
          <w:tab w:val="clear" w:pos="1701"/>
        </w:tabs>
        <w:ind w:left="2268"/>
        <w:rPr>
          <w:rFonts w:asciiTheme="majorBidi" w:hAnsiTheme="majorBidi" w:cstheme="majorBidi"/>
        </w:rPr>
      </w:pPr>
      <w:r w:rsidRPr="00FC4465">
        <w:rPr>
          <w:rFonts w:asciiTheme="majorBidi" w:hAnsiTheme="majorBidi" w:cstheme="majorBidi"/>
        </w:rPr>
        <w:t>3.4.5.3.7.3</w:t>
      </w:r>
      <w:r w:rsidRPr="00FC4465">
        <w:rPr>
          <w:rFonts w:asciiTheme="majorBidi" w:hAnsiTheme="majorBidi" w:cstheme="majorBidi"/>
        </w:rPr>
        <w:tab/>
        <w:t>Consideraciones relativas al peso de las pruebas para asignar más peso a los resultados de un estudio que a los de otro.</w:t>
      </w:r>
    </w:p>
    <w:p w14:paraId="58F6E290" w14:textId="1D31C0B4" w:rsidR="008B6A70" w:rsidRPr="00FC4465" w:rsidRDefault="008B6A70" w:rsidP="00802EA2">
      <w:pPr>
        <w:pStyle w:val="SingleTxtG"/>
        <w:tabs>
          <w:tab w:val="clear" w:pos="1701"/>
        </w:tabs>
        <w:ind w:left="2268"/>
        <w:rPr>
          <w:rFonts w:asciiTheme="majorBidi" w:hAnsiTheme="majorBidi" w:cstheme="majorBidi"/>
        </w:rPr>
      </w:pPr>
      <w:r w:rsidRPr="00FC4465">
        <w:rPr>
          <w:rFonts w:asciiTheme="majorBidi" w:hAnsiTheme="majorBidi" w:cstheme="majorBidi"/>
        </w:rPr>
        <w:t xml:space="preserve">3.4.5.3.7.3.1 </w:t>
      </w:r>
      <w:r w:rsidRPr="00FC4465">
        <w:rPr>
          <w:rFonts w:asciiTheme="majorBidi" w:hAnsiTheme="majorBidi" w:cstheme="majorBidi"/>
        </w:rPr>
        <w:tab/>
        <w:t>Algunos encargados de la clasificación o autoridades competentes pueden adoptar diversos enfoques para evaluar los resultados de los estudios, dado el grado considerable de opinión de los expertos (véase</w:t>
      </w:r>
      <w:r w:rsidR="002A21D5">
        <w:rPr>
          <w:rFonts w:asciiTheme="majorBidi" w:hAnsiTheme="majorBidi" w:cstheme="majorBidi"/>
        </w:rPr>
        <w:t> </w:t>
      </w:r>
      <w:r w:rsidRPr="00FC4465">
        <w:rPr>
          <w:rFonts w:asciiTheme="majorBidi" w:hAnsiTheme="majorBidi" w:cstheme="majorBidi"/>
        </w:rPr>
        <w:t>1.3.2.4.8) que exige una evaluación del peso de las pruebas. Dichas autoridades competentes pueden especificar en sus orientaciones qué enfoque prefieren. Por ejemplo, pueden optar por:</w:t>
      </w:r>
    </w:p>
    <w:p w14:paraId="125E9C76" w14:textId="77777777" w:rsidR="008B6A70" w:rsidRPr="00FC4465" w:rsidRDefault="008B6A70" w:rsidP="00802EA2">
      <w:pPr>
        <w:pStyle w:val="SingleTxtG"/>
        <w:tabs>
          <w:tab w:val="clear" w:pos="1701"/>
          <w:tab w:val="clear" w:pos="2268"/>
          <w:tab w:val="clear" w:pos="2835"/>
        </w:tabs>
        <w:ind w:left="2835" w:hanging="567"/>
        <w:rPr>
          <w:rFonts w:asciiTheme="majorBidi" w:hAnsiTheme="majorBidi" w:cstheme="majorBidi"/>
        </w:rPr>
      </w:pPr>
      <w:r w:rsidRPr="00FC4465">
        <w:rPr>
          <w:rFonts w:asciiTheme="majorBidi" w:hAnsiTheme="majorBidi" w:cstheme="majorBidi"/>
        </w:rPr>
        <w:t>a)</w:t>
      </w:r>
      <w:r w:rsidRPr="00FC4465">
        <w:rPr>
          <w:rFonts w:asciiTheme="majorBidi" w:hAnsiTheme="majorBidi" w:cstheme="majorBidi"/>
        </w:rPr>
        <w:tab/>
        <w:t>Aplicar un enfoque de precaución que dé más peso a los estudios que dan lugar a la clasificación más estricta;</w:t>
      </w:r>
    </w:p>
    <w:p w14:paraId="52A50ECB" w14:textId="77777777" w:rsidR="008B6A70" w:rsidRPr="00FC4465" w:rsidRDefault="008B6A70" w:rsidP="00802EA2">
      <w:pPr>
        <w:pStyle w:val="SingleTxtG"/>
        <w:tabs>
          <w:tab w:val="clear" w:pos="1701"/>
          <w:tab w:val="clear" w:pos="2268"/>
          <w:tab w:val="clear" w:pos="2835"/>
        </w:tabs>
        <w:ind w:left="2835" w:hanging="567"/>
        <w:rPr>
          <w:rFonts w:asciiTheme="majorBidi" w:hAnsiTheme="majorBidi" w:cstheme="majorBidi"/>
        </w:rPr>
      </w:pPr>
      <w:r w:rsidRPr="00FC4465">
        <w:rPr>
          <w:rFonts w:asciiTheme="majorBidi" w:hAnsiTheme="majorBidi" w:cstheme="majorBidi"/>
        </w:rPr>
        <w:lastRenderedPageBreak/>
        <w:t>b)</w:t>
      </w:r>
      <w:r w:rsidRPr="00FC4465">
        <w:rPr>
          <w:rFonts w:asciiTheme="majorBidi" w:hAnsiTheme="majorBidi" w:cstheme="majorBidi"/>
        </w:rPr>
        <w:tab/>
        <w:t>Dar más peso a los datos obtenidos en seres humanos que a los obtenidos en animales o los procedentes de métodos distintos de los ensayos;</w:t>
      </w:r>
    </w:p>
    <w:p w14:paraId="213556DE" w14:textId="77777777" w:rsidR="008B6A70" w:rsidRPr="00FC4465" w:rsidRDefault="008B6A70" w:rsidP="00802EA2">
      <w:pPr>
        <w:pStyle w:val="SingleTxtG"/>
        <w:tabs>
          <w:tab w:val="clear" w:pos="1701"/>
          <w:tab w:val="clear" w:pos="2268"/>
          <w:tab w:val="clear" w:pos="2835"/>
        </w:tabs>
        <w:ind w:left="2835" w:hanging="567"/>
        <w:rPr>
          <w:rFonts w:asciiTheme="majorBidi" w:hAnsiTheme="majorBidi" w:cstheme="majorBidi"/>
        </w:rPr>
      </w:pPr>
      <w:r w:rsidRPr="00FC4465">
        <w:rPr>
          <w:rFonts w:asciiTheme="majorBidi" w:hAnsiTheme="majorBidi" w:cstheme="majorBidi"/>
        </w:rPr>
        <w:t>c)</w:t>
      </w:r>
      <w:r w:rsidRPr="00FC4465">
        <w:rPr>
          <w:rFonts w:asciiTheme="majorBidi" w:hAnsiTheme="majorBidi" w:cstheme="majorBidi"/>
        </w:rPr>
        <w:tab/>
        <w:t>Dar más peso a unos datos obtenidos en animales (por ejemplo, los procedentes de ensayos LLNA) que a otros (por ejemplo, los procedentes del ensayo de Buehler).</w:t>
      </w:r>
    </w:p>
    <w:p w14:paraId="16524350" w14:textId="77777777" w:rsidR="008B6A70" w:rsidRPr="00FC4465" w:rsidRDefault="008B6A70" w:rsidP="00802EA2">
      <w:pPr>
        <w:pStyle w:val="SingleTxtG"/>
        <w:tabs>
          <w:tab w:val="clear" w:pos="1701"/>
        </w:tabs>
        <w:ind w:left="2268"/>
        <w:rPr>
          <w:rFonts w:asciiTheme="majorBidi" w:hAnsiTheme="majorBidi" w:cstheme="majorBidi"/>
        </w:rPr>
      </w:pPr>
      <w:r w:rsidRPr="00FC4465">
        <w:rPr>
          <w:rFonts w:asciiTheme="majorBidi" w:hAnsiTheme="majorBidi" w:cstheme="majorBidi"/>
        </w:rPr>
        <w:t>3.4.5.3.7.3.2</w:t>
      </w:r>
      <w:r w:rsidRPr="00FC4465">
        <w:rPr>
          <w:rFonts w:asciiTheme="majorBidi" w:hAnsiTheme="majorBidi" w:cstheme="majorBidi"/>
        </w:rPr>
        <w:tab/>
        <w:t>A menudo, en la evaluación del peso de las pruebas hay que tener en cuenta varios resultados (del mismo o de distinto tipo). No existen reglas generalmente reconocidas para resolver esta situación, pero entre las posibles soluciones para integrar varios resultados del mismo tipo se pueden mencionar:</w:t>
      </w:r>
    </w:p>
    <w:p w14:paraId="6CED2488" w14:textId="77777777" w:rsidR="008B6A70" w:rsidRPr="00FC4465" w:rsidRDefault="008B6A70" w:rsidP="00802EA2">
      <w:pPr>
        <w:pStyle w:val="SingleTxtG"/>
        <w:tabs>
          <w:tab w:val="clear" w:pos="1701"/>
          <w:tab w:val="clear" w:pos="2268"/>
          <w:tab w:val="clear" w:pos="2835"/>
        </w:tabs>
        <w:ind w:left="2835" w:hanging="567"/>
        <w:rPr>
          <w:rFonts w:asciiTheme="majorBidi" w:hAnsiTheme="majorBidi" w:cstheme="majorBidi"/>
        </w:rPr>
      </w:pPr>
      <w:r w:rsidRPr="00FC4465">
        <w:rPr>
          <w:rFonts w:asciiTheme="majorBidi" w:hAnsiTheme="majorBidi" w:cstheme="majorBidi"/>
        </w:rPr>
        <w:t>a)</w:t>
      </w:r>
      <w:r w:rsidRPr="00FC4465">
        <w:rPr>
          <w:rFonts w:asciiTheme="majorBidi" w:hAnsiTheme="majorBidi" w:cstheme="majorBidi"/>
        </w:rPr>
        <w:tab/>
        <w:t xml:space="preserve">Un enfoque de precaución por el que se adopte como resultado global en cuanto a la clasificación el resultado más estricto de entre todos los estudios de calidad suficiente; </w:t>
      </w:r>
    </w:p>
    <w:p w14:paraId="609F78C1" w14:textId="264A8EC8" w:rsidR="008B6A70" w:rsidRPr="00FC4465" w:rsidRDefault="008B6A70" w:rsidP="00802EA2">
      <w:pPr>
        <w:pStyle w:val="SingleTxtG"/>
        <w:tabs>
          <w:tab w:val="clear" w:pos="1701"/>
          <w:tab w:val="clear" w:pos="2268"/>
          <w:tab w:val="clear" w:pos="2835"/>
        </w:tabs>
        <w:ind w:left="2835" w:hanging="567"/>
        <w:rPr>
          <w:rFonts w:asciiTheme="majorBidi" w:hAnsiTheme="majorBidi" w:cstheme="majorBidi"/>
        </w:rPr>
      </w:pPr>
      <w:r w:rsidRPr="00FC4465">
        <w:rPr>
          <w:rFonts w:asciiTheme="majorBidi" w:hAnsiTheme="majorBidi" w:cstheme="majorBidi"/>
        </w:rPr>
        <w:t>b)</w:t>
      </w:r>
      <w:r w:rsidRPr="00FC4465">
        <w:rPr>
          <w:rFonts w:asciiTheme="majorBidi" w:hAnsiTheme="majorBidi" w:cstheme="majorBidi"/>
        </w:rPr>
        <w:tab/>
        <w:t>Calcular el promedio de los descriptores de dosis obtenidos (por</w:t>
      </w:r>
      <w:r w:rsidR="002A21D5">
        <w:rPr>
          <w:rFonts w:asciiTheme="majorBidi" w:hAnsiTheme="majorBidi" w:cstheme="majorBidi"/>
        </w:rPr>
        <w:t> </w:t>
      </w:r>
      <w:r w:rsidRPr="00FC4465">
        <w:rPr>
          <w:rFonts w:asciiTheme="majorBidi" w:hAnsiTheme="majorBidi" w:cstheme="majorBidi"/>
        </w:rPr>
        <w:t>ejemplo, los valores CE3 en ensayos LLNA) o los resultados de la clasificación (no clasificación, clasificación en las categorías 1, 1A,</w:t>
      </w:r>
      <w:r w:rsidR="002A21D5">
        <w:rPr>
          <w:rFonts w:asciiTheme="majorBidi" w:hAnsiTheme="majorBidi" w:cstheme="majorBidi"/>
        </w:rPr>
        <w:t> </w:t>
      </w:r>
      <w:r w:rsidRPr="00FC4465">
        <w:rPr>
          <w:rFonts w:asciiTheme="majorBidi" w:hAnsiTheme="majorBidi" w:cstheme="majorBidi"/>
        </w:rPr>
        <w:t>1B). En el anexo 3 (datos de LLNA) y el anexo 4 (datos de HMT/HRIPT) del documento núm. 336 de la serie sobre ensayos y evaluaciones de la OCDE (documento de apoyo a la Directriz 497 de la</w:t>
      </w:r>
      <w:r w:rsidR="002A21D5">
        <w:rPr>
          <w:rFonts w:asciiTheme="majorBidi" w:hAnsiTheme="majorBidi" w:cstheme="majorBidi"/>
        </w:rPr>
        <w:t> </w:t>
      </w:r>
      <w:r w:rsidRPr="00FC4465">
        <w:rPr>
          <w:rFonts w:asciiTheme="majorBidi" w:hAnsiTheme="majorBidi" w:cstheme="majorBidi"/>
        </w:rPr>
        <w:t>OCDE) se puede encontrar un análisis detallado de dichos enfoques.</w:t>
      </w:r>
      <w:r w:rsidR="008C5013" w:rsidRPr="00FC4465">
        <w:rPr>
          <w:rFonts w:asciiTheme="majorBidi" w:hAnsiTheme="majorBidi" w:cstheme="majorBidi"/>
        </w:rPr>
        <w:t>”</w:t>
      </w:r>
      <w:r w:rsidRPr="00FC4465">
        <w:rPr>
          <w:rFonts w:asciiTheme="majorBidi" w:hAnsiTheme="majorBidi" w:cstheme="majorBidi"/>
        </w:rPr>
        <w:t>.</w:t>
      </w:r>
    </w:p>
    <w:bookmarkEnd w:id="13"/>
    <w:p w14:paraId="541FAE89" w14:textId="16D15B09" w:rsidR="008B6A70" w:rsidRPr="00FC4465" w:rsidRDefault="008B6A70" w:rsidP="008B6A70">
      <w:pPr>
        <w:spacing w:line="240" w:lineRule="auto"/>
        <w:rPr>
          <w:rFonts w:asciiTheme="majorBidi" w:hAnsiTheme="majorBidi" w:cstheme="majorBidi"/>
        </w:rPr>
      </w:pPr>
    </w:p>
    <w:p w14:paraId="789E2376" w14:textId="5D152316" w:rsidR="008B6A70" w:rsidRPr="00FC4465" w:rsidRDefault="008B6A70" w:rsidP="008B6A70">
      <w:pPr>
        <w:spacing w:line="240" w:lineRule="auto"/>
        <w:rPr>
          <w:rFonts w:asciiTheme="majorBidi" w:hAnsiTheme="majorBidi" w:cstheme="majorBidi"/>
        </w:rPr>
      </w:pPr>
    </w:p>
    <w:p w14:paraId="0EEFDF88" w14:textId="235F2466" w:rsidR="008B6A70" w:rsidRPr="00FC4465" w:rsidRDefault="008B6A70" w:rsidP="008B6A70">
      <w:pPr>
        <w:spacing w:line="240" w:lineRule="auto"/>
        <w:rPr>
          <w:rFonts w:asciiTheme="majorBidi" w:hAnsiTheme="majorBidi" w:cstheme="majorBidi"/>
        </w:rPr>
      </w:pPr>
    </w:p>
    <w:p w14:paraId="49D99BFA" w14:textId="77777777" w:rsidR="00F317F2" w:rsidRPr="00FC4465" w:rsidRDefault="00F317F2" w:rsidP="008B6A70">
      <w:pPr>
        <w:spacing w:line="240" w:lineRule="auto"/>
        <w:rPr>
          <w:rFonts w:asciiTheme="majorBidi" w:hAnsiTheme="majorBidi" w:cstheme="majorBidi"/>
        </w:rPr>
        <w:sectPr w:rsidR="00F317F2" w:rsidRPr="00FC4465" w:rsidSect="008B6A70">
          <w:headerReference w:type="even" r:id="rId39"/>
          <w:headerReference w:type="default" r:id="rId40"/>
          <w:footerReference w:type="even" r:id="rId41"/>
          <w:footerReference w:type="default" r:id="rId42"/>
          <w:endnotePr>
            <w:numFmt w:val="decimal"/>
          </w:endnotePr>
          <w:pgSz w:w="11906" w:h="16838" w:code="9"/>
          <w:pgMar w:top="1417" w:right="1134" w:bottom="1134" w:left="1134" w:header="850" w:footer="567" w:gutter="0"/>
          <w:cols w:space="708"/>
          <w:docGrid w:linePitch="360"/>
        </w:sectPr>
      </w:pPr>
    </w:p>
    <w:p w14:paraId="73436B2C" w14:textId="77777777" w:rsidR="00F317F2" w:rsidRPr="00FC4465" w:rsidRDefault="00F317F2" w:rsidP="00F317F2">
      <w:pPr>
        <w:jc w:val="center"/>
        <w:rPr>
          <w:rFonts w:asciiTheme="majorBidi" w:hAnsiTheme="majorBidi" w:cstheme="majorBidi"/>
          <w:b/>
        </w:rPr>
      </w:pPr>
      <w:bookmarkStart w:id="15" w:name="_Hlk124931125"/>
      <w:r w:rsidRPr="00FC4465">
        <w:rPr>
          <w:rFonts w:asciiTheme="majorBidi" w:hAnsiTheme="majorBidi" w:cstheme="majorBidi"/>
          <w:b/>
          <w:bCs/>
        </w:rPr>
        <w:lastRenderedPageBreak/>
        <w:t>Tabla 3.4.7: Criterios para los enfoques definidos</w:t>
      </w:r>
    </w:p>
    <w:p w14:paraId="7C737469" w14:textId="77777777" w:rsidR="00F317F2" w:rsidRPr="00FC4465" w:rsidRDefault="00F317F2" w:rsidP="00F317F2">
      <w:pPr>
        <w:rPr>
          <w:rFonts w:asciiTheme="majorBidi" w:hAnsiTheme="majorBidi" w:cstheme="majorBidi"/>
          <w:sz w:val="18"/>
          <w:szCs w:val="18"/>
        </w:rPr>
      </w:pPr>
    </w:p>
    <w:tbl>
      <w:tblPr>
        <w:tblW w:w="12643" w:type="dxa"/>
        <w:tblInd w:w="9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062"/>
        <w:gridCol w:w="6050"/>
        <w:gridCol w:w="5531"/>
      </w:tblGrid>
      <w:tr w:rsidR="00F317F2" w:rsidRPr="00FC4465" w14:paraId="651D60C5" w14:textId="77777777" w:rsidTr="00C93947">
        <w:trPr>
          <w:trHeight w:val="718"/>
        </w:trPr>
        <w:tc>
          <w:tcPr>
            <w:tcW w:w="1062" w:type="dxa"/>
            <w:vMerge w:val="restart"/>
            <w:tcBorders>
              <w:top w:val="single" w:sz="4" w:space="0" w:color="auto"/>
              <w:left w:val="single" w:sz="4" w:space="0" w:color="auto"/>
              <w:right w:val="single" w:sz="4" w:space="0" w:color="auto"/>
            </w:tcBorders>
            <w:tcMar>
              <w:top w:w="57" w:type="dxa"/>
              <w:left w:w="57" w:type="dxa"/>
              <w:bottom w:w="57" w:type="dxa"/>
              <w:right w:w="57" w:type="dxa"/>
            </w:tcMar>
            <w:hideMark/>
          </w:tcPr>
          <w:p w14:paraId="7445E30B" w14:textId="77777777" w:rsidR="00F317F2" w:rsidRPr="00FC4465" w:rsidRDefault="00F317F2" w:rsidP="00C93947">
            <w:pPr>
              <w:spacing w:before="40" w:after="40" w:line="180" w:lineRule="exact"/>
              <w:contextualSpacing/>
              <w:rPr>
                <w:rFonts w:asciiTheme="majorBidi" w:hAnsiTheme="majorBidi" w:cstheme="majorBidi"/>
                <w:b/>
                <w:sz w:val="14"/>
                <w:szCs w:val="14"/>
              </w:rPr>
            </w:pPr>
            <w:r w:rsidRPr="00FC4465">
              <w:rPr>
                <w:rFonts w:asciiTheme="majorBidi" w:hAnsiTheme="majorBidi" w:cstheme="majorBidi"/>
                <w:b/>
                <w:bCs/>
              </w:rPr>
              <w:t>Categoría</w:t>
            </w:r>
          </w:p>
        </w:tc>
        <w:tc>
          <w:tcPr>
            <w:tcW w:w="605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hideMark/>
          </w:tcPr>
          <w:p w14:paraId="3824036D" w14:textId="644C8F6A" w:rsidR="00F317F2" w:rsidRPr="00FC4465" w:rsidRDefault="00F317F2" w:rsidP="00C93947">
            <w:pPr>
              <w:spacing w:line="260" w:lineRule="atLeast"/>
              <w:jc w:val="center"/>
              <w:rPr>
                <w:rFonts w:asciiTheme="majorBidi" w:hAnsiTheme="majorBidi" w:cstheme="majorBidi"/>
                <w:b/>
                <w:sz w:val="16"/>
                <w:szCs w:val="16"/>
              </w:rPr>
            </w:pPr>
            <w:r w:rsidRPr="00FC4465">
              <w:rPr>
                <w:rFonts w:asciiTheme="majorBidi" w:hAnsiTheme="majorBidi" w:cstheme="majorBidi"/>
                <w:b/>
                <w:bCs/>
              </w:rPr>
              <w:t xml:space="preserve">Directriz 497 de la OCDE sobre los enfoques </w:t>
            </w:r>
            <w:r w:rsidR="00864F68">
              <w:rPr>
                <w:rFonts w:asciiTheme="majorBidi" w:hAnsiTheme="majorBidi" w:cstheme="majorBidi"/>
                <w:b/>
                <w:bCs/>
              </w:rPr>
              <w:br/>
            </w:r>
            <w:r w:rsidRPr="00FC4465">
              <w:rPr>
                <w:rFonts w:asciiTheme="majorBidi" w:hAnsiTheme="majorBidi" w:cstheme="majorBidi"/>
                <w:b/>
                <w:bCs/>
              </w:rPr>
              <w:t>definidos para la sensibilización cutánea</w:t>
            </w:r>
          </w:p>
          <w:p w14:paraId="58A42BC3" w14:textId="2B0DFD66" w:rsidR="00F317F2" w:rsidRPr="00FC4465" w:rsidRDefault="00F317F2" w:rsidP="00C93947">
            <w:pPr>
              <w:spacing w:line="260" w:lineRule="atLeast"/>
              <w:jc w:val="center"/>
              <w:rPr>
                <w:rFonts w:asciiTheme="majorBidi" w:hAnsiTheme="majorBidi" w:cstheme="majorBidi"/>
                <w:b/>
                <w:sz w:val="16"/>
                <w:szCs w:val="16"/>
              </w:rPr>
            </w:pPr>
            <w:r w:rsidRPr="00FC4465">
              <w:rPr>
                <w:rFonts w:asciiTheme="majorBidi" w:hAnsiTheme="majorBidi" w:cstheme="majorBidi"/>
                <w:b/>
                <w:bCs/>
              </w:rPr>
              <w:t xml:space="preserve">Enfoque definido </w:t>
            </w:r>
            <w:r w:rsidR="008C5013" w:rsidRPr="00FC4465">
              <w:rPr>
                <w:rFonts w:asciiTheme="majorBidi" w:hAnsiTheme="majorBidi" w:cstheme="majorBidi"/>
              </w:rPr>
              <w:t>“</w:t>
            </w:r>
            <w:r w:rsidRPr="00FC4465">
              <w:rPr>
                <w:rFonts w:asciiTheme="majorBidi" w:hAnsiTheme="majorBidi" w:cstheme="majorBidi"/>
                <w:b/>
                <w:bCs/>
              </w:rPr>
              <w:t>2 de 3</w:t>
            </w:r>
            <w:r w:rsidR="008C5013" w:rsidRPr="00FC4465">
              <w:rPr>
                <w:rFonts w:asciiTheme="majorBidi" w:hAnsiTheme="majorBidi" w:cstheme="majorBidi"/>
              </w:rPr>
              <w:t>”</w:t>
            </w:r>
            <w:r w:rsidRPr="00FC4465">
              <w:rPr>
                <w:rFonts w:asciiTheme="majorBidi" w:hAnsiTheme="majorBidi" w:cstheme="majorBidi"/>
                <w:b/>
                <w:bCs/>
              </w:rPr>
              <w:t xml:space="preserve"> (2o3)</w:t>
            </w:r>
          </w:p>
        </w:tc>
        <w:tc>
          <w:tcPr>
            <w:tcW w:w="5531" w:type="dxa"/>
            <w:tcBorders>
              <w:top w:val="single" w:sz="4" w:space="0" w:color="auto"/>
              <w:left w:val="single" w:sz="4" w:space="0" w:color="auto"/>
              <w:bottom w:val="single" w:sz="4" w:space="0" w:color="auto"/>
              <w:right w:val="single" w:sz="4" w:space="0" w:color="auto"/>
            </w:tcBorders>
          </w:tcPr>
          <w:p w14:paraId="2D2FB667" w14:textId="6826BEEE" w:rsidR="00F317F2" w:rsidRPr="00FC4465" w:rsidRDefault="00F317F2" w:rsidP="00C93947">
            <w:pPr>
              <w:spacing w:line="260" w:lineRule="atLeast"/>
              <w:jc w:val="center"/>
              <w:rPr>
                <w:rFonts w:asciiTheme="majorBidi" w:hAnsiTheme="majorBidi" w:cstheme="majorBidi"/>
                <w:b/>
                <w:sz w:val="16"/>
                <w:szCs w:val="16"/>
              </w:rPr>
            </w:pPr>
            <w:r w:rsidRPr="00FC4465">
              <w:rPr>
                <w:rFonts w:asciiTheme="majorBidi" w:hAnsiTheme="majorBidi" w:cstheme="majorBidi"/>
                <w:b/>
                <w:bCs/>
              </w:rPr>
              <w:t xml:space="preserve">Directriz 497 de la OCDE sobre los enfoques </w:t>
            </w:r>
            <w:r w:rsidR="00864F68">
              <w:rPr>
                <w:rFonts w:asciiTheme="majorBidi" w:hAnsiTheme="majorBidi" w:cstheme="majorBidi"/>
                <w:b/>
                <w:bCs/>
              </w:rPr>
              <w:br/>
            </w:r>
            <w:r w:rsidRPr="00FC4465">
              <w:rPr>
                <w:rFonts w:asciiTheme="majorBidi" w:hAnsiTheme="majorBidi" w:cstheme="majorBidi"/>
                <w:b/>
                <w:bCs/>
              </w:rPr>
              <w:t>definidos para la sensibilización cutánea</w:t>
            </w:r>
          </w:p>
          <w:p w14:paraId="1A7549BD" w14:textId="77777777" w:rsidR="00F317F2" w:rsidRPr="00FC4465" w:rsidRDefault="00F317F2" w:rsidP="00C93947">
            <w:pPr>
              <w:spacing w:line="260" w:lineRule="atLeast"/>
              <w:jc w:val="center"/>
              <w:rPr>
                <w:rFonts w:asciiTheme="majorBidi" w:hAnsiTheme="majorBidi" w:cstheme="majorBidi"/>
                <w:b/>
                <w:sz w:val="16"/>
                <w:szCs w:val="16"/>
              </w:rPr>
            </w:pPr>
            <w:r w:rsidRPr="00FC4465">
              <w:rPr>
                <w:rFonts w:asciiTheme="majorBidi" w:hAnsiTheme="majorBidi" w:cstheme="majorBidi"/>
                <w:b/>
                <w:bCs/>
              </w:rPr>
              <w:t>Enfoque definido de estrategia de ensayo integrada ITSv1 y</w:t>
            </w:r>
          </w:p>
          <w:p w14:paraId="209A939B" w14:textId="77777777" w:rsidR="00F317F2" w:rsidRPr="00FC4465" w:rsidRDefault="00F317F2" w:rsidP="00C93947">
            <w:pPr>
              <w:spacing w:line="260" w:lineRule="atLeast"/>
              <w:jc w:val="center"/>
              <w:rPr>
                <w:rFonts w:asciiTheme="majorBidi" w:hAnsiTheme="majorBidi" w:cstheme="majorBidi"/>
                <w:b/>
                <w:sz w:val="16"/>
                <w:szCs w:val="16"/>
              </w:rPr>
            </w:pPr>
            <w:r w:rsidRPr="00FC4465">
              <w:rPr>
                <w:rFonts w:asciiTheme="majorBidi" w:hAnsiTheme="majorBidi" w:cstheme="majorBidi"/>
                <w:b/>
                <w:bCs/>
              </w:rPr>
              <w:t>Enfoque definido de estrategia de ensayo integrada ITSv2</w:t>
            </w:r>
            <w:r w:rsidRPr="00FC4465">
              <w:rPr>
                <w:rFonts w:asciiTheme="majorBidi" w:hAnsiTheme="majorBidi" w:cstheme="majorBidi"/>
              </w:rPr>
              <w:t xml:space="preserve"> </w:t>
            </w:r>
          </w:p>
        </w:tc>
      </w:tr>
      <w:tr w:rsidR="00F317F2" w:rsidRPr="00FC4465" w14:paraId="05F8B8BE" w14:textId="77777777" w:rsidTr="00C93947">
        <w:trPr>
          <w:trHeight w:val="815"/>
        </w:trPr>
        <w:tc>
          <w:tcPr>
            <w:tcW w:w="1062" w:type="dxa"/>
            <w:vMerge/>
            <w:tcBorders>
              <w:left w:val="single" w:sz="4" w:space="0" w:color="auto"/>
              <w:right w:val="single" w:sz="4" w:space="0" w:color="auto"/>
            </w:tcBorders>
            <w:vAlign w:val="center"/>
            <w:hideMark/>
          </w:tcPr>
          <w:p w14:paraId="33166000" w14:textId="77777777" w:rsidR="00F317F2" w:rsidRPr="00FC4465" w:rsidRDefault="00F317F2" w:rsidP="00C93947">
            <w:pPr>
              <w:rPr>
                <w:rFonts w:asciiTheme="majorBidi" w:hAnsiTheme="majorBidi" w:cstheme="majorBidi"/>
                <w:sz w:val="16"/>
                <w:szCs w:val="16"/>
              </w:rPr>
            </w:pPr>
          </w:p>
        </w:tc>
        <w:tc>
          <w:tcPr>
            <w:tcW w:w="6050" w:type="dxa"/>
            <w:tcBorders>
              <w:top w:val="single" w:sz="4" w:space="0" w:color="auto"/>
              <w:left w:val="single" w:sz="4" w:space="0" w:color="auto"/>
              <w:bottom w:val="nil"/>
              <w:right w:val="single" w:sz="4" w:space="0" w:color="auto"/>
            </w:tcBorders>
            <w:tcMar>
              <w:top w:w="57" w:type="dxa"/>
              <w:left w:w="57" w:type="dxa"/>
              <w:bottom w:w="57" w:type="dxa"/>
              <w:right w:w="57" w:type="dxa"/>
            </w:tcMar>
            <w:hideMark/>
          </w:tcPr>
          <w:p w14:paraId="175A0BF9" w14:textId="78089E31" w:rsidR="00F317F2" w:rsidRPr="00FC4465" w:rsidRDefault="00F317F2" w:rsidP="00FC4465">
            <w:pPr>
              <w:spacing w:before="20" w:after="20" w:line="240" w:lineRule="auto"/>
              <w:rPr>
                <w:rFonts w:asciiTheme="majorBidi" w:hAnsiTheme="majorBidi" w:cstheme="majorBidi"/>
                <w:sz w:val="16"/>
                <w:szCs w:val="16"/>
              </w:rPr>
            </w:pPr>
            <w:r w:rsidRPr="00FC4465">
              <w:rPr>
                <w:rFonts w:asciiTheme="majorBidi" w:hAnsiTheme="majorBidi" w:cstheme="majorBidi"/>
                <w:b/>
                <w:bCs/>
              </w:rPr>
              <w:t>2o3</w:t>
            </w:r>
            <w:r w:rsidR="00864F68">
              <w:rPr>
                <w:rFonts w:asciiTheme="majorBidi" w:hAnsiTheme="majorBidi" w:cstheme="majorBidi"/>
                <w:b/>
                <w:bCs/>
              </w:rPr>
              <w:t>:</w:t>
            </w:r>
            <w:r w:rsidRPr="00FC4465">
              <w:rPr>
                <w:rFonts w:asciiTheme="majorBidi" w:hAnsiTheme="majorBidi" w:cstheme="majorBidi"/>
              </w:rPr>
              <w:t xml:space="preserve"> Enfoque definido de determinación del peligro de sensibilización cutánea sobre la base de ensayos </w:t>
            </w:r>
            <w:r w:rsidRPr="00FC4465">
              <w:rPr>
                <w:rFonts w:asciiTheme="majorBidi" w:hAnsiTheme="majorBidi" w:cstheme="majorBidi"/>
                <w:i/>
                <w:iCs/>
              </w:rPr>
              <w:t>in</w:t>
            </w:r>
            <w:r w:rsidR="0081160D">
              <w:rPr>
                <w:rFonts w:asciiTheme="majorBidi" w:hAnsiTheme="majorBidi" w:cstheme="majorBidi"/>
                <w:i/>
                <w:iCs/>
              </w:rPr>
              <w:t> chemico</w:t>
            </w:r>
            <w:r w:rsidRPr="00FC4465">
              <w:rPr>
                <w:rFonts w:asciiTheme="majorBidi" w:hAnsiTheme="majorBidi" w:cstheme="majorBidi"/>
              </w:rPr>
              <w:t xml:space="preserve"> (evento clave 1 </w:t>
            </w:r>
            <w:r w:rsidR="00864F68">
              <w:rPr>
                <w:rFonts w:asciiTheme="majorBidi" w:hAnsiTheme="majorBidi" w:cstheme="majorBidi"/>
              </w:rPr>
              <w:t>–</w:t>
            </w:r>
            <w:r w:rsidRPr="00FC4465">
              <w:rPr>
                <w:rFonts w:asciiTheme="majorBidi" w:hAnsiTheme="majorBidi" w:cstheme="majorBidi"/>
              </w:rPr>
              <w:t xml:space="preserve"> ensayo </w:t>
            </w:r>
            <w:r w:rsidR="00864F68">
              <w:rPr>
                <w:rFonts w:asciiTheme="majorBidi" w:hAnsiTheme="majorBidi" w:cstheme="majorBidi"/>
              </w:rPr>
              <w:br/>
            </w:r>
            <w:r w:rsidRPr="00FC4465">
              <w:rPr>
                <w:rFonts w:asciiTheme="majorBidi" w:hAnsiTheme="majorBidi" w:cstheme="majorBidi"/>
              </w:rPr>
              <w:t xml:space="preserve">de reactividad peptídica directa (KE1-DPRA)) e </w:t>
            </w:r>
            <w:r w:rsidR="00762E66">
              <w:rPr>
                <w:rFonts w:asciiTheme="majorBidi" w:hAnsiTheme="majorBidi" w:cstheme="majorBidi"/>
                <w:i/>
                <w:iCs/>
              </w:rPr>
              <w:t>in vitro</w:t>
            </w:r>
            <w:r w:rsidRPr="00FC4465">
              <w:rPr>
                <w:rFonts w:asciiTheme="majorBidi" w:hAnsiTheme="majorBidi" w:cstheme="majorBidi"/>
              </w:rPr>
              <w:t xml:space="preserve"> (evento </w:t>
            </w:r>
            <w:r w:rsidR="00864F68">
              <w:rPr>
                <w:rFonts w:asciiTheme="majorBidi" w:hAnsiTheme="majorBidi" w:cstheme="majorBidi"/>
              </w:rPr>
              <w:br/>
            </w:r>
            <w:r w:rsidRPr="00FC4465">
              <w:rPr>
                <w:rFonts w:asciiTheme="majorBidi" w:hAnsiTheme="majorBidi" w:cstheme="majorBidi"/>
              </w:rPr>
              <w:t xml:space="preserve">clave 2 </w:t>
            </w:r>
            <w:r w:rsidR="00864F68">
              <w:rPr>
                <w:rFonts w:asciiTheme="majorBidi" w:hAnsiTheme="majorBidi" w:cstheme="majorBidi"/>
              </w:rPr>
              <w:t>–</w:t>
            </w:r>
            <w:r w:rsidRPr="00FC4465">
              <w:rPr>
                <w:rFonts w:asciiTheme="majorBidi" w:hAnsiTheme="majorBidi" w:cstheme="majorBidi"/>
              </w:rPr>
              <w:t xml:space="preserve"> apéndice IA de la Directriz 442D de la OCDE, evento </w:t>
            </w:r>
            <w:r w:rsidR="00864F68">
              <w:rPr>
                <w:rFonts w:asciiTheme="majorBidi" w:hAnsiTheme="majorBidi" w:cstheme="majorBidi"/>
              </w:rPr>
              <w:br/>
            </w:r>
            <w:r w:rsidRPr="00FC4465">
              <w:rPr>
                <w:rFonts w:asciiTheme="majorBidi" w:hAnsiTheme="majorBidi" w:cstheme="majorBidi"/>
              </w:rPr>
              <w:t xml:space="preserve">clave 3 </w:t>
            </w:r>
            <w:r w:rsidR="00864F68">
              <w:rPr>
                <w:rFonts w:asciiTheme="majorBidi" w:hAnsiTheme="majorBidi" w:cstheme="majorBidi"/>
              </w:rPr>
              <w:t>–</w:t>
            </w:r>
            <w:r w:rsidRPr="00FC4465">
              <w:rPr>
                <w:rFonts w:asciiTheme="majorBidi" w:hAnsiTheme="majorBidi" w:cstheme="majorBidi"/>
              </w:rPr>
              <w:t xml:space="preserve"> ensayo de activación de la línea celular humana (KE3</w:t>
            </w:r>
            <w:r w:rsidR="00864F68">
              <w:rPr>
                <w:rFonts w:asciiTheme="majorBidi" w:hAnsiTheme="majorBidi" w:cstheme="majorBidi"/>
              </w:rPr>
              <w:noBreakHyphen/>
            </w:r>
            <w:r w:rsidRPr="00FC4465">
              <w:rPr>
                <w:rFonts w:asciiTheme="majorBidi" w:hAnsiTheme="majorBidi" w:cstheme="majorBidi"/>
              </w:rPr>
              <w:t>h</w:t>
            </w:r>
            <w:r w:rsidR="00864F68">
              <w:rPr>
                <w:rFonts w:asciiTheme="majorBidi" w:hAnsiTheme="majorBidi" w:cstheme="majorBidi"/>
              </w:rPr>
              <w:noBreakHyphen/>
            </w:r>
            <w:r w:rsidRPr="00FC4465">
              <w:rPr>
                <w:rFonts w:asciiTheme="majorBidi" w:hAnsiTheme="majorBidi" w:cstheme="majorBidi"/>
              </w:rPr>
              <w:t>CLAT)).</w:t>
            </w:r>
          </w:p>
        </w:tc>
        <w:tc>
          <w:tcPr>
            <w:tcW w:w="5531" w:type="dxa"/>
            <w:tcBorders>
              <w:top w:val="single" w:sz="4" w:space="0" w:color="auto"/>
              <w:left w:val="single" w:sz="4" w:space="0" w:color="auto"/>
              <w:bottom w:val="nil"/>
              <w:right w:val="single" w:sz="4" w:space="0" w:color="auto"/>
            </w:tcBorders>
          </w:tcPr>
          <w:p w14:paraId="748A00D5" w14:textId="72F6A92D" w:rsidR="00F317F2" w:rsidRPr="00FC4465" w:rsidRDefault="00F317F2" w:rsidP="00C93947">
            <w:pPr>
              <w:spacing w:before="20" w:after="20" w:line="240" w:lineRule="auto"/>
              <w:ind w:left="144"/>
              <w:rPr>
                <w:rFonts w:asciiTheme="majorBidi" w:hAnsiTheme="majorBidi" w:cstheme="majorBidi"/>
                <w:sz w:val="16"/>
                <w:szCs w:val="16"/>
              </w:rPr>
            </w:pPr>
            <w:r w:rsidRPr="00FC4465">
              <w:rPr>
                <w:rFonts w:asciiTheme="majorBidi" w:hAnsiTheme="majorBidi" w:cstheme="majorBidi"/>
                <w:b/>
                <w:bCs/>
              </w:rPr>
              <w:t>ITSv1</w:t>
            </w:r>
            <w:r w:rsidR="00864F68">
              <w:rPr>
                <w:rFonts w:asciiTheme="majorBidi" w:hAnsiTheme="majorBidi" w:cstheme="majorBidi"/>
                <w:b/>
                <w:bCs/>
              </w:rPr>
              <w:t>:</w:t>
            </w:r>
            <w:r w:rsidRPr="00FC4465">
              <w:rPr>
                <w:rFonts w:asciiTheme="majorBidi" w:hAnsiTheme="majorBidi" w:cstheme="majorBidi"/>
              </w:rPr>
              <w:t xml:space="preserve"> Enfoque definido basado en datos </w:t>
            </w:r>
            <w:r w:rsidRPr="00FC4465">
              <w:rPr>
                <w:rFonts w:asciiTheme="majorBidi" w:hAnsiTheme="majorBidi" w:cstheme="majorBidi"/>
                <w:i/>
                <w:iCs/>
              </w:rPr>
              <w:t>in</w:t>
            </w:r>
            <w:r w:rsidR="0081160D">
              <w:rPr>
                <w:rFonts w:asciiTheme="majorBidi" w:hAnsiTheme="majorBidi" w:cstheme="majorBidi"/>
                <w:i/>
                <w:iCs/>
              </w:rPr>
              <w:t> chemico</w:t>
            </w:r>
            <w:r w:rsidRPr="00FC4465">
              <w:rPr>
                <w:rFonts w:asciiTheme="majorBidi" w:hAnsiTheme="majorBidi" w:cstheme="majorBidi"/>
              </w:rPr>
              <w:t xml:space="preserve"> (KE1</w:t>
            </w:r>
            <w:r w:rsidR="00864F68">
              <w:rPr>
                <w:rFonts w:asciiTheme="majorBidi" w:hAnsiTheme="majorBidi" w:cstheme="majorBidi"/>
              </w:rPr>
              <w:noBreakHyphen/>
            </w:r>
            <w:r w:rsidRPr="00FC4465">
              <w:rPr>
                <w:rFonts w:asciiTheme="majorBidi" w:hAnsiTheme="majorBidi" w:cstheme="majorBidi"/>
              </w:rPr>
              <w:t xml:space="preserve">DPRA) e </w:t>
            </w:r>
            <w:r w:rsidR="00762E66">
              <w:rPr>
                <w:rFonts w:asciiTheme="majorBidi" w:hAnsiTheme="majorBidi" w:cstheme="majorBidi"/>
                <w:i/>
                <w:iCs/>
              </w:rPr>
              <w:t>in vitro</w:t>
            </w:r>
            <w:r w:rsidRPr="00FC4465">
              <w:rPr>
                <w:rFonts w:asciiTheme="majorBidi" w:hAnsiTheme="majorBidi" w:cstheme="majorBidi"/>
              </w:rPr>
              <w:t xml:space="preserve"> (KE3-h-CLAT), y en predicciones </w:t>
            </w:r>
            <w:r w:rsidRPr="00FC4465">
              <w:rPr>
                <w:rFonts w:asciiTheme="majorBidi" w:hAnsiTheme="majorBidi" w:cstheme="majorBidi"/>
                <w:i/>
                <w:iCs/>
              </w:rPr>
              <w:t>in</w:t>
            </w:r>
            <w:r w:rsidR="007C4ECC">
              <w:rPr>
                <w:rFonts w:asciiTheme="majorBidi" w:hAnsiTheme="majorBidi" w:cstheme="majorBidi"/>
                <w:i/>
                <w:iCs/>
              </w:rPr>
              <w:t> silico</w:t>
            </w:r>
            <w:r w:rsidRPr="00FC4465">
              <w:rPr>
                <w:rFonts w:asciiTheme="majorBidi" w:hAnsiTheme="majorBidi" w:cstheme="majorBidi"/>
              </w:rPr>
              <w:t xml:space="preserve"> (Derek Nexus).</w:t>
            </w:r>
          </w:p>
          <w:p w14:paraId="6D4EE01D" w14:textId="51FACC1C" w:rsidR="00F317F2" w:rsidRPr="00FC4465" w:rsidRDefault="00F317F2" w:rsidP="00C93947">
            <w:pPr>
              <w:spacing w:before="20" w:after="20" w:line="240" w:lineRule="auto"/>
              <w:ind w:left="144"/>
              <w:rPr>
                <w:rFonts w:asciiTheme="majorBidi" w:hAnsiTheme="majorBidi" w:cstheme="majorBidi"/>
                <w:sz w:val="16"/>
                <w:szCs w:val="16"/>
              </w:rPr>
            </w:pPr>
            <w:r w:rsidRPr="00FC4465">
              <w:rPr>
                <w:rFonts w:asciiTheme="majorBidi" w:hAnsiTheme="majorBidi" w:cstheme="majorBidi"/>
                <w:b/>
                <w:bCs/>
              </w:rPr>
              <w:t>ITSv2</w:t>
            </w:r>
            <w:r w:rsidR="00864F68">
              <w:rPr>
                <w:rFonts w:asciiTheme="majorBidi" w:hAnsiTheme="majorBidi" w:cstheme="majorBidi"/>
                <w:b/>
                <w:bCs/>
              </w:rPr>
              <w:t>:</w:t>
            </w:r>
            <w:r w:rsidRPr="00FC4465">
              <w:rPr>
                <w:rFonts w:asciiTheme="majorBidi" w:hAnsiTheme="majorBidi" w:cstheme="majorBidi"/>
              </w:rPr>
              <w:t xml:space="preserve"> Enfoque definido basado en datos </w:t>
            </w:r>
            <w:r w:rsidRPr="00FC4465">
              <w:rPr>
                <w:rFonts w:asciiTheme="majorBidi" w:hAnsiTheme="majorBidi" w:cstheme="majorBidi"/>
                <w:i/>
                <w:iCs/>
              </w:rPr>
              <w:t>in</w:t>
            </w:r>
            <w:r w:rsidR="0081160D">
              <w:rPr>
                <w:rFonts w:asciiTheme="majorBidi" w:hAnsiTheme="majorBidi" w:cstheme="majorBidi"/>
                <w:i/>
                <w:iCs/>
              </w:rPr>
              <w:t> chemico</w:t>
            </w:r>
            <w:r w:rsidRPr="00FC4465">
              <w:rPr>
                <w:rFonts w:asciiTheme="majorBidi" w:hAnsiTheme="majorBidi" w:cstheme="majorBidi"/>
              </w:rPr>
              <w:t xml:space="preserve"> (KE1</w:t>
            </w:r>
            <w:r w:rsidR="00864F68">
              <w:rPr>
                <w:rFonts w:asciiTheme="majorBidi" w:hAnsiTheme="majorBidi" w:cstheme="majorBidi"/>
              </w:rPr>
              <w:noBreakHyphen/>
            </w:r>
            <w:r w:rsidRPr="00FC4465">
              <w:rPr>
                <w:rFonts w:asciiTheme="majorBidi" w:hAnsiTheme="majorBidi" w:cstheme="majorBidi"/>
              </w:rPr>
              <w:t xml:space="preserve">DPRA) e </w:t>
            </w:r>
            <w:r w:rsidR="00762E66">
              <w:rPr>
                <w:rFonts w:asciiTheme="majorBidi" w:hAnsiTheme="majorBidi" w:cstheme="majorBidi"/>
                <w:i/>
                <w:iCs/>
              </w:rPr>
              <w:t>in vitro</w:t>
            </w:r>
            <w:r w:rsidRPr="00FC4465">
              <w:rPr>
                <w:rFonts w:asciiTheme="majorBidi" w:hAnsiTheme="majorBidi" w:cstheme="majorBidi"/>
              </w:rPr>
              <w:t xml:space="preserve"> (KE3-h-CLAT), y en predicciones </w:t>
            </w:r>
            <w:r w:rsidRPr="00FC4465">
              <w:rPr>
                <w:rFonts w:asciiTheme="majorBidi" w:hAnsiTheme="majorBidi" w:cstheme="majorBidi"/>
                <w:i/>
                <w:iCs/>
              </w:rPr>
              <w:t>in</w:t>
            </w:r>
            <w:r w:rsidR="007C4ECC">
              <w:rPr>
                <w:rFonts w:asciiTheme="majorBidi" w:hAnsiTheme="majorBidi" w:cstheme="majorBidi"/>
                <w:i/>
                <w:iCs/>
              </w:rPr>
              <w:t> silico</w:t>
            </w:r>
            <w:r w:rsidRPr="00FC4465">
              <w:rPr>
                <w:rFonts w:asciiTheme="majorBidi" w:hAnsiTheme="majorBidi" w:cstheme="majorBidi"/>
              </w:rPr>
              <w:t xml:space="preserve"> (OECD QSAR Toolbox).</w:t>
            </w:r>
          </w:p>
        </w:tc>
      </w:tr>
      <w:tr w:rsidR="00F317F2" w:rsidRPr="00FC4465" w14:paraId="44237C34" w14:textId="77777777" w:rsidTr="00C93947">
        <w:trPr>
          <w:trHeight w:val="1155"/>
        </w:trPr>
        <w:tc>
          <w:tcPr>
            <w:tcW w:w="1062" w:type="dxa"/>
            <w:vMerge/>
            <w:tcBorders>
              <w:left w:val="single" w:sz="4" w:space="0" w:color="auto"/>
              <w:bottom w:val="single" w:sz="4" w:space="0" w:color="auto"/>
              <w:right w:val="single" w:sz="4" w:space="0" w:color="auto"/>
            </w:tcBorders>
            <w:vAlign w:val="center"/>
          </w:tcPr>
          <w:p w14:paraId="31D3FC68" w14:textId="77777777" w:rsidR="00F317F2" w:rsidRPr="00FC4465" w:rsidRDefault="00F317F2" w:rsidP="00C93947">
            <w:pPr>
              <w:rPr>
                <w:rFonts w:asciiTheme="majorBidi" w:hAnsiTheme="majorBidi" w:cstheme="majorBidi"/>
                <w:sz w:val="16"/>
                <w:szCs w:val="16"/>
              </w:rPr>
            </w:pPr>
          </w:p>
        </w:tc>
        <w:tc>
          <w:tcPr>
            <w:tcW w:w="6050" w:type="dxa"/>
            <w:tcBorders>
              <w:top w:val="nil"/>
              <w:left w:val="single" w:sz="4" w:space="0" w:color="auto"/>
              <w:bottom w:val="single" w:sz="4" w:space="0" w:color="auto"/>
              <w:right w:val="single" w:sz="4" w:space="0" w:color="auto"/>
            </w:tcBorders>
            <w:tcMar>
              <w:top w:w="57" w:type="dxa"/>
              <w:left w:w="57" w:type="dxa"/>
              <w:bottom w:w="57" w:type="dxa"/>
              <w:right w:w="57" w:type="dxa"/>
            </w:tcMar>
          </w:tcPr>
          <w:p w14:paraId="2C870224" w14:textId="1D753C65" w:rsidR="00F317F2" w:rsidRPr="00FC4465" w:rsidRDefault="00F317F2" w:rsidP="00C93947">
            <w:pPr>
              <w:spacing w:before="20" w:after="20" w:line="240" w:lineRule="auto"/>
              <w:rPr>
                <w:rFonts w:asciiTheme="majorBidi" w:hAnsiTheme="majorBidi" w:cstheme="majorBidi"/>
                <w:b/>
                <w:bCs/>
                <w:sz w:val="16"/>
                <w:szCs w:val="16"/>
              </w:rPr>
            </w:pPr>
            <w:r w:rsidRPr="00FC4465">
              <w:rPr>
                <w:rFonts w:asciiTheme="majorBidi" w:hAnsiTheme="majorBidi" w:cstheme="majorBidi"/>
              </w:rPr>
              <w:t>Se realizan ensayos para dos eventos clave y, si arrojan resultados concordantes, el producto químico se clasifica como sensibilizante o no sensibilizante. Si los dos primeros ensayos dan resultados discordantes, se lleva a cabo el ensayo para el evento clave restante. El resultado global se basa en los dos resultados concordantes teniendo en cuenta la confianza en las predicciones obtenidas, tal como se describe en la directriz</w:t>
            </w:r>
            <w:r w:rsidR="00864F68">
              <w:rPr>
                <w:rFonts w:asciiTheme="majorBidi" w:hAnsiTheme="majorBidi" w:cstheme="majorBidi"/>
              </w:rPr>
              <w:t>.</w:t>
            </w:r>
          </w:p>
        </w:tc>
        <w:tc>
          <w:tcPr>
            <w:tcW w:w="5531" w:type="dxa"/>
            <w:tcBorders>
              <w:top w:val="nil"/>
              <w:left w:val="single" w:sz="4" w:space="0" w:color="auto"/>
              <w:bottom w:val="single" w:sz="4" w:space="0" w:color="auto"/>
              <w:right w:val="single" w:sz="4" w:space="0" w:color="auto"/>
            </w:tcBorders>
          </w:tcPr>
          <w:p w14:paraId="5269E92E" w14:textId="32191BED" w:rsidR="00F317F2" w:rsidRPr="00FC4465" w:rsidRDefault="00F317F2" w:rsidP="00C93947">
            <w:pPr>
              <w:spacing w:before="20" w:after="20" w:line="240" w:lineRule="auto"/>
              <w:ind w:left="144"/>
              <w:rPr>
                <w:rFonts w:asciiTheme="majorBidi" w:hAnsiTheme="majorBidi" w:cstheme="majorBidi"/>
                <w:b/>
                <w:bCs/>
                <w:sz w:val="16"/>
                <w:szCs w:val="16"/>
              </w:rPr>
            </w:pPr>
            <w:r w:rsidRPr="00FC4465">
              <w:rPr>
                <w:rFonts w:asciiTheme="majorBidi" w:hAnsiTheme="majorBidi" w:cstheme="majorBidi"/>
              </w:rPr>
              <w:t xml:space="preserve">Los resultados cuantitativos de los ensayos h-CLAT y DPRA se traducen en una puntuación comprendida entre 0 y 3. En la predicción </w:t>
            </w:r>
            <w:r w:rsidRPr="00FC4465">
              <w:rPr>
                <w:rFonts w:asciiTheme="majorBidi" w:hAnsiTheme="majorBidi" w:cstheme="majorBidi"/>
                <w:i/>
                <w:iCs/>
              </w:rPr>
              <w:t>in</w:t>
            </w:r>
            <w:r w:rsidR="007C4ECC">
              <w:rPr>
                <w:rFonts w:asciiTheme="majorBidi" w:hAnsiTheme="majorBidi" w:cstheme="majorBidi"/>
                <w:i/>
                <w:iCs/>
              </w:rPr>
              <w:t> silico</w:t>
            </w:r>
            <w:r w:rsidRPr="00FC4465">
              <w:rPr>
                <w:rFonts w:asciiTheme="majorBidi" w:hAnsiTheme="majorBidi" w:cstheme="majorBidi"/>
              </w:rPr>
              <w:t xml:space="preserve"> (Derek u OECD QSAR ToolBox), un resultado positivo da lugar a una puntuación de 1 y un resultado negativo da lugar a una puntuación de 0. Una vez determinadas, estas puntuaciones se suman para obtener la puntuación total de la batería, que está comprendida entre 0 y 7 y se utiliza para predecir la capacidad de sensibilización (determinación del peligro; categoría 1 del SGA o no clasificación) y la potencia sensibilizante (subcategorías 1A o 1B del SGA, o no clasificación).</w:t>
            </w:r>
          </w:p>
        </w:tc>
      </w:tr>
      <w:tr w:rsidR="00F317F2" w:rsidRPr="00FC4465" w14:paraId="731B1835" w14:textId="77777777" w:rsidTr="00C93947">
        <w:trPr>
          <w:trHeight w:val="140"/>
        </w:trPr>
        <w:tc>
          <w:tcPr>
            <w:tcW w:w="1062"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hideMark/>
          </w:tcPr>
          <w:p w14:paraId="20609F59" w14:textId="77777777" w:rsidR="00F317F2" w:rsidRPr="00FC4465" w:rsidRDefault="00F317F2" w:rsidP="00C93947">
            <w:pPr>
              <w:spacing w:before="20" w:after="20"/>
              <w:jc w:val="center"/>
              <w:rPr>
                <w:rFonts w:asciiTheme="majorBidi" w:hAnsiTheme="majorBidi" w:cstheme="majorBidi"/>
                <w:b/>
                <w:bCs/>
                <w:sz w:val="16"/>
                <w:szCs w:val="16"/>
              </w:rPr>
            </w:pPr>
            <w:r w:rsidRPr="00FC4465">
              <w:rPr>
                <w:rFonts w:asciiTheme="majorBidi" w:hAnsiTheme="majorBidi" w:cstheme="majorBidi"/>
                <w:b/>
                <w:bCs/>
              </w:rPr>
              <w:t>1</w:t>
            </w:r>
          </w:p>
        </w:tc>
        <w:tc>
          <w:tcPr>
            <w:tcW w:w="605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35CDE59C" w14:textId="77777777" w:rsidR="00F317F2" w:rsidRPr="00FC4465" w:rsidRDefault="00F317F2" w:rsidP="00C93947">
            <w:pPr>
              <w:spacing w:before="20" w:after="20"/>
              <w:ind w:right="-182"/>
              <w:rPr>
                <w:rFonts w:asciiTheme="majorBidi" w:hAnsiTheme="majorBidi" w:cstheme="majorBidi"/>
                <w:sz w:val="16"/>
                <w:szCs w:val="16"/>
              </w:rPr>
            </w:pPr>
            <w:r w:rsidRPr="00FC4465">
              <w:rPr>
                <w:rFonts w:asciiTheme="majorBidi" w:hAnsiTheme="majorBidi" w:cstheme="majorBidi"/>
              </w:rPr>
              <w:t>2 predicciones positivas de 3, o 3 de 3</w:t>
            </w:r>
          </w:p>
        </w:tc>
        <w:tc>
          <w:tcPr>
            <w:tcW w:w="5531" w:type="dxa"/>
            <w:tcBorders>
              <w:top w:val="single" w:sz="4" w:space="0" w:color="auto"/>
              <w:left w:val="single" w:sz="4" w:space="0" w:color="auto"/>
              <w:bottom w:val="single" w:sz="4" w:space="0" w:color="auto"/>
              <w:right w:val="single" w:sz="4" w:space="0" w:color="auto"/>
            </w:tcBorders>
          </w:tcPr>
          <w:p w14:paraId="36EE6811" w14:textId="77777777" w:rsidR="00F317F2" w:rsidRPr="00FC4465" w:rsidRDefault="00F317F2" w:rsidP="00C93947">
            <w:pPr>
              <w:spacing w:before="40" w:after="40" w:line="180" w:lineRule="exact"/>
              <w:ind w:left="122" w:right="153"/>
              <w:rPr>
                <w:rFonts w:asciiTheme="majorBidi" w:hAnsiTheme="majorBidi" w:cstheme="majorBidi"/>
                <w:sz w:val="16"/>
                <w:szCs w:val="16"/>
              </w:rPr>
            </w:pPr>
            <w:r w:rsidRPr="00FC4465">
              <w:rPr>
                <w:rFonts w:asciiTheme="majorBidi" w:hAnsiTheme="majorBidi" w:cstheme="majorBidi"/>
              </w:rPr>
              <w:t>Puntuación total de la batería ≥ 2</w:t>
            </w:r>
          </w:p>
        </w:tc>
      </w:tr>
      <w:tr w:rsidR="00F317F2" w:rsidRPr="00FC4465" w14:paraId="10FCF55A" w14:textId="77777777" w:rsidTr="00C93947">
        <w:trPr>
          <w:trHeight w:val="20"/>
        </w:trPr>
        <w:tc>
          <w:tcPr>
            <w:tcW w:w="1062"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hideMark/>
          </w:tcPr>
          <w:p w14:paraId="717CA6C2" w14:textId="77777777" w:rsidR="00F317F2" w:rsidRPr="00FC4465" w:rsidRDefault="00F317F2" w:rsidP="00C93947">
            <w:pPr>
              <w:spacing w:before="20" w:after="20"/>
              <w:jc w:val="center"/>
              <w:rPr>
                <w:rFonts w:asciiTheme="majorBidi" w:hAnsiTheme="majorBidi" w:cstheme="majorBidi"/>
                <w:b/>
                <w:bCs/>
                <w:sz w:val="16"/>
                <w:szCs w:val="16"/>
              </w:rPr>
            </w:pPr>
            <w:r w:rsidRPr="00FC4465">
              <w:rPr>
                <w:rFonts w:asciiTheme="majorBidi" w:hAnsiTheme="majorBidi" w:cstheme="majorBidi"/>
                <w:b/>
                <w:bCs/>
                <w:sz w:val="16"/>
                <w:szCs w:val="16"/>
              </w:rPr>
              <w:t>1A</w:t>
            </w:r>
          </w:p>
        </w:tc>
        <w:tc>
          <w:tcPr>
            <w:tcW w:w="605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hideMark/>
          </w:tcPr>
          <w:p w14:paraId="561643E8" w14:textId="77777777" w:rsidR="00F317F2" w:rsidRPr="00FC4465" w:rsidRDefault="00F317F2" w:rsidP="00C93947">
            <w:pPr>
              <w:spacing w:before="20" w:after="20"/>
              <w:rPr>
                <w:rFonts w:asciiTheme="majorBidi" w:hAnsiTheme="majorBidi" w:cstheme="majorBidi"/>
                <w:sz w:val="16"/>
                <w:szCs w:val="16"/>
              </w:rPr>
            </w:pPr>
            <w:r w:rsidRPr="00FC4465">
              <w:rPr>
                <w:rFonts w:asciiTheme="majorBidi" w:hAnsiTheme="majorBidi" w:cstheme="majorBidi"/>
              </w:rPr>
              <w:t>No se aplica</w:t>
            </w:r>
          </w:p>
        </w:tc>
        <w:tc>
          <w:tcPr>
            <w:tcW w:w="5531" w:type="dxa"/>
            <w:tcBorders>
              <w:top w:val="single" w:sz="4" w:space="0" w:color="auto"/>
              <w:left w:val="single" w:sz="4" w:space="0" w:color="auto"/>
              <w:bottom w:val="single" w:sz="4" w:space="0" w:color="auto"/>
              <w:right w:val="single" w:sz="4" w:space="0" w:color="auto"/>
            </w:tcBorders>
          </w:tcPr>
          <w:p w14:paraId="2F37F69F" w14:textId="77777777" w:rsidR="00F317F2" w:rsidRPr="00FC4465" w:rsidRDefault="00F317F2" w:rsidP="00C93947">
            <w:pPr>
              <w:spacing w:before="40" w:after="40" w:line="180" w:lineRule="exact"/>
              <w:ind w:left="122" w:right="153"/>
              <w:rPr>
                <w:rFonts w:asciiTheme="majorBidi" w:hAnsiTheme="majorBidi" w:cstheme="majorBidi"/>
                <w:sz w:val="16"/>
                <w:szCs w:val="16"/>
              </w:rPr>
            </w:pPr>
            <w:r w:rsidRPr="00FC4465">
              <w:rPr>
                <w:rFonts w:asciiTheme="majorBidi" w:hAnsiTheme="majorBidi" w:cstheme="majorBidi"/>
              </w:rPr>
              <w:t>Puntuación total de la batería: 6 o 7</w:t>
            </w:r>
          </w:p>
        </w:tc>
      </w:tr>
      <w:tr w:rsidR="00F317F2" w:rsidRPr="00FC4465" w14:paraId="4E3BE0D5" w14:textId="77777777" w:rsidTr="00C93947">
        <w:trPr>
          <w:trHeight w:val="20"/>
        </w:trPr>
        <w:tc>
          <w:tcPr>
            <w:tcW w:w="1062"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535D2B07" w14:textId="77777777" w:rsidR="00F317F2" w:rsidRPr="00FC4465" w:rsidRDefault="00F317F2" w:rsidP="00C93947">
            <w:pPr>
              <w:spacing w:before="20" w:after="20"/>
              <w:jc w:val="center"/>
              <w:rPr>
                <w:rFonts w:asciiTheme="majorBidi" w:hAnsiTheme="majorBidi" w:cstheme="majorBidi"/>
                <w:b/>
                <w:bCs/>
                <w:sz w:val="16"/>
                <w:szCs w:val="16"/>
              </w:rPr>
            </w:pPr>
            <w:r w:rsidRPr="00FC4465">
              <w:rPr>
                <w:rFonts w:asciiTheme="majorBidi" w:hAnsiTheme="majorBidi" w:cstheme="majorBidi"/>
                <w:b/>
                <w:bCs/>
              </w:rPr>
              <w:t>1B</w:t>
            </w:r>
          </w:p>
        </w:tc>
        <w:tc>
          <w:tcPr>
            <w:tcW w:w="605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38488143" w14:textId="77777777" w:rsidR="00F317F2" w:rsidRPr="00FC4465" w:rsidRDefault="00F317F2" w:rsidP="00C93947">
            <w:pPr>
              <w:spacing w:before="20" w:after="20"/>
              <w:rPr>
                <w:rFonts w:asciiTheme="majorBidi" w:hAnsiTheme="majorBidi" w:cstheme="majorBidi"/>
                <w:sz w:val="16"/>
                <w:szCs w:val="16"/>
              </w:rPr>
            </w:pPr>
            <w:r w:rsidRPr="00FC4465">
              <w:rPr>
                <w:rFonts w:asciiTheme="majorBidi" w:hAnsiTheme="majorBidi" w:cstheme="majorBidi"/>
              </w:rPr>
              <w:t>No se aplica</w:t>
            </w:r>
          </w:p>
        </w:tc>
        <w:tc>
          <w:tcPr>
            <w:tcW w:w="5531" w:type="dxa"/>
            <w:tcBorders>
              <w:top w:val="single" w:sz="4" w:space="0" w:color="auto"/>
              <w:left w:val="single" w:sz="4" w:space="0" w:color="auto"/>
              <w:bottom w:val="single" w:sz="4" w:space="0" w:color="auto"/>
              <w:right w:val="single" w:sz="4" w:space="0" w:color="auto"/>
            </w:tcBorders>
          </w:tcPr>
          <w:p w14:paraId="5093B963" w14:textId="77777777" w:rsidR="00F317F2" w:rsidRPr="00FC4465" w:rsidDel="001C3A02" w:rsidRDefault="00F317F2" w:rsidP="00C93947">
            <w:pPr>
              <w:spacing w:before="40" w:after="40" w:line="180" w:lineRule="exact"/>
              <w:ind w:left="122" w:right="153"/>
              <w:rPr>
                <w:rFonts w:asciiTheme="majorBidi" w:hAnsiTheme="majorBidi" w:cstheme="majorBidi"/>
                <w:sz w:val="16"/>
                <w:szCs w:val="16"/>
              </w:rPr>
            </w:pPr>
            <w:r w:rsidRPr="00FC4465">
              <w:rPr>
                <w:rFonts w:asciiTheme="majorBidi" w:hAnsiTheme="majorBidi" w:cstheme="majorBidi"/>
              </w:rPr>
              <w:t>Puntuación total de la batería: 2 a 5</w:t>
            </w:r>
          </w:p>
        </w:tc>
      </w:tr>
      <w:tr w:rsidR="00F317F2" w:rsidRPr="00FC4465" w14:paraId="09BC6653" w14:textId="77777777" w:rsidTr="00FC4465">
        <w:trPr>
          <w:trHeight w:val="20"/>
        </w:trPr>
        <w:tc>
          <w:tcPr>
            <w:tcW w:w="1062"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6A2D2B5C" w14:textId="77777777" w:rsidR="00F317F2" w:rsidRPr="00FC4465" w:rsidRDefault="00F317F2" w:rsidP="00C93947">
            <w:pPr>
              <w:spacing w:before="20" w:after="20"/>
              <w:jc w:val="center"/>
              <w:rPr>
                <w:rFonts w:asciiTheme="majorBidi" w:hAnsiTheme="majorBidi" w:cstheme="majorBidi"/>
                <w:b/>
                <w:bCs/>
                <w:sz w:val="16"/>
                <w:szCs w:val="16"/>
              </w:rPr>
            </w:pPr>
            <w:r w:rsidRPr="00FC4465">
              <w:rPr>
                <w:rFonts w:asciiTheme="majorBidi" w:hAnsiTheme="majorBidi" w:cstheme="majorBidi"/>
                <w:b/>
                <w:bCs/>
              </w:rPr>
              <w:t>No se clasifica</w:t>
            </w:r>
          </w:p>
        </w:tc>
        <w:tc>
          <w:tcPr>
            <w:tcW w:w="605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bottom"/>
          </w:tcPr>
          <w:p w14:paraId="61E55C69" w14:textId="77777777" w:rsidR="00F317F2" w:rsidRPr="00FC4465" w:rsidRDefault="00F317F2" w:rsidP="00FC4465">
            <w:pPr>
              <w:spacing w:before="20" w:after="20"/>
              <w:rPr>
                <w:rFonts w:asciiTheme="majorBidi" w:hAnsiTheme="majorBidi" w:cstheme="majorBidi"/>
                <w:sz w:val="16"/>
                <w:szCs w:val="16"/>
              </w:rPr>
            </w:pPr>
            <w:r w:rsidRPr="00FC4465">
              <w:rPr>
                <w:rFonts w:asciiTheme="majorBidi" w:hAnsiTheme="majorBidi" w:cstheme="majorBidi"/>
              </w:rPr>
              <w:t>2 predicciones negativas de 3, o 3 de 3</w:t>
            </w:r>
          </w:p>
        </w:tc>
        <w:tc>
          <w:tcPr>
            <w:tcW w:w="5531" w:type="dxa"/>
            <w:tcBorders>
              <w:top w:val="single" w:sz="4" w:space="0" w:color="auto"/>
              <w:left w:val="single" w:sz="4" w:space="0" w:color="auto"/>
              <w:bottom w:val="single" w:sz="4" w:space="0" w:color="auto"/>
              <w:right w:val="single" w:sz="4" w:space="0" w:color="auto"/>
            </w:tcBorders>
            <w:vAlign w:val="bottom"/>
          </w:tcPr>
          <w:p w14:paraId="371708E1" w14:textId="77777777" w:rsidR="00F317F2" w:rsidRPr="00FC4465" w:rsidRDefault="00F317F2" w:rsidP="00FC4465">
            <w:pPr>
              <w:spacing w:before="40" w:after="40" w:line="180" w:lineRule="exact"/>
              <w:ind w:left="122" w:right="153"/>
              <w:rPr>
                <w:rFonts w:asciiTheme="majorBidi" w:hAnsiTheme="majorBidi" w:cstheme="majorBidi"/>
                <w:sz w:val="16"/>
                <w:szCs w:val="16"/>
              </w:rPr>
            </w:pPr>
            <w:r w:rsidRPr="00FC4465">
              <w:rPr>
                <w:rFonts w:asciiTheme="majorBidi" w:hAnsiTheme="majorBidi" w:cstheme="majorBidi"/>
              </w:rPr>
              <w:t>Puntuación total de la batería &lt; 2</w:t>
            </w:r>
          </w:p>
        </w:tc>
      </w:tr>
    </w:tbl>
    <w:p w14:paraId="1BAE35AD" w14:textId="77777777" w:rsidR="00F317F2" w:rsidRPr="00FC4465" w:rsidRDefault="00F317F2" w:rsidP="00F317F2">
      <w:pPr>
        <w:spacing w:after="200" w:line="276" w:lineRule="auto"/>
        <w:rPr>
          <w:rFonts w:asciiTheme="majorBidi" w:hAnsiTheme="majorBidi" w:cstheme="majorBidi"/>
        </w:rPr>
      </w:pPr>
    </w:p>
    <w:p w14:paraId="054DF82E" w14:textId="77777777" w:rsidR="00F317F2" w:rsidRPr="00FC4465" w:rsidRDefault="00F317F2" w:rsidP="00F317F2">
      <w:pPr>
        <w:spacing w:after="200" w:line="276" w:lineRule="auto"/>
        <w:rPr>
          <w:rFonts w:asciiTheme="majorBidi" w:hAnsiTheme="majorBidi" w:cstheme="majorBidi"/>
        </w:rPr>
      </w:pPr>
    </w:p>
    <w:p w14:paraId="1B36B762" w14:textId="77777777" w:rsidR="00F317F2" w:rsidRPr="00FC4465" w:rsidRDefault="00F317F2" w:rsidP="00F317F2">
      <w:pPr>
        <w:spacing w:after="200" w:line="276" w:lineRule="auto"/>
        <w:rPr>
          <w:rFonts w:asciiTheme="majorBidi" w:hAnsiTheme="majorBidi" w:cstheme="majorBidi"/>
          <w:iCs/>
        </w:rPr>
      </w:pPr>
      <w:r w:rsidRPr="00FC4465">
        <w:rPr>
          <w:rFonts w:asciiTheme="majorBidi" w:hAnsiTheme="majorBidi" w:cstheme="majorBidi"/>
          <w:iCs/>
        </w:rPr>
        <w:br w:type="page"/>
      </w:r>
    </w:p>
    <w:p w14:paraId="1D25E6B2" w14:textId="676E0E4D" w:rsidR="00F317F2" w:rsidRPr="00FC4465" w:rsidRDefault="00F317F2" w:rsidP="00F317F2">
      <w:pPr>
        <w:spacing w:after="40"/>
        <w:jc w:val="center"/>
        <w:rPr>
          <w:rFonts w:asciiTheme="majorBidi" w:hAnsiTheme="majorBidi" w:cstheme="majorBidi"/>
          <w:b/>
        </w:rPr>
      </w:pPr>
      <w:r w:rsidRPr="00FC4465">
        <w:rPr>
          <w:rFonts w:asciiTheme="majorBidi" w:hAnsiTheme="majorBidi" w:cstheme="majorBidi"/>
          <w:b/>
          <w:bCs/>
        </w:rPr>
        <w:lastRenderedPageBreak/>
        <w:t xml:space="preserve">Tabla 3.4.8: Criterios para los métodos </w:t>
      </w:r>
      <w:r w:rsidRPr="00FC4465">
        <w:rPr>
          <w:rFonts w:asciiTheme="majorBidi" w:hAnsiTheme="majorBidi" w:cstheme="majorBidi"/>
          <w:b/>
          <w:bCs/>
          <w:i/>
          <w:iCs/>
        </w:rPr>
        <w:t>in</w:t>
      </w:r>
      <w:r w:rsidR="0081160D">
        <w:rPr>
          <w:rFonts w:asciiTheme="majorBidi" w:hAnsiTheme="majorBidi" w:cstheme="majorBidi"/>
          <w:b/>
          <w:bCs/>
          <w:i/>
          <w:iCs/>
        </w:rPr>
        <w:t> chemico</w:t>
      </w:r>
      <w:r w:rsidRPr="00FC4465">
        <w:rPr>
          <w:rFonts w:asciiTheme="majorBidi" w:hAnsiTheme="majorBidi" w:cstheme="majorBidi"/>
          <w:b/>
          <w:bCs/>
        </w:rPr>
        <w:t>/</w:t>
      </w:r>
      <w:r w:rsidR="00762E66">
        <w:rPr>
          <w:rFonts w:asciiTheme="majorBidi" w:hAnsiTheme="majorBidi" w:cstheme="majorBidi"/>
          <w:b/>
          <w:bCs/>
          <w:i/>
          <w:iCs/>
        </w:rPr>
        <w:t>in vitro</w:t>
      </w:r>
      <w:r w:rsidRPr="00FC4465">
        <w:rPr>
          <w:rFonts w:asciiTheme="majorBidi" w:hAnsiTheme="majorBidi" w:cstheme="majorBidi"/>
        </w:rPr>
        <w:t xml:space="preserve"> </w:t>
      </w:r>
    </w:p>
    <w:tbl>
      <w:tblPr>
        <w:tblW w:w="141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848"/>
        <w:gridCol w:w="1395"/>
        <w:gridCol w:w="1415"/>
        <w:gridCol w:w="1185"/>
        <w:gridCol w:w="2094"/>
        <w:gridCol w:w="1737"/>
        <w:gridCol w:w="1304"/>
        <w:gridCol w:w="1545"/>
        <w:gridCol w:w="1326"/>
        <w:gridCol w:w="1326"/>
      </w:tblGrid>
      <w:tr w:rsidR="00F317F2" w:rsidRPr="00FC4465" w14:paraId="4F842A28" w14:textId="77777777" w:rsidTr="00864F68">
        <w:trPr>
          <w:tblHeader/>
          <w:jc w:val="center"/>
        </w:trPr>
        <w:tc>
          <w:tcPr>
            <w:tcW w:w="848" w:type="dxa"/>
            <w:tcBorders>
              <w:top w:val="single" w:sz="4" w:space="0" w:color="auto"/>
              <w:left w:val="single" w:sz="4" w:space="0" w:color="auto"/>
              <w:bottom w:val="nil"/>
              <w:right w:val="single" w:sz="4" w:space="0" w:color="auto"/>
            </w:tcBorders>
            <w:tcMar>
              <w:top w:w="57" w:type="dxa"/>
              <w:left w:w="57" w:type="dxa"/>
              <w:bottom w:w="57" w:type="dxa"/>
              <w:right w:w="57" w:type="dxa"/>
            </w:tcMar>
            <w:hideMark/>
          </w:tcPr>
          <w:p w14:paraId="52100810" w14:textId="77777777" w:rsidR="00F317F2" w:rsidRPr="00FC4465" w:rsidRDefault="00F317F2" w:rsidP="00C93947">
            <w:pPr>
              <w:pStyle w:val="ListParagraph"/>
              <w:keepNext/>
              <w:keepLines/>
              <w:spacing w:before="40" w:after="40" w:line="240" w:lineRule="auto"/>
              <w:ind w:left="0"/>
              <w:rPr>
                <w:rFonts w:asciiTheme="majorBidi" w:hAnsiTheme="majorBidi" w:cstheme="majorBidi"/>
                <w:b/>
                <w:sz w:val="16"/>
                <w:szCs w:val="16"/>
                <w:lang w:val="es-ES"/>
              </w:rPr>
            </w:pPr>
            <w:r w:rsidRPr="00FC4465">
              <w:rPr>
                <w:rFonts w:asciiTheme="majorBidi" w:hAnsiTheme="majorBidi" w:cstheme="majorBidi"/>
                <w:b/>
                <w:bCs/>
                <w:sz w:val="16"/>
                <w:szCs w:val="16"/>
                <w:lang w:val="es-ES"/>
              </w:rPr>
              <w:t>Categoría</w:t>
            </w:r>
          </w:p>
        </w:tc>
        <w:tc>
          <w:tcPr>
            <w:tcW w:w="3995" w:type="dxa"/>
            <w:gridSpan w:val="3"/>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hideMark/>
          </w:tcPr>
          <w:p w14:paraId="4C124001" w14:textId="77777777" w:rsidR="00F317F2" w:rsidRPr="00FC4465" w:rsidRDefault="00F317F2" w:rsidP="00C93947">
            <w:pPr>
              <w:keepNext/>
              <w:keepLines/>
              <w:spacing w:line="240" w:lineRule="auto"/>
              <w:jc w:val="center"/>
              <w:rPr>
                <w:rFonts w:asciiTheme="majorBidi" w:hAnsiTheme="majorBidi" w:cstheme="majorBidi"/>
                <w:b/>
                <w:sz w:val="16"/>
                <w:szCs w:val="16"/>
              </w:rPr>
            </w:pPr>
            <w:r w:rsidRPr="00FC4465">
              <w:rPr>
                <w:rFonts w:asciiTheme="majorBidi" w:hAnsiTheme="majorBidi" w:cstheme="majorBidi"/>
                <w:b/>
                <w:bCs/>
                <w:sz w:val="16"/>
                <w:szCs w:val="16"/>
              </w:rPr>
              <w:t>Directriz 442C de la OCDE</w:t>
            </w:r>
            <w:r w:rsidRPr="00FC4465">
              <w:rPr>
                <w:rFonts w:asciiTheme="majorBidi" w:hAnsiTheme="majorBidi" w:cstheme="majorBidi"/>
                <w:sz w:val="16"/>
                <w:szCs w:val="16"/>
              </w:rPr>
              <w:t xml:space="preserve"> </w:t>
            </w:r>
          </w:p>
          <w:p w14:paraId="732E394E" w14:textId="7AE601CF" w:rsidR="00F317F2" w:rsidRPr="00FC4465" w:rsidRDefault="00F317F2" w:rsidP="00C93947">
            <w:pPr>
              <w:keepNext/>
              <w:keepLines/>
              <w:spacing w:line="240" w:lineRule="auto"/>
              <w:jc w:val="center"/>
              <w:rPr>
                <w:rFonts w:asciiTheme="majorBidi" w:hAnsiTheme="majorBidi" w:cstheme="majorBidi"/>
                <w:b/>
                <w:sz w:val="16"/>
                <w:szCs w:val="16"/>
              </w:rPr>
            </w:pPr>
            <w:r w:rsidRPr="00FC4465">
              <w:rPr>
                <w:rFonts w:asciiTheme="majorBidi" w:hAnsiTheme="majorBidi" w:cstheme="majorBidi"/>
                <w:b/>
                <w:bCs/>
                <w:sz w:val="16"/>
                <w:szCs w:val="16"/>
              </w:rPr>
              <w:t xml:space="preserve">Directriz basada en los eventos clave para los ensayos de sensibilización cutánea </w:t>
            </w:r>
            <w:r w:rsidRPr="00FC4465">
              <w:rPr>
                <w:rFonts w:asciiTheme="majorBidi" w:hAnsiTheme="majorBidi" w:cstheme="majorBidi"/>
                <w:b/>
                <w:bCs/>
                <w:i/>
                <w:iCs/>
                <w:sz w:val="16"/>
                <w:szCs w:val="16"/>
              </w:rPr>
              <w:t>in</w:t>
            </w:r>
            <w:r w:rsidR="0081160D">
              <w:rPr>
                <w:rFonts w:asciiTheme="majorBidi" w:hAnsiTheme="majorBidi" w:cstheme="majorBidi"/>
                <w:b/>
                <w:bCs/>
                <w:i/>
                <w:iCs/>
                <w:sz w:val="16"/>
                <w:szCs w:val="16"/>
              </w:rPr>
              <w:t> chemico</w:t>
            </w:r>
            <w:r w:rsidRPr="00FC4465">
              <w:rPr>
                <w:rFonts w:asciiTheme="majorBidi" w:hAnsiTheme="majorBidi" w:cstheme="majorBidi"/>
                <w:b/>
                <w:bCs/>
                <w:sz w:val="16"/>
                <w:szCs w:val="16"/>
              </w:rPr>
              <w:t xml:space="preserve"> que se centran en el evento clave de la ruta de resultados adversos relativo al establecimiento de una unión covalente con las proteínas</w:t>
            </w:r>
          </w:p>
        </w:tc>
        <w:tc>
          <w:tcPr>
            <w:tcW w:w="3831" w:type="dxa"/>
            <w:gridSpan w:val="2"/>
            <w:tcBorders>
              <w:top w:val="single" w:sz="4" w:space="0" w:color="auto"/>
              <w:left w:val="single" w:sz="4" w:space="0" w:color="auto"/>
              <w:bottom w:val="single" w:sz="4" w:space="0" w:color="auto"/>
              <w:right w:val="single" w:sz="4" w:space="0" w:color="auto"/>
            </w:tcBorders>
          </w:tcPr>
          <w:p w14:paraId="4F596876" w14:textId="77777777" w:rsidR="00F317F2" w:rsidRPr="00FC4465" w:rsidRDefault="00F317F2" w:rsidP="00C93947">
            <w:pPr>
              <w:keepNext/>
              <w:keepLines/>
              <w:spacing w:line="240" w:lineRule="auto"/>
              <w:jc w:val="center"/>
              <w:rPr>
                <w:rFonts w:asciiTheme="majorBidi" w:hAnsiTheme="majorBidi" w:cstheme="majorBidi"/>
                <w:b/>
                <w:sz w:val="16"/>
                <w:szCs w:val="16"/>
              </w:rPr>
            </w:pPr>
            <w:r w:rsidRPr="00FC4465">
              <w:rPr>
                <w:rFonts w:asciiTheme="majorBidi" w:hAnsiTheme="majorBidi" w:cstheme="majorBidi"/>
                <w:b/>
                <w:bCs/>
                <w:sz w:val="16"/>
                <w:szCs w:val="16"/>
              </w:rPr>
              <w:t>Directriz 442D de la OCDE</w:t>
            </w:r>
          </w:p>
          <w:p w14:paraId="34094BE9" w14:textId="54134DE4" w:rsidR="00F317F2" w:rsidRPr="00FC4465" w:rsidRDefault="00F317F2" w:rsidP="00C93947">
            <w:pPr>
              <w:keepNext/>
              <w:keepLines/>
              <w:spacing w:line="240" w:lineRule="auto"/>
              <w:jc w:val="center"/>
              <w:rPr>
                <w:rFonts w:asciiTheme="majorBidi" w:hAnsiTheme="majorBidi" w:cstheme="majorBidi"/>
                <w:b/>
                <w:sz w:val="16"/>
                <w:szCs w:val="16"/>
              </w:rPr>
            </w:pPr>
            <w:r w:rsidRPr="00FC4465">
              <w:rPr>
                <w:rFonts w:asciiTheme="majorBidi" w:hAnsiTheme="majorBidi" w:cstheme="majorBidi"/>
                <w:b/>
                <w:bCs/>
                <w:sz w:val="16"/>
                <w:szCs w:val="16"/>
              </w:rPr>
              <w:t xml:space="preserve">Directriz basada en los eventos clave para los ensayos de sensibilización cutánea </w:t>
            </w:r>
            <w:r w:rsidR="00762E66">
              <w:rPr>
                <w:rFonts w:asciiTheme="majorBidi" w:hAnsiTheme="majorBidi" w:cstheme="majorBidi"/>
                <w:b/>
                <w:bCs/>
                <w:i/>
                <w:iCs/>
                <w:sz w:val="16"/>
                <w:szCs w:val="16"/>
              </w:rPr>
              <w:t>in vitro</w:t>
            </w:r>
            <w:r w:rsidRPr="00FC4465">
              <w:rPr>
                <w:rFonts w:asciiTheme="majorBidi" w:hAnsiTheme="majorBidi" w:cstheme="majorBidi"/>
                <w:b/>
                <w:bCs/>
                <w:sz w:val="16"/>
                <w:szCs w:val="16"/>
              </w:rPr>
              <w:t xml:space="preserve"> que se centran en el evento clave de la ruta de resultados adversos relativo a la activación de los queratinocitos, en la que se describen métodos de ensayo que miden la activación del elemento de respuesta antioxidante mediada por el factor nuclear eritroide 2 (ARE-Nrf2) mediante la luciferasa</w:t>
            </w:r>
            <w:r w:rsidRPr="00FC4465">
              <w:rPr>
                <w:rFonts w:asciiTheme="majorBidi" w:hAnsiTheme="majorBidi" w:cstheme="majorBidi"/>
                <w:sz w:val="16"/>
                <w:szCs w:val="16"/>
              </w:rPr>
              <w:t xml:space="preserve"> </w:t>
            </w:r>
          </w:p>
        </w:tc>
        <w:tc>
          <w:tcPr>
            <w:tcW w:w="5501" w:type="dxa"/>
            <w:gridSpan w:val="4"/>
            <w:tcBorders>
              <w:top w:val="single" w:sz="4" w:space="0" w:color="auto"/>
              <w:left w:val="single" w:sz="4" w:space="0" w:color="auto"/>
              <w:bottom w:val="single" w:sz="4" w:space="0" w:color="auto"/>
              <w:right w:val="single" w:sz="4" w:space="0" w:color="auto"/>
            </w:tcBorders>
          </w:tcPr>
          <w:p w14:paraId="63B209B3" w14:textId="77777777" w:rsidR="00F317F2" w:rsidRPr="00FC4465" w:rsidRDefault="00F317F2" w:rsidP="00C93947">
            <w:pPr>
              <w:keepNext/>
              <w:keepLines/>
              <w:spacing w:line="240" w:lineRule="auto"/>
              <w:jc w:val="center"/>
              <w:rPr>
                <w:rFonts w:asciiTheme="majorBidi" w:hAnsiTheme="majorBidi" w:cstheme="majorBidi"/>
                <w:b/>
                <w:sz w:val="16"/>
                <w:szCs w:val="16"/>
              </w:rPr>
            </w:pPr>
            <w:r w:rsidRPr="00FC4465">
              <w:rPr>
                <w:rFonts w:asciiTheme="majorBidi" w:hAnsiTheme="majorBidi" w:cstheme="majorBidi"/>
                <w:b/>
                <w:bCs/>
                <w:sz w:val="16"/>
                <w:szCs w:val="16"/>
              </w:rPr>
              <w:t>Directriz 442E de la OCDE</w:t>
            </w:r>
          </w:p>
          <w:p w14:paraId="402B12FC" w14:textId="2BDEDA47" w:rsidR="00F317F2" w:rsidRPr="00FC4465" w:rsidRDefault="00F317F2" w:rsidP="00C93947">
            <w:pPr>
              <w:keepNext/>
              <w:keepLines/>
              <w:spacing w:line="240" w:lineRule="auto"/>
              <w:jc w:val="center"/>
              <w:rPr>
                <w:rFonts w:asciiTheme="majorBidi" w:hAnsiTheme="majorBidi" w:cstheme="majorBidi"/>
                <w:b/>
                <w:sz w:val="16"/>
                <w:szCs w:val="16"/>
              </w:rPr>
            </w:pPr>
            <w:r w:rsidRPr="00FC4465">
              <w:rPr>
                <w:rFonts w:asciiTheme="majorBidi" w:hAnsiTheme="majorBidi" w:cstheme="majorBidi"/>
                <w:b/>
                <w:bCs/>
                <w:sz w:val="16"/>
                <w:szCs w:val="16"/>
              </w:rPr>
              <w:t xml:space="preserve">Ensayos de sensibilización cutánea </w:t>
            </w:r>
            <w:r w:rsidR="00762E66">
              <w:rPr>
                <w:rFonts w:asciiTheme="majorBidi" w:hAnsiTheme="majorBidi" w:cstheme="majorBidi"/>
                <w:b/>
                <w:bCs/>
                <w:i/>
                <w:iCs/>
                <w:sz w:val="16"/>
                <w:szCs w:val="16"/>
              </w:rPr>
              <w:t>in vitro</w:t>
            </w:r>
            <w:r w:rsidRPr="00FC4465">
              <w:rPr>
                <w:rFonts w:asciiTheme="majorBidi" w:hAnsiTheme="majorBidi" w:cstheme="majorBidi"/>
                <w:b/>
                <w:bCs/>
                <w:sz w:val="16"/>
                <w:szCs w:val="16"/>
              </w:rPr>
              <w:t xml:space="preserve"> que se centran en el evento clave de la ruta de resultados adversos relativo a la activación de las células dendríticas</w:t>
            </w:r>
            <w:r w:rsidRPr="00FC4465">
              <w:rPr>
                <w:rFonts w:asciiTheme="majorBidi" w:hAnsiTheme="majorBidi" w:cstheme="majorBidi"/>
                <w:sz w:val="16"/>
                <w:szCs w:val="16"/>
              </w:rPr>
              <w:t xml:space="preserve"> </w:t>
            </w:r>
          </w:p>
        </w:tc>
      </w:tr>
      <w:tr w:rsidR="00F317F2" w:rsidRPr="00FC4465" w14:paraId="4E32FEAD" w14:textId="77777777" w:rsidTr="0081508F">
        <w:trPr>
          <w:trHeight w:val="406"/>
          <w:tblHeader/>
          <w:jc w:val="center"/>
        </w:trPr>
        <w:tc>
          <w:tcPr>
            <w:tcW w:w="848" w:type="dxa"/>
            <w:vMerge w:val="restart"/>
            <w:tcBorders>
              <w:top w:val="nil"/>
              <w:left w:val="single" w:sz="4" w:space="0" w:color="auto"/>
              <w:right w:val="single" w:sz="4" w:space="0" w:color="auto"/>
            </w:tcBorders>
            <w:tcMar>
              <w:top w:w="57" w:type="dxa"/>
              <w:left w:w="57" w:type="dxa"/>
              <w:bottom w:w="57" w:type="dxa"/>
              <w:right w:w="57" w:type="dxa"/>
            </w:tcMar>
          </w:tcPr>
          <w:p w14:paraId="1C522DDB" w14:textId="77777777" w:rsidR="00F317F2" w:rsidRPr="00FC4465" w:rsidRDefault="00F317F2" w:rsidP="00C93947">
            <w:pPr>
              <w:spacing w:line="260" w:lineRule="atLeast"/>
              <w:jc w:val="center"/>
              <w:rPr>
                <w:rFonts w:asciiTheme="majorBidi" w:hAnsiTheme="majorBidi" w:cstheme="majorBidi"/>
                <w:sz w:val="16"/>
                <w:szCs w:val="16"/>
              </w:rPr>
            </w:pPr>
          </w:p>
        </w:tc>
        <w:tc>
          <w:tcPr>
            <w:tcW w:w="1395" w:type="dxa"/>
            <w:tcBorders>
              <w:top w:val="single" w:sz="4" w:space="0" w:color="auto"/>
              <w:left w:val="single" w:sz="4" w:space="0" w:color="auto"/>
              <w:bottom w:val="nil"/>
              <w:right w:val="single" w:sz="4" w:space="0" w:color="auto"/>
            </w:tcBorders>
            <w:tcMar>
              <w:top w:w="57" w:type="dxa"/>
              <w:left w:w="57" w:type="dxa"/>
              <w:bottom w:w="57" w:type="dxa"/>
              <w:right w:w="57" w:type="dxa"/>
            </w:tcMar>
          </w:tcPr>
          <w:p w14:paraId="17B5DE90" w14:textId="77777777" w:rsidR="00F317F2" w:rsidRPr="00FC4465" w:rsidRDefault="00F317F2" w:rsidP="00C93947">
            <w:pPr>
              <w:spacing w:line="240" w:lineRule="auto"/>
              <w:jc w:val="center"/>
              <w:rPr>
                <w:rFonts w:asciiTheme="majorBidi" w:hAnsiTheme="majorBidi" w:cstheme="majorBidi"/>
                <w:sz w:val="16"/>
                <w:szCs w:val="16"/>
              </w:rPr>
            </w:pPr>
            <w:r w:rsidRPr="00FC4465">
              <w:rPr>
                <w:rFonts w:asciiTheme="majorBidi" w:hAnsiTheme="majorBidi" w:cstheme="majorBidi"/>
                <w:b/>
                <w:bCs/>
                <w:sz w:val="16"/>
                <w:szCs w:val="16"/>
              </w:rPr>
              <w:t>Método descrito en el apéndice I</w:t>
            </w:r>
          </w:p>
        </w:tc>
        <w:tc>
          <w:tcPr>
            <w:tcW w:w="1415" w:type="dxa"/>
            <w:tcBorders>
              <w:top w:val="single" w:sz="4" w:space="0" w:color="auto"/>
              <w:left w:val="single" w:sz="4" w:space="0" w:color="auto"/>
              <w:bottom w:val="nil"/>
              <w:right w:val="single" w:sz="4" w:space="0" w:color="auto"/>
            </w:tcBorders>
          </w:tcPr>
          <w:p w14:paraId="3727F009" w14:textId="77777777" w:rsidR="00F317F2" w:rsidRPr="00FC4465" w:rsidRDefault="00F317F2" w:rsidP="00C93947">
            <w:pPr>
              <w:spacing w:line="240" w:lineRule="auto"/>
              <w:jc w:val="center"/>
              <w:rPr>
                <w:rFonts w:asciiTheme="majorBidi" w:hAnsiTheme="majorBidi" w:cstheme="majorBidi"/>
                <w:b/>
                <w:bCs/>
                <w:sz w:val="16"/>
                <w:szCs w:val="16"/>
              </w:rPr>
            </w:pPr>
            <w:r w:rsidRPr="00FC4465">
              <w:rPr>
                <w:rFonts w:asciiTheme="majorBidi" w:hAnsiTheme="majorBidi" w:cstheme="majorBidi"/>
                <w:b/>
                <w:bCs/>
                <w:sz w:val="16"/>
                <w:szCs w:val="16"/>
              </w:rPr>
              <w:t>Método descrito en el apéndice II</w:t>
            </w:r>
            <w:r w:rsidRPr="00FC4465">
              <w:rPr>
                <w:rFonts w:asciiTheme="majorBidi" w:hAnsiTheme="majorBidi" w:cstheme="majorBidi"/>
                <w:sz w:val="16"/>
                <w:szCs w:val="16"/>
              </w:rPr>
              <w:t xml:space="preserve"> </w:t>
            </w:r>
          </w:p>
        </w:tc>
        <w:tc>
          <w:tcPr>
            <w:tcW w:w="1185" w:type="dxa"/>
            <w:tcBorders>
              <w:top w:val="single" w:sz="4" w:space="0" w:color="auto"/>
              <w:left w:val="single" w:sz="4" w:space="0" w:color="auto"/>
              <w:bottom w:val="nil"/>
              <w:right w:val="single" w:sz="4" w:space="0" w:color="auto"/>
            </w:tcBorders>
          </w:tcPr>
          <w:p w14:paraId="12306C2E" w14:textId="77777777" w:rsidR="00F317F2" w:rsidRPr="00FC4465" w:rsidRDefault="00F317F2" w:rsidP="00C93947">
            <w:pPr>
              <w:spacing w:line="240" w:lineRule="auto"/>
              <w:jc w:val="center"/>
              <w:rPr>
                <w:rFonts w:asciiTheme="majorBidi" w:hAnsiTheme="majorBidi" w:cstheme="majorBidi"/>
                <w:sz w:val="16"/>
                <w:szCs w:val="16"/>
              </w:rPr>
            </w:pPr>
            <w:r w:rsidRPr="00FC4465">
              <w:rPr>
                <w:rFonts w:asciiTheme="majorBidi" w:hAnsiTheme="majorBidi" w:cstheme="majorBidi"/>
                <w:b/>
                <w:bCs/>
                <w:sz w:val="16"/>
                <w:szCs w:val="16"/>
              </w:rPr>
              <w:t>Método descrito en el apéndice III</w:t>
            </w:r>
          </w:p>
        </w:tc>
        <w:tc>
          <w:tcPr>
            <w:tcW w:w="2094" w:type="dxa"/>
            <w:tcBorders>
              <w:top w:val="single" w:sz="4" w:space="0" w:color="auto"/>
              <w:left w:val="single" w:sz="4" w:space="0" w:color="auto"/>
              <w:bottom w:val="nil"/>
              <w:right w:val="single" w:sz="4" w:space="0" w:color="auto"/>
            </w:tcBorders>
          </w:tcPr>
          <w:p w14:paraId="66B2CB31" w14:textId="77777777" w:rsidR="00F317F2" w:rsidRPr="00FC4465" w:rsidRDefault="00F317F2" w:rsidP="00C93947">
            <w:pPr>
              <w:spacing w:line="240" w:lineRule="auto"/>
              <w:jc w:val="center"/>
              <w:rPr>
                <w:rFonts w:asciiTheme="majorBidi" w:hAnsiTheme="majorBidi" w:cstheme="majorBidi"/>
                <w:b/>
                <w:sz w:val="16"/>
                <w:szCs w:val="16"/>
              </w:rPr>
            </w:pPr>
            <w:r w:rsidRPr="00FC4465">
              <w:rPr>
                <w:rFonts w:asciiTheme="majorBidi" w:hAnsiTheme="majorBidi" w:cstheme="majorBidi"/>
                <w:b/>
                <w:bCs/>
                <w:sz w:val="16"/>
                <w:szCs w:val="16"/>
              </w:rPr>
              <w:t>Método descrito en el apéndice 1A</w:t>
            </w:r>
            <w:r w:rsidRPr="00FC4465">
              <w:rPr>
                <w:rFonts w:asciiTheme="majorBidi" w:hAnsiTheme="majorBidi" w:cstheme="majorBidi"/>
                <w:b/>
                <w:bCs/>
                <w:sz w:val="16"/>
                <w:szCs w:val="16"/>
                <w:vertAlign w:val="superscript"/>
              </w:rPr>
              <w:t>a</w:t>
            </w:r>
          </w:p>
        </w:tc>
        <w:tc>
          <w:tcPr>
            <w:tcW w:w="1737" w:type="dxa"/>
            <w:tcBorders>
              <w:top w:val="single" w:sz="4" w:space="0" w:color="auto"/>
              <w:left w:val="single" w:sz="4" w:space="0" w:color="auto"/>
              <w:bottom w:val="nil"/>
              <w:right w:val="single" w:sz="4" w:space="0" w:color="auto"/>
            </w:tcBorders>
          </w:tcPr>
          <w:p w14:paraId="742A16A0" w14:textId="77777777" w:rsidR="00F317F2" w:rsidRPr="00FC4465" w:rsidRDefault="00F317F2" w:rsidP="00C93947">
            <w:pPr>
              <w:spacing w:line="240" w:lineRule="auto"/>
              <w:jc w:val="center"/>
              <w:rPr>
                <w:rFonts w:asciiTheme="majorBidi" w:hAnsiTheme="majorBidi" w:cstheme="majorBidi"/>
                <w:b/>
                <w:sz w:val="16"/>
                <w:szCs w:val="16"/>
              </w:rPr>
            </w:pPr>
            <w:r w:rsidRPr="00FC4465">
              <w:rPr>
                <w:rFonts w:asciiTheme="majorBidi" w:hAnsiTheme="majorBidi" w:cstheme="majorBidi"/>
                <w:b/>
                <w:bCs/>
                <w:sz w:val="16"/>
                <w:szCs w:val="16"/>
              </w:rPr>
              <w:t>Método descrito en el apéndice 1B</w:t>
            </w:r>
          </w:p>
        </w:tc>
        <w:tc>
          <w:tcPr>
            <w:tcW w:w="1304" w:type="dxa"/>
            <w:tcBorders>
              <w:top w:val="single" w:sz="4" w:space="0" w:color="auto"/>
              <w:left w:val="single" w:sz="4" w:space="0" w:color="auto"/>
              <w:bottom w:val="nil"/>
              <w:right w:val="single" w:sz="4" w:space="0" w:color="auto"/>
            </w:tcBorders>
          </w:tcPr>
          <w:p w14:paraId="0DB2F3AF" w14:textId="77777777" w:rsidR="00F317F2" w:rsidRPr="00FC4465" w:rsidRDefault="00F317F2" w:rsidP="00C93947">
            <w:pPr>
              <w:spacing w:line="240" w:lineRule="auto"/>
              <w:jc w:val="center"/>
              <w:rPr>
                <w:rFonts w:asciiTheme="majorBidi" w:hAnsiTheme="majorBidi" w:cstheme="majorBidi"/>
                <w:b/>
                <w:sz w:val="16"/>
                <w:szCs w:val="16"/>
              </w:rPr>
            </w:pPr>
            <w:r w:rsidRPr="00FC4465">
              <w:rPr>
                <w:rFonts w:asciiTheme="majorBidi" w:hAnsiTheme="majorBidi" w:cstheme="majorBidi"/>
                <w:b/>
                <w:bCs/>
                <w:sz w:val="16"/>
                <w:szCs w:val="16"/>
              </w:rPr>
              <w:t>Método descrito en el anexo I</w:t>
            </w:r>
          </w:p>
        </w:tc>
        <w:tc>
          <w:tcPr>
            <w:tcW w:w="1545" w:type="dxa"/>
            <w:tcBorders>
              <w:top w:val="single" w:sz="4" w:space="0" w:color="auto"/>
              <w:left w:val="single" w:sz="4" w:space="0" w:color="auto"/>
              <w:bottom w:val="nil"/>
              <w:right w:val="single" w:sz="4" w:space="0" w:color="auto"/>
            </w:tcBorders>
          </w:tcPr>
          <w:p w14:paraId="253B4848" w14:textId="77777777" w:rsidR="00F317F2" w:rsidRPr="00FC4465" w:rsidRDefault="00F317F2" w:rsidP="00C93947">
            <w:pPr>
              <w:spacing w:line="240" w:lineRule="auto"/>
              <w:jc w:val="center"/>
              <w:rPr>
                <w:rFonts w:asciiTheme="majorBidi" w:hAnsiTheme="majorBidi" w:cstheme="majorBidi"/>
                <w:b/>
                <w:sz w:val="16"/>
                <w:szCs w:val="16"/>
              </w:rPr>
            </w:pPr>
            <w:r w:rsidRPr="00FC4465">
              <w:rPr>
                <w:rFonts w:asciiTheme="majorBidi" w:hAnsiTheme="majorBidi" w:cstheme="majorBidi"/>
                <w:b/>
                <w:bCs/>
                <w:sz w:val="16"/>
                <w:szCs w:val="16"/>
              </w:rPr>
              <w:t>Método descrito en el anexo II</w:t>
            </w:r>
          </w:p>
        </w:tc>
        <w:tc>
          <w:tcPr>
            <w:tcW w:w="1326" w:type="dxa"/>
            <w:tcBorders>
              <w:top w:val="single" w:sz="4" w:space="0" w:color="auto"/>
              <w:left w:val="single" w:sz="4" w:space="0" w:color="auto"/>
              <w:bottom w:val="nil"/>
              <w:right w:val="single" w:sz="4" w:space="0" w:color="auto"/>
            </w:tcBorders>
          </w:tcPr>
          <w:p w14:paraId="6E50C579" w14:textId="77777777" w:rsidR="00F317F2" w:rsidRPr="00FC4465" w:rsidRDefault="00F317F2" w:rsidP="00C93947">
            <w:pPr>
              <w:spacing w:line="240" w:lineRule="auto"/>
              <w:jc w:val="center"/>
              <w:rPr>
                <w:rFonts w:asciiTheme="majorBidi" w:hAnsiTheme="majorBidi" w:cstheme="majorBidi"/>
                <w:b/>
                <w:sz w:val="16"/>
                <w:szCs w:val="16"/>
              </w:rPr>
            </w:pPr>
            <w:r w:rsidRPr="00FC4465">
              <w:rPr>
                <w:rFonts w:asciiTheme="majorBidi" w:hAnsiTheme="majorBidi" w:cstheme="majorBidi"/>
                <w:b/>
                <w:bCs/>
                <w:sz w:val="16"/>
                <w:szCs w:val="16"/>
              </w:rPr>
              <w:t>Método descrito en el anexo III</w:t>
            </w:r>
          </w:p>
        </w:tc>
        <w:tc>
          <w:tcPr>
            <w:tcW w:w="1326" w:type="dxa"/>
            <w:tcBorders>
              <w:top w:val="nil"/>
              <w:left w:val="single" w:sz="4" w:space="0" w:color="auto"/>
              <w:bottom w:val="nil"/>
              <w:right w:val="single" w:sz="4" w:space="0" w:color="auto"/>
            </w:tcBorders>
          </w:tcPr>
          <w:p w14:paraId="2BB4B290" w14:textId="77777777" w:rsidR="00F317F2" w:rsidRPr="00FC4465" w:rsidRDefault="00F317F2" w:rsidP="00C93947">
            <w:pPr>
              <w:spacing w:line="240" w:lineRule="auto"/>
              <w:jc w:val="center"/>
              <w:rPr>
                <w:rFonts w:asciiTheme="majorBidi" w:hAnsiTheme="majorBidi" w:cstheme="majorBidi"/>
                <w:b/>
                <w:sz w:val="16"/>
                <w:szCs w:val="16"/>
              </w:rPr>
            </w:pPr>
            <w:r w:rsidRPr="00FC4465">
              <w:rPr>
                <w:rFonts w:asciiTheme="majorBidi" w:hAnsiTheme="majorBidi" w:cstheme="majorBidi"/>
                <w:b/>
                <w:bCs/>
                <w:sz w:val="16"/>
                <w:szCs w:val="16"/>
              </w:rPr>
              <w:t>Método descrito en el anexo IV</w:t>
            </w:r>
            <w:r w:rsidRPr="00FC4465">
              <w:rPr>
                <w:rFonts w:asciiTheme="majorBidi" w:hAnsiTheme="majorBidi" w:cstheme="majorBidi"/>
                <w:sz w:val="16"/>
                <w:szCs w:val="16"/>
              </w:rPr>
              <w:t xml:space="preserve"> </w:t>
            </w:r>
          </w:p>
        </w:tc>
      </w:tr>
      <w:tr w:rsidR="00F317F2" w:rsidRPr="00FC4465" w14:paraId="79D100E6" w14:textId="77777777" w:rsidTr="0081508F">
        <w:trPr>
          <w:trHeight w:val="727"/>
          <w:tblHeader/>
          <w:jc w:val="center"/>
        </w:trPr>
        <w:tc>
          <w:tcPr>
            <w:tcW w:w="848" w:type="dxa"/>
            <w:vMerge/>
            <w:tcBorders>
              <w:left w:val="single" w:sz="4" w:space="0" w:color="auto"/>
              <w:bottom w:val="single" w:sz="4" w:space="0" w:color="auto"/>
              <w:right w:val="single" w:sz="4" w:space="0" w:color="auto"/>
            </w:tcBorders>
            <w:tcMar>
              <w:top w:w="57" w:type="dxa"/>
              <w:left w:w="57" w:type="dxa"/>
              <w:bottom w:w="57" w:type="dxa"/>
              <w:right w:w="57" w:type="dxa"/>
            </w:tcMar>
          </w:tcPr>
          <w:p w14:paraId="15610DD0" w14:textId="77777777" w:rsidR="00F317F2" w:rsidRPr="00FC4465" w:rsidRDefault="00F317F2" w:rsidP="00C93947">
            <w:pPr>
              <w:spacing w:line="260" w:lineRule="atLeast"/>
              <w:jc w:val="center"/>
              <w:rPr>
                <w:rFonts w:asciiTheme="majorBidi" w:hAnsiTheme="majorBidi" w:cstheme="majorBidi"/>
                <w:sz w:val="16"/>
                <w:szCs w:val="16"/>
              </w:rPr>
            </w:pPr>
          </w:p>
        </w:tc>
        <w:tc>
          <w:tcPr>
            <w:tcW w:w="1395" w:type="dxa"/>
            <w:tcBorders>
              <w:top w:val="nil"/>
              <w:left w:val="single" w:sz="4" w:space="0" w:color="auto"/>
              <w:bottom w:val="single" w:sz="4" w:space="0" w:color="auto"/>
              <w:right w:val="single" w:sz="4" w:space="0" w:color="auto"/>
            </w:tcBorders>
            <w:tcMar>
              <w:top w:w="57" w:type="dxa"/>
              <w:left w:w="57" w:type="dxa"/>
              <w:bottom w:w="57" w:type="dxa"/>
              <w:right w:w="57" w:type="dxa"/>
            </w:tcMar>
          </w:tcPr>
          <w:p w14:paraId="475BABAB" w14:textId="77777777" w:rsidR="00F317F2" w:rsidRPr="00FC4465" w:rsidRDefault="00F317F2" w:rsidP="00C93947">
            <w:pPr>
              <w:spacing w:line="240" w:lineRule="auto"/>
              <w:jc w:val="center"/>
              <w:rPr>
                <w:rFonts w:asciiTheme="majorBidi" w:hAnsiTheme="majorBidi" w:cstheme="majorBidi"/>
                <w:b/>
                <w:bCs/>
                <w:sz w:val="16"/>
                <w:szCs w:val="16"/>
              </w:rPr>
            </w:pPr>
            <w:r w:rsidRPr="00FC4465">
              <w:rPr>
                <w:rFonts w:asciiTheme="majorBidi" w:hAnsiTheme="majorBidi" w:cstheme="majorBidi"/>
                <w:b/>
                <w:bCs/>
                <w:sz w:val="16"/>
                <w:szCs w:val="16"/>
              </w:rPr>
              <w:t>Ensayo de reactividad peptídica directa</w:t>
            </w:r>
          </w:p>
          <w:p w14:paraId="22D5A76C" w14:textId="77777777" w:rsidR="00F317F2" w:rsidRPr="00FC4465" w:rsidRDefault="00F317F2" w:rsidP="00C93947">
            <w:pPr>
              <w:spacing w:line="240" w:lineRule="auto"/>
              <w:jc w:val="center"/>
              <w:rPr>
                <w:rFonts w:asciiTheme="majorBidi" w:hAnsiTheme="majorBidi" w:cstheme="majorBidi"/>
                <w:b/>
                <w:sz w:val="16"/>
                <w:szCs w:val="16"/>
              </w:rPr>
            </w:pPr>
            <w:r w:rsidRPr="00FC4465">
              <w:rPr>
                <w:rFonts w:asciiTheme="majorBidi" w:hAnsiTheme="majorBidi" w:cstheme="majorBidi"/>
                <w:b/>
                <w:bCs/>
                <w:sz w:val="16"/>
                <w:szCs w:val="16"/>
              </w:rPr>
              <w:t>(DPRA)</w:t>
            </w:r>
            <w:r w:rsidRPr="00FC4465">
              <w:rPr>
                <w:rFonts w:asciiTheme="majorBidi" w:hAnsiTheme="majorBidi" w:cstheme="majorBidi"/>
                <w:b/>
                <w:bCs/>
                <w:sz w:val="16"/>
                <w:szCs w:val="16"/>
                <w:vertAlign w:val="superscript"/>
              </w:rPr>
              <w:t>a</w:t>
            </w:r>
          </w:p>
        </w:tc>
        <w:tc>
          <w:tcPr>
            <w:tcW w:w="1415" w:type="dxa"/>
            <w:tcBorders>
              <w:top w:val="nil"/>
              <w:left w:val="single" w:sz="4" w:space="0" w:color="auto"/>
              <w:bottom w:val="single" w:sz="4" w:space="0" w:color="auto"/>
              <w:right w:val="single" w:sz="4" w:space="0" w:color="auto"/>
            </w:tcBorders>
          </w:tcPr>
          <w:p w14:paraId="7984AE13" w14:textId="77777777" w:rsidR="00F317F2" w:rsidRPr="00FC4465" w:rsidRDefault="00F317F2" w:rsidP="00C93947">
            <w:pPr>
              <w:spacing w:line="240" w:lineRule="auto"/>
              <w:jc w:val="center"/>
              <w:rPr>
                <w:rFonts w:asciiTheme="majorBidi" w:hAnsiTheme="majorBidi" w:cstheme="majorBidi"/>
                <w:b/>
                <w:sz w:val="16"/>
                <w:szCs w:val="16"/>
              </w:rPr>
            </w:pPr>
            <w:r w:rsidRPr="00FC4465">
              <w:rPr>
                <w:rFonts w:asciiTheme="majorBidi" w:hAnsiTheme="majorBidi" w:cstheme="majorBidi"/>
                <w:b/>
                <w:bCs/>
                <w:sz w:val="16"/>
                <w:szCs w:val="16"/>
              </w:rPr>
              <w:t>Ensayo de reactividad de derivados de aminoácidos (ADRA)</w:t>
            </w:r>
            <w:r w:rsidRPr="00FC4465">
              <w:rPr>
                <w:rFonts w:asciiTheme="majorBidi" w:hAnsiTheme="majorBidi" w:cstheme="majorBidi"/>
                <w:b/>
                <w:bCs/>
                <w:sz w:val="16"/>
                <w:szCs w:val="16"/>
                <w:vertAlign w:val="superscript"/>
              </w:rPr>
              <w:t>a</w:t>
            </w:r>
            <w:r w:rsidRPr="00FC4465">
              <w:rPr>
                <w:rFonts w:asciiTheme="majorBidi" w:hAnsiTheme="majorBidi" w:cstheme="majorBidi"/>
                <w:sz w:val="16"/>
                <w:szCs w:val="16"/>
              </w:rPr>
              <w:t xml:space="preserve"> </w:t>
            </w:r>
          </w:p>
        </w:tc>
        <w:tc>
          <w:tcPr>
            <w:tcW w:w="1185" w:type="dxa"/>
            <w:tcBorders>
              <w:top w:val="nil"/>
              <w:left w:val="single" w:sz="4" w:space="0" w:color="auto"/>
              <w:bottom w:val="single" w:sz="4" w:space="0" w:color="auto"/>
              <w:right w:val="single" w:sz="4" w:space="0" w:color="auto"/>
            </w:tcBorders>
          </w:tcPr>
          <w:p w14:paraId="721718EB" w14:textId="77777777" w:rsidR="00F317F2" w:rsidRPr="00FC4465" w:rsidRDefault="00F317F2" w:rsidP="00C93947">
            <w:pPr>
              <w:spacing w:line="240" w:lineRule="auto"/>
              <w:jc w:val="center"/>
              <w:rPr>
                <w:rFonts w:asciiTheme="majorBidi" w:hAnsiTheme="majorBidi" w:cstheme="majorBidi"/>
                <w:b/>
                <w:sz w:val="16"/>
                <w:szCs w:val="16"/>
              </w:rPr>
            </w:pPr>
            <w:r w:rsidRPr="00FC4465">
              <w:rPr>
                <w:rFonts w:asciiTheme="majorBidi" w:hAnsiTheme="majorBidi" w:cstheme="majorBidi"/>
                <w:b/>
                <w:bCs/>
                <w:sz w:val="16"/>
                <w:szCs w:val="16"/>
              </w:rPr>
              <w:t>Ensayo cinético de reactividad peptídica directa (kDPRA)</w:t>
            </w:r>
            <w:r w:rsidRPr="00FC4465">
              <w:rPr>
                <w:rFonts w:asciiTheme="majorBidi" w:hAnsiTheme="majorBidi" w:cstheme="majorBidi"/>
                <w:b/>
                <w:bCs/>
                <w:sz w:val="16"/>
                <w:szCs w:val="16"/>
                <w:vertAlign w:val="superscript"/>
              </w:rPr>
              <w:t>b</w:t>
            </w:r>
          </w:p>
        </w:tc>
        <w:tc>
          <w:tcPr>
            <w:tcW w:w="2094" w:type="dxa"/>
            <w:tcBorders>
              <w:top w:val="nil"/>
              <w:left w:val="single" w:sz="4" w:space="0" w:color="auto"/>
              <w:bottom w:val="single" w:sz="4" w:space="0" w:color="auto"/>
              <w:right w:val="single" w:sz="4" w:space="0" w:color="auto"/>
            </w:tcBorders>
          </w:tcPr>
          <w:p w14:paraId="7B23DFAF" w14:textId="77777777" w:rsidR="00F317F2" w:rsidRPr="00FC4465" w:rsidRDefault="00F317F2" w:rsidP="00C93947">
            <w:pPr>
              <w:spacing w:line="240" w:lineRule="auto"/>
              <w:jc w:val="center"/>
              <w:rPr>
                <w:rFonts w:asciiTheme="majorBidi" w:hAnsiTheme="majorBidi" w:cstheme="majorBidi"/>
                <w:b/>
                <w:sz w:val="16"/>
                <w:szCs w:val="16"/>
              </w:rPr>
            </w:pPr>
          </w:p>
        </w:tc>
        <w:tc>
          <w:tcPr>
            <w:tcW w:w="1737" w:type="dxa"/>
            <w:tcBorders>
              <w:top w:val="nil"/>
              <w:left w:val="single" w:sz="4" w:space="0" w:color="auto"/>
              <w:bottom w:val="single" w:sz="4" w:space="0" w:color="auto"/>
              <w:right w:val="single" w:sz="4" w:space="0" w:color="auto"/>
            </w:tcBorders>
          </w:tcPr>
          <w:p w14:paraId="2A494791" w14:textId="77777777" w:rsidR="00F317F2" w:rsidRPr="00FC4465" w:rsidRDefault="00F317F2" w:rsidP="00C93947">
            <w:pPr>
              <w:spacing w:line="240" w:lineRule="auto"/>
              <w:jc w:val="center"/>
              <w:rPr>
                <w:rFonts w:asciiTheme="majorBidi" w:hAnsiTheme="majorBidi" w:cstheme="majorBidi"/>
                <w:b/>
                <w:sz w:val="16"/>
                <w:szCs w:val="16"/>
              </w:rPr>
            </w:pPr>
            <w:r w:rsidRPr="00FC4465">
              <w:rPr>
                <w:rFonts w:asciiTheme="majorBidi" w:hAnsiTheme="majorBidi" w:cstheme="majorBidi"/>
                <w:b/>
                <w:bCs/>
                <w:sz w:val="16"/>
                <w:szCs w:val="16"/>
              </w:rPr>
              <w:t>Lusens</w:t>
            </w:r>
            <w:r w:rsidRPr="00FC4465">
              <w:rPr>
                <w:rFonts w:asciiTheme="majorBidi" w:hAnsiTheme="majorBidi" w:cstheme="majorBidi"/>
                <w:b/>
                <w:bCs/>
                <w:sz w:val="16"/>
                <w:szCs w:val="16"/>
                <w:vertAlign w:val="superscript"/>
              </w:rPr>
              <w:t>a</w:t>
            </w:r>
          </w:p>
        </w:tc>
        <w:tc>
          <w:tcPr>
            <w:tcW w:w="1304" w:type="dxa"/>
            <w:tcBorders>
              <w:top w:val="nil"/>
              <w:left w:val="single" w:sz="4" w:space="0" w:color="auto"/>
              <w:bottom w:val="single" w:sz="4" w:space="0" w:color="auto"/>
              <w:right w:val="single" w:sz="4" w:space="0" w:color="auto"/>
            </w:tcBorders>
          </w:tcPr>
          <w:p w14:paraId="584B5D6A" w14:textId="44480EFE" w:rsidR="00F317F2" w:rsidRPr="00FC4465" w:rsidRDefault="00F317F2" w:rsidP="00C93947">
            <w:pPr>
              <w:spacing w:line="240" w:lineRule="auto"/>
              <w:jc w:val="center"/>
              <w:rPr>
                <w:rFonts w:asciiTheme="majorBidi" w:hAnsiTheme="majorBidi" w:cstheme="majorBidi"/>
                <w:b/>
                <w:sz w:val="16"/>
                <w:szCs w:val="16"/>
              </w:rPr>
            </w:pPr>
            <w:r w:rsidRPr="00FC4465">
              <w:rPr>
                <w:rFonts w:asciiTheme="majorBidi" w:hAnsiTheme="majorBidi" w:cstheme="majorBidi"/>
                <w:b/>
                <w:bCs/>
                <w:sz w:val="16"/>
                <w:szCs w:val="16"/>
              </w:rPr>
              <w:t xml:space="preserve">Ensayo de activación de la línea celular humana </w:t>
            </w:r>
            <w:r w:rsidR="00864F68">
              <w:rPr>
                <w:rFonts w:asciiTheme="majorBidi" w:hAnsiTheme="majorBidi" w:cstheme="majorBidi"/>
                <w:b/>
                <w:bCs/>
                <w:sz w:val="16"/>
                <w:szCs w:val="16"/>
              </w:rPr>
              <w:br/>
            </w:r>
            <w:r w:rsidRPr="00FC4465">
              <w:rPr>
                <w:rFonts w:asciiTheme="majorBidi" w:hAnsiTheme="majorBidi" w:cstheme="majorBidi"/>
                <w:b/>
                <w:bCs/>
                <w:sz w:val="16"/>
                <w:szCs w:val="16"/>
              </w:rPr>
              <w:t>(h-CLAT)</w:t>
            </w:r>
            <w:r w:rsidRPr="00FC4465">
              <w:rPr>
                <w:rFonts w:asciiTheme="majorBidi" w:hAnsiTheme="majorBidi" w:cstheme="majorBidi"/>
                <w:b/>
                <w:bCs/>
                <w:sz w:val="16"/>
                <w:szCs w:val="16"/>
                <w:vertAlign w:val="superscript"/>
              </w:rPr>
              <w:t>a</w:t>
            </w:r>
          </w:p>
        </w:tc>
        <w:tc>
          <w:tcPr>
            <w:tcW w:w="1545" w:type="dxa"/>
            <w:tcBorders>
              <w:top w:val="nil"/>
              <w:left w:val="single" w:sz="4" w:space="0" w:color="auto"/>
              <w:bottom w:val="single" w:sz="4" w:space="0" w:color="auto"/>
              <w:right w:val="single" w:sz="4" w:space="0" w:color="auto"/>
            </w:tcBorders>
          </w:tcPr>
          <w:p w14:paraId="164F6A94" w14:textId="4E968ECA" w:rsidR="00F317F2" w:rsidRPr="00FC4465" w:rsidRDefault="00F317F2" w:rsidP="00864F68">
            <w:pPr>
              <w:spacing w:line="240" w:lineRule="auto"/>
              <w:jc w:val="center"/>
              <w:rPr>
                <w:rFonts w:asciiTheme="majorBidi" w:hAnsiTheme="majorBidi" w:cstheme="majorBidi"/>
                <w:b/>
                <w:sz w:val="16"/>
                <w:szCs w:val="16"/>
              </w:rPr>
            </w:pPr>
            <w:r w:rsidRPr="00FC4465">
              <w:rPr>
                <w:rFonts w:asciiTheme="majorBidi" w:hAnsiTheme="majorBidi" w:cstheme="majorBidi"/>
                <w:b/>
                <w:bCs/>
                <w:sz w:val="16"/>
                <w:szCs w:val="16"/>
              </w:rPr>
              <w:t>Ensayo de activación de la línea celular U937</w:t>
            </w:r>
            <w:r w:rsidRPr="00FC4465">
              <w:rPr>
                <w:rFonts w:asciiTheme="majorBidi" w:hAnsiTheme="majorBidi" w:cstheme="majorBidi"/>
                <w:b/>
                <w:bCs/>
                <w:sz w:val="16"/>
                <w:szCs w:val="16"/>
                <w:vertAlign w:val="superscript"/>
              </w:rPr>
              <w:t>a</w:t>
            </w:r>
          </w:p>
        </w:tc>
        <w:tc>
          <w:tcPr>
            <w:tcW w:w="1326" w:type="dxa"/>
            <w:tcBorders>
              <w:top w:val="nil"/>
              <w:left w:val="single" w:sz="4" w:space="0" w:color="auto"/>
              <w:bottom w:val="single" w:sz="4" w:space="0" w:color="auto"/>
              <w:right w:val="single" w:sz="4" w:space="0" w:color="auto"/>
            </w:tcBorders>
          </w:tcPr>
          <w:p w14:paraId="7FB8737F" w14:textId="359AA996" w:rsidR="00F317F2" w:rsidRPr="00FC4465" w:rsidRDefault="00F317F2" w:rsidP="00C93947">
            <w:pPr>
              <w:spacing w:line="240" w:lineRule="auto"/>
              <w:jc w:val="center"/>
              <w:rPr>
                <w:rFonts w:asciiTheme="majorBidi" w:hAnsiTheme="majorBidi" w:cstheme="majorBidi"/>
                <w:b/>
                <w:sz w:val="16"/>
                <w:szCs w:val="16"/>
              </w:rPr>
            </w:pPr>
            <w:r w:rsidRPr="00FC4465">
              <w:rPr>
                <w:rFonts w:asciiTheme="majorBidi" w:hAnsiTheme="majorBidi" w:cstheme="majorBidi"/>
                <w:b/>
                <w:bCs/>
                <w:sz w:val="16"/>
                <w:szCs w:val="16"/>
              </w:rPr>
              <w:t xml:space="preserve">Ensayo de interleucina 8 luciferasa </w:t>
            </w:r>
            <w:r w:rsidR="00864F68">
              <w:rPr>
                <w:rFonts w:asciiTheme="majorBidi" w:hAnsiTheme="majorBidi" w:cstheme="majorBidi"/>
                <w:b/>
                <w:bCs/>
                <w:sz w:val="16"/>
                <w:szCs w:val="16"/>
              </w:rPr>
              <w:br/>
            </w:r>
            <w:r w:rsidRPr="00FC4465">
              <w:rPr>
                <w:rFonts w:asciiTheme="majorBidi" w:hAnsiTheme="majorBidi" w:cstheme="majorBidi"/>
                <w:b/>
                <w:bCs/>
                <w:sz w:val="16"/>
                <w:szCs w:val="16"/>
              </w:rPr>
              <w:t>(IL-8 Luc)</w:t>
            </w:r>
            <w:r w:rsidRPr="00FC4465">
              <w:rPr>
                <w:rFonts w:asciiTheme="majorBidi" w:hAnsiTheme="majorBidi" w:cstheme="majorBidi"/>
                <w:b/>
                <w:bCs/>
                <w:sz w:val="16"/>
                <w:szCs w:val="16"/>
                <w:vertAlign w:val="superscript"/>
              </w:rPr>
              <w:t>a</w:t>
            </w:r>
          </w:p>
        </w:tc>
        <w:tc>
          <w:tcPr>
            <w:tcW w:w="1326" w:type="dxa"/>
            <w:tcBorders>
              <w:top w:val="nil"/>
              <w:left w:val="single" w:sz="4" w:space="0" w:color="auto"/>
              <w:bottom w:val="nil"/>
              <w:right w:val="single" w:sz="4" w:space="0" w:color="auto"/>
            </w:tcBorders>
          </w:tcPr>
          <w:p w14:paraId="6233D721" w14:textId="77777777" w:rsidR="00F317F2" w:rsidRPr="00FC4465" w:rsidRDefault="00F317F2" w:rsidP="00C93947">
            <w:pPr>
              <w:spacing w:line="240" w:lineRule="auto"/>
              <w:jc w:val="center"/>
              <w:rPr>
                <w:rFonts w:asciiTheme="majorBidi" w:hAnsiTheme="majorBidi" w:cstheme="majorBidi"/>
                <w:b/>
                <w:sz w:val="16"/>
                <w:szCs w:val="16"/>
              </w:rPr>
            </w:pPr>
            <w:r w:rsidRPr="00FC4465">
              <w:rPr>
                <w:rFonts w:asciiTheme="majorBidi" w:hAnsiTheme="majorBidi" w:cstheme="majorBidi"/>
                <w:b/>
                <w:bCs/>
                <w:sz w:val="16"/>
                <w:szCs w:val="16"/>
              </w:rPr>
              <w:t>Detección genómica rápida de alérgenos para la evaluación de sensibilizantes cutáneos</w:t>
            </w:r>
            <w:r w:rsidRPr="00FC4465">
              <w:rPr>
                <w:rFonts w:asciiTheme="majorBidi" w:hAnsiTheme="majorBidi" w:cstheme="majorBidi"/>
                <w:b/>
                <w:bCs/>
                <w:sz w:val="16"/>
                <w:szCs w:val="16"/>
                <w:vertAlign w:val="superscript"/>
              </w:rPr>
              <w:t>a</w:t>
            </w:r>
          </w:p>
        </w:tc>
      </w:tr>
      <w:tr w:rsidR="00F317F2" w:rsidRPr="00FC4465" w14:paraId="55FEBF4B" w14:textId="77777777" w:rsidTr="00864F68">
        <w:trPr>
          <w:trHeight w:val="2076"/>
          <w:jc w:val="center"/>
        </w:trPr>
        <w:tc>
          <w:tcPr>
            <w:tcW w:w="848" w:type="dxa"/>
            <w:tcBorders>
              <w:top w:val="single" w:sz="4" w:space="0" w:color="auto"/>
              <w:left w:val="single" w:sz="4" w:space="0" w:color="auto"/>
              <w:bottom w:val="single" w:sz="4" w:space="0" w:color="auto"/>
              <w:right w:val="single" w:sz="4" w:space="0" w:color="auto"/>
            </w:tcBorders>
            <w:vAlign w:val="center"/>
            <w:hideMark/>
          </w:tcPr>
          <w:p w14:paraId="621C77AE" w14:textId="77777777" w:rsidR="00F317F2" w:rsidRPr="00FC4465" w:rsidRDefault="00F317F2" w:rsidP="00C93947">
            <w:pPr>
              <w:rPr>
                <w:rFonts w:asciiTheme="majorBidi" w:hAnsiTheme="majorBidi" w:cstheme="majorBidi"/>
                <w:sz w:val="16"/>
                <w:szCs w:val="16"/>
              </w:rPr>
            </w:pPr>
          </w:p>
        </w:tc>
        <w:tc>
          <w:tcPr>
            <w:tcW w:w="3995" w:type="dxa"/>
            <w:gridSpan w:val="3"/>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hideMark/>
          </w:tcPr>
          <w:p w14:paraId="79283F6D" w14:textId="07CB709D" w:rsidR="00F317F2" w:rsidRPr="00FC4465" w:rsidRDefault="00F317F2" w:rsidP="00C93947">
            <w:pPr>
              <w:spacing w:before="20" w:after="20" w:line="240" w:lineRule="auto"/>
              <w:rPr>
                <w:rFonts w:asciiTheme="majorBidi" w:hAnsiTheme="majorBidi" w:cstheme="majorBidi"/>
                <w:sz w:val="16"/>
                <w:szCs w:val="16"/>
              </w:rPr>
            </w:pPr>
            <w:r w:rsidRPr="00FC4465">
              <w:rPr>
                <w:rFonts w:asciiTheme="majorBidi" w:hAnsiTheme="majorBidi" w:cstheme="majorBidi"/>
                <w:sz w:val="16"/>
                <w:szCs w:val="16"/>
              </w:rPr>
              <w:t xml:space="preserve">Métodos: métodos </w:t>
            </w:r>
            <w:r w:rsidRPr="00FC4465">
              <w:rPr>
                <w:rFonts w:asciiTheme="majorBidi" w:hAnsiTheme="majorBidi" w:cstheme="majorBidi"/>
                <w:i/>
                <w:iCs/>
                <w:sz w:val="16"/>
                <w:szCs w:val="16"/>
              </w:rPr>
              <w:t>in</w:t>
            </w:r>
            <w:r w:rsidR="0081160D">
              <w:rPr>
                <w:rFonts w:asciiTheme="majorBidi" w:hAnsiTheme="majorBidi" w:cstheme="majorBidi"/>
                <w:i/>
                <w:iCs/>
                <w:sz w:val="16"/>
                <w:szCs w:val="16"/>
              </w:rPr>
              <w:t> chemico</w:t>
            </w:r>
            <w:r w:rsidRPr="00FC4465">
              <w:rPr>
                <w:rFonts w:asciiTheme="majorBidi" w:hAnsiTheme="majorBidi" w:cstheme="majorBidi"/>
                <w:sz w:val="16"/>
                <w:szCs w:val="16"/>
              </w:rPr>
              <w:t xml:space="preserve"> que miden el proceso de haptenización cuantificando la reactividad de los productos químicos sometidos a ensayo frente a modelos de péptidos sintéticos que contienen lisina o cisteína (DPRA y kDPRA), o frente a modelos de derivados de aminoácidos sintéticos que contienen N-(2-(1-naftil)acetil)-L-cisteína (NAC) </w:t>
            </w:r>
            <w:r w:rsidR="00864F68">
              <w:rPr>
                <w:rFonts w:asciiTheme="majorBidi" w:hAnsiTheme="majorBidi" w:cstheme="majorBidi"/>
                <w:sz w:val="16"/>
                <w:szCs w:val="16"/>
              </w:rPr>
              <w:br/>
            </w:r>
            <w:r w:rsidRPr="00FC4465">
              <w:rPr>
                <w:rFonts w:asciiTheme="majorBidi" w:hAnsiTheme="majorBidi" w:cstheme="majorBidi"/>
                <w:sz w:val="16"/>
                <w:szCs w:val="16"/>
              </w:rPr>
              <w:t xml:space="preserve">o </w:t>
            </w:r>
            <w:r w:rsidRPr="00FC4465">
              <w:rPr>
                <w:rFonts w:asciiTheme="majorBidi" w:hAnsiTheme="majorBidi" w:cstheme="majorBidi"/>
                <w:i/>
                <w:iCs/>
                <w:sz w:val="16"/>
                <w:szCs w:val="16"/>
              </w:rPr>
              <w:t>α</w:t>
            </w:r>
            <w:r w:rsidRPr="00FC4465">
              <w:rPr>
                <w:rFonts w:asciiTheme="majorBidi" w:hAnsiTheme="majorBidi" w:cstheme="majorBidi"/>
                <w:sz w:val="16"/>
                <w:szCs w:val="16"/>
              </w:rPr>
              <w:t>-N-(2-(1-naftil)acetil)-L-lisina (NAL) (ADRA).</w:t>
            </w:r>
          </w:p>
          <w:p w14:paraId="1816240C" w14:textId="77777777" w:rsidR="00F317F2" w:rsidRPr="00FC4465" w:rsidRDefault="00F317F2" w:rsidP="00C93947">
            <w:pPr>
              <w:spacing w:before="20" w:after="20" w:line="240" w:lineRule="auto"/>
              <w:rPr>
                <w:rFonts w:asciiTheme="majorBidi" w:hAnsiTheme="majorBidi" w:cstheme="majorBidi"/>
                <w:sz w:val="16"/>
                <w:szCs w:val="16"/>
              </w:rPr>
            </w:pPr>
            <w:r w:rsidRPr="00FC4465">
              <w:rPr>
                <w:rFonts w:asciiTheme="majorBidi" w:hAnsiTheme="majorBidi" w:cstheme="majorBidi"/>
                <w:sz w:val="16"/>
                <w:szCs w:val="16"/>
              </w:rPr>
              <w:t>Los criterios se basan en la media del porcentaje de reducción de los péptidos de cisteína y lisina (DPRA), las tasas cinéticas de reducción de la cisteína (kDPRA) y el valor medio del porcentaje de reducción de la NAC y la NAL (ADRA). En los ensayos DPRA y ADRA, si el péptido de lisina o la NAL sin reaccionar no pueden medirse con fiabilidad, pueden aplicarse modelos de predicción basados únicamente en el valor de reducción porcentual de la cisteína o la NAC.</w:t>
            </w:r>
          </w:p>
        </w:tc>
        <w:tc>
          <w:tcPr>
            <w:tcW w:w="3831" w:type="dxa"/>
            <w:gridSpan w:val="2"/>
            <w:tcBorders>
              <w:top w:val="single" w:sz="4" w:space="0" w:color="auto"/>
              <w:left w:val="single" w:sz="4" w:space="0" w:color="auto"/>
              <w:bottom w:val="single" w:sz="4" w:space="0" w:color="auto"/>
              <w:right w:val="single" w:sz="4" w:space="0" w:color="auto"/>
            </w:tcBorders>
          </w:tcPr>
          <w:p w14:paraId="2471A61F" w14:textId="77777777" w:rsidR="00F317F2" w:rsidRPr="00FC4465" w:rsidRDefault="00F317F2" w:rsidP="00C93947">
            <w:pPr>
              <w:spacing w:before="20" w:after="20" w:line="240" w:lineRule="auto"/>
              <w:rPr>
                <w:rFonts w:asciiTheme="majorBidi" w:hAnsiTheme="majorBidi" w:cstheme="majorBidi"/>
                <w:sz w:val="16"/>
                <w:szCs w:val="16"/>
              </w:rPr>
            </w:pPr>
            <w:r w:rsidRPr="00FC4465">
              <w:rPr>
                <w:rFonts w:asciiTheme="majorBidi" w:hAnsiTheme="majorBidi" w:cstheme="majorBidi"/>
                <w:sz w:val="16"/>
                <w:szCs w:val="16"/>
              </w:rPr>
              <w:t>Métodos: métodos celulares que se centran en el proceso de activación de los queratinocitos, en los que, con ayuda de la luciferasa, se evalúa la activación de genes dependientes del elemento de respuesta antioxidante (ARE) mediada por Nrf2 tras exponer las células al producto químico sometido a ensayo.</w:t>
            </w:r>
          </w:p>
          <w:p w14:paraId="36FEAADC" w14:textId="77777777" w:rsidR="00F317F2" w:rsidRPr="00FC4465" w:rsidRDefault="00F317F2" w:rsidP="00C93947">
            <w:pPr>
              <w:spacing w:before="20" w:after="20" w:line="240" w:lineRule="auto"/>
              <w:rPr>
                <w:rFonts w:asciiTheme="majorBidi" w:hAnsiTheme="majorBidi" w:cstheme="majorBidi"/>
                <w:sz w:val="16"/>
                <w:szCs w:val="16"/>
              </w:rPr>
            </w:pPr>
            <w:r w:rsidRPr="00FC4465">
              <w:rPr>
                <w:rFonts w:asciiTheme="majorBidi" w:hAnsiTheme="majorBidi" w:cstheme="majorBidi"/>
                <w:sz w:val="16"/>
                <w:szCs w:val="16"/>
              </w:rPr>
              <w:t>La viabilidad celular se mide cuantitativamente en paralelo por conversión enzimática del colorante bromuro de 3-(4,5-dimetiltiazol-2-il)-2,5-difeniltetrazolio (MTT).</w:t>
            </w:r>
          </w:p>
          <w:p w14:paraId="62ED8B38" w14:textId="77777777" w:rsidR="00F317F2" w:rsidRPr="00FC4465" w:rsidRDefault="00F317F2" w:rsidP="00C93947">
            <w:pPr>
              <w:spacing w:before="20" w:after="20" w:line="240" w:lineRule="auto"/>
              <w:rPr>
                <w:rFonts w:asciiTheme="majorBidi" w:hAnsiTheme="majorBidi" w:cstheme="majorBidi"/>
                <w:sz w:val="16"/>
                <w:szCs w:val="16"/>
              </w:rPr>
            </w:pPr>
            <w:r w:rsidRPr="00FC4465">
              <w:rPr>
                <w:rFonts w:asciiTheme="majorBidi" w:hAnsiTheme="majorBidi" w:cstheme="majorBidi"/>
                <w:sz w:val="16"/>
                <w:szCs w:val="16"/>
              </w:rPr>
              <w:t>Los criterios se basan en la inducción del gen de la luciferasa por encima de un determinado umbral, cuantificado a concentraciones subtóxicas. Los criterios deberían cumplirse en 2 repeticiones de 2, o en 2 de 3.</w:t>
            </w:r>
          </w:p>
        </w:tc>
        <w:tc>
          <w:tcPr>
            <w:tcW w:w="5501" w:type="dxa"/>
            <w:gridSpan w:val="4"/>
            <w:tcBorders>
              <w:top w:val="single" w:sz="4" w:space="0" w:color="auto"/>
              <w:left w:val="single" w:sz="4" w:space="0" w:color="auto"/>
              <w:bottom w:val="single" w:sz="4" w:space="0" w:color="auto"/>
              <w:right w:val="single" w:sz="4" w:space="0" w:color="auto"/>
            </w:tcBorders>
          </w:tcPr>
          <w:p w14:paraId="4E02C041" w14:textId="2EA14F28" w:rsidR="00F317F2" w:rsidRPr="00FC4465" w:rsidRDefault="00F317F2" w:rsidP="00C93947">
            <w:pPr>
              <w:spacing w:before="20" w:after="20" w:line="240" w:lineRule="auto"/>
              <w:rPr>
                <w:rFonts w:asciiTheme="majorBidi" w:hAnsiTheme="majorBidi" w:cstheme="majorBidi"/>
                <w:sz w:val="16"/>
                <w:szCs w:val="16"/>
              </w:rPr>
            </w:pPr>
            <w:r w:rsidRPr="00FC4465">
              <w:rPr>
                <w:rFonts w:asciiTheme="majorBidi" w:hAnsiTheme="majorBidi" w:cstheme="majorBidi"/>
                <w:sz w:val="16"/>
                <w:szCs w:val="16"/>
              </w:rPr>
              <w:t>Métodos: métodos celulares centrados en el proceso de activación de los monocitos o las células dendríticas, en los que se cuantifica el cambio en la expresión de uno o varios marcadores de la superficie celular, como el cúmulo de diferenciación 54 (CD54) o el cúmulo de diferenciación 86 (CD86), o el cambio en la expresión de</w:t>
            </w:r>
            <w:r w:rsidR="00864F68">
              <w:rPr>
                <w:rFonts w:asciiTheme="majorBidi" w:hAnsiTheme="majorBidi" w:cstheme="majorBidi"/>
                <w:sz w:val="16"/>
                <w:szCs w:val="16"/>
              </w:rPr>
              <w:t> </w:t>
            </w:r>
            <w:r w:rsidRPr="00FC4465">
              <w:rPr>
                <w:rFonts w:asciiTheme="majorBidi" w:hAnsiTheme="majorBidi" w:cstheme="majorBidi"/>
                <w:sz w:val="16"/>
                <w:szCs w:val="16"/>
              </w:rPr>
              <w:t>IL-8, o los patrones de transcripción de una firma genómica de biomarcador específico del punto final, tras exponer las células al producto químico que se somete a ensayo.</w:t>
            </w:r>
          </w:p>
          <w:p w14:paraId="5A966071" w14:textId="77777777" w:rsidR="00F317F2" w:rsidRPr="00FC4465" w:rsidRDefault="00F317F2" w:rsidP="00C93947">
            <w:pPr>
              <w:spacing w:before="20" w:after="20" w:line="240" w:lineRule="auto"/>
              <w:rPr>
                <w:rFonts w:asciiTheme="majorBidi" w:hAnsiTheme="majorBidi" w:cstheme="majorBidi"/>
                <w:sz w:val="16"/>
                <w:szCs w:val="16"/>
              </w:rPr>
            </w:pPr>
            <w:r w:rsidRPr="00FC4465">
              <w:rPr>
                <w:rFonts w:asciiTheme="majorBidi" w:hAnsiTheme="majorBidi" w:cstheme="majorBidi"/>
                <w:sz w:val="16"/>
                <w:szCs w:val="16"/>
              </w:rPr>
              <w:t>Los criterios deben cumplirse en 2 repeticiones de 2, o en al menos 2 de 3, en el caso de los métodos de ensayo descritos en los anexos I, II y III, o en 3 repeticiones biológicas válidas, en el caso del método de ensayo descrito en el anexo IV.</w:t>
            </w:r>
          </w:p>
        </w:tc>
      </w:tr>
    </w:tbl>
    <w:p w14:paraId="28FD7DD5" w14:textId="77777777" w:rsidR="00F317F2" w:rsidRPr="00FC4465" w:rsidRDefault="00F317F2" w:rsidP="00F317F2">
      <w:pPr>
        <w:rPr>
          <w:rFonts w:asciiTheme="majorBidi" w:hAnsiTheme="majorBidi" w:cstheme="majorBidi"/>
        </w:rPr>
      </w:pPr>
    </w:p>
    <w:p w14:paraId="1FD12933" w14:textId="77777777" w:rsidR="00F317F2" w:rsidRPr="00FC4465" w:rsidRDefault="00F317F2" w:rsidP="00F317F2">
      <w:pPr>
        <w:rPr>
          <w:rFonts w:asciiTheme="majorBidi" w:hAnsiTheme="majorBidi" w:cstheme="majorBidi"/>
        </w:rPr>
      </w:pPr>
      <w:r w:rsidRPr="00FC4465">
        <w:rPr>
          <w:rFonts w:asciiTheme="majorBidi" w:hAnsiTheme="majorBidi" w:cstheme="majorBidi"/>
        </w:rPr>
        <w:br w:type="page"/>
      </w:r>
    </w:p>
    <w:p w14:paraId="362654AE" w14:textId="77777777" w:rsidR="00F317F2" w:rsidRPr="00FC4465" w:rsidRDefault="00F317F2" w:rsidP="00F317F2">
      <w:pPr>
        <w:rPr>
          <w:rFonts w:asciiTheme="majorBidi" w:hAnsiTheme="majorBidi" w:cstheme="majorBidi"/>
        </w:rPr>
      </w:pPr>
    </w:p>
    <w:p w14:paraId="778B782A" w14:textId="3977ABB0" w:rsidR="00F317F2" w:rsidRPr="00FC4465" w:rsidRDefault="00F317F2" w:rsidP="00F317F2">
      <w:pPr>
        <w:spacing w:after="40"/>
        <w:jc w:val="center"/>
        <w:rPr>
          <w:rFonts w:asciiTheme="majorBidi" w:hAnsiTheme="majorBidi" w:cstheme="majorBidi"/>
          <w:b/>
        </w:rPr>
      </w:pPr>
      <w:r w:rsidRPr="00FC4465">
        <w:rPr>
          <w:rFonts w:asciiTheme="majorBidi" w:hAnsiTheme="majorBidi" w:cstheme="majorBidi"/>
          <w:b/>
          <w:bCs/>
        </w:rPr>
        <w:t xml:space="preserve">Tabla 3.4.8: Criterios para los métodos </w:t>
      </w:r>
      <w:r w:rsidRPr="00FC4465">
        <w:rPr>
          <w:rFonts w:asciiTheme="majorBidi" w:hAnsiTheme="majorBidi" w:cstheme="majorBidi"/>
          <w:b/>
          <w:bCs/>
          <w:i/>
          <w:iCs/>
        </w:rPr>
        <w:t>in</w:t>
      </w:r>
      <w:r w:rsidR="0081160D">
        <w:rPr>
          <w:rFonts w:asciiTheme="majorBidi" w:hAnsiTheme="majorBidi" w:cstheme="majorBidi"/>
          <w:b/>
          <w:bCs/>
          <w:i/>
          <w:iCs/>
        </w:rPr>
        <w:t> chemico</w:t>
      </w:r>
      <w:r w:rsidRPr="00FC4465">
        <w:rPr>
          <w:rFonts w:asciiTheme="majorBidi" w:hAnsiTheme="majorBidi" w:cstheme="majorBidi"/>
          <w:b/>
          <w:bCs/>
        </w:rPr>
        <w:t>/</w:t>
      </w:r>
      <w:r w:rsidR="00762E66">
        <w:rPr>
          <w:rFonts w:asciiTheme="majorBidi" w:hAnsiTheme="majorBidi" w:cstheme="majorBidi"/>
          <w:b/>
          <w:bCs/>
          <w:i/>
          <w:iCs/>
        </w:rPr>
        <w:t>in vitro</w:t>
      </w:r>
      <w:r w:rsidRPr="00FC4465">
        <w:rPr>
          <w:rFonts w:asciiTheme="majorBidi" w:hAnsiTheme="majorBidi" w:cstheme="majorBidi"/>
          <w:b/>
          <w:bCs/>
        </w:rPr>
        <w:t xml:space="preserve"> </w:t>
      </w:r>
      <w:r w:rsidRPr="00FC4465">
        <w:rPr>
          <w:rFonts w:asciiTheme="majorBidi" w:hAnsiTheme="majorBidi" w:cstheme="majorBidi"/>
          <w:b/>
          <w:bCs/>
          <w:i/>
          <w:iCs/>
        </w:rPr>
        <w:t>(continuación)</w:t>
      </w:r>
    </w:p>
    <w:tbl>
      <w:tblPr>
        <w:tblW w:w="141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848"/>
        <w:gridCol w:w="1395"/>
        <w:gridCol w:w="11"/>
        <w:gridCol w:w="1404"/>
        <w:gridCol w:w="1185"/>
        <w:gridCol w:w="2011"/>
        <w:gridCol w:w="1708"/>
        <w:gridCol w:w="1582"/>
        <w:gridCol w:w="1379"/>
        <w:gridCol w:w="1326"/>
        <w:gridCol w:w="1326"/>
      </w:tblGrid>
      <w:tr w:rsidR="00F317F2" w:rsidRPr="00FC4465" w14:paraId="2A35BC7F" w14:textId="77777777" w:rsidTr="00FC4465">
        <w:trPr>
          <w:tblHeader/>
          <w:jc w:val="center"/>
        </w:trPr>
        <w:tc>
          <w:tcPr>
            <w:tcW w:w="848" w:type="dxa"/>
            <w:tcBorders>
              <w:top w:val="single" w:sz="4" w:space="0" w:color="auto"/>
              <w:left w:val="single" w:sz="4" w:space="0" w:color="auto"/>
              <w:bottom w:val="nil"/>
              <w:right w:val="single" w:sz="4" w:space="0" w:color="auto"/>
            </w:tcBorders>
            <w:tcMar>
              <w:top w:w="57" w:type="dxa"/>
              <w:left w:w="57" w:type="dxa"/>
              <w:bottom w:w="57" w:type="dxa"/>
              <w:right w:w="57" w:type="dxa"/>
            </w:tcMar>
            <w:hideMark/>
          </w:tcPr>
          <w:p w14:paraId="3C8DE51C" w14:textId="77777777" w:rsidR="00F317F2" w:rsidRPr="00FC4465" w:rsidRDefault="00F317F2" w:rsidP="00C93947">
            <w:pPr>
              <w:pStyle w:val="ListParagraph"/>
              <w:keepNext/>
              <w:keepLines/>
              <w:spacing w:before="40" w:after="40" w:line="240" w:lineRule="auto"/>
              <w:ind w:left="0"/>
              <w:rPr>
                <w:rFonts w:asciiTheme="majorBidi" w:hAnsiTheme="majorBidi" w:cstheme="majorBidi"/>
                <w:b/>
                <w:sz w:val="16"/>
                <w:szCs w:val="16"/>
                <w:lang w:val="es-ES"/>
              </w:rPr>
            </w:pPr>
            <w:r w:rsidRPr="00FC4465">
              <w:rPr>
                <w:rFonts w:asciiTheme="majorBidi" w:hAnsiTheme="majorBidi" w:cstheme="majorBidi"/>
                <w:b/>
                <w:bCs/>
                <w:sz w:val="16"/>
                <w:szCs w:val="16"/>
                <w:lang w:val="es-ES"/>
              </w:rPr>
              <w:t>Categoría</w:t>
            </w:r>
          </w:p>
        </w:tc>
        <w:tc>
          <w:tcPr>
            <w:tcW w:w="3995" w:type="dxa"/>
            <w:gridSpan w:val="4"/>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hideMark/>
          </w:tcPr>
          <w:p w14:paraId="2A9B34C5" w14:textId="77777777" w:rsidR="00F317F2" w:rsidRPr="00FC4465" w:rsidRDefault="00F317F2" w:rsidP="00C93947">
            <w:pPr>
              <w:keepNext/>
              <w:keepLines/>
              <w:spacing w:line="240" w:lineRule="auto"/>
              <w:jc w:val="center"/>
              <w:rPr>
                <w:rFonts w:asciiTheme="majorBidi" w:hAnsiTheme="majorBidi" w:cstheme="majorBidi"/>
                <w:b/>
                <w:sz w:val="16"/>
                <w:szCs w:val="16"/>
              </w:rPr>
            </w:pPr>
            <w:r w:rsidRPr="00FC4465">
              <w:rPr>
                <w:rFonts w:asciiTheme="majorBidi" w:hAnsiTheme="majorBidi" w:cstheme="majorBidi"/>
                <w:b/>
                <w:bCs/>
                <w:sz w:val="16"/>
                <w:szCs w:val="16"/>
              </w:rPr>
              <w:t>Directriz 442C de la OCDE</w:t>
            </w:r>
            <w:r w:rsidRPr="00FC4465">
              <w:rPr>
                <w:rFonts w:asciiTheme="majorBidi" w:hAnsiTheme="majorBidi" w:cstheme="majorBidi"/>
                <w:sz w:val="16"/>
                <w:szCs w:val="16"/>
              </w:rPr>
              <w:t xml:space="preserve"> </w:t>
            </w:r>
          </w:p>
          <w:p w14:paraId="1F443BFD" w14:textId="548B24B4" w:rsidR="00F317F2" w:rsidRPr="00FC4465" w:rsidRDefault="00F317F2" w:rsidP="00C93947">
            <w:pPr>
              <w:keepNext/>
              <w:keepLines/>
              <w:spacing w:line="240" w:lineRule="auto"/>
              <w:jc w:val="center"/>
              <w:rPr>
                <w:rFonts w:asciiTheme="majorBidi" w:hAnsiTheme="majorBidi" w:cstheme="majorBidi"/>
                <w:b/>
                <w:sz w:val="16"/>
                <w:szCs w:val="16"/>
              </w:rPr>
            </w:pPr>
            <w:r w:rsidRPr="00FC4465">
              <w:rPr>
                <w:rFonts w:asciiTheme="majorBidi" w:hAnsiTheme="majorBidi" w:cstheme="majorBidi"/>
                <w:b/>
                <w:bCs/>
                <w:sz w:val="16"/>
                <w:szCs w:val="16"/>
              </w:rPr>
              <w:t xml:space="preserve">Directriz basada en los eventos clave para los ensayos de sensibilización cutánea </w:t>
            </w:r>
            <w:r w:rsidRPr="00FC4465">
              <w:rPr>
                <w:rFonts w:asciiTheme="majorBidi" w:hAnsiTheme="majorBidi" w:cstheme="majorBidi"/>
                <w:b/>
                <w:bCs/>
                <w:i/>
                <w:iCs/>
                <w:sz w:val="16"/>
                <w:szCs w:val="16"/>
              </w:rPr>
              <w:t>in</w:t>
            </w:r>
            <w:r w:rsidR="0081160D">
              <w:rPr>
                <w:rFonts w:asciiTheme="majorBidi" w:hAnsiTheme="majorBidi" w:cstheme="majorBidi"/>
                <w:b/>
                <w:bCs/>
                <w:i/>
                <w:iCs/>
                <w:sz w:val="16"/>
                <w:szCs w:val="16"/>
              </w:rPr>
              <w:t> chemico</w:t>
            </w:r>
            <w:r w:rsidRPr="00FC4465">
              <w:rPr>
                <w:rFonts w:asciiTheme="majorBidi" w:hAnsiTheme="majorBidi" w:cstheme="majorBidi"/>
                <w:b/>
                <w:bCs/>
                <w:sz w:val="16"/>
                <w:szCs w:val="16"/>
              </w:rPr>
              <w:t xml:space="preserve"> que se centran en el evento clave de la ruta de resultados adversos relativo al establecimiento de una unión covalente con las proteínas</w:t>
            </w:r>
          </w:p>
        </w:tc>
        <w:tc>
          <w:tcPr>
            <w:tcW w:w="3719" w:type="dxa"/>
            <w:gridSpan w:val="2"/>
            <w:tcBorders>
              <w:top w:val="single" w:sz="4" w:space="0" w:color="auto"/>
              <w:left w:val="single" w:sz="4" w:space="0" w:color="auto"/>
              <w:bottom w:val="single" w:sz="4" w:space="0" w:color="auto"/>
              <w:right w:val="single" w:sz="4" w:space="0" w:color="auto"/>
            </w:tcBorders>
          </w:tcPr>
          <w:p w14:paraId="17BE2B42" w14:textId="77777777" w:rsidR="00F317F2" w:rsidRPr="00FC4465" w:rsidRDefault="00F317F2" w:rsidP="00C93947">
            <w:pPr>
              <w:keepNext/>
              <w:keepLines/>
              <w:spacing w:line="240" w:lineRule="auto"/>
              <w:jc w:val="center"/>
              <w:rPr>
                <w:rFonts w:asciiTheme="majorBidi" w:hAnsiTheme="majorBidi" w:cstheme="majorBidi"/>
                <w:b/>
                <w:sz w:val="16"/>
                <w:szCs w:val="16"/>
              </w:rPr>
            </w:pPr>
            <w:r w:rsidRPr="00FC4465">
              <w:rPr>
                <w:rFonts w:asciiTheme="majorBidi" w:hAnsiTheme="majorBidi" w:cstheme="majorBidi"/>
                <w:b/>
                <w:bCs/>
                <w:sz w:val="16"/>
                <w:szCs w:val="16"/>
              </w:rPr>
              <w:t>Directriz 442D de la OCDE</w:t>
            </w:r>
          </w:p>
          <w:p w14:paraId="758E4E5A" w14:textId="2D966BF1" w:rsidR="00F317F2" w:rsidRPr="00FC4465" w:rsidRDefault="00F317F2" w:rsidP="00C93947">
            <w:pPr>
              <w:keepNext/>
              <w:keepLines/>
              <w:spacing w:line="240" w:lineRule="auto"/>
              <w:jc w:val="center"/>
              <w:rPr>
                <w:rFonts w:asciiTheme="majorBidi" w:hAnsiTheme="majorBidi" w:cstheme="majorBidi"/>
                <w:b/>
                <w:sz w:val="16"/>
                <w:szCs w:val="16"/>
              </w:rPr>
            </w:pPr>
            <w:r w:rsidRPr="00FC4465">
              <w:rPr>
                <w:rFonts w:asciiTheme="majorBidi" w:hAnsiTheme="majorBidi" w:cstheme="majorBidi"/>
                <w:b/>
                <w:bCs/>
                <w:sz w:val="16"/>
                <w:szCs w:val="16"/>
              </w:rPr>
              <w:t xml:space="preserve">Directriz basada en los eventos clave para los ensayos de sensibilización cutánea </w:t>
            </w:r>
            <w:r w:rsidR="00762E66">
              <w:rPr>
                <w:rFonts w:asciiTheme="majorBidi" w:hAnsiTheme="majorBidi" w:cstheme="majorBidi"/>
                <w:b/>
                <w:bCs/>
                <w:i/>
                <w:iCs/>
                <w:sz w:val="16"/>
                <w:szCs w:val="16"/>
              </w:rPr>
              <w:t>in vitro</w:t>
            </w:r>
            <w:r w:rsidRPr="00FC4465">
              <w:rPr>
                <w:rFonts w:asciiTheme="majorBidi" w:hAnsiTheme="majorBidi" w:cstheme="majorBidi"/>
                <w:b/>
                <w:bCs/>
                <w:sz w:val="16"/>
                <w:szCs w:val="16"/>
              </w:rPr>
              <w:t xml:space="preserve"> que se centran en el evento clave de la ruta de resultados adversos relativo a la activación de los queratinocitos en la que se describen métodos de ensayo que miden la activación del elemento de respuesta antioxidante mediada por el factor nuclear eritroide 2 (ARE-Nrf2) mediante la luciferasa</w:t>
            </w:r>
            <w:r w:rsidRPr="00FC4465">
              <w:rPr>
                <w:rFonts w:asciiTheme="majorBidi" w:hAnsiTheme="majorBidi" w:cstheme="majorBidi"/>
                <w:sz w:val="16"/>
                <w:szCs w:val="16"/>
              </w:rPr>
              <w:t xml:space="preserve"> </w:t>
            </w:r>
          </w:p>
        </w:tc>
        <w:tc>
          <w:tcPr>
            <w:tcW w:w="5613" w:type="dxa"/>
            <w:gridSpan w:val="4"/>
            <w:tcBorders>
              <w:top w:val="single" w:sz="4" w:space="0" w:color="auto"/>
              <w:left w:val="single" w:sz="4" w:space="0" w:color="auto"/>
              <w:bottom w:val="single" w:sz="4" w:space="0" w:color="auto"/>
              <w:right w:val="single" w:sz="4" w:space="0" w:color="auto"/>
            </w:tcBorders>
          </w:tcPr>
          <w:p w14:paraId="6F60C88E" w14:textId="77777777" w:rsidR="00F317F2" w:rsidRPr="00FC4465" w:rsidRDefault="00F317F2" w:rsidP="00C93947">
            <w:pPr>
              <w:keepNext/>
              <w:keepLines/>
              <w:spacing w:line="240" w:lineRule="auto"/>
              <w:jc w:val="center"/>
              <w:rPr>
                <w:rFonts w:asciiTheme="majorBidi" w:hAnsiTheme="majorBidi" w:cstheme="majorBidi"/>
                <w:b/>
                <w:sz w:val="16"/>
                <w:szCs w:val="16"/>
              </w:rPr>
            </w:pPr>
            <w:r w:rsidRPr="00FC4465">
              <w:rPr>
                <w:rFonts w:asciiTheme="majorBidi" w:hAnsiTheme="majorBidi" w:cstheme="majorBidi"/>
                <w:b/>
                <w:bCs/>
                <w:sz w:val="16"/>
                <w:szCs w:val="16"/>
              </w:rPr>
              <w:t>Directriz 442E de la OCDE</w:t>
            </w:r>
          </w:p>
          <w:p w14:paraId="6EFAE525" w14:textId="6A167520" w:rsidR="00F317F2" w:rsidRPr="00FC4465" w:rsidRDefault="00F317F2" w:rsidP="00C93947">
            <w:pPr>
              <w:keepNext/>
              <w:keepLines/>
              <w:spacing w:line="240" w:lineRule="auto"/>
              <w:jc w:val="center"/>
              <w:rPr>
                <w:rFonts w:asciiTheme="majorBidi" w:hAnsiTheme="majorBidi" w:cstheme="majorBidi"/>
                <w:b/>
                <w:sz w:val="16"/>
                <w:szCs w:val="16"/>
              </w:rPr>
            </w:pPr>
            <w:r w:rsidRPr="00FC4465">
              <w:rPr>
                <w:rFonts w:asciiTheme="majorBidi" w:hAnsiTheme="majorBidi" w:cstheme="majorBidi"/>
                <w:b/>
                <w:bCs/>
                <w:sz w:val="16"/>
                <w:szCs w:val="16"/>
              </w:rPr>
              <w:t xml:space="preserve">Ensayos de sensibilización cutánea </w:t>
            </w:r>
            <w:r w:rsidR="00762E66">
              <w:rPr>
                <w:rFonts w:asciiTheme="majorBidi" w:hAnsiTheme="majorBidi" w:cstheme="majorBidi"/>
                <w:b/>
                <w:bCs/>
                <w:i/>
                <w:iCs/>
                <w:sz w:val="16"/>
                <w:szCs w:val="16"/>
              </w:rPr>
              <w:t>in vitro</w:t>
            </w:r>
            <w:r w:rsidRPr="00FC4465">
              <w:rPr>
                <w:rFonts w:asciiTheme="majorBidi" w:hAnsiTheme="majorBidi" w:cstheme="majorBidi"/>
                <w:b/>
                <w:bCs/>
                <w:sz w:val="16"/>
                <w:szCs w:val="16"/>
              </w:rPr>
              <w:t xml:space="preserve"> que se centran en el evento clave de la ruta de resultados adversos relativo a la activación de las células dendríticas</w:t>
            </w:r>
            <w:r w:rsidRPr="00FC4465">
              <w:rPr>
                <w:rFonts w:asciiTheme="majorBidi" w:hAnsiTheme="majorBidi" w:cstheme="majorBidi"/>
                <w:sz w:val="16"/>
                <w:szCs w:val="16"/>
              </w:rPr>
              <w:t xml:space="preserve"> </w:t>
            </w:r>
          </w:p>
        </w:tc>
      </w:tr>
      <w:tr w:rsidR="00F317F2" w:rsidRPr="00FC4465" w14:paraId="10AA1C72" w14:textId="77777777" w:rsidTr="00FC4465">
        <w:trPr>
          <w:trHeight w:val="406"/>
          <w:tblHeader/>
          <w:jc w:val="center"/>
        </w:trPr>
        <w:tc>
          <w:tcPr>
            <w:tcW w:w="848" w:type="dxa"/>
            <w:vMerge w:val="restart"/>
            <w:tcBorders>
              <w:top w:val="nil"/>
              <w:left w:val="single" w:sz="4" w:space="0" w:color="auto"/>
              <w:right w:val="single" w:sz="4" w:space="0" w:color="auto"/>
            </w:tcBorders>
            <w:tcMar>
              <w:top w:w="57" w:type="dxa"/>
              <w:left w:w="57" w:type="dxa"/>
              <w:bottom w:w="57" w:type="dxa"/>
              <w:right w:w="57" w:type="dxa"/>
            </w:tcMar>
          </w:tcPr>
          <w:p w14:paraId="6A8D17F2" w14:textId="77777777" w:rsidR="00F317F2" w:rsidRPr="00FC4465" w:rsidRDefault="00F317F2" w:rsidP="00C93947">
            <w:pPr>
              <w:spacing w:line="260" w:lineRule="atLeast"/>
              <w:jc w:val="center"/>
              <w:rPr>
                <w:rFonts w:asciiTheme="majorBidi" w:hAnsiTheme="majorBidi" w:cstheme="majorBidi"/>
                <w:sz w:val="16"/>
                <w:szCs w:val="16"/>
              </w:rPr>
            </w:pPr>
          </w:p>
        </w:tc>
        <w:tc>
          <w:tcPr>
            <w:tcW w:w="1395" w:type="dxa"/>
            <w:tcBorders>
              <w:top w:val="single" w:sz="4" w:space="0" w:color="auto"/>
              <w:left w:val="single" w:sz="4" w:space="0" w:color="auto"/>
              <w:bottom w:val="nil"/>
              <w:right w:val="single" w:sz="4" w:space="0" w:color="auto"/>
            </w:tcBorders>
            <w:tcMar>
              <w:top w:w="57" w:type="dxa"/>
              <w:left w:w="57" w:type="dxa"/>
              <w:bottom w:w="57" w:type="dxa"/>
              <w:right w:w="57" w:type="dxa"/>
            </w:tcMar>
          </w:tcPr>
          <w:p w14:paraId="41DC8784" w14:textId="77777777" w:rsidR="00F317F2" w:rsidRPr="00FC4465" w:rsidRDefault="00F317F2" w:rsidP="00C93947">
            <w:pPr>
              <w:spacing w:line="240" w:lineRule="auto"/>
              <w:jc w:val="center"/>
              <w:rPr>
                <w:rFonts w:asciiTheme="majorBidi" w:hAnsiTheme="majorBidi" w:cstheme="majorBidi"/>
                <w:sz w:val="16"/>
                <w:szCs w:val="16"/>
              </w:rPr>
            </w:pPr>
            <w:r w:rsidRPr="00FC4465">
              <w:rPr>
                <w:rFonts w:asciiTheme="majorBidi" w:hAnsiTheme="majorBidi" w:cstheme="majorBidi"/>
                <w:b/>
                <w:bCs/>
                <w:sz w:val="16"/>
                <w:szCs w:val="16"/>
              </w:rPr>
              <w:t>Método descrito en el apéndice I</w:t>
            </w:r>
          </w:p>
        </w:tc>
        <w:tc>
          <w:tcPr>
            <w:tcW w:w="1415" w:type="dxa"/>
            <w:gridSpan w:val="2"/>
            <w:tcBorders>
              <w:top w:val="single" w:sz="4" w:space="0" w:color="auto"/>
              <w:left w:val="single" w:sz="4" w:space="0" w:color="auto"/>
              <w:bottom w:val="nil"/>
              <w:right w:val="single" w:sz="4" w:space="0" w:color="auto"/>
            </w:tcBorders>
          </w:tcPr>
          <w:p w14:paraId="44479C4F" w14:textId="77777777" w:rsidR="00F317F2" w:rsidRPr="00FC4465" w:rsidRDefault="00F317F2" w:rsidP="00C93947">
            <w:pPr>
              <w:spacing w:line="240" w:lineRule="auto"/>
              <w:jc w:val="center"/>
              <w:rPr>
                <w:rFonts w:asciiTheme="majorBidi" w:hAnsiTheme="majorBidi" w:cstheme="majorBidi"/>
                <w:b/>
                <w:bCs/>
                <w:sz w:val="16"/>
                <w:szCs w:val="16"/>
              </w:rPr>
            </w:pPr>
            <w:r w:rsidRPr="00FC4465">
              <w:rPr>
                <w:rFonts w:asciiTheme="majorBidi" w:hAnsiTheme="majorBidi" w:cstheme="majorBidi"/>
                <w:b/>
                <w:bCs/>
                <w:sz w:val="16"/>
                <w:szCs w:val="16"/>
              </w:rPr>
              <w:t>Método descrito en el apéndice II</w:t>
            </w:r>
            <w:r w:rsidRPr="00FC4465">
              <w:rPr>
                <w:rFonts w:asciiTheme="majorBidi" w:hAnsiTheme="majorBidi" w:cstheme="majorBidi"/>
                <w:sz w:val="16"/>
                <w:szCs w:val="16"/>
              </w:rPr>
              <w:t xml:space="preserve"> </w:t>
            </w:r>
          </w:p>
        </w:tc>
        <w:tc>
          <w:tcPr>
            <w:tcW w:w="1185" w:type="dxa"/>
            <w:tcBorders>
              <w:top w:val="single" w:sz="4" w:space="0" w:color="auto"/>
              <w:left w:val="single" w:sz="4" w:space="0" w:color="auto"/>
              <w:bottom w:val="nil"/>
              <w:right w:val="single" w:sz="4" w:space="0" w:color="auto"/>
            </w:tcBorders>
          </w:tcPr>
          <w:p w14:paraId="0A4455E0" w14:textId="77777777" w:rsidR="00F317F2" w:rsidRPr="00FC4465" w:rsidRDefault="00F317F2" w:rsidP="00C93947">
            <w:pPr>
              <w:spacing w:line="240" w:lineRule="auto"/>
              <w:jc w:val="center"/>
              <w:rPr>
                <w:rFonts w:asciiTheme="majorBidi" w:hAnsiTheme="majorBidi" w:cstheme="majorBidi"/>
                <w:sz w:val="16"/>
                <w:szCs w:val="16"/>
              </w:rPr>
            </w:pPr>
            <w:r w:rsidRPr="00FC4465">
              <w:rPr>
                <w:rFonts w:asciiTheme="majorBidi" w:hAnsiTheme="majorBidi" w:cstheme="majorBidi"/>
                <w:b/>
                <w:bCs/>
                <w:sz w:val="16"/>
                <w:szCs w:val="16"/>
              </w:rPr>
              <w:t>Método descrito en el apéndice III</w:t>
            </w:r>
          </w:p>
        </w:tc>
        <w:tc>
          <w:tcPr>
            <w:tcW w:w="2011" w:type="dxa"/>
            <w:tcBorders>
              <w:top w:val="single" w:sz="4" w:space="0" w:color="auto"/>
              <w:left w:val="single" w:sz="4" w:space="0" w:color="auto"/>
              <w:bottom w:val="nil"/>
              <w:right w:val="single" w:sz="4" w:space="0" w:color="auto"/>
            </w:tcBorders>
          </w:tcPr>
          <w:p w14:paraId="7A9F1750" w14:textId="77777777" w:rsidR="00F317F2" w:rsidRPr="00FC4465" w:rsidRDefault="00F317F2" w:rsidP="00C93947">
            <w:pPr>
              <w:spacing w:line="240" w:lineRule="auto"/>
              <w:jc w:val="center"/>
              <w:rPr>
                <w:rFonts w:asciiTheme="majorBidi" w:hAnsiTheme="majorBidi" w:cstheme="majorBidi"/>
                <w:b/>
                <w:sz w:val="16"/>
                <w:szCs w:val="16"/>
              </w:rPr>
            </w:pPr>
            <w:r w:rsidRPr="00FC4465">
              <w:rPr>
                <w:rFonts w:asciiTheme="majorBidi" w:hAnsiTheme="majorBidi" w:cstheme="majorBidi"/>
                <w:b/>
                <w:bCs/>
                <w:sz w:val="16"/>
                <w:szCs w:val="16"/>
              </w:rPr>
              <w:t>Método descrito en el apéndice 1A</w:t>
            </w:r>
            <w:r w:rsidRPr="00FC4465">
              <w:rPr>
                <w:rFonts w:asciiTheme="majorBidi" w:hAnsiTheme="majorBidi" w:cstheme="majorBidi"/>
                <w:b/>
                <w:bCs/>
                <w:sz w:val="16"/>
                <w:szCs w:val="16"/>
                <w:vertAlign w:val="superscript"/>
              </w:rPr>
              <w:t>a</w:t>
            </w:r>
          </w:p>
        </w:tc>
        <w:tc>
          <w:tcPr>
            <w:tcW w:w="1708" w:type="dxa"/>
            <w:tcBorders>
              <w:top w:val="single" w:sz="4" w:space="0" w:color="auto"/>
              <w:left w:val="single" w:sz="4" w:space="0" w:color="auto"/>
              <w:bottom w:val="nil"/>
              <w:right w:val="single" w:sz="4" w:space="0" w:color="auto"/>
            </w:tcBorders>
          </w:tcPr>
          <w:p w14:paraId="444E46F5" w14:textId="77777777" w:rsidR="00F317F2" w:rsidRPr="00FC4465" w:rsidRDefault="00F317F2" w:rsidP="00C93947">
            <w:pPr>
              <w:spacing w:line="240" w:lineRule="auto"/>
              <w:jc w:val="center"/>
              <w:rPr>
                <w:rFonts w:asciiTheme="majorBidi" w:hAnsiTheme="majorBidi" w:cstheme="majorBidi"/>
                <w:b/>
                <w:sz w:val="16"/>
                <w:szCs w:val="16"/>
              </w:rPr>
            </w:pPr>
            <w:r w:rsidRPr="00FC4465">
              <w:rPr>
                <w:rFonts w:asciiTheme="majorBidi" w:hAnsiTheme="majorBidi" w:cstheme="majorBidi"/>
                <w:b/>
                <w:bCs/>
                <w:sz w:val="16"/>
                <w:szCs w:val="16"/>
              </w:rPr>
              <w:t>Método descrito en el apéndice 1B</w:t>
            </w:r>
          </w:p>
        </w:tc>
        <w:tc>
          <w:tcPr>
            <w:tcW w:w="1582" w:type="dxa"/>
            <w:tcBorders>
              <w:top w:val="single" w:sz="4" w:space="0" w:color="auto"/>
              <w:left w:val="single" w:sz="4" w:space="0" w:color="auto"/>
              <w:bottom w:val="nil"/>
              <w:right w:val="single" w:sz="4" w:space="0" w:color="auto"/>
            </w:tcBorders>
          </w:tcPr>
          <w:p w14:paraId="0A04F841" w14:textId="77777777" w:rsidR="00F317F2" w:rsidRPr="00FC4465" w:rsidRDefault="00F317F2" w:rsidP="00C93947">
            <w:pPr>
              <w:spacing w:line="240" w:lineRule="auto"/>
              <w:jc w:val="center"/>
              <w:rPr>
                <w:rFonts w:asciiTheme="majorBidi" w:hAnsiTheme="majorBidi" w:cstheme="majorBidi"/>
                <w:b/>
                <w:sz w:val="16"/>
                <w:szCs w:val="16"/>
              </w:rPr>
            </w:pPr>
            <w:r w:rsidRPr="00FC4465">
              <w:rPr>
                <w:rFonts w:asciiTheme="majorBidi" w:hAnsiTheme="majorBidi" w:cstheme="majorBidi"/>
                <w:b/>
                <w:bCs/>
                <w:sz w:val="16"/>
                <w:szCs w:val="16"/>
              </w:rPr>
              <w:t>Método descrito en el anexo I</w:t>
            </w:r>
          </w:p>
        </w:tc>
        <w:tc>
          <w:tcPr>
            <w:tcW w:w="1379" w:type="dxa"/>
            <w:tcBorders>
              <w:top w:val="single" w:sz="4" w:space="0" w:color="auto"/>
              <w:left w:val="single" w:sz="4" w:space="0" w:color="auto"/>
              <w:bottom w:val="nil"/>
              <w:right w:val="single" w:sz="4" w:space="0" w:color="auto"/>
            </w:tcBorders>
          </w:tcPr>
          <w:p w14:paraId="7BB48185" w14:textId="77777777" w:rsidR="00F317F2" w:rsidRPr="00FC4465" w:rsidRDefault="00F317F2" w:rsidP="00C93947">
            <w:pPr>
              <w:spacing w:line="240" w:lineRule="auto"/>
              <w:jc w:val="center"/>
              <w:rPr>
                <w:rFonts w:asciiTheme="majorBidi" w:hAnsiTheme="majorBidi" w:cstheme="majorBidi"/>
                <w:b/>
                <w:sz w:val="16"/>
                <w:szCs w:val="16"/>
              </w:rPr>
            </w:pPr>
            <w:r w:rsidRPr="00FC4465">
              <w:rPr>
                <w:rFonts w:asciiTheme="majorBidi" w:hAnsiTheme="majorBidi" w:cstheme="majorBidi"/>
                <w:b/>
                <w:bCs/>
                <w:sz w:val="16"/>
                <w:szCs w:val="16"/>
              </w:rPr>
              <w:t>Método descrito en el anexo II</w:t>
            </w:r>
          </w:p>
        </w:tc>
        <w:tc>
          <w:tcPr>
            <w:tcW w:w="1326" w:type="dxa"/>
            <w:tcBorders>
              <w:top w:val="single" w:sz="4" w:space="0" w:color="auto"/>
              <w:left w:val="single" w:sz="4" w:space="0" w:color="auto"/>
              <w:bottom w:val="nil"/>
              <w:right w:val="single" w:sz="4" w:space="0" w:color="auto"/>
            </w:tcBorders>
          </w:tcPr>
          <w:p w14:paraId="56D9B617" w14:textId="77777777" w:rsidR="00F317F2" w:rsidRPr="00FC4465" w:rsidRDefault="00F317F2" w:rsidP="00C93947">
            <w:pPr>
              <w:spacing w:line="240" w:lineRule="auto"/>
              <w:jc w:val="center"/>
              <w:rPr>
                <w:rFonts w:asciiTheme="majorBidi" w:hAnsiTheme="majorBidi" w:cstheme="majorBidi"/>
                <w:b/>
                <w:sz w:val="16"/>
                <w:szCs w:val="16"/>
              </w:rPr>
            </w:pPr>
            <w:r w:rsidRPr="00FC4465">
              <w:rPr>
                <w:rFonts w:asciiTheme="majorBidi" w:hAnsiTheme="majorBidi" w:cstheme="majorBidi"/>
                <w:b/>
                <w:bCs/>
                <w:sz w:val="16"/>
                <w:szCs w:val="16"/>
              </w:rPr>
              <w:t>Método descrito en el anexo III</w:t>
            </w:r>
          </w:p>
        </w:tc>
        <w:tc>
          <w:tcPr>
            <w:tcW w:w="1326" w:type="dxa"/>
            <w:tcBorders>
              <w:top w:val="single" w:sz="4" w:space="0" w:color="auto"/>
              <w:left w:val="single" w:sz="4" w:space="0" w:color="auto"/>
              <w:bottom w:val="nil"/>
              <w:right w:val="single" w:sz="4" w:space="0" w:color="auto"/>
            </w:tcBorders>
          </w:tcPr>
          <w:p w14:paraId="792B640C" w14:textId="77777777" w:rsidR="00F317F2" w:rsidRPr="00FC4465" w:rsidRDefault="00F317F2" w:rsidP="00C93947">
            <w:pPr>
              <w:spacing w:line="240" w:lineRule="auto"/>
              <w:jc w:val="center"/>
              <w:rPr>
                <w:rFonts w:asciiTheme="majorBidi" w:hAnsiTheme="majorBidi" w:cstheme="majorBidi"/>
                <w:b/>
                <w:sz w:val="16"/>
                <w:szCs w:val="16"/>
              </w:rPr>
            </w:pPr>
            <w:r w:rsidRPr="00FC4465">
              <w:rPr>
                <w:rFonts w:asciiTheme="majorBidi" w:hAnsiTheme="majorBidi" w:cstheme="majorBidi"/>
                <w:b/>
                <w:bCs/>
                <w:sz w:val="16"/>
                <w:szCs w:val="16"/>
              </w:rPr>
              <w:t>Método descrito en el anexo IV</w:t>
            </w:r>
            <w:r w:rsidRPr="00FC4465">
              <w:rPr>
                <w:rFonts w:asciiTheme="majorBidi" w:hAnsiTheme="majorBidi" w:cstheme="majorBidi"/>
                <w:sz w:val="16"/>
                <w:szCs w:val="16"/>
              </w:rPr>
              <w:t xml:space="preserve"> </w:t>
            </w:r>
          </w:p>
        </w:tc>
      </w:tr>
      <w:tr w:rsidR="00F317F2" w:rsidRPr="00FC4465" w14:paraId="2C00EAEB" w14:textId="77777777" w:rsidTr="00FC4465">
        <w:trPr>
          <w:trHeight w:val="727"/>
          <w:tblHeader/>
          <w:jc w:val="center"/>
        </w:trPr>
        <w:tc>
          <w:tcPr>
            <w:tcW w:w="848" w:type="dxa"/>
            <w:vMerge/>
            <w:tcBorders>
              <w:left w:val="single" w:sz="4" w:space="0" w:color="auto"/>
              <w:bottom w:val="single" w:sz="4" w:space="0" w:color="auto"/>
              <w:right w:val="single" w:sz="4" w:space="0" w:color="auto"/>
            </w:tcBorders>
            <w:tcMar>
              <w:top w:w="57" w:type="dxa"/>
              <w:left w:w="57" w:type="dxa"/>
              <w:bottom w:w="57" w:type="dxa"/>
              <w:right w:w="57" w:type="dxa"/>
            </w:tcMar>
          </w:tcPr>
          <w:p w14:paraId="6911ED18" w14:textId="77777777" w:rsidR="00F317F2" w:rsidRPr="00FC4465" w:rsidRDefault="00F317F2" w:rsidP="00C93947">
            <w:pPr>
              <w:spacing w:line="260" w:lineRule="atLeast"/>
              <w:jc w:val="center"/>
              <w:rPr>
                <w:rFonts w:asciiTheme="majorBidi" w:hAnsiTheme="majorBidi" w:cstheme="majorBidi"/>
                <w:sz w:val="16"/>
                <w:szCs w:val="16"/>
              </w:rPr>
            </w:pPr>
          </w:p>
        </w:tc>
        <w:tc>
          <w:tcPr>
            <w:tcW w:w="1395" w:type="dxa"/>
            <w:tcBorders>
              <w:top w:val="nil"/>
              <w:left w:val="single" w:sz="4" w:space="0" w:color="auto"/>
              <w:bottom w:val="single" w:sz="4" w:space="0" w:color="auto"/>
              <w:right w:val="single" w:sz="4" w:space="0" w:color="auto"/>
            </w:tcBorders>
            <w:tcMar>
              <w:top w:w="57" w:type="dxa"/>
              <w:left w:w="57" w:type="dxa"/>
              <w:bottom w:w="57" w:type="dxa"/>
              <w:right w:w="57" w:type="dxa"/>
            </w:tcMar>
          </w:tcPr>
          <w:p w14:paraId="6FC1ADF2" w14:textId="77777777" w:rsidR="00F317F2" w:rsidRPr="00FC4465" w:rsidRDefault="00F317F2" w:rsidP="00C93947">
            <w:pPr>
              <w:spacing w:line="240" w:lineRule="auto"/>
              <w:jc w:val="center"/>
              <w:rPr>
                <w:rFonts w:asciiTheme="majorBidi" w:hAnsiTheme="majorBidi" w:cstheme="majorBidi"/>
                <w:b/>
                <w:bCs/>
                <w:sz w:val="16"/>
                <w:szCs w:val="16"/>
              </w:rPr>
            </w:pPr>
            <w:r w:rsidRPr="00FC4465">
              <w:rPr>
                <w:rFonts w:asciiTheme="majorBidi" w:hAnsiTheme="majorBidi" w:cstheme="majorBidi"/>
                <w:b/>
                <w:bCs/>
                <w:sz w:val="16"/>
                <w:szCs w:val="16"/>
              </w:rPr>
              <w:t>Ensayo de reactividad peptídica directa</w:t>
            </w:r>
          </w:p>
          <w:p w14:paraId="743B2342" w14:textId="77777777" w:rsidR="00F317F2" w:rsidRPr="00FC4465" w:rsidRDefault="00F317F2" w:rsidP="00C93947">
            <w:pPr>
              <w:spacing w:line="240" w:lineRule="auto"/>
              <w:jc w:val="center"/>
              <w:rPr>
                <w:rFonts w:asciiTheme="majorBidi" w:hAnsiTheme="majorBidi" w:cstheme="majorBidi"/>
                <w:b/>
                <w:sz w:val="16"/>
                <w:szCs w:val="16"/>
              </w:rPr>
            </w:pPr>
            <w:r w:rsidRPr="00FC4465">
              <w:rPr>
                <w:rFonts w:asciiTheme="majorBidi" w:hAnsiTheme="majorBidi" w:cstheme="majorBidi"/>
                <w:b/>
                <w:bCs/>
                <w:sz w:val="16"/>
                <w:szCs w:val="16"/>
              </w:rPr>
              <w:t>(DPRA)</w:t>
            </w:r>
            <w:r w:rsidRPr="00FC4465">
              <w:rPr>
                <w:rFonts w:asciiTheme="majorBidi" w:hAnsiTheme="majorBidi" w:cstheme="majorBidi"/>
                <w:b/>
                <w:bCs/>
                <w:sz w:val="16"/>
                <w:szCs w:val="16"/>
                <w:vertAlign w:val="superscript"/>
              </w:rPr>
              <w:t>a</w:t>
            </w:r>
          </w:p>
        </w:tc>
        <w:tc>
          <w:tcPr>
            <w:tcW w:w="1415" w:type="dxa"/>
            <w:gridSpan w:val="2"/>
            <w:tcBorders>
              <w:top w:val="nil"/>
              <w:left w:val="single" w:sz="4" w:space="0" w:color="auto"/>
              <w:bottom w:val="single" w:sz="4" w:space="0" w:color="auto"/>
              <w:right w:val="single" w:sz="4" w:space="0" w:color="auto"/>
            </w:tcBorders>
          </w:tcPr>
          <w:p w14:paraId="1BC48F0B" w14:textId="77777777" w:rsidR="00F317F2" w:rsidRPr="00FC4465" w:rsidRDefault="00F317F2" w:rsidP="00C93947">
            <w:pPr>
              <w:spacing w:line="240" w:lineRule="auto"/>
              <w:jc w:val="center"/>
              <w:rPr>
                <w:rFonts w:asciiTheme="majorBidi" w:hAnsiTheme="majorBidi" w:cstheme="majorBidi"/>
                <w:b/>
                <w:sz w:val="16"/>
                <w:szCs w:val="16"/>
              </w:rPr>
            </w:pPr>
            <w:r w:rsidRPr="00FC4465">
              <w:rPr>
                <w:rFonts w:asciiTheme="majorBidi" w:hAnsiTheme="majorBidi" w:cstheme="majorBidi"/>
                <w:b/>
                <w:bCs/>
                <w:sz w:val="16"/>
                <w:szCs w:val="16"/>
              </w:rPr>
              <w:t>Ensayo de reactividad de derivados de aminoácidos (ADRA)</w:t>
            </w:r>
            <w:r w:rsidRPr="00FC4465">
              <w:rPr>
                <w:rFonts w:asciiTheme="majorBidi" w:hAnsiTheme="majorBidi" w:cstheme="majorBidi"/>
                <w:b/>
                <w:bCs/>
                <w:sz w:val="16"/>
                <w:szCs w:val="16"/>
                <w:vertAlign w:val="superscript"/>
              </w:rPr>
              <w:t>a</w:t>
            </w:r>
            <w:r w:rsidRPr="00FC4465">
              <w:rPr>
                <w:rFonts w:asciiTheme="majorBidi" w:hAnsiTheme="majorBidi" w:cstheme="majorBidi"/>
                <w:sz w:val="16"/>
                <w:szCs w:val="16"/>
              </w:rPr>
              <w:t xml:space="preserve"> </w:t>
            </w:r>
          </w:p>
        </w:tc>
        <w:tc>
          <w:tcPr>
            <w:tcW w:w="1185" w:type="dxa"/>
            <w:tcBorders>
              <w:top w:val="nil"/>
              <w:left w:val="single" w:sz="4" w:space="0" w:color="auto"/>
              <w:bottom w:val="single" w:sz="4" w:space="0" w:color="auto"/>
              <w:right w:val="single" w:sz="4" w:space="0" w:color="auto"/>
            </w:tcBorders>
          </w:tcPr>
          <w:p w14:paraId="5EB05A68" w14:textId="77777777" w:rsidR="00F317F2" w:rsidRPr="00FC4465" w:rsidRDefault="00F317F2" w:rsidP="00C93947">
            <w:pPr>
              <w:spacing w:line="240" w:lineRule="auto"/>
              <w:jc w:val="center"/>
              <w:rPr>
                <w:rFonts w:asciiTheme="majorBidi" w:hAnsiTheme="majorBidi" w:cstheme="majorBidi"/>
                <w:b/>
                <w:sz w:val="16"/>
                <w:szCs w:val="16"/>
              </w:rPr>
            </w:pPr>
            <w:r w:rsidRPr="00FC4465">
              <w:rPr>
                <w:rFonts w:asciiTheme="majorBidi" w:hAnsiTheme="majorBidi" w:cstheme="majorBidi"/>
                <w:b/>
                <w:bCs/>
                <w:sz w:val="16"/>
                <w:szCs w:val="16"/>
              </w:rPr>
              <w:t>Ensayo cinético de reactividad peptídica directa (kDPRA)</w:t>
            </w:r>
            <w:r w:rsidRPr="00FC4465">
              <w:rPr>
                <w:rFonts w:asciiTheme="majorBidi" w:hAnsiTheme="majorBidi" w:cstheme="majorBidi"/>
                <w:b/>
                <w:bCs/>
                <w:sz w:val="16"/>
                <w:szCs w:val="16"/>
                <w:vertAlign w:val="superscript"/>
              </w:rPr>
              <w:t>b</w:t>
            </w:r>
          </w:p>
        </w:tc>
        <w:tc>
          <w:tcPr>
            <w:tcW w:w="2011" w:type="dxa"/>
            <w:tcBorders>
              <w:top w:val="nil"/>
              <w:left w:val="single" w:sz="4" w:space="0" w:color="auto"/>
              <w:bottom w:val="single" w:sz="4" w:space="0" w:color="auto"/>
              <w:right w:val="single" w:sz="4" w:space="0" w:color="auto"/>
            </w:tcBorders>
          </w:tcPr>
          <w:p w14:paraId="2E893793" w14:textId="77777777" w:rsidR="00F317F2" w:rsidRPr="00FC4465" w:rsidRDefault="00F317F2" w:rsidP="00C93947">
            <w:pPr>
              <w:spacing w:line="240" w:lineRule="auto"/>
              <w:jc w:val="center"/>
              <w:rPr>
                <w:rFonts w:asciiTheme="majorBidi" w:hAnsiTheme="majorBidi" w:cstheme="majorBidi"/>
                <w:b/>
                <w:sz w:val="16"/>
                <w:szCs w:val="16"/>
              </w:rPr>
            </w:pPr>
          </w:p>
        </w:tc>
        <w:tc>
          <w:tcPr>
            <w:tcW w:w="1708" w:type="dxa"/>
            <w:tcBorders>
              <w:top w:val="nil"/>
              <w:left w:val="single" w:sz="4" w:space="0" w:color="auto"/>
              <w:bottom w:val="single" w:sz="4" w:space="0" w:color="auto"/>
              <w:right w:val="single" w:sz="4" w:space="0" w:color="auto"/>
            </w:tcBorders>
          </w:tcPr>
          <w:p w14:paraId="6125DC8A" w14:textId="77777777" w:rsidR="00F317F2" w:rsidRPr="00FC4465" w:rsidRDefault="00F317F2" w:rsidP="00C93947">
            <w:pPr>
              <w:spacing w:line="240" w:lineRule="auto"/>
              <w:jc w:val="center"/>
              <w:rPr>
                <w:rFonts w:asciiTheme="majorBidi" w:hAnsiTheme="majorBidi" w:cstheme="majorBidi"/>
                <w:b/>
                <w:sz w:val="16"/>
                <w:szCs w:val="16"/>
              </w:rPr>
            </w:pPr>
            <w:r w:rsidRPr="00FC4465">
              <w:rPr>
                <w:rFonts w:asciiTheme="majorBidi" w:hAnsiTheme="majorBidi" w:cstheme="majorBidi"/>
                <w:b/>
                <w:bCs/>
                <w:sz w:val="16"/>
                <w:szCs w:val="16"/>
              </w:rPr>
              <w:t>Lusens</w:t>
            </w:r>
            <w:r w:rsidRPr="00FC4465">
              <w:rPr>
                <w:rFonts w:asciiTheme="majorBidi" w:hAnsiTheme="majorBidi" w:cstheme="majorBidi"/>
                <w:b/>
                <w:bCs/>
                <w:sz w:val="16"/>
                <w:szCs w:val="16"/>
                <w:vertAlign w:val="superscript"/>
              </w:rPr>
              <w:t>a</w:t>
            </w:r>
          </w:p>
        </w:tc>
        <w:tc>
          <w:tcPr>
            <w:tcW w:w="1582" w:type="dxa"/>
            <w:tcBorders>
              <w:top w:val="nil"/>
              <w:left w:val="single" w:sz="4" w:space="0" w:color="auto"/>
              <w:bottom w:val="single" w:sz="4" w:space="0" w:color="auto"/>
              <w:right w:val="single" w:sz="4" w:space="0" w:color="auto"/>
            </w:tcBorders>
          </w:tcPr>
          <w:p w14:paraId="048A87AF" w14:textId="77777777" w:rsidR="00F317F2" w:rsidRPr="00FC4465" w:rsidRDefault="00F317F2" w:rsidP="00C93947">
            <w:pPr>
              <w:spacing w:line="240" w:lineRule="auto"/>
              <w:jc w:val="center"/>
              <w:rPr>
                <w:rFonts w:asciiTheme="majorBidi" w:hAnsiTheme="majorBidi" w:cstheme="majorBidi"/>
                <w:b/>
                <w:sz w:val="16"/>
                <w:szCs w:val="16"/>
              </w:rPr>
            </w:pPr>
            <w:r w:rsidRPr="00FC4465">
              <w:rPr>
                <w:rFonts w:asciiTheme="majorBidi" w:hAnsiTheme="majorBidi" w:cstheme="majorBidi"/>
                <w:b/>
                <w:bCs/>
                <w:sz w:val="16"/>
                <w:szCs w:val="16"/>
              </w:rPr>
              <w:t>Ensayo de activación de la línea celular humana (h-CLAT)</w:t>
            </w:r>
            <w:r w:rsidRPr="00FC4465">
              <w:rPr>
                <w:rFonts w:asciiTheme="majorBidi" w:hAnsiTheme="majorBidi" w:cstheme="majorBidi"/>
                <w:b/>
                <w:bCs/>
                <w:sz w:val="16"/>
                <w:szCs w:val="16"/>
                <w:vertAlign w:val="superscript"/>
              </w:rPr>
              <w:t>a</w:t>
            </w:r>
          </w:p>
        </w:tc>
        <w:tc>
          <w:tcPr>
            <w:tcW w:w="1379" w:type="dxa"/>
            <w:tcBorders>
              <w:top w:val="nil"/>
              <w:left w:val="single" w:sz="4" w:space="0" w:color="auto"/>
              <w:bottom w:val="single" w:sz="4" w:space="0" w:color="auto"/>
              <w:right w:val="single" w:sz="4" w:space="0" w:color="auto"/>
            </w:tcBorders>
          </w:tcPr>
          <w:p w14:paraId="5183E71E" w14:textId="77777777" w:rsidR="00F317F2" w:rsidRPr="00FC4465" w:rsidRDefault="00F317F2" w:rsidP="00C93947">
            <w:pPr>
              <w:spacing w:line="240" w:lineRule="auto"/>
              <w:jc w:val="center"/>
              <w:rPr>
                <w:rFonts w:asciiTheme="majorBidi" w:hAnsiTheme="majorBidi" w:cstheme="majorBidi"/>
                <w:b/>
                <w:sz w:val="16"/>
                <w:szCs w:val="16"/>
              </w:rPr>
            </w:pPr>
            <w:r w:rsidRPr="00FC4465">
              <w:rPr>
                <w:rFonts w:asciiTheme="majorBidi" w:hAnsiTheme="majorBidi" w:cstheme="majorBidi"/>
                <w:b/>
                <w:bCs/>
                <w:sz w:val="16"/>
                <w:szCs w:val="16"/>
              </w:rPr>
              <w:t>Ensayo de activación de la línea celular U937</w:t>
            </w:r>
            <w:r w:rsidRPr="00FC4465">
              <w:rPr>
                <w:rFonts w:asciiTheme="majorBidi" w:hAnsiTheme="majorBidi" w:cstheme="majorBidi"/>
                <w:b/>
                <w:bCs/>
                <w:sz w:val="16"/>
                <w:szCs w:val="16"/>
                <w:vertAlign w:val="superscript"/>
              </w:rPr>
              <w:t>a</w:t>
            </w:r>
            <w:r w:rsidRPr="00FC4465">
              <w:rPr>
                <w:rFonts w:asciiTheme="majorBidi" w:hAnsiTheme="majorBidi" w:cstheme="majorBidi"/>
                <w:sz w:val="16"/>
                <w:szCs w:val="16"/>
              </w:rPr>
              <w:t xml:space="preserve"> </w:t>
            </w:r>
          </w:p>
          <w:p w14:paraId="4C46399F" w14:textId="77777777" w:rsidR="00F317F2" w:rsidRPr="00FC4465" w:rsidRDefault="00F317F2" w:rsidP="00C93947">
            <w:pPr>
              <w:spacing w:line="240" w:lineRule="auto"/>
              <w:jc w:val="center"/>
              <w:rPr>
                <w:rFonts w:asciiTheme="majorBidi" w:hAnsiTheme="majorBidi" w:cstheme="majorBidi"/>
                <w:b/>
                <w:sz w:val="16"/>
                <w:szCs w:val="16"/>
              </w:rPr>
            </w:pPr>
          </w:p>
        </w:tc>
        <w:tc>
          <w:tcPr>
            <w:tcW w:w="1326" w:type="dxa"/>
            <w:tcBorders>
              <w:top w:val="nil"/>
              <w:left w:val="single" w:sz="4" w:space="0" w:color="auto"/>
              <w:bottom w:val="single" w:sz="4" w:space="0" w:color="auto"/>
              <w:right w:val="single" w:sz="4" w:space="0" w:color="auto"/>
            </w:tcBorders>
          </w:tcPr>
          <w:p w14:paraId="3D1D6CCB" w14:textId="69E89689" w:rsidR="00F317F2" w:rsidRPr="00FC4465" w:rsidRDefault="00F317F2" w:rsidP="00C93947">
            <w:pPr>
              <w:spacing w:line="240" w:lineRule="auto"/>
              <w:jc w:val="center"/>
              <w:rPr>
                <w:rFonts w:asciiTheme="majorBidi" w:hAnsiTheme="majorBidi" w:cstheme="majorBidi"/>
                <w:b/>
                <w:sz w:val="16"/>
                <w:szCs w:val="16"/>
              </w:rPr>
            </w:pPr>
            <w:r w:rsidRPr="00FC4465">
              <w:rPr>
                <w:rFonts w:asciiTheme="majorBidi" w:hAnsiTheme="majorBidi" w:cstheme="majorBidi"/>
                <w:b/>
                <w:bCs/>
                <w:sz w:val="16"/>
                <w:szCs w:val="16"/>
              </w:rPr>
              <w:t xml:space="preserve">Ensayo de interleucina 8 luciferasa </w:t>
            </w:r>
            <w:r w:rsidR="0081508F">
              <w:rPr>
                <w:rFonts w:asciiTheme="majorBidi" w:hAnsiTheme="majorBidi" w:cstheme="majorBidi"/>
                <w:b/>
                <w:bCs/>
                <w:sz w:val="16"/>
                <w:szCs w:val="16"/>
              </w:rPr>
              <w:br/>
            </w:r>
            <w:r w:rsidRPr="00FC4465">
              <w:rPr>
                <w:rFonts w:asciiTheme="majorBidi" w:hAnsiTheme="majorBidi" w:cstheme="majorBidi"/>
                <w:b/>
                <w:bCs/>
                <w:sz w:val="16"/>
                <w:szCs w:val="16"/>
              </w:rPr>
              <w:t>(IL-8 Luc)</w:t>
            </w:r>
            <w:r w:rsidRPr="00FC4465">
              <w:rPr>
                <w:rFonts w:asciiTheme="majorBidi" w:hAnsiTheme="majorBidi" w:cstheme="majorBidi"/>
                <w:b/>
                <w:bCs/>
                <w:sz w:val="16"/>
                <w:szCs w:val="16"/>
                <w:vertAlign w:val="superscript"/>
              </w:rPr>
              <w:t>a</w:t>
            </w:r>
          </w:p>
        </w:tc>
        <w:tc>
          <w:tcPr>
            <w:tcW w:w="1326" w:type="dxa"/>
            <w:tcBorders>
              <w:top w:val="nil"/>
              <w:left w:val="single" w:sz="4" w:space="0" w:color="auto"/>
              <w:bottom w:val="single" w:sz="4" w:space="0" w:color="auto"/>
              <w:right w:val="single" w:sz="4" w:space="0" w:color="auto"/>
            </w:tcBorders>
          </w:tcPr>
          <w:p w14:paraId="2CE36E08" w14:textId="77777777" w:rsidR="00F317F2" w:rsidRPr="00FC4465" w:rsidRDefault="00F317F2" w:rsidP="00C93947">
            <w:pPr>
              <w:spacing w:line="240" w:lineRule="auto"/>
              <w:jc w:val="center"/>
              <w:rPr>
                <w:rFonts w:asciiTheme="majorBidi" w:hAnsiTheme="majorBidi" w:cstheme="majorBidi"/>
                <w:b/>
                <w:sz w:val="16"/>
                <w:szCs w:val="16"/>
              </w:rPr>
            </w:pPr>
            <w:r w:rsidRPr="00FC4465">
              <w:rPr>
                <w:rFonts w:asciiTheme="majorBidi" w:hAnsiTheme="majorBidi" w:cstheme="majorBidi"/>
                <w:b/>
                <w:bCs/>
                <w:sz w:val="16"/>
                <w:szCs w:val="16"/>
              </w:rPr>
              <w:t>Detección genómica rápida de alérgenos para la evaluación de sensibilizantes cutáneos</w:t>
            </w:r>
            <w:r w:rsidRPr="00FC4465">
              <w:rPr>
                <w:rFonts w:asciiTheme="majorBidi" w:hAnsiTheme="majorBidi" w:cstheme="majorBidi"/>
                <w:b/>
                <w:bCs/>
                <w:sz w:val="16"/>
                <w:szCs w:val="16"/>
                <w:vertAlign w:val="superscript"/>
              </w:rPr>
              <w:t>a</w:t>
            </w:r>
          </w:p>
        </w:tc>
      </w:tr>
      <w:tr w:rsidR="00F317F2" w:rsidRPr="00FC4465" w14:paraId="44ED66D8" w14:textId="77777777" w:rsidTr="00FC4465">
        <w:trPr>
          <w:trHeight w:val="4331"/>
          <w:jc w:val="center"/>
        </w:trPr>
        <w:tc>
          <w:tcPr>
            <w:tcW w:w="848"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hideMark/>
          </w:tcPr>
          <w:p w14:paraId="3A41142F" w14:textId="77777777" w:rsidR="00F317F2" w:rsidRPr="00FC4465" w:rsidRDefault="00F317F2" w:rsidP="00C93947">
            <w:pPr>
              <w:keepNext/>
              <w:keepLines/>
              <w:spacing w:before="40" w:after="40" w:line="240" w:lineRule="auto"/>
              <w:jc w:val="center"/>
              <w:rPr>
                <w:rFonts w:asciiTheme="majorBidi" w:hAnsiTheme="majorBidi" w:cstheme="majorBidi"/>
                <w:b/>
                <w:bCs/>
                <w:sz w:val="16"/>
                <w:szCs w:val="16"/>
              </w:rPr>
            </w:pPr>
            <w:r w:rsidRPr="00FC4465">
              <w:rPr>
                <w:rFonts w:asciiTheme="majorBidi" w:hAnsiTheme="majorBidi" w:cstheme="majorBidi"/>
                <w:b/>
                <w:bCs/>
                <w:sz w:val="16"/>
                <w:szCs w:val="16"/>
              </w:rPr>
              <w:t>1</w:t>
            </w:r>
          </w:p>
        </w:tc>
        <w:tc>
          <w:tcPr>
            <w:tcW w:w="1406" w:type="dxa"/>
            <w:gridSpan w:val="2"/>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hideMark/>
          </w:tcPr>
          <w:p w14:paraId="6DB02E9B" w14:textId="53E84319" w:rsidR="00F317F2" w:rsidRPr="00FC4465" w:rsidRDefault="00F317F2" w:rsidP="00C93947">
            <w:pPr>
              <w:keepNext/>
              <w:keepLines/>
              <w:spacing w:before="40" w:after="40" w:line="240" w:lineRule="auto"/>
              <w:rPr>
                <w:rFonts w:asciiTheme="majorBidi" w:hAnsiTheme="majorBidi" w:cstheme="majorBidi"/>
                <w:sz w:val="16"/>
                <w:szCs w:val="16"/>
              </w:rPr>
            </w:pPr>
            <w:r w:rsidRPr="00FC4465">
              <w:rPr>
                <w:rFonts w:asciiTheme="majorBidi" w:hAnsiTheme="majorBidi" w:cstheme="majorBidi"/>
                <w:sz w:val="16"/>
                <w:szCs w:val="16"/>
              </w:rPr>
              <w:t>Reducción media de cisteína/lisina &gt; 6,38</w:t>
            </w:r>
            <w:r w:rsidR="008C5013" w:rsidRPr="00FC4465">
              <w:rPr>
                <w:rFonts w:asciiTheme="majorBidi" w:hAnsiTheme="majorBidi" w:cstheme="majorBidi"/>
                <w:sz w:val="16"/>
                <w:szCs w:val="16"/>
              </w:rPr>
              <w:t> %</w:t>
            </w:r>
          </w:p>
          <w:p w14:paraId="1AF8E0DA" w14:textId="77777777" w:rsidR="00F317F2" w:rsidRPr="00FC4465" w:rsidRDefault="00F317F2" w:rsidP="00C93947">
            <w:pPr>
              <w:keepNext/>
              <w:keepLines/>
              <w:spacing w:before="40" w:after="40" w:line="240" w:lineRule="auto"/>
              <w:rPr>
                <w:rFonts w:asciiTheme="majorBidi" w:hAnsiTheme="majorBidi" w:cstheme="majorBidi"/>
                <w:sz w:val="16"/>
                <w:szCs w:val="16"/>
              </w:rPr>
            </w:pPr>
            <w:r w:rsidRPr="00FC4465">
              <w:rPr>
                <w:rFonts w:asciiTheme="majorBidi" w:hAnsiTheme="majorBidi" w:cstheme="majorBidi"/>
                <w:sz w:val="16"/>
                <w:szCs w:val="16"/>
              </w:rPr>
              <w:t xml:space="preserve">O bien </w:t>
            </w:r>
          </w:p>
          <w:p w14:paraId="58D6DE71" w14:textId="3E58E562" w:rsidR="00F317F2" w:rsidRPr="00FC4465" w:rsidRDefault="00F317F2" w:rsidP="00C93947">
            <w:pPr>
              <w:keepNext/>
              <w:keepLines/>
              <w:tabs>
                <w:tab w:val="left" w:pos="294"/>
              </w:tabs>
              <w:spacing w:before="40" w:after="40" w:line="240" w:lineRule="auto"/>
              <w:rPr>
                <w:rFonts w:asciiTheme="majorBidi" w:hAnsiTheme="majorBidi" w:cstheme="majorBidi"/>
                <w:sz w:val="16"/>
                <w:szCs w:val="16"/>
              </w:rPr>
            </w:pPr>
            <w:r w:rsidRPr="00FC4465">
              <w:rPr>
                <w:rFonts w:asciiTheme="majorBidi" w:hAnsiTheme="majorBidi" w:cstheme="majorBidi"/>
                <w:sz w:val="16"/>
                <w:szCs w:val="16"/>
              </w:rPr>
              <w:t>Reducción media de cisteína &gt; 13,89</w:t>
            </w:r>
            <w:r w:rsidR="008C5013" w:rsidRPr="00FC4465">
              <w:rPr>
                <w:rFonts w:asciiTheme="majorBidi" w:hAnsiTheme="majorBidi" w:cstheme="majorBidi"/>
                <w:sz w:val="16"/>
                <w:szCs w:val="16"/>
              </w:rPr>
              <w:t> %</w:t>
            </w:r>
          </w:p>
        </w:tc>
        <w:tc>
          <w:tcPr>
            <w:tcW w:w="1404" w:type="dxa"/>
            <w:tcBorders>
              <w:top w:val="single" w:sz="4" w:space="0" w:color="auto"/>
              <w:left w:val="single" w:sz="4" w:space="0" w:color="auto"/>
              <w:bottom w:val="single" w:sz="4" w:space="0" w:color="auto"/>
              <w:right w:val="single" w:sz="4" w:space="0" w:color="auto"/>
            </w:tcBorders>
          </w:tcPr>
          <w:p w14:paraId="46206752" w14:textId="67EC6BB1" w:rsidR="00F317F2" w:rsidRPr="00FC4465" w:rsidRDefault="00F317F2" w:rsidP="00C93947">
            <w:pPr>
              <w:keepNext/>
              <w:keepLines/>
              <w:spacing w:before="40" w:after="40" w:line="240" w:lineRule="auto"/>
              <w:rPr>
                <w:rFonts w:asciiTheme="majorBidi" w:hAnsiTheme="majorBidi" w:cstheme="majorBidi"/>
                <w:sz w:val="16"/>
                <w:szCs w:val="16"/>
              </w:rPr>
            </w:pPr>
            <w:r w:rsidRPr="00FC4465">
              <w:rPr>
                <w:rFonts w:asciiTheme="majorBidi" w:hAnsiTheme="majorBidi" w:cstheme="majorBidi"/>
                <w:sz w:val="16"/>
                <w:szCs w:val="16"/>
              </w:rPr>
              <w:t xml:space="preserve">Reducción media de NAC y </w:t>
            </w:r>
            <w:r w:rsidR="00346069">
              <w:rPr>
                <w:rFonts w:asciiTheme="majorBidi" w:hAnsiTheme="majorBidi" w:cstheme="majorBidi"/>
                <w:sz w:val="16"/>
                <w:szCs w:val="16"/>
              </w:rPr>
              <w:br/>
            </w:r>
            <w:r w:rsidRPr="00FC4465">
              <w:rPr>
                <w:rFonts w:asciiTheme="majorBidi" w:hAnsiTheme="majorBidi" w:cstheme="majorBidi"/>
                <w:sz w:val="16"/>
                <w:szCs w:val="16"/>
              </w:rPr>
              <w:t>NAL</w:t>
            </w:r>
            <w:r w:rsidR="008C5013" w:rsidRPr="00FC4465">
              <w:rPr>
                <w:rFonts w:asciiTheme="majorBidi" w:hAnsiTheme="majorBidi" w:cstheme="majorBidi"/>
                <w:sz w:val="16"/>
                <w:szCs w:val="16"/>
              </w:rPr>
              <w:t> </w:t>
            </w:r>
            <w:r w:rsidRPr="00FC4465">
              <w:rPr>
                <w:rFonts w:asciiTheme="majorBidi" w:hAnsiTheme="majorBidi" w:cstheme="majorBidi"/>
                <w:sz w:val="16"/>
                <w:szCs w:val="16"/>
              </w:rPr>
              <w:t xml:space="preserve"> ≥ 4,9</w:t>
            </w:r>
            <w:r w:rsidR="008C5013" w:rsidRPr="00FC4465">
              <w:rPr>
                <w:rFonts w:asciiTheme="majorBidi" w:hAnsiTheme="majorBidi" w:cstheme="majorBidi"/>
                <w:sz w:val="16"/>
                <w:szCs w:val="16"/>
              </w:rPr>
              <w:t> %</w:t>
            </w:r>
            <w:r w:rsidRPr="00FC4465">
              <w:rPr>
                <w:rFonts w:asciiTheme="majorBidi" w:hAnsiTheme="majorBidi" w:cstheme="majorBidi"/>
                <w:sz w:val="16"/>
                <w:szCs w:val="16"/>
              </w:rPr>
              <w:t xml:space="preserve"> </w:t>
            </w:r>
          </w:p>
          <w:p w14:paraId="64289F8F" w14:textId="77777777" w:rsidR="00F317F2" w:rsidRPr="00FC4465" w:rsidRDefault="00F317F2" w:rsidP="00C93947">
            <w:pPr>
              <w:keepNext/>
              <w:keepLines/>
              <w:tabs>
                <w:tab w:val="left" w:pos="294"/>
              </w:tabs>
              <w:spacing w:before="40" w:after="40" w:line="240" w:lineRule="auto"/>
              <w:rPr>
                <w:rFonts w:asciiTheme="majorBidi" w:hAnsiTheme="majorBidi" w:cstheme="majorBidi"/>
                <w:sz w:val="16"/>
                <w:szCs w:val="16"/>
              </w:rPr>
            </w:pPr>
            <w:r w:rsidRPr="00FC4465">
              <w:rPr>
                <w:rFonts w:asciiTheme="majorBidi" w:hAnsiTheme="majorBidi" w:cstheme="majorBidi"/>
                <w:sz w:val="16"/>
                <w:szCs w:val="16"/>
              </w:rPr>
              <w:t>O bien</w:t>
            </w:r>
          </w:p>
          <w:p w14:paraId="057E2AF0" w14:textId="057A927F" w:rsidR="00F317F2" w:rsidRPr="00FC4465" w:rsidRDefault="00F317F2" w:rsidP="00C93947">
            <w:pPr>
              <w:keepNext/>
              <w:keepLines/>
              <w:tabs>
                <w:tab w:val="left" w:pos="294"/>
              </w:tabs>
              <w:spacing w:before="40" w:after="40" w:line="240" w:lineRule="auto"/>
              <w:rPr>
                <w:rFonts w:asciiTheme="majorBidi" w:hAnsiTheme="majorBidi" w:cstheme="majorBidi"/>
                <w:sz w:val="16"/>
                <w:szCs w:val="16"/>
              </w:rPr>
            </w:pPr>
            <w:r w:rsidRPr="00FC4465">
              <w:rPr>
                <w:rFonts w:asciiTheme="majorBidi" w:hAnsiTheme="majorBidi" w:cstheme="majorBidi"/>
                <w:sz w:val="16"/>
                <w:szCs w:val="16"/>
              </w:rPr>
              <w:t xml:space="preserve">Reducción de </w:t>
            </w:r>
            <w:r w:rsidR="0081508F">
              <w:rPr>
                <w:rFonts w:asciiTheme="majorBidi" w:hAnsiTheme="majorBidi" w:cstheme="majorBidi"/>
                <w:sz w:val="16"/>
                <w:szCs w:val="16"/>
              </w:rPr>
              <w:br/>
            </w:r>
            <w:r w:rsidRPr="00FC4465">
              <w:rPr>
                <w:rFonts w:asciiTheme="majorBidi" w:hAnsiTheme="majorBidi" w:cstheme="majorBidi"/>
                <w:sz w:val="16"/>
                <w:szCs w:val="16"/>
              </w:rPr>
              <w:t>NAC ≥ 5,6</w:t>
            </w:r>
            <w:r w:rsidR="008C5013" w:rsidRPr="00FC4465">
              <w:rPr>
                <w:rFonts w:asciiTheme="majorBidi" w:hAnsiTheme="majorBidi" w:cstheme="majorBidi"/>
                <w:sz w:val="16"/>
                <w:szCs w:val="16"/>
              </w:rPr>
              <w:t> %</w:t>
            </w:r>
          </w:p>
        </w:tc>
        <w:tc>
          <w:tcPr>
            <w:tcW w:w="1185" w:type="dxa"/>
            <w:tcBorders>
              <w:top w:val="single" w:sz="4" w:space="0" w:color="auto"/>
              <w:left w:val="single" w:sz="4" w:space="0" w:color="auto"/>
              <w:bottom w:val="single" w:sz="4" w:space="0" w:color="auto"/>
              <w:right w:val="single" w:sz="4" w:space="0" w:color="auto"/>
            </w:tcBorders>
          </w:tcPr>
          <w:p w14:paraId="5441E193" w14:textId="77777777" w:rsidR="00F317F2" w:rsidRPr="00FC4465" w:rsidRDefault="00F317F2" w:rsidP="00C93947">
            <w:pPr>
              <w:keepNext/>
              <w:keepLines/>
              <w:tabs>
                <w:tab w:val="left" w:pos="294"/>
              </w:tabs>
              <w:spacing w:before="40" w:after="40" w:line="240" w:lineRule="auto"/>
              <w:rPr>
                <w:rFonts w:asciiTheme="majorBidi" w:hAnsiTheme="majorBidi" w:cstheme="majorBidi"/>
                <w:sz w:val="16"/>
                <w:szCs w:val="16"/>
              </w:rPr>
            </w:pPr>
            <w:r w:rsidRPr="00FC4465">
              <w:rPr>
                <w:rFonts w:asciiTheme="majorBidi" w:hAnsiTheme="majorBidi" w:cstheme="majorBidi"/>
                <w:sz w:val="16"/>
                <w:szCs w:val="16"/>
              </w:rPr>
              <w:t>No se aplica</w:t>
            </w:r>
          </w:p>
        </w:tc>
        <w:tc>
          <w:tcPr>
            <w:tcW w:w="2011" w:type="dxa"/>
            <w:tcBorders>
              <w:top w:val="single" w:sz="4" w:space="0" w:color="auto"/>
              <w:left w:val="single" w:sz="4" w:space="0" w:color="auto"/>
              <w:bottom w:val="single" w:sz="4" w:space="0" w:color="auto"/>
              <w:right w:val="single" w:sz="4" w:space="0" w:color="auto"/>
            </w:tcBorders>
          </w:tcPr>
          <w:p w14:paraId="7E779A91" w14:textId="77777777" w:rsidR="00F317F2" w:rsidRPr="00FC4465" w:rsidRDefault="00F317F2" w:rsidP="00C93947">
            <w:pPr>
              <w:keepNext/>
              <w:keepLines/>
              <w:tabs>
                <w:tab w:val="left" w:pos="211"/>
              </w:tabs>
              <w:spacing w:before="40" w:after="40" w:line="240" w:lineRule="auto"/>
              <w:rPr>
                <w:rFonts w:asciiTheme="majorBidi" w:hAnsiTheme="majorBidi" w:cstheme="majorBidi"/>
                <w:sz w:val="16"/>
                <w:szCs w:val="16"/>
              </w:rPr>
            </w:pPr>
            <w:r w:rsidRPr="00FC4465">
              <w:rPr>
                <w:rFonts w:asciiTheme="majorBidi" w:hAnsiTheme="majorBidi" w:cstheme="majorBidi"/>
                <w:sz w:val="16"/>
                <w:szCs w:val="16"/>
              </w:rPr>
              <w:t>Todas las 4 condiciones siguientes se cumplen en 2 repeticiones de 2 o en las mismas 2 repeticiones de 3:</w:t>
            </w:r>
          </w:p>
          <w:p w14:paraId="4D71A888" w14:textId="5D3ACF85" w:rsidR="00F317F2" w:rsidRPr="00FC4465" w:rsidRDefault="00F317F2" w:rsidP="00C93947">
            <w:pPr>
              <w:pStyle w:val="ListParagraph"/>
              <w:keepNext/>
              <w:keepLines/>
              <w:tabs>
                <w:tab w:val="left" w:pos="211"/>
              </w:tabs>
              <w:spacing w:before="40" w:after="40" w:line="240" w:lineRule="auto"/>
              <w:ind w:left="153" w:hanging="153"/>
              <w:rPr>
                <w:rFonts w:asciiTheme="majorBidi" w:hAnsiTheme="majorBidi" w:cstheme="majorBidi"/>
                <w:sz w:val="16"/>
                <w:szCs w:val="16"/>
                <w:lang w:val="es-ES"/>
              </w:rPr>
            </w:pPr>
            <w:r w:rsidRPr="00FC4465">
              <w:rPr>
                <w:rFonts w:asciiTheme="majorBidi" w:hAnsiTheme="majorBidi" w:cstheme="majorBidi"/>
                <w:sz w:val="16"/>
                <w:szCs w:val="16"/>
                <w:lang w:val="es-ES"/>
              </w:rPr>
              <w:t>1.</w:t>
            </w:r>
            <w:r w:rsidRPr="00FC4465">
              <w:rPr>
                <w:rFonts w:asciiTheme="majorBidi" w:hAnsiTheme="majorBidi" w:cstheme="majorBidi"/>
                <w:sz w:val="16"/>
                <w:szCs w:val="16"/>
                <w:lang w:val="es-ES"/>
              </w:rPr>
              <w:tab/>
              <w:t>Imax ≥ 1,5 veces y con una diferencia estadísticamente significativa con respecto al disolvente de control</w:t>
            </w:r>
            <w:r w:rsidR="00864F68">
              <w:rPr>
                <w:rFonts w:asciiTheme="majorBidi" w:hAnsiTheme="majorBidi" w:cstheme="majorBidi"/>
                <w:sz w:val="16"/>
                <w:szCs w:val="16"/>
                <w:lang w:val="es-ES"/>
              </w:rPr>
              <w:t>.</w:t>
            </w:r>
          </w:p>
          <w:p w14:paraId="1C5B4CFD" w14:textId="623244A2" w:rsidR="00F317F2" w:rsidRPr="00FC4465" w:rsidRDefault="00F317F2" w:rsidP="00C93947">
            <w:pPr>
              <w:pStyle w:val="ListParagraph"/>
              <w:keepNext/>
              <w:keepLines/>
              <w:tabs>
                <w:tab w:val="left" w:pos="211"/>
              </w:tabs>
              <w:spacing w:before="40" w:after="40" w:line="240" w:lineRule="auto"/>
              <w:ind w:left="153" w:hanging="153"/>
              <w:rPr>
                <w:rFonts w:asciiTheme="majorBidi" w:hAnsiTheme="majorBidi" w:cstheme="majorBidi"/>
                <w:sz w:val="16"/>
                <w:szCs w:val="16"/>
                <w:lang w:val="es-ES"/>
              </w:rPr>
            </w:pPr>
            <w:r w:rsidRPr="00FC4465">
              <w:rPr>
                <w:rFonts w:asciiTheme="majorBidi" w:hAnsiTheme="majorBidi" w:cstheme="majorBidi"/>
                <w:sz w:val="16"/>
                <w:szCs w:val="16"/>
                <w:lang w:val="es-ES"/>
              </w:rPr>
              <w:t>2.</w:t>
            </w:r>
            <w:r w:rsidRPr="00FC4465">
              <w:rPr>
                <w:rFonts w:asciiTheme="majorBidi" w:hAnsiTheme="majorBidi" w:cstheme="majorBidi"/>
                <w:sz w:val="16"/>
                <w:szCs w:val="16"/>
                <w:lang w:val="es-ES"/>
              </w:rPr>
              <w:tab/>
              <w:t>Viabilidad celular &gt; 70</w:t>
            </w:r>
            <w:r w:rsidR="008C5013" w:rsidRPr="00FC4465">
              <w:rPr>
                <w:rFonts w:asciiTheme="majorBidi" w:hAnsiTheme="majorBidi" w:cstheme="majorBidi"/>
                <w:sz w:val="16"/>
                <w:szCs w:val="16"/>
                <w:lang w:val="es-ES"/>
              </w:rPr>
              <w:t> %</w:t>
            </w:r>
            <w:r w:rsidRPr="00FC4465">
              <w:rPr>
                <w:rFonts w:asciiTheme="majorBidi" w:hAnsiTheme="majorBidi" w:cstheme="majorBidi"/>
                <w:sz w:val="16"/>
                <w:szCs w:val="16"/>
                <w:lang w:val="es-ES"/>
              </w:rPr>
              <w:t xml:space="preserve"> a la concentración más baja con una inducción de la actividad de la luciferasa ≥ 1,5 veces</w:t>
            </w:r>
            <w:r w:rsidR="00864F68">
              <w:rPr>
                <w:rFonts w:asciiTheme="majorBidi" w:hAnsiTheme="majorBidi" w:cstheme="majorBidi"/>
                <w:sz w:val="16"/>
                <w:szCs w:val="16"/>
                <w:lang w:val="es-ES"/>
              </w:rPr>
              <w:t>.</w:t>
            </w:r>
          </w:p>
          <w:p w14:paraId="75A548BE" w14:textId="4E09DF0A" w:rsidR="00F317F2" w:rsidRPr="00FC4465" w:rsidRDefault="00F317F2" w:rsidP="00C93947">
            <w:pPr>
              <w:pStyle w:val="ListParagraph"/>
              <w:keepNext/>
              <w:keepLines/>
              <w:tabs>
                <w:tab w:val="left" w:pos="211"/>
              </w:tabs>
              <w:spacing w:before="40" w:after="40" w:line="240" w:lineRule="auto"/>
              <w:ind w:left="153" w:hanging="153"/>
              <w:rPr>
                <w:rFonts w:asciiTheme="majorBidi" w:hAnsiTheme="majorBidi" w:cstheme="majorBidi"/>
                <w:sz w:val="16"/>
                <w:szCs w:val="16"/>
                <w:lang w:val="es-ES"/>
              </w:rPr>
            </w:pPr>
            <w:r w:rsidRPr="00FC4465">
              <w:rPr>
                <w:rFonts w:asciiTheme="majorBidi" w:hAnsiTheme="majorBidi" w:cstheme="majorBidi"/>
                <w:sz w:val="16"/>
                <w:szCs w:val="16"/>
                <w:lang w:val="es-ES"/>
              </w:rPr>
              <w:t>3.</w:t>
            </w:r>
            <w:r w:rsidRPr="00FC4465">
              <w:rPr>
                <w:rFonts w:asciiTheme="majorBidi" w:hAnsiTheme="majorBidi" w:cstheme="majorBidi"/>
                <w:sz w:val="16"/>
                <w:szCs w:val="16"/>
                <w:lang w:val="es-ES"/>
              </w:rPr>
              <w:tab/>
              <w:t>Valor EC</w:t>
            </w:r>
            <w:r w:rsidRPr="00FC4465">
              <w:rPr>
                <w:rFonts w:asciiTheme="majorBidi" w:hAnsiTheme="majorBidi" w:cstheme="majorBidi"/>
                <w:sz w:val="16"/>
                <w:szCs w:val="16"/>
                <w:vertAlign w:val="subscript"/>
                <w:lang w:val="es-ES"/>
              </w:rPr>
              <w:t>1</w:t>
            </w:r>
            <w:r w:rsidR="00864F68">
              <w:rPr>
                <w:rFonts w:asciiTheme="majorBidi" w:hAnsiTheme="majorBidi" w:cstheme="majorBidi"/>
                <w:sz w:val="16"/>
                <w:szCs w:val="16"/>
                <w:vertAlign w:val="subscript"/>
                <w:lang w:val="es-ES"/>
              </w:rPr>
              <w:t>,</w:t>
            </w:r>
            <w:r w:rsidRPr="00FC4465">
              <w:rPr>
                <w:rFonts w:asciiTheme="majorBidi" w:hAnsiTheme="majorBidi" w:cstheme="majorBidi"/>
                <w:sz w:val="16"/>
                <w:szCs w:val="16"/>
                <w:vertAlign w:val="subscript"/>
                <w:lang w:val="es-ES"/>
              </w:rPr>
              <w:t>5</w:t>
            </w:r>
            <w:r w:rsidRPr="00FC4465">
              <w:rPr>
                <w:rFonts w:asciiTheme="majorBidi" w:hAnsiTheme="majorBidi" w:cstheme="majorBidi"/>
                <w:sz w:val="16"/>
                <w:szCs w:val="16"/>
                <w:lang w:val="es-ES"/>
              </w:rPr>
              <w:t xml:space="preserve"> &lt; 1.000 µM </w:t>
            </w:r>
            <w:r w:rsidR="00864F68">
              <w:rPr>
                <w:rFonts w:asciiTheme="majorBidi" w:hAnsiTheme="majorBidi" w:cstheme="majorBidi"/>
                <w:sz w:val="16"/>
                <w:szCs w:val="16"/>
                <w:lang w:val="es-ES"/>
              </w:rPr>
              <w:br/>
            </w:r>
            <w:r w:rsidRPr="00FC4465">
              <w:rPr>
                <w:rFonts w:asciiTheme="majorBidi" w:hAnsiTheme="majorBidi" w:cstheme="majorBidi"/>
                <w:sz w:val="16"/>
                <w:szCs w:val="16"/>
                <w:lang w:val="es-ES"/>
              </w:rPr>
              <w:t>(o &lt; 200 µg/ml para los productos químicos sometidos a ensayo sin peso molecular definido)</w:t>
            </w:r>
            <w:r w:rsidR="00864F68">
              <w:rPr>
                <w:rFonts w:asciiTheme="majorBidi" w:hAnsiTheme="majorBidi" w:cstheme="majorBidi"/>
                <w:sz w:val="16"/>
                <w:szCs w:val="16"/>
                <w:lang w:val="es-ES"/>
              </w:rPr>
              <w:t>.</w:t>
            </w:r>
          </w:p>
          <w:p w14:paraId="60E4A220" w14:textId="6BBE6888" w:rsidR="00F317F2" w:rsidRPr="00FC4465" w:rsidRDefault="00F317F2" w:rsidP="00C93947">
            <w:pPr>
              <w:pStyle w:val="ListParagraph"/>
              <w:keepNext/>
              <w:keepLines/>
              <w:tabs>
                <w:tab w:val="left" w:pos="211"/>
              </w:tabs>
              <w:spacing w:before="40" w:after="40" w:line="240" w:lineRule="auto"/>
              <w:ind w:left="153" w:hanging="153"/>
              <w:rPr>
                <w:rFonts w:asciiTheme="majorBidi" w:hAnsiTheme="majorBidi" w:cstheme="majorBidi"/>
                <w:sz w:val="16"/>
                <w:szCs w:val="16"/>
                <w:lang w:val="es-ES"/>
              </w:rPr>
            </w:pPr>
            <w:r w:rsidRPr="00FC4465">
              <w:rPr>
                <w:rFonts w:asciiTheme="majorBidi" w:hAnsiTheme="majorBidi" w:cstheme="majorBidi"/>
                <w:sz w:val="16"/>
                <w:szCs w:val="16"/>
                <w:lang w:val="es-ES"/>
              </w:rPr>
              <w:t>4.</w:t>
            </w:r>
            <w:r w:rsidRPr="00FC4465">
              <w:rPr>
                <w:rFonts w:asciiTheme="majorBidi" w:hAnsiTheme="majorBidi" w:cstheme="majorBidi"/>
                <w:sz w:val="16"/>
                <w:szCs w:val="16"/>
                <w:lang w:val="es-ES"/>
              </w:rPr>
              <w:tab/>
              <w:t>Aumento global aparente y dependiente de la dosis de la inducción de luciferasa</w:t>
            </w:r>
            <w:r w:rsidR="00864F68">
              <w:rPr>
                <w:rFonts w:asciiTheme="majorBidi" w:hAnsiTheme="majorBidi" w:cstheme="majorBidi"/>
                <w:sz w:val="16"/>
                <w:szCs w:val="16"/>
                <w:lang w:val="es-ES"/>
              </w:rPr>
              <w:t>.</w:t>
            </w:r>
          </w:p>
        </w:tc>
        <w:tc>
          <w:tcPr>
            <w:tcW w:w="1708" w:type="dxa"/>
            <w:tcBorders>
              <w:top w:val="single" w:sz="4" w:space="0" w:color="auto"/>
              <w:left w:val="single" w:sz="4" w:space="0" w:color="auto"/>
              <w:bottom w:val="single" w:sz="4" w:space="0" w:color="auto"/>
              <w:right w:val="single" w:sz="4" w:space="0" w:color="auto"/>
            </w:tcBorders>
          </w:tcPr>
          <w:p w14:paraId="3E2C7E44" w14:textId="77777777" w:rsidR="00F317F2" w:rsidRPr="00FC4465" w:rsidRDefault="00F317F2" w:rsidP="00C93947">
            <w:pPr>
              <w:keepNext/>
              <w:keepLines/>
              <w:spacing w:before="40" w:after="40" w:line="240" w:lineRule="auto"/>
              <w:rPr>
                <w:rFonts w:asciiTheme="majorBidi" w:hAnsiTheme="majorBidi" w:cstheme="majorBidi"/>
                <w:sz w:val="16"/>
                <w:szCs w:val="16"/>
              </w:rPr>
            </w:pPr>
            <w:r w:rsidRPr="00FC4465">
              <w:rPr>
                <w:rFonts w:asciiTheme="majorBidi" w:hAnsiTheme="majorBidi" w:cstheme="majorBidi"/>
                <w:sz w:val="16"/>
                <w:szCs w:val="16"/>
              </w:rPr>
              <w:t>Todas las condiciones siguientes se cumplen en 2 repeticiones de 2 o en las mismas 2 repeticiones de 3:</w:t>
            </w:r>
          </w:p>
          <w:p w14:paraId="4BF4CBF9" w14:textId="2E20155A" w:rsidR="00F317F2" w:rsidRPr="00FC4465" w:rsidRDefault="00F317F2" w:rsidP="00C93947">
            <w:pPr>
              <w:keepNext/>
              <w:keepLines/>
              <w:spacing w:before="40" w:after="40" w:line="240" w:lineRule="auto"/>
              <w:ind w:left="194" w:hanging="194"/>
              <w:rPr>
                <w:rFonts w:asciiTheme="majorBidi" w:hAnsiTheme="majorBidi" w:cstheme="majorBidi"/>
                <w:sz w:val="16"/>
                <w:szCs w:val="16"/>
              </w:rPr>
            </w:pPr>
            <w:r w:rsidRPr="00FC4465">
              <w:rPr>
                <w:rFonts w:asciiTheme="majorBidi" w:hAnsiTheme="majorBidi" w:cstheme="majorBidi"/>
                <w:sz w:val="16"/>
                <w:szCs w:val="16"/>
              </w:rPr>
              <w:t xml:space="preserve">1. Se observa una inducción de la luciferasa ≥ 1,5 veces con respecto al disolvente de control en al menos 2 concentraciones de ensayo no citotóxicas consecutivas </w:t>
            </w:r>
            <w:r w:rsidR="00864F68">
              <w:rPr>
                <w:rFonts w:asciiTheme="majorBidi" w:hAnsiTheme="majorBidi" w:cstheme="majorBidi"/>
                <w:sz w:val="16"/>
                <w:szCs w:val="16"/>
              </w:rPr>
              <w:br/>
            </w:r>
            <w:r w:rsidRPr="00FC4465">
              <w:rPr>
                <w:rFonts w:asciiTheme="majorBidi" w:hAnsiTheme="majorBidi" w:cstheme="majorBidi"/>
                <w:sz w:val="16"/>
                <w:szCs w:val="16"/>
              </w:rPr>
              <w:t>(es decir, viabilidad celular ≥ 70</w:t>
            </w:r>
            <w:r w:rsidR="008C5013" w:rsidRPr="00FC4465">
              <w:rPr>
                <w:rFonts w:asciiTheme="majorBidi" w:hAnsiTheme="majorBidi" w:cstheme="majorBidi"/>
                <w:sz w:val="16"/>
                <w:szCs w:val="16"/>
              </w:rPr>
              <w:t> %</w:t>
            </w:r>
            <w:r w:rsidRPr="00FC4465">
              <w:rPr>
                <w:rFonts w:asciiTheme="majorBidi" w:hAnsiTheme="majorBidi" w:cstheme="majorBidi"/>
                <w:sz w:val="16"/>
                <w:szCs w:val="16"/>
              </w:rPr>
              <w:t>)</w:t>
            </w:r>
            <w:r w:rsidR="00864F68">
              <w:rPr>
                <w:rFonts w:asciiTheme="majorBidi" w:hAnsiTheme="majorBidi" w:cstheme="majorBidi"/>
                <w:sz w:val="16"/>
                <w:szCs w:val="16"/>
              </w:rPr>
              <w:t>.</w:t>
            </w:r>
          </w:p>
          <w:p w14:paraId="0941DE0F" w14:textId="6B006FC8" w:rsidR="00F317F2" w:rsidRPr="00FC4465" w:rsidRDefault="00F317F2" w:rsidP="00C93947">
            <w:pPr>
              <w:keepNext/>
              <w:keepLines/>
              <w:spacing w:before="40" w:after="40" w:line="240" w:lineRule="auto"/>
              <w:ind w:left="194" w:hanging="194"/>
              <w:rPr>
                <w:rFonts w:asciiTheme="majorBidi" w:hAnsiTheme="majorBidi" w:cstheme="majorBidi"/>
                <w:sz w:val="16"/>
                <w:szCs w:val="16"/>
              </w:rPr>
            </w:pPr>
            <w:r w:rsidRPr="00FC4465">
              <w:rPr>
                <w:rFonts w:asciiTheme="majorBidi" w:hAnsiTheme="majorBidi" w:cstheme="majorBidi"/>
                <w:sz w:val="16"/>
                <w:szCs w:val="16"/>
              </w:rPr>
              <w:t xml:space="preserve">2. Al menos tres concentraciones de ensayo son no citotóxicas (viabilidad </w:t>
            </w:r>
            <w:r w:rsidR="00864F68">
              <w:rPr>
                <w:rFonts w:asciiTheme="majorBidi" w:hAnsiTheme="majorBidi" w:cstheme="majorBidi"/>
                <w:sz w:val="16"/>
                <w:szCs w:val="16"/>
              </w:rPr>
              <w:br/>
            </w:r>
            <w:r w:rsidRPr="00FC4465">
              <w:rPr>
                <w:rFonts w:asciiTheme="majorBidi" w:hAnsiTheme="majorBidi" w:cstheme="majorBidi"/>
                <w:sz w:val="16"/>
                <w:szCs w:val="16"/>
              </w:rPr>
              <w:t>celular ≥ 70</w:t>
            </w:r>
            <w:r w:rsidR="008C5013" w:rsidRPr="00FC4465">
              <w:rPr>
                <w:rFonts w:asciiTheme="majorBidi" w:hAnsiTheme="majorBidi" w:cstheme="majorBidi"/>
                <w:sz w:val="16"/>
                <w:szCs w:val="16"/>
              </w:rPr>
              <w:t> %</w:t>
            </w:r>
            <w:r w:rsidRPr="00FC4465">
              <w:rPr>
                <w:rFonts w:asciiTheme="majorBidi" w:hAnsiTheme="majorBidi" w:cstheme="majorBidi"/>
                <w:sz w:val="16"/>
                <w:szCs w:val="16"/>
              </w:rPr>
              <w:t>)</w:t>
            </w:r>
            <w:r w:rsidR="00864F68">
              <w:rPr>
                <w:rFonts w:asciiTheme="majorBidi" w:hAnsiTheme="majorBidi" w:cstheme="majorBidi"/>
                <w:sz w:val="16"/>
                <w:szCs w:val="16"/>
              </w:rPr>
              <w:t>.</w:t>
            </w:r>
          </w:p>
        </w:tc>
        <w:tc>
          <w:tcPr>
            <w:tcW w:w="1582" w:type="dxa"/>
            <w:tcBorders>
              <w:top w:val="single" w:sz="4" w:space="0" w:color="auto"/>
              <w:left w:val="single" w:sz="4" w:space="0" w:color="auto"/>
              <w:bottom w:val="single" w:sz="4" w:space="0" w:color="auto"/>
              <w:right w:val="single" w:sz="4" w:space="0" w:color="auto"/>
            </w:tcBorders>
          </w:tcPr>
          <w:p w14:paraId="3EF0ADAE" w14:textId="77777777" w:rsidR="00F317F2" w:rsidRPr="00FC4465" w:rsidRDefault="00F317F2" w:rsidP="00C93947">
            <w:pPr>
              <w:keepNext/>
              <w:keepLines/>
              <w:spacing w:before="40" w:after="40" w:line="240" w:lineRule="auto"/>
              <w:rPr>
                <w:rFonts w:asciiTheme="majorBidi" w:hAnsiTheme="majorBidi" w:cstheme="majorBidi"/>
                <w:sz w:val="16"/>
                <w:szCs w:val="16"/>
              </w:rPr>
            </w:pPr>
            <w:r w:rsidRPr="00FC4465">
              <w:rPr>
                <w:rFonts w:asciiTheme="majorBidi" w:hAnsiTheme="majorBidi" w:cstheme="majorBidi"/>
                <w:sz w:val="16"/>
                <w:szCs w:val="16"/>
              </w:rPr>
              <w:t>Al menos una de las siguientes condiciones se cumple en 2 series independientes de 2, o en al menos 2 de 3:</w:t>
            </w:r>
          </w:p>
          <w:p w14:paraId="3243C9F3" w14:textId="44263151" w:rsidR="00F317F2" w:rsidRPr="00FC4465" w:rsidRDefault="00F317F2" w:rsidP="00C93947">
            <w:pPr>
              <w:keepNext/>
              <w:keepLines/>
              <w:spacing w:before="40" w:after="40" w:line="240" w:lineRule="auto"/>
              <w:rPr>
                <w:rFonts w:asciiTheme="majorBidi" w:hAnsiTheme="majorBidi" w:cstheme="majorBidi"/>
                <w:sz w:val="16"/>
                <w:szCs w:val="16"/>
              </w:rPr>
            </w:pPr>
            <w:r w:rsidRPr="00FC4465">
              <w:rPr>
                <w:rFonts w:asciiTheme="majorBidi" w:hAnsiTheme="majorBidi" w:cstheme="majorBidi"/>
                <w:sz w:val="16"/>
                <w:szCs w:val="16"/>
              </w:rPr>
              <w:t>Intensidad de fluorescencia relativa del CD86 ≥ 150</w:t>
            </w:r>
            <w:r w:rsidR="008C5013" w:rsidRPr="00FC4465">
              <w:rPr>
                <w:rFonts w:asciiTheme="majorBidi" w:hAnsiTheme="majorBidi" w:cstheme="majorBidi"/>
                <w:sz w:val="16"/>
                <w:szCs w:val="16"/>
              </w:rPr>
              <w:t> %</w:t>
            </w:r>
            <w:r w:rsidRPr="00FC4465">
              <w:rPr>
                <w:rFonts w:asciiTheme="majorBidi" w:hAnsiTheme="majorBidi" w:cstheme="majorBidi"/>
                <w:sz w:val="16"/>
                <w:szCs w:val="16"/>
              </w:rPr>
              <w:t xml:space="preserve"> en todas las concentraciones de ensayo (con una viabilidad </w:t>
            </w:r>
            <w:r w:rsidR="00864F68">
              <w:rPr>
                <w:rFonts w:asciiTheme="majorBidi" w:hAnsiTheme="majorBidi" w:cstheme="majorBidi"/>
                <w:sz w:val="16"/>
                <w:szCs w:val="16"/>
              </w:rPr>
              <w:br/>
            </w:r>
            <w:r w:rsidRPr="00FC4465">
              <w:rPr>
                <w:rFonts w:asciiTheme="majorBidi" w:hAnsiTheme="majorBidi" w:cstheme="majorBidi"/>
                <w:sz w:val="16"/>
                <w:szCs w:val="16"/>
              </w:rPr>
              <w:t>celular ≥ 50</w:t>
            </w:r>
            <w:r w:rsidR="008C5013" w:rsidRPr="00FC4465">
              <w:rPr>
                <w:rFonts w:asciiTheme="majorBidi" w:hAnsiTheme="majorBidi" w:cstheme="majorBidi"/>
                <w:sz w:val="16"/>
                <w:szCs w:val="16"/>
              </w:rPr>
              <w:t> %</w:t>
            </w:r>
            <w:r w:rsidRPr="00FC4465">
              <w:rPr>
                <w:rFonts w:asciiTheme="majorBidi" w:hAnsiTheme="majorBidi" w:cstheme="majorBidi"/>
                <w:sz w:val="16"/>
                <w:szCs w:val="16"/>
              </w:rPr>
              <w:t>)</w:t>
            </w:r>
            <w:r w:rsidR="00864F68">
              <w:rPr>
                <w:rFonts w:asciiTheme="majorBidi" w:hAnsiTheme="majorBidi" w:cstheme="majorBidi"/>
                <w:sz w:val="16"/>
                <w:szCs w:val="16"/>
              </w:rPr>
              <w:t>.</w:t>
            </w:r>
          </w:p>
          <w:p w14:paraId="6DA72BAB" w14:textId="77777777" w:rsidR="00F317F2" w:rsidRPr="00FC4465" w:rsidRDefault="00F317F2" w:rsidP="00C93947">
            <w:pPr>
              <w:keepNext/>
              <w:keepLines/>
              <w:spacing w:before="40" w:after="40" w:line="240" w:lineRule="auto"/>
              <w:rPr>
                <w:rFonts w:asciiTheme="majorBidi" w:hAnsiTheme="majorBidi" w:cstheme="majorBidi"/>
                <w:sz w:val="16"/>
                <w:szCs w:val="16"/>
              </w:rPr>
            </w:pPr>
            <w:r w:rsidRPr="00FC4465">
              <w:rPr>
                <w:rFonts w:asciiTheme="majorBidi" w:hAnsiTheme="majorBidi" w:cstheme="majorBidi"/>
                <w:sz w:val="16"/>
                <w:szCs w:val="16"/>
              </w:rPr>
              <w:t xml:space="preserve">O bien </w:t>
            </w:r>
          </w:p>
          <w:p w14:paraId="41432865" w14:textId="00880CD0" w:rsidR="00F317F2" w:rsidRPr="00FC4465" w:rsidRDefault="00F317F2" w:rsidP="00C93947">
            <w:pPr>
              <w:keepNext/>
              <w:keepLines/>
              <w:spacing w:before="40" w:after="40" w:line="240" w:lineRule="auto"/>
              <w:rPr>
                <w:rFonts w:asciiTheme="majorBidi" w:hAnsiTheme="majorBidi" w:cstheme="majorBidi"/>
                <w:sz w:val="16"/>
                <w:szCs w:val="16"/>
              </w:rPr>
            </w:pPr>
            <w:r w:rsidRPr="00FC4465">
              <w:rPr>
                <w:rFonts w:asciiTheme="majorBidi" w:hAnsiTheme="majorBidi" w:cstheme="majorBidi"/>
                <w:sz w:val="16"/>
                <w:szCs w:val="16"/>
              </w:rPr>
              <w:t>Intensidad de fluorescencia relativa del CD54 ≥ 200</w:t>
            </w:r>
            <w:r w:rsidR="008C5013" w:rsidRPr="00FC4465">
              <w:rPr>
                <w:rFonts w:asciiTheme="majorBidi" w:hAnsiTheme="majorBidi" w:cstheme="majorBidi"/>
                <w:sz w:val="16"/>
                <w:szCs w:val="16"/>
              </w:rPr>
              <w:t> %</w:t>
            </w:r>
            <w:r w:rsidRPr="00FC4465">
              <w:rPr>
                <w:rFonts w:asciiTheme="majorBidi" w:hAnsiTheme="majorBidi" w:cstheme="majorBidi"/>
                <w:sz w:val="16"/>
                <w:szCs w:val="16"/>
              </w:rPr>
              <w:t xml:space="preserve"> en todas las concentraciones de ensayo (con una viabilidad </w:t>
            </w:r>
            <w:r w:rsidR="00864F68">
              <w:rPr>
                <w:rFonts w:asciiTheme="majorBidi" w:hAnsiTheme="majorBidi" w:cstheme="majorBidi"/>
                <w:sz w:val="16"/>
                <w:szCs w:val="16"/>
              </w:rPr>
              <w:br/>
            </w:r>
            <w:r w:rsidRPr="00FC4465">
              <w:rPr>
                <w:rFonts w:asciiTheme="majorBidi" w:hAnsiTheme="majorBidi" w:cstheme="majorBidi"/>
                <w:sz w:val="16"/>
                <w:szCs w:val="16"/>
              </w:rPr>
              <w:t>celular ≥ 50</w:t>
            </w:r>
            <w:r w:rsidR="008C5013" w:rsidRPr="00FC4465">
              <w:rPr>
                <w:rFonts w:asciiTheme="majorBidi" w:hAnsiTheme="majorBidi" w:cstheme="majorBidi"/>
                <w:sz w:val="16"/>
                <w:szCs w:val="16"/>
              </w:rPr>
              <w:t> %</w:t>
            </w:r>
            <w:r w:rsidRPr="00FC4465">
              <w:rPr>
                <w:rFonts w:asciiTheme="majorBidi" w:hAnsiTheme="majorBidi" w:cstheme="majorBidi"/>
                <w:sz w:val="16"/>
                <w:szCs w:val="16"/>
              </w:rPr>
              <w:t>)</w:t>
            </w:r>
            <w:r w:rsidR="00864F68">
              <w:rPr>
                <w:rFonts w:asciiTheme="majorBidi" w:hAnsiTheme="majorBidi" w:cstheme="majorBidi"/>
                <w:sz w:val="16"/>
                <w:szCs w:val="16"/>
              </w:rPr>
              <w:t>.</w:t>
            </w:r>
          </w:p>
        </w:tc>
        <w:tc>
          <w:tcPr>
            <w:tcW w:w="1379" w:type="dxa"/>
            <w:tcBorders>
              <w:top w:val="single" w:sz="4" w:space="0" w:color="auto"/>
              <w:left w:val="single" w:sz="4" w:space="0" w:color="auto"/>
              <w:bottom w:val="single" w:sz="4" w:space="0" w:color="auto"/>
              <w:right w:val="single" w:sz="4" w:space="0" w:color="auto"/>
            </w:tcBorders>
          </w:tcPr>
          <w:p w14:paraId="48718C79" w14:textId="6FA8D82E" w:rsidR="00F317F2" w:rsidRPr="00FC4465" w:rsidRDefault="00F317F2" w:rsidP="00C93947">
            <w:pPr>
              <w:keepNext/>
              <w:keepLines/>
              <w:spacing w:before="40" w:after="40" w:line="240" w:lineRule="auto"/>
              <w:rPr>
                <w:rFonts w:asciiTheme="majorBidi" w:hAnsiTheme="majorBidi" w:cstheme="majorBidi"/>
                <w:sz w:val="16"/>
                <w:szCs w:val="16"/>
              </w:rPr>
            </w:pPr>
            <w:r w:rsidRPr="00FC4465">
              <w:rPr>
                <w:rFonts w:asciiTheme="majorBidi" w:hAnsiTheme="majorBidi" w:cstheme="majorBidi"/>
                <w:sz w:val="16"/>
                <w:szCs w:val="16"/>
              </w:rPr>
              <w:t>La siguiente condición se cumple en 2 series independientes de</w:t>
            </w:r>
            <w:r w:rsidR="00864F68">
              <w:rPr>
                <w:rFonts w:asciiTheme="majorBidi" w:hAnsiTheme="majorBidi" w:cstheme="majorBidi"/>
                <w:sz w:val="16"/>
                <w:szCs w:val="16"/>
              </w:rPr>
              <w:t> </w:t>
            </w:r>
            <w:r w:rsidRPr="00FC4465">
              <w:rPr>
                <w:rFonts w:asciiTheme="majorBidi" w:hAnsiTheme="majorBidi" w:cstheme="majorBidi"/>
                <w:sz w:val="16"/>
                <w:szCs w:val="16"/>
              </w:rPr>
              <w:t>2, o en al menos</w:t>
            </w:r>
            <w:r w:rsidR="00864F68">
              <w:rPr>
                <w:rFonts w:asciiTheme="majorBidi" w:hAnsiTheme="majorBidi" w:cstheme="majorBidi"/>
                <w:sz w:val="16"/>
                <w:szCs w:val="16"/>
              </w:rPr>
              <w:t> </w:t>
            </w:r>
            <w:r w:rsidRPr="00FC4465">
              <w:rPr>
                <w:rFonts w:asciiTheme="majorBidi" w:hAnsiTheme="majorBidi" w:cstheme="majorBidi"/>
                <w:sz w:val="16"/>
                <w:szCs w:val="16"/>
              </w:rPr>
              <w:t>2 de 3:</w:t>
            </w:r>
          </w:p>
          <w:p w14:paraId="4726D95F" w14:textId="083EC5FF" w:rsidR="00F317F2" w:rsidRPr="00FC4465" w:rsidRDefault="00F317F2" w:rsidP="00C93947">
            <w:pPr>
              <w:keepNext/>
              <w:keepLines/>
              <w:spacing w:before="40" w:after="40" w:line="240" w:lineRule="auto"/>
              <w:rPr>
                <w:rFonts w:asciiTheme="majorBidi" w:hAnsiTheme="majorBidi" w:cstheme="majorBidi"/>
                <w:sz w:val="16"/>
                <w:szCs w:val="16"/>
              </w:rPr>
            </w:pPr>
            <w:r w:rsidRPr="00FC4465">
              <w:rPr>
                <w:rFonts w:asciiTheme="majorBidi" w:hAnsiTheme="majorBidi" w:cstheme="majorBidi"/>
                <w:sz w:val="16"/>
                <w:szCs w:val="16"/>
              </w:rPr>
              <w:t>Índice de estimulación del CD86 ≥ 150</w:t>
            </w:r>
            <w:r w:rsidR="008C5013" w:rsidRPr="00FC4465">
              <w:rPr>
                <w:rFonts w:asciiTheme="majorBidi" w:hAnsiTheme="majorBidi" w:cstheme="majorBidi"/>
                <w:sz w:val="16"/>
                <w:szCs w:val="16"/>
              </w:rPr>
              <w:t> %</w:t>
            </w:r>
            <w:r w:rsidRPr="00FC4465">
              <w:rPr>
                <w:rFonts w:asciiTheme="majorBidi" w:hAnsiTheme="majorBidi" w:cstheme="majorBidi"/>
                <w:sz w:val="16"/>
                <w:szCs w:val="16"/>
              </w:rPr>
              <w:t xml:space="preserve"> o se observan interferencias</w:t>
            </w:r>
            <w:r w:rsidR="00864F68">
              <w:rPr>
                <w:rFonts w:asciiTheme="majorBidi" w:hAnsiTheme="majorBidi" w:cstheme="majorBidi"/>
                <w:sz w:val="16"/>
                <w:szCs w:val="16"/>
              </w:rPr>
              <w:t>.</w:t>
            </w:r>
          </w:p>
        </w:tc>
        <w:tc>
          <w:tcPr>
            <w:tcW w:w="1326" w:type="dxa"/>
            <w:tcBorders>
              <w:top w:val="single" w:sz="4" w:space="0" w:color="auto"/>
              <w:left w:val="single" w:sz="4" w:space="0" w:color="auto"/>
              <w:bottom w:val="single" w:sz="4" w:space="0" w:color="auto"/>
              <w:right w:val="single" w:sz="4" w:space="0" w:color="auto"/>
            </w:tcBorders>
          </w:tcPr>
          <w:p w14:paraId="386DDC11" w14:textId="4345C300" w:rsidR="00F317F2" w:rsidRPr="00FC4465" w:rsidRDefault="00F317F2" w:rsidP="00C93947">
            <w:pPr>
              <w:keepNext/>
              <w:keepLines/>
              <w:spacing w:before="40" w:after="40" w:line="240" w:lineRule="auto"/>
              <w:rPr>
                <w:rFonts w:asciiTheme="majorBidi" w:hAnsiTheme="majorBidi" w:cstheme="majorBidi"/>
                <w:sz w:val="16"/>
                <w:szCs w:val="16"/>
              </w:rPr>
            </w:pPr>
            <w:r w:rsidRPr="00FC4465">
              <w:rPr>
                <w:rFonts w:asciiTheme="majorBidi" w:hAnsiTheme="majorBidi" w:cstheme="majorBidi"/>
                <w:sz w:val="16"/>
                <w:szCs w:val="16"/>
              </w:rPr>
              <w:t xml:space="preserve">Inducción de la actividad normalizada de la luciferasa que refleja la actividad del promotor de la interleucina 8 (Ind-IL8LA) ≥ 1,4 y límite inferior del intervalo </w:t>
            </w:r>
            <w:r w:rsidR="00864F68">
              <w:rPr>
                <w:rFonts w:asciiTheme="majorBidi" w:hAnsiTheme="majorBidi" w:cstheme="majorBidi"/>
                <w:sz w:val="16"/>
                <w:szCs w:val="16"/>
              </w:rPr>
              <w:br/>
            </w:r>
            <w:r w:rsidRPr="00FC4465">
              <w:rPr>
                <w:rFonts w:asciiTheme="majorBidi" w:hAnsiTheme="majorBidi" w:cstheme="majorBidi"/>
                <w:sz w:val="16"/>
                <w:szCs w:val="16"/>
              </w:rPr>
              <w:t xml:space="preserve">de confianza </w:t>
            </w:r>
            <w:r w:rsidR="00864F68">
              <w:rPr>
                <w:rFonts w:asciiTheme="majorBidi" w:hAnsiTheme="majorBidi" w:cstheme="majorBidi"/>
                <w:sz w:val="16"/>
                <w:szCs w:val="16"/>
              </w:rPr>
              <w:br/>
            </w:r>
            <w:r w:rsidRPr="00FC4465">
              <w:rPr>
                <w:rFonts w:asciiTheme="majorBidi" w:hAnsiTheme="majorBidi" w:cstheme="majorBidi"/>
                <w:sz w:val="16"/>
                <w:szCs w:val="16"/>
              </w:rPr>
              <w:t>al 95</w:t>
            </w:r>
            <w:r w:rsidR="008C5013" w:rsidRPr="00FC4465">
              <w:rPr>
                <w:rFonts w:asciiTheme="majorBidi" w:hAnsiTheme="majorBidi" w:cstheme="majorBidi"/>
                <w:sz w:val="16"/>
                <w:szCs w:val="16"/>
              </w:rPr>
              <w:t> %</w:t>
            </w:r>
            <w:r w:rsidRPr="00FC4465">
              <w:rPr>
                <w:rFonts w:asciiTheme="majorBidi" w:hAnsiTheme="majorBidi" w:cstheme="majorBidi"/>
                <w:sz w:val="16"/>
                <w:szCs w:val="16"/>
              </w:rPr>
              <w:t xml:space="preserve"> de </w:t>
            </w:r>
            <w:r w:rsidR="00864F68">
              <w:rPr>
                <w:rFonts w:asciiTheme="majorBidi" w:hAnsiTheme="majorBidi" w:cstheme="majorBidi"/>
                <w:sz w:val="16"/>
                <w:szCs w:val="16"/>
              </w:rPr>
              <w:br/>
            </w:r>
            <w:r w:rsidRPr="00FC4465">
              <w:rPr>
                <w:rFonts w:asciiTheme="majorBidi" w:hAnsiTheme="majorBidi" w:cstheme="majorBidi"/>
                <w:sz w:val="16"/>
                <w:szCs w:val="16"/>
              </w:rPr>
              <w:t xml:space="preserve">Ind-IL8LA ≥ 1,0 en al menos </w:t>
            </w:r>
            <w:r w:rsidR="00864F68">
              <w:rPr>
                <w:rFonts w:asciiTheme="majorBidi" w:hAnsiTheme="majorBidi" w:cstheme="majorBidi"/>
                <w:sz w:val="16"/>
                <w:szCs w:val="16"/>
              </w:rPr>
              <w:br/>
            </w:r>
            <w:r w:rsidRPr="00FC4465">
              <w:rPr>
                <w:rFonts w:asciiTheme="majorBidi" w:hAnsiTheme="majorBidi" w:cstheme="majorBidi"/>
                <w:sz w:val="16"/>
                <w:szCs w:val="16"/>
              </w:rPr>
              <w:t>2 series independientes de un máximo de 4</w:t>
            </w:r>
            <w:r w:rsidR="00864F68">
              <w:rPr>
                <w:rFonts w:asciiTheme="majorBidi" w:hAnsiTheme="majorBidi" w:cstheme="majorBidi"/>
                <w:sz w:val="16"/>
                <w:szCs w:val="16"/>
              </w:rPr>
              <w:t>.</w:t>
            </w:r>
          </w:p>
        </w:tc>
        <w:tc>
          <w:tcPr>
            <w:tcW w:w="1326" w:type="dxa"/>
            <w:tcBorders>
              <w:top w:val="single" w:sz="4" w:space="0" w:color="auto"/>
              <w:left w:val="single" w:sz="4" w:space="0" w:color="auto"/>
              <w:bottom w:val="single" w:sz="4" w:space="0" w:color="auto"/>
              <w:right w:val="single" w:sz="4" w:space="0" w:color="auto"/>
            </w:tcBorders>
          </w:tcPr>
          <w:p w14:paraId="69A047BF" w14:textId="5C014028" w:rsidR="00F317F2" w:rsidRPr="00FC4465" w:rsidRDefault="00F317F2" w:rsidP="00C93947">
            <w:pPr>
              <w:keepNext/>
              <w:keepLines/>
              <w:spacing w:before="40" w:after="40" w:line="240" w:lineRule="auto"/>
              <w:rPr>
                <w:rFonts w:asciiTheme="majorBidi" w:hAnsiTheme="majorBidi" w:cstheme="majorBidi"/>
                <w:sz w:val="16"/>
                <w:szCs w:val="16"/>
              </w:rPr>
            </w:pPr>
            <w:r w:rsidRPr="00FC4465">
              <w:rPr>
                <w:rFonts w:asciiTheme="majorBidi" w:hAnsiTheme="majorBidi" w:cstheme="majorBidi"/>
                <w:sz w:val="16"/>
                <w:szCs w:val="16"/>
              </w:rPr>
              <w:t>Valor de decisión medio ≥ 0</w:t>
            </w:r>
          </w:p>
        </w:tc>
      </w:tr>
      <w:tr w:rsidR="00F317F2" w:rsidRPr="00FC4465" w14:paraId="6023AEBE" w14:textId="77777777" w:rsidTr="00FC4465">
        <w:trPr>
          <w:trHeight w:val="20"/>
          <w:jc w:val="center"/>
        </w:trPr>
        <w:tc>
          <w:tcPr>
            <w:tcW w:w="848" w:type="dxa"/>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57" w:type="dxa"/>
              <w:right w:w="57" w:type="dxa"/>
            </w:tcMar>
            <w:hideMark/>
          </w:tcPr>
          <w:p w14:paraId="628F3AFE" w14:textId="77777777" w:rsidR="00F317F2" w:rsidRPr="00FC4465" w:rsidRDefault="00F317F2" w:rsidP="00C93947">
            <w:pPr>
              <w:spacing w:before="40" w:after="40" w:line="240" w:lineRule="auto"/>
              <w:jc w:val="center"/>
              <w:rPr>
                <w:rFonts w:asciiTheme="majorBidi" w:hAnsiTheme="majorBidi" w:cstheme="majorBidi"/>
                <w:sz w:val="16"/>
                <w:szCs w:val="16"/>
              </w:rPr>
            </w:pPr>
            <w:r w:rsidRPr="00FC4465">
              <w:rPr>
                <w:rFonts w:asciiTheme="majorBidi" w:hAnsiTheme="majorBidi" w:cstheme="majorBidi"/>
                <w:sz w:val="16"/>
                <w:szCs w:val="16"/>
              </w:rPr>
              <w:t>1A</w:t>
            </w:r>
          </w:p>
        </w:tc>
        <w:tc>
          <w:tcPr>
            <w:tcW w:w="1406" w:type="dxa"/>
            <w:gridSpan w:val="2"/>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57" w:type="dxa"/>
              <w:right w:w="57" w:type="dxa"/>
            </w:tcMar>
            <w:hideMark/>
          </w:tcPr>
          <w:p w14:paraId="2BD709E7" w14:textId="77777777" w:rsidR="00F317F2" w:rsidRPr="00FC4465" w:rsidRDefault="00F317F2" w:rsidP="00C93947">
            <w:pPr>
              <w:autoSpaceDE w:val="0"/>
              <w:autoSpaceDN w:val="0"/>
              <w:adjustRightInd w:val="0"/>
              <w:spacing w:before="40" w:after="40" w:line="240" w:lineRule="auto"/>
              <w:jc w:val="center"/>
              <w:rPr>
                <w:rFonts w:asciiTheme="majorBidi" w:hAnsiTheme="majorBidi" w:cstheme="majorBidi"/>
                <w:sz w:val="16"/>
                <w:szCs w:val="16"/>
              </w:rPr>
            </w:pPr>
            <w:r w:rsidRPr="00FC4465">
              <w:rPr>
                <w:rFonts w:asciiTheme="majorBidi" w:hAnsiTheme="majorBidi" w:cstheme="majorBidi"/>
                <w:sz w:val="16"/>
                <w:szCs w:val="16"/>
              </w:rPr>
              <w:t>No se aplica</w:t>
            </w:r>
          </w:p>
        </w:tc>
        <w:tc>
          <w:tcPr>
            <w:tcW w:w="1404" w:type="dxa"/>
            <w:tcBorders>
              <w:top w:val="single" w:sz="4" w:space="0" w:color="auto"/>
              <w:left w:val="single" w:sz="4" w:space="0" w:color="auto"/>
              <w:bottom w:val="single" w:sz="4" w:space="0" w:color="auto"/>
              <w:right w:val="single" w:sz="4" w:space="0" w:color="auto"/>
            </w:tcBorders>
            <w:shd w:val="clear" w:color="auto" w:fill="auto"/>
          </w:tcPr>
          <w:p w14:paraId="73A39E69" w14:textId="77777777" w:rsidR="00F317F2" w:rsidRPr="00FC4465" w:rsidRDefault="00F317F2" w:rsidP="00C93947">
            <w:pPr>
              <w:autoSpaceDE w:val="0"/>
              <w:autoSpaceDN w:val="0"/>
              <w:adjustRightInd w:val="0"/>
              <w:spacing w:before="40" w:after="40" w:line="240" w:lineRule="auto"/>
              <w:rPr>
                <w:rFonts w:asciiTheme="majorBidi" w:hAnsiTheme="majorBidi" w:cstheme="majorBidi"/>
                <w:sz w:val="16"/>
                <w:szCs w:val="16"/>
              </w:rPr>
            </w:pPr>
          </w:p>
        </w:tc>
        <w:tc>
          <w:tcPr>
            <w:tcW w:w="1185" w:type="dxa"/>
            <w:tcBorders>
              <w:top w:val="single" w:sz="4" w:space="0" w:color="auto"/>
              <w:left w:val="single" w:sz="4" w:space="0" w:color="auto"/>
              <w:bottom w:val="single" w:sz="4" w:space="0" w:color="auto"/>
              <w:right w:val="single" w:sz="4" w:space="0" w:color="auto"/>
            </w:tcBorders>
            <w:shd w:val="clear" w:color="auto" w:fill="auto"/>
          </w:tcPr>
          <w:p w14:paraId="67010486" w14:textId="77777777" w:rsidR="00F317F2" w:rsidRPr="00FC4465" w:rsidRDefault="00F317F2" w:rsidP="00C93947">
            <w:pPr>
              <w:autoSpaceDE w:val="0"/>
              <w:autoSpaceDN w:val="0"/>
              <w:adjustRightInd w:val="0"/>
              <w:spacing w:before="40" w:after="40" w:line="240" w:lineRule="auto"/>
              <w:rPr>
                <w:rFonts w:asciiTheme="majorBidi" w:hAnsiTheme="majorBidi" w:cstheme="majorBidi"/>
                <w:sz w:val="16"/>
                <w:szCs w:val="16"/>
              </w:rPr>
            </w:pPr>
            <w:r w:rsidRPr="00FC4465">
              <w:rPr>
                <w:rFonts w:asciiTheme="majorBidi" w:hAnsiTheme="majorBidi" w:cstheme="majorBidi"/>
                <w:sz w:val="16"/>
                <w:szCs w:val="16"/>
              </w:rPr>
              <w:t>log kmax ≥ -2,0</w:t>
            </w:r>
          </w:p>
        </w:tc>
        <w:tc>
          <w:tcPr>
            <w:tcW w:w="2011" w:type="dxa"/>
            <w:tcBorders>
              <w:top w:val="single" w:sz="4" w:space="0" w:color="auto"/>
              <w:left w:val="single" w:sz="4" w:space="0" w:color="auto"/>
              <w:bottom w:val="single" w:sz="4" w:space="0" w:color="auto"/>
              <w:right w:val="single" w:sz="4" w:space="0" w:color="auto"/>
            </w:tcBorders>
            <w:shd w:val="clear" w:color="auto" w:fill="auto"/>
          </w:tcPr>
          <w:p w14:paraId="2D17758D" w14:textId="77777777" w:rsidR="00F317F2" w:rsidRPr="00FC4465" w:rsidRDefault="00F317F2" w:rsidP="00C93947">
            <w:pPr>
              <w:autoSpaceDE w:val="0"/>
              <w:autoSpaceDN w:val="0"/>
              <w:adjustRightInd w:val="0"/>
              <w:spacing w:before="40" w:after="40" w:line="240" w:lineRule="auto"/>
              <w:jc w:val="center"/>
              <w:rPr>
                <w:rFonts w:asciiTheme="majorBidi" w:hAnsiTheme="majorBidi" w:cstheme="majorBidi"/>
                <w:sz w:val="16"/>
                <w:szCs w:val="16"/>
              </w:rPr>
            </w:pPr>
            <w:r w:rsidRPr="00FC4465">
              <w:rPr>
                <w:rFonts w:asciiTheme="majorBidi" w:hAnsiTheme="majorBidi" w:cstheme="majorBidi"/>
                <w:sz w:val="16"/>
                <w:szCs w:val="16"/>
              </w:rPr>
              <w:t>No se aplica</w:t>
            </w:r>
          </w:p>
        </w:tc>
        <w:tc>
          <w:tcPr>
            <w:tcW w:w="1708" w:type="dxa"/>
            <w:tcBorders>
              <w:top w:val="single" w:sz="4" w:space="0" w:color="auto"/>
              <w:left w:val="single" w:sz="4" w:space="0" w:color="auto"/>
              <w:bottom w:val="single" w:sz="4" w:space="0" w:color="auto"/>
              <w:right w:val="single" w:sz="4" w:space="0" w:color="auto"/>
            </w:tcBorders>
            <w:shd w:val="clear" w:color="auto" w:fill="auto"/>
          </w:tcPr>
          <w:p w14:paraId="78057923" w14:textId="77777777" w:rsidR="00F317F2" w:rsidRPr="00FC4465" w:rsidRDefault="00F317F2" w:rsidP="00C93947">
            <w:pPr>
              <w:autoSpaceDE w:val="0"/>
              <w:autoSpaceDN w:val="0"/>
              <w:adjustRightInd w:val="0"/>
              <w:spacing w:before="40" w:after="40" w:line="240" w:lineRule="auto"/>
              <w:jc w:val="center"/>
              <w:rPr>
                <w:rFonts w:asciiTheme="majorBidi" w:hAnsiTheme="majorBidi" w:cstheme="majorBidi"/>
                <w:sz w:val="16"/>
                <w:szCs w:val="16"/>
              </w:rPr>
            </w:pPr>
            <w:r w:rsidRPr="00FC4465">
              <w:rPr>
                <w:rFonts w:asciiTheme="majorBidi" w:hAnsiTheme="majorBidi" w:cstheme="majorBidi"/>
                <w:sz w:val="16"/>
                <w:szCs w:val="16"/>
              </w:rPr>
              <w:t>No se aplica</w:t>
            </w:r>
          </w:p>
        </w:tc>
        <w:tc>
          <w:tcPr>
            <w:tcW w:w="1582" w:type="dxa"/>
            <w:tcBorders>
              <w:top w:val="single" w:sz="4" w:space="0" w:color="auto"/>
              <w:left w:val="single" w:sz="4" w:space="0" w:color="auto"/>
              <w:bottom w:val="single" w:sz="4" w:space="0" w:color="auto"/>
              <w:right w:val="single" w:sz="4" w:space="0" w:color="auto"/>
            </w:tcBorders>
            <w:shd w:val="clear" w:color="auto" w:fill="auto"/>
          </w:tcPr>
          <w:p w14:paraId="05052888" w14:textId="77777777" w:rsidR="00F317F2" w:rsidRPr="00FC4465" w:rsidRDefault="00F317F2" w:rsidP="00C93947">
            <w:pPr>
              <w:autoSpaceDE w:val="0"/>
              <w:autoSpaceDN w:val="0"/>
              <w:adjustRightInd w:val="0"/>
              <w:spacing w:before="40" w:after="40" w:line="240" w:lineRule="auto"/>
              <w:jc w:val="center"/>
              <w:rPr>
                <w:rFonts w:asciiTheme="majorBidi" w:hAnsiTheme="majorBidi" w:cstheme="majorBidi"/>
                <w:sz w:val="16"/>
                <w:szCs w:val="16"/>
              </w:rPr>
            </w:pPr>
            <w:r w:rsidRPr="00FC4465">
              <w:rPr>
                <w:rFonts w:asciiTheme="majorBidi" w:hAnsiTheme="majorBidi" w:cstheme="majorBidi"/>
                <w:sz w:val="16"/>
                <w:szCs w:val="16"/>
              </w:rPr>
              <w:t>No se aplica</w:t>
            </w:r>
          </w:p>
        </w:tc>
        <w:tc>
          <w:tcPr>
            <w:tcW w:w="1379" w:type="dxa"/>
            <w:tcBorders>
              <w:top w:val="single" w:sz="4" w:space="0" w:color="auto"/>
              <w:left w:val="single" w:sz="4" w:space="0" w:color="auto"/>
              <w:bottom w:val="single" w:sz="4" w:space="0" w:color="auto"/>
              <w:right w:val="single" w:sz="4" w:space="0" w:color="auto"/>
            </w:tcBorders>
            <w:shd w:val="clear" w:color="auto" w:fill="auto"/>
          </w:tcPr>
          <w:p w14:paraId="31F0A3C7" w14:textId="77777777" w:rsidR="00F317F2" w:rsidRPr="00FC4465" w:rsidRDefault="00F317F2" w:rsidP="00C93947">
            <w:pPr>
              <w:autoSpaceDE w:val="0"/>
              <w:autoSpaceDN w:val="0"/>
              <w:adjustRightInd w:val="0"/>
              <w:spacing w:before="40" w:after="40" w:line="240" w:lineRule="auto"/>
              <w:jc w:val="center"/>
              <w:rPr>
                <w:rFonts w:asciiTheme="majorBidi" w:hAnsiTheme="majorBidi" w:cstheme="majorBidi"/>
                <w:sz w:val="16"/>
                <w:szCs w:val="16"/>
              </w:rPr>
            </w:pPr>
            <w:r w:rsidRPr="00FC4465">
              <w:rPr>
                <w:rFonts w:asciiTheme="majorBidi" w:hAnsiTheme="majorBidi" w:cstheme="majorBidi"/>
                <w:sz w:val="16"/>
                <w:szCs w:val="16"/>
              </w:rPr>
              <w:t>No se aplica</w:t>
            </w:r>
          </w:p>
        </w:tc>
        <w:tc>
          <w:tcPr>
            <w:tcW w:w="1326" w:type="dxa"/>
            <w:tcBorders>
              <w:top w:val="single" w:sz="4" w:space="0" w:color="auto"/>
              <w:left w:val="single" w:sz="4" w:space="0" w:color="auto"/>
              <w:bottom w:val="single" w:sz="4" w:space="0" w:color="auto"/>
              <w:right w:val="single" w:sz="4" w:space="0" w:color="auto"/>
            </w:tcBorders>
            <w:shd w:val="clear" w:color="auto" w:fill="auto"/>
          </w:tcPr>
          <w:p w14:paraId="77C7CFDF" w14:textId="77777777" w:rsidR="00F317F2" w:rsidRPr="00FC4465" w:rsidRDefault="00F317F2" w:rsidP="00C93947">
            <w:pPr>
              <w:autoSpaceDE w:val="0"/>
              <w:autoSpaceDN w:val="0"/>
              <w:adjustRightInd w:val="0"/>
              <w:spacing w:before="40" w:after="40" w:line="240" w:lineRule="auto"/>
              <w:jc w:val="center"/>
              <w:rPr>
                <w:rFonts w:asciiTheme="majorBidi" w:hAnsiTheme="majorBidi" w:cstheme="majorBidi"/>
                <w:sz w:val="16"/>
                <w:szCs w:val="16"/>
              </w:rPr>
            </w:pPr>
            <w:r w:rsidRPr="00FC4465">
              <w:rPr>
                <w:rFonts w:asciiTheme="majorBidi" w:hAnsiTheme="majorBidi" w:cstheme="majorBidi"/>
                <w:sz w:val="16"/>
                <w:szCs w:val="16"/>
              </w:rPr>
              <w:t>No se aplica</w:t>
            </w:r>
          </w:p>
        </w:tc>
        <w:tc>
          <w:tcPr>
            <w:tcW w:w="1326" w:type="dxa"/>
            <w:tcBorders>
              <w:top w:val="single" w:sz="4" w:space="0" w:color="auto"/>
              <w:left w:val="single" w:sz="4" w:space="0" w:color="auto"/>
              <w:bottom w:val="single" w:sz="4" w:space="0" w:color="auto"/>
              <w:right w:val="single" w:sz="4" w:space="0" w:color="auto"/>
            </w:tcBorders>
            <w:shd w:val="clear" w:color="auto" w:fill="auto"/>
          </w:tcPr>
          <w:p w14:paraId="477EA243" w14:textId="77777777" w:rsidR="00F317F2" w:rsidRPr="00FC4465" w:rsidRDefault="00F317F2" w:rsidP="00C93947">
            <w:pPr>
              <w:autoSpaceDE w:val="0"/>
              <w:autoSpaceDN w:val="0"/>
              <w:adjustRightInd w:val="0"/>
              <w:spacing w:before="40" w:after="40" w:line="240" w:lineRule="auto"/>
              <w:jc w:val="center"/>
              <w:rPr>
                <w:rFonts w:asciiTheme="majorBidi" w:hAnsiTheme="majorBidi" w:cstheme="majorBidi"/>
                <w:sz w:val="16"/>
                <w:szCs w:val="16"/>
              </w:rPr>
            </w:pPr>
            <w:r w:rsidRPr="00FC4465">
              <w:rPr>
                <w:rFonts w:asciiTheme="majorBidi" w:hAnsiTheme="majorBidi" w:cstheme="majorBidi"/>
                <w:sz w:val="16"/>
                <w:szCs w:val="16"/>
              </w:rPr>
              <w:t>No se aplica</w:t>
            </w:r>
          </w:p>
        </w:tc>
      </w:tr>
      <w:tr w:rsidR="00F317F2" w:rsidRPr="00FC4465" w14:paraId="2590EAA5" w14:textId="77777777" w:rsidTr="00FC4465">
        <w:trPr>
          <w:jc w:val="center"/>
        </w:trPr>
        <w:tc>
          <w:tcPr>
            <w:tcW w:w="848" w:type="dxa"/>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57" w:type="dxa"/>
              <w:right w:w="57" w:type="dxa"/>
            </w:tcMar>
            <w:hideMark/>
          </w:tcPr>
          <w:p w14:paraId="53F39706" w14:textId="77777777" w:rsidR="00F317F2" w:rsidRPr="00FC4465" w:rsidRDefault="00F317F2" w:rsidP="00C93947">
            <w:pPr>
              <w:spacing w:before="40" w:after="40" w:line="240" w:lineRule="auto"/>
              <w:jc w:val="center"/>
              <w:rPr>
                <w:rFonts w:asciiTheme="majorBidi" w:hAnsiTheme="majorBidi" w:cstheme="majorBidi"/>
                <w:sz w:val="16"/>
                <w:szCs w:val="16"/>
              </w:rPr>
            </w:pPr>
            <w:r w:rsidRPr="00FC4465">
              <w:rPr>
                <w:rFonts w:asciiTheme="majorBidi" w:hAnsiTheme="majorBidi" w:cstheme="majorBidi"/>
                <w:sz w:val="16"/>
                <w:szCs w:val="16"/>
              </w:rPr>
              <w:t>1B</w:t>
            </w:r>
          </w:p>
        </w:tc>
        <w:tc>
          <w:tcPr>
            <w:tcW w:w="140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2F59F84" w14:textId="77777777" w:rsidR="00F317F2" w:rsidRPr="00FC4465" w:rsidRDefault="00F317F2" w:rsidP="00C93947">
            <w:pPr>
              <w:spacing w:before="40" w:after="40" w:line="240" w:lineRule="auto"/>
              <w:jc w:val="center"/>
              <w:rPr>
                <w:rFonts w:asciiTheme="majorBidi" w:hAnsiTheme="majorBidi" w:cstheme="majorBidi"/>
                <w:sz w:val="16"/>
                <w:szCs w:val="16"/>
              </w:rPr>
            </w:pPr>
            <w:r w:rsidRPr="00FC4465">
              <w:rPr>
                <w:rFonts w:asciiTheme="majorBidi" w:hAnsiTheme="majorBidi" w:cstheme="majorBidi"/>
                <w:sz w:val="16"/>
                <w:szCs w:val="16"/>
              </w:rPr>
              <w:t xml:space="preserve">No se aplica </w:t>
            </w:r>
          </w:p>
        </w:tc>
        <w:tc>
          <w:tcPr>
            <w:tcW w:w="1404" w:type="dxa"/>
            <w:tcBorders>
              <w:top w:val="single" w:sz="4" w:space="0" w:color="auto"/>
              <w:left w:val="single" w:sz="4" w:space="0" w:color="auto"/>
              <w:bottom w:val="single" w:sz="4" w:space="0" w:color="auto"/>
              <w:right w:val="single" w:sz="4" w:space="0" w:color="auto"/>
            </w:tcBorders>
            <w:shd w:val="clear" w:color="auto" w:fill="auto"/>
            <w:vAlign w:val="center"/>
          </w:tcPr>
          <w:p w14:paraId="63F558BA" w14:textId="77777777" w:rsidR="00F317F2" w:rsidRPr="00FC4465" w:rsidRDefault="00F317F2" w:rsidP="00C93947">
            <w:pPr>
              <w:spacing w:before="40" w:after="40" w:line="240" w:lineRule="auto"/>
              <w:jc w:val="center"/>
              <w:rPr>
                <w:rFonts w:asciiTheme="majorBidi" w:hAnsiTheme="majorBidi" w:cstheme="majorBidi"/>
                <w:sz w:val="16"/>
                <w:szCs w:val="16"/>
              </w:rPr>
            </w:pPr>
            <w:r w:rsidRPr="00FC4465">
              <w:rPr>
                <w:rFonts w:asciiTheme="majorBidi" w:hAnsiTheme="majorBidi" w:cstheme="majorBidi"/>
                <w:sz w:val="16"/>
                <w:szCs w:val="16"/>
              </w:rPr>
              <w:t>No se aplica</w:t>
            </w:r>
          </w:p>
        </w:tc>
        <w:tc>
          <w:tcPr>
            <w:tcW w:w="1185" w:type="dxa"/>
            <w:tcBorders>
              <w:top w:val="single" w:sz="4" w:space="0" w:color="auto"/>
              <w:left w:val="single" w:sz="4" w:space="0" w:color="auto"/>
              <w:bottom w:val="single" w:sz="4" w:space="0" w:color="auto"/>
              <w:right w:val="single" w:sz="4" w:space="0" w:color="auto"/>
            </w:tcBorders>
            <w:shd w:val="clear" w:color="auto" w:fill="auto"/>
            <w:vAlign w:val="center"/>
          </w:tcPr>
          <w:p w14:paraId="5659C63D" w14:textId="77777777" w:rsidR="00F317F2" w:rsidRPr="00FC4465" w:rsidRDefault="00F317F2" w:rsidP="00C93947">
            <w:pPr>
              <w:spacing w:before="40" w:after="40" w:line="240" w:lineRule="auto"/>
              <w:jc w:val="center"/>
              <w:rPr>
                <w:rFonts w:asciiTheme="majorBidi" w:hAnsiTheme="majorBidi" w:cstheme="majorBidi"/>
                <w:sz w:val="16"/>
                <w:szCs w:val="16"/>
              </w:rPr>
            </w:pPr>
            <w:r w:rsidRPr="00FC4465">
              <w:rPr>
                <w:rFonts w:asciiTheme="majorBidi" w:hAnsiTheme="majorBidi" w:cstheme="majorBidi"/>
                <w:sz w:val="16"/>
                <w:szCs w:val="16"/>
              </w:rPr>
              <w:t>No se aplica</w:t>
            </w:r>
          </w:p>
        </w:tc>
        <w:tc>
          <w:tcPr>
            <w:tcW w:w="2011" w:type="dxa"/>
            <w:tcBorders>
              <w:top w:val="single" w:sz="4" w:space="0" w:color="auto"/>
              <w:left w:val="single" w:sz="4" w:space="0" w:color="auto"/>
              <w:bottom w:val="single" w:sz="4" w:space="0" w:color="auto"/>
              <w:right w:val="single" w:sz="4" w:space="0" w:color="auto"/>
            </w:tcBorders>
            <w:shd w:val="clear" w:color="auto" w:fill="auto"/>
          </w:tcPr>
          <w:p w14:paraId="4D16F6DD" w14:textId="77777777" w:rsidR="00F317F2" w:rsidRPr="00FC4465" w:rsidRDefault="00F317F2" w:rsidP="00C93947">
            <w:pPr>
              <w:spacing w:before="40" w:after="40" w:line="240" w:lineRule="auto"/>
              <w:jc w:val="center"/>
              <w:rPr>
                <w:rFonts w:asciiTheme="majorBidi" w:hAnsiTheme="majorBidi" w:cstheme="majorBidi"/>
                <w:sz w:val="16"/>
                <w:szCs w:val="16"/>
              </w:rPr>
            </w:pPr>
            <w:r w:rsidRPr="00FC4465">
              <w:rPr>
                <w:rFonts w:asciiTheme="majorBidi" w:hAnsiTheme="majorBidi" w:cstheme="majorBidi"/>
                <w:sz w:val="16"/>
                <w:szCs w:val="16"/>
              </w:rPr>
              <w:t>No se aplica</w:t>
            </w:r>
          </w:p>
        </w:tc>
        <w:tc>
          <w:tcPr>
            <w:tcW w:w="1708" w:type="dxa"/>
            <w:tcBorders>
              <w:top w:val="single" w:sz="4" w:space="0" w:color="auto"/>
              <w:left w:val="single" w:sz="4" w:space="0" w:color="auto"/>
              <w:bottom w:val="single" w:sz="4" w:space="0" w:color="auto"/>
              <w:right w:val="single" w:sz="4" w:space="0" w:color="auto"/>
            </w:tcBorders>
            <w:shd w:val="clear" w:color="auto" w:fill="auto"/>
          </w:tcPr>
          <w:p w14:paraId="05095AEC" w14:textId="77777777" w:rsidR="00F317F2" w:rsidRPr="00FC4465" w:rsidRDefault="00F317F2" w:rsidP="00C93947">
            <w:pPr>
              <w:spacing w:before="40" w:after="40" w:line="240" w:lineRule="auto"/>
              <w:jc w:val="center"/>
              <w:rPr>
                <w:rFonts w:asciiTheme="majorBidi" w:hAnsiTheme="majorBidi" w:cstheme="majorBidi"/>
                <w:sz w:val="16"/>
                <w:szCs w:val="16"/>
              </w:rPr>
            </w:pPr>
            <w:r w:rsidRPr="00FC4465">
              <w:rPr>
                <w:rFonts w:asciiTheme="majorBidi" w:hAnsiTheme="majorBidi" w:cstheme="majorBidi"/>
                <w:sz w:val="16"/>
                <w:szCs w:val="16"/>
              </w:rPr>
              <w:t>No se aplica</w:t>
            </w:r>
          </w:p>
        </w:tc>
        <w:tc>
          <w:tcPr>
            <w:tcW w:w="1582" w:type="dxa"/>
            <w:tcBorders>
              <w:top w:val="single" w:sz="4" w:space="0" w:color="auto"/>
              <w:left w:val="single" w:sz="4" w:space="0" w:color="auto"/>
              <w:bottom w:val="single" w:sz="4" w:space="0" w:color="auto"/>
              <w:right w:val="single" w:sz="4" w:space="0" w:color="auto"/>
            </w:tcBorders>
            <w:shd w:val="clear" w:color="auto" w:fill="auto"/>
          </w:tcPr>
          <w:p w14:paraId="52F1D305" w14:textId="77777777" w:rsidR="00F317F2" w:rsidRPr="00FC4465" w:rsidRDefault="00F317F2" w:rsidP="00C93947">
            <w:pPr>
              <w:spacing w:before="40" w:after="40" w:line="240" w:lineRule="auto"/>
              <w:jc w:val="center"/>
              <w:rPr>
                <w:rFonts w:asciiTheme="majorBidi" w:hAnsiTheme="majorBidi" w:cstheme="majorBidi"/>
                <w:sz w:val="16"/>
                <w:szCs w:val="16"/>
              </w:rPr>
            </w:pPr>
            <w:r w:rsidRPr="00FC4465">
              <w:rPr>
                <w:rFonts w:asciiTheme="majorBidi" w:hAnsiTheme="majorBidi" w:cstheme="majorBidi"/>
                <w:sz w:val="16"/>
                <w:szCs w:val="16"/>
              </w:rPr>
              <w:t>No se aplica</w:t>
            </w:r>
          </w:p>
        </w:tc>
        <w:tc>
          <w:tcPr>
            <w:tcW w:w="1379" w:type="dxa"/>
            <w:tcBorders>
              <w:top w:val="single" w:sz="4" w:space="0" w:color="auto"/>
              <w:left w:val="single" w:sz="4" w:space="0" w:color="auto"/>
              <w:bottom w:val="single" w:sz="4" w:space="0" w:color="auto"/>
              <w:right w:val="single" w:sz="4" w:space="0" w:color="auto"/>
            </w:tcBorders>
            <w:shd w:val="clear" w:color="auto" w:fill="auto"/>
          </w:tcPr>
          <w:p w14:paraId="22394501" w14:textId="77777777" w:rsidR="00F317F2" w:rsidRPr="00FC4465" w:rsidRDefault="00F317F2" w:rsidP="00C93947">
            <w:pPr>
              <w:spacing w:before="40" w:after="40" w:line="240" w:lineRule="auto"/>
              <w:jc w:val="center"/>
              <w:rPr>
                <w:rFonts w:asciiTheme="majorBidi" w:hAnsiTheme="majorBidi" w:cstheme="majorBidi"/>
                <w:sz w:val="16"/>
                <w:szCs w:val="16"/>
              </w:rPr>
            </w:pPr>
            <w:r w:rsidRPr="00FC4465">
              <w:rPr>
                <w:rFonts w:asciiTheme="majorBidi" w:hAnsiTheme="majorBidi" w:cstheme="majorBidi"/>
                <w:sz w:val="16"/>
                <w:szCs w:val="16"/>
              </w:rPr>
              <w:t>No se aplica</w:t>
            </w:r>
          </w:p>
        </w:tc>
        <w:tc>
          <w:tcPr>
            <w:tcW w:w="1326" w:type="dxa"/>
            <w:tcBorders>
              <w:top w:val="single" w:sz="4" w:space="0" w:color="auto"/>
              <w:left w:val="single" w:sz="4" w:space="0" w:color="auto"/>
              <w:bottom w:val="single" w:sz="4" w:space="0" w:color="auto"/>
              <w:right w:val="single" w:sz="4" w:space="0" w:color="auto"/>
            </w:tcBorders>
            <w:shd w:val="clear" w:color="auto" w:fill="auto"/>
          </w:tcPr>
          <w:p w14:paraId="0A18F735" w14:textId="77777777" w:rsidR="00F317F2" w:rsidRPr="00FC4465" w:rsidRDefault="00F317F2" w:rsidP="00C93947">
            <w:pPr>
              <w:spacing w:before="40" w:after="40" w:line="240" w:lineRule="auto"/>
              <w:jc w:val="center"/>
              <w:rPr>
                <w:rFonts w:asciiTheme="majorBidi" w:hAnsiTheme="majorBidi" w:cstheme="majorBidi"/>
                <w:sz w:val="16"/>
                <w:szCs w:val="16"/>
              </w:rPr>
            </w:pPr>
            <w:r w:rsidRPr="00FC4465">
              <w:rPr>
                <w:rFonts w:asciiTheme="majorBidi" w:hAnsiTheme="majorBidi" w:cstheme="majorBidi"/>
                <w:sz w:val="16"/>
                <w:szCs w:val="16"/>
              </w:rPr>
              <w:t>No se aplica</w:t>
            </w:r>
          </w:p>
        </w:tc>
        <w:tc>
          <w:tcPr>
            <w:tcW w:w="1326" w:type="dxa"/>
            <w:tcBorders>
              <w:top w:val="single" w:sz="4" w:space="0" w:color="auto"/>
              <w:left w:val="single" w:sz="4" w:space="0" w:color="auto"/>
              <w:bottom w:val="single" w:sz="4" w:space="0" w:color="auto"/>
              <w:right w:val="single" w:sz="4" w:space="0" w:color="auto"/>
            </w:tcBorders>
            <w:shd w:val="clear" w:color="auto" w:fill="auto"/>
          </w:tcPr>
          <w:p w14:paraId="7AD0566F" w14:textId="77777777" w:rsidR="00F317F2" w:rsidRPr="00FC4465" w:rsidRDefault="00F317F2" w:rsidP="00C93947">
            <w:pPr>
              <w:spacing w:before="40" w:after="40" w:line="240" w:lineRule="auto"/>
              <w:jc w:val="center"/>
              <w:rPr>
                <w:rFonts w:asciiTheme="majorBidi" w:hAnsiTheme="majorBidi" w:cstheme="majorBidi"/>
                <w:sz w:val="16"/>
                <w:szCs w:val="16"/>
              </w:rPr>
            </w:pPr>
            <w:r w:rsidRPr="00FC4465">
              <w:rPr>
                <w:rFonts w:asciiTheme="majorBidi" w:hAnsiTheme="majorBidi" w:cstheme="majorBidi"/>
                <w:sz w:val="16"/>
                <w:szCs w:val="16"/>
              </w:rPr>
              <w:t>No se aplica</w:t>
            </w:r>
          </w:p>
        </w:tc>
      </w:tr>
    </w:tbl>
    <w:p w14:paraId="193918DA" w14:textId="57B2BF9D" w:rsidR="00F317F2" w:rsidRPr="00FC4465" w:rsidRDefault="00F317F2" w:rsidP="00F317F2">
      <w:pPr>
        <w:spacing w:after="40"/>
        <w:jc w:val="center"/>
        <w:rPr>
          <w:rFonts w:asciiTheme="majorBidi" w:hAnsiTheme="majorBidi" w:cstheme="majorBidi"/>
          <w:b/>
        </w:rPr>
      </w:pPr>
      <w:r w:rsidRPr="00FC4465">
        <w:rPr>
          <w:rFonts w:asciiTheme="majorBidi" w:hAnsiTheme="majorBidi" w:cstheme="majorBidi"/>
          <w:b/>
          <w:bCs/>
        </w:rPr>
        <w:lastRenderedPageBreak/>
        <w:t xml:space="preserve">Tabla 3.4.8: Criterios para los métodos </w:t>
      </w:r>
      <w:r w:rsidRPr="00FC4465">
        <w:rPr>
          <w:rFonts w:asciiTheme="majorBidi" w:hAnsiTheme="majorBidi" w:cstheme="majorBidi"/>
          <w:b/>
          <w:bCs/>
          <w:i/>
          <w:iCs/>
        </w:rPr>
        <w:t>in</w:t>
      </w:r>
      <w:r w:rsidR="0081160D">
        <w:rPr>
          <w:rFonts w:asciiTheme="majorBidi" w:hAnsiTheme="majorBidi" w:cstheme="majorBidi"/>
          <w:b/>
          <w:bCs/>
          <w:i/>
          <w:iCs/>
        </w:rPr>
        <w:t> chemico</w:t>
      </w:r>
      <w:r w:rsidRPr="00FC4465">
        <w:rPr>
          <w:rFonts w:asciiTheme="majorBidi" w:hAnsiTheme="majorBidi" w:cstheme="majorBidi"/>
          <w:b/>
          <w:bCs/>
        </w:rPr>
        <w:t>/</w:t>
      </w:r>
      <w:r w:rsidR="00762E66">
        <w:rPr>
          <w:rFonts w:asciiTheme="majorBidi" w:hAnsiTheme="majorBidi" w:cstheme="majorBidi"/>
          <w:b/>
          <w:bCs/>
          <w:i/>
          <w:iCs/>
        </w:rPr>
        <w:t>in vitro</w:t>
      </w:r>
      <w:r w:rsidRPr="00FC4465">
        <w:rPr>
          <w:rFonts w:asciiTheme="majorBidi" w:hAnsiTheme="majorBidi" w:cstheme="majorBidi"/>
          <w:b/>
          <w:bCs/>
        </w:rPr>
        <w:t xml:space="preserve"> </w:t>
      </w:r>
      <w:r w:rsidRPr="00FC4465">
        <w:rPr>
          <w:rFonts w:asciiTheme="majorBidi" w:hAnsiTheme="majorBidi" w:cstheme="majorBidi"/>
          <w:b/>
          <w:bCs/>
          <w:i/>
          <w:iCs/>
        </w:rPr>
        <w:t>(continuación)</w:t>
      </w:r>
    </w:p>
    <w:tbl>
      <w:tblPr>
        <w:tblW w:w="141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848"/>
        <w:gridCol w:w="1395"/>
        <w:gridCol w:w="11"/>
        <w:gridCol w:w="1404"/>
        <w:gridCol w:w="1185"/>
        <w:gridCol w:w="2094"/>
        <w:gridCol w:w="1558"/>
        <w:gridCol w:w="1483"/>
        <w:gridCol w:w="1545"/>
        <w:gridCol w:w="1406"/>
        <w:gridCol w:w="1246"/>
      </w:tblGrid>
      <w:tr w:rsidR="00F317F2" w:rsidRPr="00FC4465" w14:paraId="0F230FFE" w14:textId="77777777" w:rsidTr="00626CA4">
        <w:trPr>
          <w:tblHeader/>
          <w:jc w:val="center"/>
        </w:trPr>
        <w:tc>
          <w:tcPr>
            <w:tcW w:w="848" w:type="dxa"/>
            <w:tcBorders>
              <w:top w:val="single" w:sz="4" w:space="0" w:color="auto"/>
              <w:left w:val="single" w:sz="4" w:space="0" w:color="auto"/>
              <w:bottom w:val="nil"/>
              <w:right w:val="single" w:sz="4" w:space="0" w:color="auto"/>
            </w:tcBorders>
            <w:tcMar>
              <w:top w:w="57" w:type="dxa"/>
              <w:left w:w="57" w:type="dxa"/>
              <w:bottom w:w="57" w:type="dxa"/>
              <w:right w:w="57" w:type="dxa"/>
            </w:tcMar>
            <w:hideMark/>
          </w:tcPr>
          <w:p w14:paraId="3E7B3564" w14:textId="77777777" w:rsidR="00F317F2" w:rsidRPr="00FC4465" w:rsidRDefault="00F317F2" w:rsidP="00C93947">
            <w:pPr>
              <w:pStyle w:val="ListParagraph"/>
              <w:keepNext/>
              <w:keepLines/>
              <w:spacing w:before="40" w:after="40" w:line="240" w:lineRule="auto"/>
              <w:ind w:left="0"/>
              <w:rPr>
                <w:rFonts w:asciiTheme="majorBidi" w:hAnsiTheme="majorBidi" w:cstheme="majorBidi"/>
                <w:b/>
                <w:sz w:val="16"/>
                <w:szCs w:val="16"/>
                <w:lang w:val="es-ES"/>
              </w:rPr>
            </w:pPr>
            <w:r w:rsidRPr="00FC4465">
              <w:rPr>
                <w:rFonts w:asciiTheme="majorBidi" w:hAnsiTheme="majorBidi" w:cstheme="majorBidi"/>
                <w:b/>
                <w:bCs/>
                <w:sz w:val="16"/>
                <w:szCs w:val="16"/>
                <w:lang w:val="es-ES"/>
              </w:rPr>
              <w:t>Categoría</w:t>
            </w:r>
          </w:p>
        </w:tc>
        <w:tc>
          <w:tcPr>
            <w:tcW w:w="3995" w:type="dxa"/>
            <w:gridSpan w:val="4"/>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hideMark/>
          </w:tcPr>
          <w:p w14:paraId="17BC2123" w14:textId="77777777" w:rsidR="00F317F2" w:rsidRPr="00FC4465" w:rsidRDefault="00F317F2" w:rsidP="00C93947">
            <w:pPr>
              <w:keepNext/>
              <w:keepLines/>
              <w:spacing w:line="240" w:lineRule="auto"/>
              <w:jc w:val="center"/>
              <w:rPr>
                <w:rFonts w:asciiTheme="majorBidi" w:hAnsiTheme="majorBidi" w:cstheme="majorBidi"/>
                <w:b/>
                <w:sz w:val="16"/>
                <w:szCs w:val="16"/>
              </w:rPr>
            </w:pPr>
            <w:r w:rsidRPr="00FC4465">
              <w:rPr>
                <w:rFonts w:asciiTheme="majorBidi" w:hAnsiTheme="majorBidi" w:cstheme="majorBidi"/>
                <w:b/>
                <w:bCs/>
                <w:sz w:val="16"/>
                <w:szCs w:val="16"/>
              </w:rPr>
              <w:t>Directriz 442C de la OCDE</w:t>
            </w:r>
            <w:r w:rsidRPr="00FC4465">
              <w:rPr>
                <w:rFonts w:asciiTheme="majorBidi" w:hAnsiTheme="majorBidi" w:cstheme="majorBidi"/>
                <w:sz w:val="16"/>
                <w:szCs w:val="16"/>
              </w:rPr>
              <w:t xml:space="preserve"> </w:t>
            </w:r>
          </w:p>
          <w:p w14:paraId="274FED18" w14:textId="342AD594" w:rsidR="00F317F2" w:rsidRPr="00FC4465" w:rsidRDefault="00F317F2" w:rsidP="00C93947">
            <w:pPr>
              <w:keepNext/>
              <w:keepLines/>
              <w:spacing w:line="240" w:lineRule="auto"/>
              <w:jc w:val="center"/>
              <w:rPr>
                <w:rFonts w:asciiTheme="majorBidi" w:hAnsiTheme="majorBidi" w:cstheme="majorBidi"/>
                <w:b/>
                <w:sz w:val="16"/>
                <w:szCs w:val="16"/>
              </w:rPr>
            </w:pPr>
            <w:r w:rsidRPr="00FC4465">
              <w:rPr>
                <w:rFonts w:asciiTheme="majorBidi" w:hAnsiTheme="majorBidi" w:cstheme="majorBidi"/>
                <w:b/>
                <w:bCs/>
                <w:sz w:val="16"/>
                <w:szCs w:val="16"/>
              </w:rPr>
              <w:t xml:space="preserve">Directriz basada en los eventos clave para los ensayos de sensibilización cutánea </w:t>
            </w:r>
            <w:r w:rsidRPr="00FC4465">
              <w:rPr>
                <w:rFonts w:asciiTheme="majorBidi" w:hAnsiTheme="majorBidi" w:cstheme="majorBidi"/>
                <w:b/>
                <w:bCs/>
                <w:i/>
                <w:iCs/>
                <w:sz w:val="16"/>
                <w:szCs w:val="16"/>
              </w:rPr>
              <w:t>in</w:t>
            </w:r>
            <w:r w:rsidR="0081160D">
              <w:rPr>
                <w:rFonts w:asciiTheme="majorBidi" w:hAnsiTheme="majorBidi" w:cstheme="majorBidi"/>
                <w:b/>
                <w:bCs/>
                <w:i/>
                <w:iCs/>
                <w:sz w:val="16"/>
                <w:szCs w:val="16"/>
              </w:rPr>
              <w:t> chemico</w:t>
            </w:r>
            <w:r w:rsidRPr="00FC4465">
              <w:rPr>
                <w:rFonts w:asciiTheme="majorBidi" w:hAnsiTheme="majorBidi" w:cstheme="majorBidi"/>
                <w:b/>
                <w:bCs/>
                <w:sz w:val="16"/>
                <w:szCs w:val="16"/>
              </w:rPr>
              <w:t xml:space="preserve"> que se centran en el evento clave de la ruta de resultados adversos relativo al establecimiento de una unión covalente con las proteínas</w:t>
            </w:r>
          </w:p>
        </w:tc>
        <w:tc>
          <w:tcPr>
            <w:tcW w:w="3652" w:type="dxa"/>
            <w:gridSpan w:val="2"/>
            <w:tcBorders>
              <w:top w:val="single" w:sz="4" w:space="0" w:color="auto"/>
              <w:left w:val="single" w:sz="4" w:space="0" w:color="auto"/>
              <w:bottom w:val="single" w:sz="4" w:space="0" w:color="auto"/>
              <w:right w:val="single" w:sz="4" w:space="0" w:color="auto"/>
            </w:tcBorders>
          </w:tcPr>
          <w:p w14:paraId="40478018" w14:textId="77777777" w:rsidR="00F317F2" w:rsidRPr="00FC4465" w:rsidRDefault="00F317F2" w:rsidP="00C93947">
            <w:pPr>
              <w:keepNext/>
              <w:keepLines/>
              <w:spacing w:line="240" w:lineRule="auto"/>
              <w:jc w:val="center"/>
              <w:rPr>
                <w:rFonts w:asciiTheme="majorBidi" w:hAnsiTheme="majorBidi" w:cstheme="majorBidi"/>
                <w:b/>
                <w:sz w:val="16"/>
                <w:szCs w:val="16"/>
              </w:rPr>
            </w:pPr>
            <w:r w:rsidRPr="00FC4465">
              <w:rPr>
                <w:rFonts w:asciiTheme="majorBidi" w:hAnsiTheme="majorBidi" w:cstheme="majorBidi"/>
                <w:b/>
                <w:bCs/>
                <w:sz w:val="16"/>
                <w:szCs w:val="16"/>
              </w:rPr>
              <w:t>Directriz 442D de la OCDE</w:t>
            </w:r>
          </w:p>
          <w:p w14:paraId="1209F269" w14:textId="5BF58313" w:rsidR="00F317F2" w:rsidRPr="00FC4465" w:rsidRDefault="00F317F2" w:rsidP="00C93947">
            <w:pPr>
              <w:keepNext/>
              <w:keepLines/>
              <w:spacing w:line="240" w:lineRule="auto"/>
              <w:jc w:val="center"/>
              <w:rPr>
                <w:rFonts w:asciiTheme="majorBidi" w:hAnsiTheme="majorBidi" w:cstheme="majorBidi"/>
                <w:b/>
                <w:sz w:val="16"/>
                <w:szCs w:val="16"/>
              </w:rPr>
            </w:pPr>
            <w:r w:rsidRPr="00FC4465">
              <w:rPr>
                <w:rFonts w:asciiTheme="majorBidi" w:hAnsiTheme="majorBidi" w:cstheme="majorBidi"/>
                <w:b/>
                <w:bCs/>
                <w:sz w:val="16"/>
                <w:szCs w:val="16"/>
              </w:rPr>
              <w:t xml:space="preserve">Directriz basada en los eventos clave para los ensayos de sensibilización cutánea </w:t>
            </w:r>
            <w:r w:rsidR="00762E66">
              <w:rPr>
                <w:rFonts w:asciiTheme="majorBidi" w:hAnsiTheme="majorBidi" w:cstheme="majorBidi"/>
                <w:b/>
                <w:bCs/>
                <w:i/>
                <w:iCs/>
                <w:sz w:val="16"/>
                <w:szCs w:val="16"/>
              </w:rPr>
              <w:t>in vitro</w:t>
            </w:r>
            <w:r w:rsidRPr="00FC4465">
              <w:rPr>
                <w:rFonts w:asciiTheme="majorBidi" w:hAnsiTheme="majorBidi" w:cstheme="majorBidi"/>
                <w:b/>
                <w:bCs/>
                <w:sz w:val="16"/>
                <w:szCs w:val="16"/>
              </w:rPr>
              <w:t xml:space="preserve"> que se centran en el evento clave de la ruta de resultados adversos relativo a la activación de los queratinocitos en la que se describen métodos de ensayo que miden la activación del elemento de respuesta antioxidante mediada por el factor nuclear eritroide 2 (ARE-Nrf2) mediante la luciferasa</w:t>
            </w:r>
            <w:r w:rsidRPr="00FC4465">
              <w:rPr>
                <w:rFonts w:asciiTheme="majorBidi" w:hAnsiTheme="majorBidi" w:cstheme="majorBidi"/>
                <w:sz w:val="16"/>
                <w:szCs w:val="16"/>
              </w:rPr>
              <w:t xml:space="preserve"> </w:t>
            </w:r>
          </w:p>
        </w:tc>
        <w:tc>
          <w:tcPr>
            <w:tcW w:w="5680" w:type="dxa"/>
            <w:gridSpan w:val="4"/>
            <w:tcBorders>
              <w:top w:val="single" w:sz="4" w:space="0" w:color="auto"/>
              <w:left w:val="single" w:sz="4" w:space="0" w:color="auto"/>
              <w:bottom w:val="single" w:sz="4" w:space="0" w:color="auto"/>
              <w:right w:val="single" w:sz="4" w:space="0" w:color="auto"/>
            </w:tcBorders>
          </w:tcPr>
          <w:p w14:paraId="22A569E2" w14:textId="77777777" w:rsidR="00F317F2" w:rsidRPr="00FC4465" w:rsidRDefault="00F317F2" w:rsidP="00C93947">
            <w:pPr>
              <w:keepNext/>
              <w:keepLines/>
              <w:spacing w:line="240" w:lineRule="auto"/>
              <w:jc w:val="center"/>
              <w:rPr>
                <w:rFonts w:asciiTheme="majorBidi" w:hAnsiTheme="majorBidi" w:cstheme="majorBidi"/>
                <w:b/>
                <w:sz w:val="16"/>
                <w:szCs w:val="16"/>
              </w:rPr>
            </w:pPr>
            <w:r w:rsidRPr="00FC4465">
              <w:rPr>
                <w:rFonts w:asciiTheme="majorBidi" w:hAnsiTheme="majorBidi" w:cstheme="majorBidi"/>
                <w:b/>
                <w:bCs/>
                <w:sz w:val="16"/>
                <w:szCs w:val="16"/>
              </w:rPr>
              <w:t>Directriz 442E de la OCDE</w:t>
            </w:r>
          </w:p>
          <w:p w14:paraId="3EDBBE5F" w14:textId="794D7277" w:rsidR="00F317F2" w:rsidRPr="00FC4465" w:rsidRDefault="00F317F2" w:rsidP="00C93947">
            <w:pPr>
              <w:keepNext/>
              <w:keepLines/>
              <w:spacing w:line="240" w:lineRule="auto"/>
              <w:jc w:val="center"/>
              <w:rPr>
                <w:rFonts w:asciiTheme="majorBidi" w:hAnsiTheme="majorBidi" w:cstheme="majorBidi"/>
                <w:b/>
                <w:sz w:val="16"/>
                <w:szCs w:val="16"/>
              </w:rPr>
            </w:pPr>
            <w:r w:rsidRPr="00FC4465">
              <w:rPr>
                <w:rFonts w:asciiTheme="majorBidi" w:hAnsiTheme="majorBidi" w:cstheme="majorBidi"/>
                <w:b/>
                <w:bCs/>
                <w:sz w:val="16"/>
                <w:szCs w:val="16"/>
              </w:rPr>
              <w:t xml:space="preserve">Ensayos de sensibilización cutánea </w:t>
            </w:r>
            <w:r w:rsidR="00762E66">
              <w:rPr>
                <w:rFonts w:asciiTheme="majorBidi" w:hAnsiTheme="majorBidi" w:cstheme="majorBidi"/>
                <w:b/>
                <w:bCs/>
                <w:i/>
                <w:iCs/>
                <w:sz w:val="16"/>
                <w:szCs w:val="16"/>
              </w:rPr>
              <w:t>in vitro</w:t>
            </w:r>
            <w:r w:rsidRPr="00FC4465">
              <w:rPr>
                <w:rFonts w:asciiTheme="majorBidi" w:hAnsiTheme="majorBidi" w:cstheme="majorBidi"/>
                <w:b/>
                <w:bCs/>
                <w:sz w:val="16"/>
                <w:szCs w:val="16"/>
              </w:rPr>
              <w:t xml:space="preserve"> que se centran en el evento clave de la ruta de resultados adversos relativo a la activación de las células dendríticas</w:t>
            </w:r>
            <w:r w:rsidRPr="00FC4465">
              <w:rPr>
                <w:rFonts w:asciiTheme="majorBidi" w:hAnsiTheme="majorBidi" w:cstheme="majorBidi"/>
                <w:sz w:val="16"/>
                <w:szCs w:val="16"/>
              </w:rPr>
              <w:t xml:space="preserve"> </w:t>
            </w:r>
          </w:p>
        </w:tc>
      </w:tr>
      <w:tr w:rsidR="00F317F2" w:rsidRPr="00FC4465" w14:paraId="2C8483BF" w14:textId="77777777" w:rsidTr="00626CA4">
        <w:trPr>
          <w:trHeight w:val="406"/>
          <w:tblHeader/>
          <w:jc w:val="center"/>
        </w:trPr>
        <w:tc>
          <w:tcPr>
            <w:tcW w:w="848" w:type="dxa"/>
            <w:vMerge w:val="restart"/>
            <w:tcBorders>
              <w:top w:val="nil"/>
              <w:left w:val="single" w:sz="4" w:space="0" w:color="auto"/>
              <w:right w:val="single" w:sz="4" w:space="0" w:color="auto"/>
            </w:tcBorders>
            <w:tcMar>
              <w:top w:w="57" w:type="dxa"/>
              <w:left w:w="57" w:type="dxa"/>
              <w:bottom w:w="57" w:type="dxa"/>
              <w:right w:w="57" w:type="dxa"/>
            </w:tcMar>
          </w:tcPr>
          <w:p w14:paraId="4F292FB5" w14:textId="77777777" w:rsidR="00F317F2" w:rsidRPr="00864F68" w:rsidRDefault="00F317F2" w:rsidP="00C93947">
            <w:pPr>
              <w:spacing w:line="260" w:lineRule="atLeast"/>
              <w:jc w:val="center"/>
              <w:rPr>
                <w:rFonts w:asciiTheme="majorBidi" w:hAnsiTheme="majorBidi" w:cstheme="majorBidi"/>
                <w:sz w:val="16"/>
                <w:szCs w:val="16"/>
              </w:rPr>
            </w:pPr>
          </w:p>
        </w:tc>
        <w:tc>
          <w:tcPr>
            <w:tcW w:w="1395" w:type="dxa"/>
            <w:tcBorders>
              <w:top w:val="single" w:sz="4" w:space="0" w:color="auto"/>
              <w:left w:val="single" w:sz="4" w:space="0" w:color="auto"/>
              <w:bottom w:val="nil"/>
              <w:right w:val="single" w:sz="4" w:space="0" w:color="auto"/>
            </w:tcBorders>
            <w:tcMar>
              <w:top w:w="57" w:type="dxa"/>
              <w:left w:w="57" w:type="dxa"/>
              <w:bottom w:w="57" w:type="dxa"/>
              <w:right w:w="57" w:type="dxa"/>
            </w:tcMar>
          </w:tcPr>
          <w:p w14:paraId="7A180193" w14:textId="77777777" w:rsidR="00F317F2" w:rsidRPr="00FC4465" w:rsidRDefault="00F317F2" w:rsidP="00C93947">
            <w:pPr>
              <w:spacing w:line="240" w:lineRule="auto"/>
              <w:jc w:val="center"/>
              <w:rPr>
                <w:rFonts w:asciiTheme="majorBidi" w:hAnsiTheme="majorBidi" w:cstheme="majorBidi"/>
                <w:sz w:val="16"/>
                <w:szCs w:val="16"/>
              </w:rPr>
            </w:pPr>
            <w:r w:rsidRPr="00FC4465">
              <w:rPr>
                <w:rFonts w:asciiTheme="majorBidi" w:hAnsiTheme="majorBidi" w:cstheme="majorBidi"/>
                <w:b/>
                <w:bCs/>
                <w:sz w:val="16"/>
                <w:szCs w:val="16"/>
              </w:rPr>
              <w:t>Método descrito en el apéndice I</w:t>
            </w:r>
          </w:p>
        </w:tc>
        <w:tc>
          <w:tcPr>
            <w:tcW w:w="1415" w:type="dxa"/>
            <w:gridSpan w:val="2"/>
            <w:tcBorders>
              <w:top w:val="single" w:sz="4" w:space="0" w:color="auto"/>
              <w:left w:val="single" w:sz="4" w:space="0" w:color="auto"/>
              <w:bottom w:val="nil"/>
              <w:right w:val="single" w:sz="4" w:space="0" w:color="auto"/>
            </w:tcBorders>
          </w:tcPr>
          <w:p w14:paraId="060167E8" w14:textId="77777777" w:rsidR="00F317F2" w:rsidRPr="00FC4465" w:rsidRDefault="00F317F2" w:rsidP="00C93947">
            <w:pPr>
              <w:spacing w:line="240" w:lineRule="auto"/>
              <w:jc w:val="center"/>
              <w:rPr>
                <w:rFonts w:asciiTheme="majorBidi" w:hAnsiTheme="majorBidi" w:cstheme="majorBidi"/>
                <w:b/>
                <w:bCs/>
                <w:sz w:val="16"/>
                <w:szCs w:val="16"/>
              </w:rPr>
            </w:pPr>
            <w:r w:rsidRPr="00FC4465">
              <w:rPr>
                <w:rFonts w:asciiTheme="majorBidi" w:hAnsiTheme="majorBidi" w:cstheme="majorBidi"/>
                <w:b/>
                <w:bCs/>
                <w:sz w:val="16"/>
                <w:szCs w:val="16"/>
              </w:rPr>
              <w:t>Método descrito en el apéndice II</w:t>
            </w:r>
            <w:r w:rsidRPr="00FC4465">
              <w:rPr>
                <w:rFonts w:asciiTheme="majorBidi" w:hAnsiTheme="majorBidi" w:cstheme="majorBidi"/>
                <w:sz w:val="16"/>
                <w:szCs w:val="16"/>
              </w:rPr>
              <w:t xml:space="preserve"> </w:t>
            </w:r>
          </w:p>
        </w:tc>
        <w:tc>
          <w:tcPr>
            <w:tcW w:w="1185" w:type="dxa"/>
            <w:tcBorders>
              <w:top w:val="single" w:sz="4" w:space="0" w:color="auto"/>
              <w:left w:val="single" w:sz="4" w:space="0" w:color="auto"/>
              <w:bottom w:val="nil"/>
              <w:right w:val="single" w:sz="4" w:space="0" w:color="auto"/>
            </w:tcBorders>
          </w:tcPr>
          <w:p w14:paraId="7EFBDA5D" w14:textId="77777777" w:rsidR="00F317F2" w:rsidRPr="00FC4465" w:rsidRDefault="00F317F2" w:rsidP="00C93947">
            <w:pPr>
              <w:spacing w:line="240" w:lineRule="auto"/>
              <w:jc w:val="center"/>
              <w:rPr>
                <w:rFonts w:asciiTheme="majorBidi" w:hAnsiTheme="majorBidi" w:cstheme="majorBidi"/>
                <w:sz w:val="16"/>
                <w:szCs w:val="16"/>
              </w:rPr>
            </w:pPr>
            <w:r w:rsidRPr="00FC4465">
              <w:rPr>
                <w:rFonts w:asciiTheme="majorBidi" w:hAnsiTheme="majorBidi" w:cstheme="majorBidi"/>
                <w:b/>
                <w:bCs/>
                <w:sz w:val="16"/>
                <w:szCs w:val="16"/>
              </w:rPr>
              <w:t>Método descrito en el apéndice III</w:t>
            </w:r>
          </w:p>
        </w:tc>
        <w:tc>
          <w:tcPr>
            <w:tcW w:w="2094" w:type="dxa"/>
            <w:tcBorders>
              <w:top w:val="single" w:sz="4" w:space="0" w:color="auto"/>
              <w:left w:val="single" w:sz="4" w:space="0" w:color="auto"/>
              <w:bottom w:val="nil"/>
              <w:right w:val="single" w:sz="4" w:space="0" w:color="auto"/>
            </w:tcBorders>
          </w:tcPr>
          <w:p w14:paraId="1EF50CA3" w14:textId="77777777" w:rsidR="00F317F2" w:rsidRPr="00FC4465" w:rsidRDefault="00F317F2" w:rsidP="00C93947">
            <w:pPr>
              <w:spacing w:line="240" w:lineRule="auto"/>
              <w:jc w:val="center"/>
              <w:rPr>
                <w:rFonts w:asciiTheme="majorBidi" w:hAnsiTheme="majorBidi" w:cstheme="majorBidi"/>
                <w:b/>
                <w:sz w:val="16"/>
                <w:szCs w:val="16"/>
              </w:rPr>
            </w:pPr>
            <w:r w:rsidRPr="00FC4465">
              <w:rPr>
                <w:rFonts w:asciiTheme="majorBidi" w:hAnsiTheme="majorBidi" w:cstheme="majorBidi"/>
                <w:b/>
                <w:bCs/>
                <w:sz w:val="16"/>
                <w:szCs w:val="16"/>
              </w:rPr>
              <w:t>Método descrito en el apéndice 1A</w:t>
            </w:r>
            <w:r w:rsidRPr="00FC4465">
              <w:rPr>
                <w:rFonts w:asciiTheme="majorBidi" w:hAnsiTheme="majorBidi" w:cstheme="majorBidi"/>
                <w:b/>
                <w:bCs/>
                <w:sz w:val="16"/>
                <w:szCs w:val="16"/>
                <w:vertAlign w:val="superscript"/>
              </w:rPr>
              <w:t>a</w:t>
            </w:r>
          </w:p>
        </w:tc>
        <w:tc>
          <w:tcPr>
            <w:tcW w:w="1558" w:type="dxa"/>
            <w:tcBorders>
              <w:top w:val="single" w:sz="4" w:space="0" w:color="auto"/>
              <w:left w:val="single" w:sz="4" w:space="0" w:color="auto"/>
              <w:bottom w:val="nil"/>
              <w:right w:val="single" w:sz="4" w:space="0" w:color="auto"/>
            </w:tcBorders>
          </w:tcPr>
          <w:p w14:paraId="39F27D97" w14:textId="77777777" w:rsidR="00F317F2" w:rsidRPr="00FC4465" w:rsidRDefault="00F317F2" w:rsidP="00C93947">
            <w:pPr>
              <w:spacing w:line="240" w:lineRule="auto"/>
              <w:jc w:val="center"/>
              <w:rPr>
                <w:rFonts w:asciiTheme="majorBidi" w:hAnsiTheme="majorBidi" w:cstheme="majorBidi"/>
                <w:b/>
                <w:sz w:val="16"/>
                <w:szCs w:val="16"/>
              </w:rPr>
            </w:pPr>
            <w:r w:rsidRPr="00FC4465">
              <w:rPr>
                <w:rFonts w:asciiTheme="majorBidi" w:hAnsiTheme="majorBidi" w:cstheme="majorBidi"/>
                <w:b/>
                <w:bCs/>
                <w:sz w:val="16"/>
                <w:szCs w:val="16"/>
              </w:rPr>
              <w:t>Método descrito en el apéndice 1B</w:t>
            </w:r>
          </w:p>
        </w:tc>
        <w:tc>
          <w:tcPr>
            <w:tcW w:w="1483" w:type="dxa"/>
            <w:tcBorders>
              <w:top w:val="single" w:sz="4" w:space="0" w:color="auto"/>
              <w:left w:val="single" w:sz="4" w:space="0" w:color="auto"/>
              <w:bottom w:val="nil"/>
              <w:right w:val="single" w:sz="4" w:space="0" w:color="auto"/>
            </w:tcBorders>
          </w:tcPr>
          <w:p w14:paraId="26C8E26C" w14:textId="77777777" w:rsidR="00F317F2" w:rsidRPr="00FC4465" w:rsidRDefault="00F317F2" w:rsidP="00C93947">
            <w:pPr>
              <w:spacing w:line="240" w:lineRule="auto"/>
              <w:jc w:val="center"/>
              <w:rPr>
                <w:rFonts w:asciiTheme="majorBidi" w:hAnsiTheme="majorBidi" w:cstheme="majorBidi"/>
                <w:b/>
                <w:sz w:val="16"/>
                <w:szCs w:val="16"/>
              </w:rPr>
            </w:pPr>
            <w:r w:rsidRPr="00FC4465">
              <w:rPr>
                <w:rFonts w:asciiTheme="majorBidi" w:hAnsiTheme="majorBidi" w:cstheme="majorBidi"/>
                <w:b/>
                <w:bCs/>
                <w:sz w:val="16"/>
                <w:szCs w:val="16"/>
              </w:rPr>
              <w:t>Método descrito en el anexo I</w:t>
            </w:r>
          </w:p>
        </w:tc>
        <w:tc>
          <w:tcPr>
            <w:tcW w:w="1545" w:type="dxa"/>
            <w:tcBorders>
              <w:top w:val="single" w:sz="4" w:space="0" w:color="auto"/>
              <w:left w:val="single" w:sz="4" w:space="0" w:color="auto"/>
              <w:bottom w:val="nil"/>
              <w:right w:val="single" w:sz="4" w:space="0" w:color="auto"/>
            </w:tcBorders>
          </w:tcPr>
          <w:p w14:paraId="03A3178A" w14:textId="77777777" w:rsidR="00F317F2" w:rsidRPr="00FC4465" w:rsidRDefault="00F317F2" w:rsidP="00C93947">
            <w:pPr>
              <w:spacing w:line="240" w:lineRule="auto"/>
              <w:jc w:val="center"/>
              <w:rPr>
                <w:rFonts w:asciiTheme="majorBidi" w:hAnsiTheme="majorBidi" w:cstheme="majorBidi"/>
                <w:b/>
                <w:sz w:val="16"/>
                <w:szCs w:val="16"/>
              </w:rPr>
            </w:pPr>
            <w:r w:rsidRPr="00FC4465">
              <w:rPr>
                <w:rFonts w:asciiTheme="majorBidi" w:hAnsiTheme="majorBidi" w:cstheme="majorBidi"/>
                <w:b/>
                <w:bCs/>
                <w:sz w:val="16"/>
                <w:szCs w:val="16"/>
              </w:rPr>
              <w:t>Método descrito en el anexo II</w:t>
            </w:r>
          </w:p>
        </w:tc>
        <w:tc>
          <w:tcPr>
            <w:tcW w:w="1406" w:type="dxa"/>
            <w:tcBorders>
              <w:top w:val="single" w:sz="4" w:space="0" w:color="auto"/>
              <w:left w:val="single" w:sz="4" w:space="0" w:color="auto"/>
              <w:bottom w:val="nil"/>
              <w:right w:val="single" w:sz="4" w:space="0" w:color="auto"/>
            </w:tcBorders>
          </w:tcPr>
          <w:p w14:paraId="22CAB57E" w14:textId="77777777" w:rsidR="00F317F2" w:rsidRPr="00FC4465" w:rsidRDefault="00F317F2" w:rsidP="00C93947">
            <w:pPr>
              <w:spacing w:line="240" w:lineRule="auto"/>
              <w:jc w:val="center"/>
              <w:rPr>
                <w:rFonts w:asciiTheme="majorBidi" w:hAnsiTheme="majorBidi" w:cstheme="majorBidi"/>
                <w:b/>
                <w:sz w:val="16"/>
                <w:szCs w:val="16"/>
              </w:rPr>
            </w:pPr>
            <w:r w:rsidRPr="00FC4465">
              <w:rPr>
                <w:rFonts w:asciiTheme="majorBidi" w:hAnsiTheme="majorBidi" w:cstheme="majorBidi"/>
                <w:b/>
                <w:bCs/>
                <w:sz w:val="16"/>
                <w:szCs w:val="16"/>
              </w:rPr>
              <w:t>Método descrito en el anexo III</w:t>
            </w:r>
          </w:p>
        </w:tc>
        <w:tc>
          <w:tcPr>
            <w:tcW w:w="1246" w:type="dxa"/>
            <w:tcBorders>
              <w:top w:val="single" w:sz="4" w:space="0" w:color="auto"/>
              <w:left w:val="single" w:sz="4" w:space="0" w:color="auto"/>
              <w:bottom w:val="nil"/>
              <w:right w:val="single" w:sz="4" w:space="0" w:color="auto"/>
            </w:tcBorders>
          </w:tcPr>
          <w:p w14:paraId="55A16AA1" w14:textId="77777777" w:rsidR="00F317F2" w:rsidRPr="00FC4465" w:rsidRDefault="00F317F2" w:rsidP="00C93947">
            <w:pPr>
              <w:spacing w:line="240" w:lineRule="auto"/>
              <w:jc w:val="center"/>
              <w:rPr>
                <w:rFonts w:asciiTheme="majorBidi" w:hAnsiTheme="majorBidi" w:cstheme="majorBidi"/>
                <w:b/>
                <w:sz w:val="16"/>
                <w:szCs w:val="16"/>
              </w:rPr>
            </w:pPr>
            <w:r w:rsidRPr="00FC4465">
              <w:rPr>
                <w:rFonts w:asciiTheme="majorBidi" w:hAnsiTheme="majorBidi" w:cstheme="majorBidi"/>
                <w:b/>
                <w:bCs/>
                <w:sz w:val="16"/>
                <w:szCs w:val="16"/>
              </w:rPr>
              <w:t>Método descrito en el anexo IV</w:t>
            </w:r>
            <w:r w:rsidRPr="00FC4465">
              <w:rPr>
                <w:rFonts w:asciiTheme="majorBidi" w:hAnsiTheme="majorBidi" w:cstheme="majorBidi"/>
                <w:sz w:val="16"/>
                <w:szCs w:val="16"/>
              </w:rPr>
              <w:t xml:space="preserve"> </w:t>
            </w:r>
          </w:p>
        </w:tc>
      </w:tr>
      <w:tr w:rsidR="00F317F2" w:rsidRPr="00FC4465" w14:paraId="44B9E62E" w14:textId="77777777" w:rsidTr="00626CA4">
        <w:trPr>
          <w:trHeight w:val="727"/>
          <w:tblHeader/>
          <w:jc w:val="center"/>
        </w:trPr>
        <w:tc>
          <w:tcPr>
            <w:tcW w:w="848" w:type="dxa"/>
            <w:vMerge/>
            <w:tcBorders>
              <w:left w:val="single" w:sz="4" w:space="0" w:color="auto"/>
              <w:bottom w:val="single" w:sz="4" w:space="0" w:color="auto"/>
              <w:right w:val="single" w:sz="4" w:space="0" w:color="auto"/>
            </w:tcBorders>
            <w:tcMar>
              <w:top w:w="57" w:type="dxa"/>
              <w:left w:w="57" w:type="dxa"/>
              <w:bottom w:w="57" w:type="dxa"/>
              <w:right w:w="57" w:type="dxa"/>
            </w:tcMar>
          </w:tcPr>
          <w:p w14:paraId="72BF0762" w14:textId="77777777" w:rsidR="00F317F2" w:rsidRPr="00864F68" w:rsidRDefault="00F317F2" w:rsidP="00C93947">
            <w:pPr>
              <w:spacing w:line="260" w:lineRule="atLeast"/>
              <w:jc w:val="center"/>
              <w:rPr>
                <w:rFonts w:asciiTheme="majorBidi" w:hAnsiTheme="majorBidi" w:cstheme="majorBidi"/>
                <w:sz w:val="16"/>
                <w:szCs w:val="16"/>
              </w:rPr>
            </w:pPr>
          </w:p>
        </w:tc>
        <w:tc>
          <w:tcPr>
            <w:tcW w:w="1395" w:type="dxa"/>
            <w:tcBorders>
              <w:top w:val="nil"/>
              <w:left w:val="single" w:sz="4" w:space="0" w:color="auto"/>
              <w:bottom w:val="single" w:sz="4" w:space="0" w:color="auto"/>
              <w:right w:val="single" w:sz="4" w:space="0" w:color="auto"/>
            </w:tcBorders>
            <w:tcMar>
              <w:top w:w="57" w:type="dxa"/>
              <w:left w:w="57" w:type="dxa"/>
              <w:bottom w:w="57" w:type="dxa"/>
              <w:right w:w="57" w:type="dxa"/>
            </w:tcMar>
          </w:tcPr>
          <w:p w14:paraId="258B2201" w14:textId="77777777" w:rsidR="00F317F2" w:rsidRPr="00FC4465" w:rsidRDefault="00F317F2" w:rsidP="00C93947">
            <w:pPr>
              <w:spacing w:line="240" w:lineRule="auto"/>
              <w:jc w:val="center"/>
              <w:rPr>
                <w:rFonts w:asciiTheme="majorBidi" w:hAnsiTheme="majorBidi" w:cstheme="majorBidi"/>
                <w:b/>
                <w:bCs/>
                <w:sz w:val="16"/>
                <w:szCs w:val="16"/>
              </w:rPr>
            </w:pPr>
            <w:r w:rsidRPr="00FC4465">
              <w:rPr>
                <w:rFonts w:asciiTheme="majorBidi" w:hAnsiTheme="majorBidi" w:cstheme="majorBidi"/>
                <w:b/>
                <w:bCs/>
                <w:sz w:val="16"/>
                <w:szCs w:val="16"/>
              </w:rPr>
              <w:t>Ensayo de reactividad peptídica directa</w:t>
            </w:r>
          </w:p>
          <w:p w14:paraId="65A44D50" w14:textId="77777777" w:rsidR="00F317F2" w:rsidRPr="00FC4465" w:rsidRDefault="00F317F2" w:rsidP="00C93947">
            <w:pPr>
              <w:spacing w:line="240" w:lineRule="auto"/>
              <w:jc w:val="center"/>
              <w:rPr>
                <w:rFonts w:asciiTheme="majorBidi" w:hAnsiTheme="majorBidi" w:cstheme="majorBidi"/>
                <w:b/>
                <w:sz w:val="16"/>
                <w:szCs w:val="16"/>
              </w:rPr>
            </w:pPr>
            <w:r w:rsidRPr="00FC4465">
              <w:rPr>
                <w:rFonts w:asciiTheme="majorBidi" w:hAnsiTheme="majorBidi" w:cstheme="majorBidi"/>
                <w:b/>
                <w:bCs/>
                <w:sz w:val="16"/>
                <w:szCs w:val="16"/>
              </w:rPr>
              <w:t>(DPRA)</w:t>
            </w:r>
            <w:r w:rsidRPr="00FC4465">
              <w:rPr>
                <w:rFonts w:asciiTheme="majorBidi" w:hAnsiTheme="majorBidi" w:cstheme="majorBidi"/>
                <w:b/>
                <w:bCs/>
                <w:sz w:val="16"/>
                <w:szCs w:val="16"/>
                <w:vertAlign w:val="superscript"/>
              </w:rPr>
              <w:t>a</w:t>
            </w:r>
          </w:p>
        </w:tc>
        <w:tc>
          <w:tcPr>
            <w:tcW w:w="1415" w:type="dxa"/>
            <w:gridSpan w:val="2"/>
            <w:tcBorders>
              <w:top w:val="nil"/>
              <w:left w:val="single" w:sz="4" w:space="0" w:color="auto"/>
              <w:bottom w:val="single" w:sz="4" w:space="0" w:color="auto"/>
              <w:right w:val="single" w:sz="4" w:space="0" w:color="auto"/>
            </w:tcBorders>
          </w:tcPr>
          <w:p w14:paraId="6B36E4CE" w14:textId="77777777" w:rsidR="00F317F2" w:rsidRPr="00FC4465" w:rsidRDefault="00F317F2" w:rsidP="00C93947">
            <w:pPr>
              <w:spacing w:line="240" w:lineRule="auto"/>
              <w:jc w:val="center"/>
              <w:rPr>
                <w:rFonts w:asciiTheme="majorBidi" w:hAnsiTheme="majorBidi" w:cstheme="majorBidi"/>
                <w:b/>
                <w:sz w:val="16"/>
                <w:szCs w:val="16"/>
              </w:rPr>
            </w:pPr>
            <w:r w:rsidRPr="00FC4465">
              <w:rPr>
                <w:rFonts w:asciiTheme="majorBidi" w:hAnsiTheme="majorBidi" w:cstheme="majorBidi"/>
                <w:b/>
                <w:bCs/>
                <w:sz w:val="16"/>
                <w:szCs w:val="16"/>
              </w:rPr>
              <w:t>Ensayo de reactividad de derivados de aminoácidos (ADRA)</w:t>
            </w:r>
            <w:r w:rsidRPr="00FC4465">
              <w:rPr>
                <w:rFonts w:asciiTheme="majorBidi" w:hAnsiTheme="majorBidi" w:cstheme="majorBidi"/>
                <w:b/>
                <w:bCs/>
                <w:sz w:val="16"/>
                <w:szCs w:val="16"/>
                <w:vertAlign w:val="superscript"/>
              </w:rPr>
              <w:t>a</w:t>
            </w:r>
            <w:r w:rsidRPr="00FC4465">
              <w:rPr>
                <w:rFonts w:asciiTheme="majorBidi" w:hAnsiTheme="majorBidi" w:cstheme="majorBidi"/>
                <w:sz w:val="16"/>
                <w:szCs w:val="16"/>
              </w:rPr>
              <w:t xml:space="preserve"> </w:t>
            </w:r>
          </w:p>
        </w:tc>
        <w:tc>
          <w:tcPr>
            <w:tcW w:w="1185" w:type="dxa"/>
            <w:tcBorders>
              <w:top w:val="nil"/>
              <w:left w:val="single" w:sz="4" w:space="0" w:color="auto"/>
              <w:bottom w:val="single" w:sz="4" w:space="0" w:color="auto"/>
              <w:right w:val="single" w:sz="4" w:space="0" w:color="auto"/>
            </w:tcBorders>
          </w:tcPr>
          <w:p w14:paraId="33F49E82" w14:textId="77777777" w:rsidR="00F317F2" w:rsidRPr="00FC4465" w:rsidRDefault="00F317F2" w:rsidP="00C93947">
            <w:pPr>
              <w:spacing w:line="240" w:lineRule="auto"/>
              <w:jc w:val="center"/>
              <w:rPr>
                <w:rFonts w:asciiTheme="majorBidi" w:hAnsiTheme="majorBidi" w:cstheme="majorBidi"/>
                <w:b/>
                <w:sz w:val="16"/>
                <w:szCs w:val="16"/>
              </w:rPr>
            </w:pPr>
            <w:r w:rsidRPr="00FC4465">
              <w:rPr>
                <w:rFonts w:asciiTheme="majorBidi" w:hAnsiTheme="majorBidi" w:cstheme="majorBidi"/>
                <w:b/>
                <w:bCs/>
                <w:sz w:val="16"/>
                <w:szCs w:val="16"/>
              </w:rPr>
              <w:t>Ensayo cinético de reactividad peptídica directa (kDPRA)</w:t>
            </w:r>
            <w:r w:rsidRPr="00FC4465">
              <w:rPr>
                <w:rFonts w:asciiTheme="majorBidi" w:hAnsiTheme="majorBidi" w:cstheme="majorBidi"/>
                <w:b/>
                <w:bCs/>
                <w:sz w:val="16"/>
                <w:szCs w:val="16"/>
                <w:vertAlign w:val="superscript"/>
              </w:rPr>
              <w:t>b</w:t>
            </w:r>
          </w:p>
        </w:tc>
        <w:tc>
          <w:tcPr>
            <w:tcW w:w="2094" w:type="dxa"/>
            <w:tcBorders>
              <w:top w:val="nil"/>
              <w:left w:val="single" w:sz="4" w:space="0" w:color="auto"/>
              <w:bottom w:val="single" w:sz="4" w:space="0" w:color="auto"/>
              <w:right w:val="single" w:sz="4" w:space="0" w:color="auto"/>
            </w:tcBorders>
          </w:tcPr>
          <w:p w14:paraId="4A71BBD1" w14:textId="77777777" w:rsidR="00F317F2" w:rsidRPr="00FC4465" w:rsidRDefault="00F317F2" w:rsidP="00C93947">
            <w:pPr>
              <w:spacing w:line="240" w:lineRule="auto"/>
              <w:jc w:val="center"/>
              <w:rPr>
                <w:rFonts w:asciiTheme="majorBidi" w:hAnsiTheme="majorBidi" w:cstheme="majorBidi"/>
                <w:b/>
                <w:sz w:val="16"/>
                <w:szCs w:val="16"/>
              </w:rPr>
            </w:pPr>
          </w:p>
        </w:tc>
        <w:tc>
          <w:tcPr>
            <w:tcW w:w="1558" w:type="dxa"/>
            <w:tcBorders>
              <w:top w:val="nil"/>
              <w:left w:val="single" w:sz="4" w:space="0" w:color="auto"/>
              <w:bottom w:val="single" w:sz="4" w:space="0" w:color="auto"/>
              <w:right w:val="single" w:sz="4" w:space="0" w:color="auto"/>
            </w:tcBorders>
          </w:tcPr>
          <w:p w14:paraId="083F0B8F" w14:textId="77777777" w:rsidR="00F317F2" w:rsidRPr="00FC4465" w:rsidRDefault="00F317F2" w:rsidP="00C93947">
            <w:pPr>
              <w:spacing w:line="240" w:lineRule="auto"/>
              <w:jc w:val="center"/>
              <w:rPr>
                <w:rFonts w:asciiTheme="majorBidi" w:hAnsiTheme="majorBidi" w:cstheme="majorBidi"/>
                <w:b/>
                <w:sz w:val="16"/>
                <w:szCs w:val="16"/>
              </w:rPr>
            </w:pPr>
            <w:r w:rsidRPr="00FC4465">
              <w:rPr>
                <w:rFonts w:asciiTheme="majorBidi" w:hAnsiTheme="majorBidi" w:cstheme="majorBidi"/>
                <w:b/>
                <w:bCs/>
                <w:sz w:val="16"/>
                <w:szCs w:val="16"/>
              </w:rPr>
              <w:t>Lusens</w:t>
            </w:r>
            <w:r w:rsidRPr="00FC4465">
              <w:rPr>
                <w:rFonts w:asciiTheme="majorBidi" w:hAnsiTheme="majorBidi" w:cstheme="majorBidi"/>
                <w:b/>
                <w:bCs/>
                <w:sz w:val="16"/>
                <w:szCs w:val="16"/>
                <w:vertAlign w:val="superscript"/>
              </w:rPr>
              <w:t>a</w:t>
            </w:r>
          </w:p>
        </w:tc>
        <w:tc>
          <w:tcPr>
            <w:tcW w:w="1483" w:type="dxa"/>
            <w:tcBorders>
              <w:top w:val="nil"/>
              <w:left w:val="single" w:sz="4" w:space="0" w:color="auto"/>
              <w:bottom w:val="single" w:sz="4" w:space="0" w:color="auto"/>
              <w:right w:val="single" w:sz="4" w:space="0" w:color="auto"/>
            </w:tcBorders>
          </w:tcPr>
          <w:p w14:paraId="75AB1D20" w14:textId="77777777" w:rsidR="00F317F2" w:rsidRPr="00FC4465" w:rsidRDefault="00F317F2" w:rsidP="00C93947">
            <w:pPr>
              <w:spacing w:line="240" w:lineRule="auto"/>
              <w:jc w:val="center"/>
              <w:rPr>
                <w:rFonts w:asciiTheme="majorBidi" w:hAnsiTheme="majorBidi" w:cstheme="majorBidi"/>
                <w:b/>
                <w:sz w:val="16"/>
                <w:szCs w:val="16"/>
              </w:rPr>
            </w:pPr>
            <w:r w:rsidRPr="00FC4465">
              <w:rPr>
                <w:rFonts w:asciiTheme="majorBidi" w:hAnsiTheme="majorBidi" w:cstheme="majorBidi"/>
                <w:b/>
                <w:bCs/>
                <w:sz w:val="16"/>
                <w:szCs w:val="16"/>
              </w:rPr>
              <w:t>Ensayo de activación de la línea celular humana (h-CLAT)</w:t>
            </w:r>
            <w:r w:rsidRPr="00FC4465">
              <w:rPr>
                <w:rFonts w:asciiTheme="majorBidi" w:hAnsiTheme="majorBidi" w:cstheme="majorBidi"/>
                <w:b/>
                <w:bCs/>
                <w:sz w:val="16"/>
                <w:szCs w:val="16"/>
                <w:vertAlign w:val="superscript"/>
              </w:rPr>
              <w:t>a</w:t>
            </w:r>
          </w:p>
        </w:tc>
        <w:tc>
          <w:tcPr>
            <w:tcW w:w="1545" w:type="dxa"/>
            <w:tcBorders>
              <w:top w:val="nil"/>
              <w:left w:val="single" w:sz="4" w:space="0" w:color="auto"/>
              <w:bottom w:val="single" w:sz="4" w:space="0" w:color="auto"/>
              <w:right w:val="single" w:sz="4" w:space="0" w:color="auto"/>
            </w:tcBorders>
          </w:tcPr>
          <w:p w14:paraId="40894CF6" w14:textId="77777777" w:rsidR="00F317F2" w:rsidRPr="00FC4465" w:rsidRDefault="00F317F2" w:rsidP="00C93947">
            <w:pPr>
              <w:spacing w:line="240" w:lineRule="auto"/>
              <w:jc w:val="center"/>
              <w:rPr>
                <w:rFonts w:asciiTheme="majorBidi" w:hAnsiTheme="majorBidi" w:cstheme="majorBidi"/>
                <w:b/>
                <w:sz w:val="16"/>
                <w:szCs w:val="16"/>
              </w:rPr>
            </w:pPr>
            <w:r w:rsidRPr="00FC4465">
              <w:rPr>
                <w:rFonts w:asciiTheme="majorBidi" w:hAnsiTheme="majorBidi" w:cstheme="majorBidi"/>
                <w:b/>
                <w:bCs/>
                <w:sz w:val="16"/>
                <w:szCs w:val="16"/>
              </w:rPr>
              <w:t>Ensayo de activación de la línea celular U937</w:t>
            </w:r>
            <w:r w:rsidRPr="00FC4465">
              <w:rPr>
                <w:rFonts w:asciiTheme="majorBidi" w:hAnsiTheme="majorBidi" w:cstheme="majorBidi"/>
                <w:b/>
                <w:bCs/>
                <w:sz w:val="16"/>
                <w:szCs w:val="16"/>
                <w:vertAlign w:val="superscript"/>
              </w:rPr>
              <w:t>a</w:t>
            </w:r>
            <w:r w:rsidRPr="00FC4465">
              <w:rPr>
                <w:rFonts w:asciiTheme="majorBidi" w:hAnsiTheme="majorBidi" w:cstheme="majorBidi"/>
                <w:sz w:val="16"/>
                <w:szCs w:val="16"/>
              </w:rPr>
              <w:t xml:space="preserve"> </w:t>
            </w:r>
          </w:p>
          <w:p w14:paraId="6E5A486A" w14:textId="77777777" w:rsidR="00F317F2" w:rsidRPr="00FC4465" w:rsidRDefault="00F317F2" w:rsidP="00C93947">
            <w:pPr>
              <w:spacing w:line="240" w:lineRule="auto"/>
              <w:jc w:val="center"/>
              <w:rPr>
                <w:rFonts w:asciiTheme="majorBidi" w:hAnsiTheme="majorBidi" w:cstheme="majorBidi"/>
                <w:b/>
                <w:sz w:val="16"/>
                <w:szCs w:val="16"/>
              </w:rPr>
            </w:pPr>
          </w:p>
        </w:tc>
        <w:tc>
          <w:tcPr>
            <w:tcW w:w="1406" w:type="dxa"/>
            <w:tcBorders>
              <w:top w:val="nil"/>
              <w:left w:val="single" w:sz="4" w:space="0" w:color="auto"/>
              <w:bottom w:val="nil"/>
              <w:right w:val="single" w:sz="4" w:space="0" w:color="auto"/>
            </w:tcBorders>
          </w:tcPr>
          <w:p w14:paraId="1898FC8D" w14:textId="4CB91C63" w:rsidR="00F317F2" w:rsidRPr="00FC4465" w:rsidRDefault="00F317F2" w:rsidP="00C93947">
            <w:pPr>
              <w:spacing w:line="240" w:lineRule="auto"/>
              <w:jc w:val="center"/>
              <w:rPr>
                <w:rFonts w:asciiTheme="majorBidi" w:hAnsiTheme="majorBidi" w:cstheme="majorBidi"/>
                <w:b/>
                <w:sz w:val="16"/>
                <w:szCs w:val="16"/>
              </w:rPr>
            </w:pPr>
            <w:r w:rsidRPr="00FC4465">
              <w:rPr>
                <w:rFonts w:asciiTheme="majorBidi" w:hAnsiTheme="majorBidi" w:cstheme="majorBidi"/>
                <w:b/>
                <w:bCs/>
                <w:sz w:val="16"/>
                <w:szCs w:val="16"/>
              </w:rPr>
              <w:t>Ensayo de interleucina 8 luciferasa</w:t>
            </w:r>
            <w:r w:rsidR="00864F68">
              <w:rPr>
                <w:rFonts w:asciiTheme="majorBidi" w:hAnsiTheme="majorBidi" w:cstheme="majorBidi"/>
                <w:b/>
                <w:bCs/>
                <w:sz w:val="16"/>
                <w:szCs w:val="16"/>
              </w:rPr>
              <w:br/>
            </w:r>
            <w:r w:rsidRPr="00FC4465">
              <w:rPr>
                <w:rFonts w:asciiTheme="majorBidi" w:hAnsiTheme="majorBidi" w:cstheme="majorBidi"/>
                <w:b/>
                <w:bCs/>
                <w:sz w:val="16"/>
                <w:szCs w:val="16"/>
              </w:rPr>
              <w:t>(IL-8 Luc)</w:t>
            </w:r>
            <w:r w:rsidRPr="00FC4465">
              <w:rPr>
                <w:rFonts w:asciiTheme="majorBidi" w:hAnsiTheme="majorBidi" w:cstheme="majorBidi"/>
                <w:b/>
                <w:bCs/>
                <w:sz w:val="16"/>
                <w:szCs w:val="16"/>
                <w:vertAlign w:val="superscript"/>
              </w:rPr>
              <w:t>a</w:t>
            </w:r>
          </w:p>
        </w:tc>
        <w:tc>
          <w:tcPr>
            <w:tcW w:w="1246" w:type="dxa"/>
            <w:tcBorders>
              <w:top w:val="nil"/>
              <w:left w:val="single" w:sz="4" w:space="0" w:color="auto"/>
              <w:bottom w:val="nil"/>
              <w:right w:val="single" w:sz="4" w:space="0" w:color="auto"/>
            </w:tcBorders>
          </w:tcPr>
          <w:p w14:paraId="401D7262" w14:textId="77777777" w:rsidR="00F317F2" w:rsidRPr="00FC4465" w:rsidRDefault="00F317F2" w:rsidP="00C93947">
            <w:pPr>
              <w:spacing w:line="240" w:lineRule="auto"/>
              <w:jc w:val="center"/>
              <w:rPr>
                <w:rFonts w:asciiTheme="majorBidi" w:hAnsiTheme="majorBidi" w:cstheme="majorBidi"/>
                <w:b/>
                <w:sz w:val="16"/>
                <w:szCs w:val="16"/>
              </w:rPr>
            </w:pPr>
            <w:r w:rsidRPr="00FC4465">
              <w:rPr>
                <w:rFonts w:asciiTheme="majorBidi" w:hAnsiTheme="majorBidi" w:cstheme="majorBidi"/>
                <w:b/>
                <w:bCs/>
                <w:sz w:val="16"/>
                <w:szCs w:val="16"/>
              </w:rPr>
              <w:t>Detección genómica rápida de alérgenos para la evaluación de sensibilizantes cutáneos</w:t>
            </w:r>
            <w:r w:rsidRPr="00FC4465">
              <w:rPr>
                <w:rFonts w:asciiTheme="majorBidi" w:hAnsiTheme="majorBidi" w:cstheme="majorBidi"/>
                <w:b/>
                <w:bCs/>
                <w:sz w:val="16"/>
                <w:szCs w:val="16"/>
                <w:vertAlign w:val="superscript"/>
              </w:rPr>
              <w:t>a</w:t>
            </w:r>
          </w:p>
        </w:tc>
      </w:tr>
      <w:tr w:rsidR="00F317F2" w:rsidRPr="00FC4465" w14:paraId="5FDB21CD" w14:textId="77777777" w:rsidTr="00626CA4">
        <w:trPr>
          <w:jc w:val="center"/>
        </w:trPr>
        <w:tc>
          <w:tcPr>
            <w:tcW w:w="848" w:type="dxa"/>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57" w:type="dxa"/>
              <w:right w:w="57" w:type="dxa"/>
            </w:tcMar>
          </w:tcPr>
          <w:p w14:paraId="2AC03E9D" w14:textId="77777777" w:rsidR="00F317F2" w:rsidRPr="00864F68" w:rsidRDefault="00F317F2" w:rsidP="00C93947">
            <w:pPr>
              <w:keepNext/>
              <w:keepLines/>
              <w:spacing w:before="40" w:after="40" w:line="240" w:lineRule="auto"/>
              <w:jc w:val="center"/>
              <w:rPr>
                <w:rFonts w:asciiTheme="majorBidi" w:hAnsiTheme="majorBidi" w:cstheme="majorBidi"/>
                <w:sz w:val="16"/>
                <w:szCs w:val="16"/>
              </w:rPr>
            </w:pPr>
            <w:r w:rsidRPr="00864F68">
              <w:rPr>
                <w:rFonts w:asciiTheme="majorBidi" w:hAnsiTheme="majorBidi" w:cstheme="majorBidi"/>
                <w:sz w:val="16"/>
                <w:szCs w:val="16"/>
              </w:rPr>
              <w:t>No se clasifica</w:t>
            </w:r>
          </w:p>
        </w:tc>
        <w:tc>
          <w:tcPr>
            <w:tcW w:w="1406" w:type="dxa"/>
            <w:gridSpan w:val="2"/>
            <w:tcBorders>
              <w:top w:val="single" w:sz="4" w:space="0" w:color="auto"/>
              <w:left w:val="single" w:sz="4" w:space="0" w:color="auto"/>
              <w:bottom w:val="single" w:sz="4" w:space="0" w:color="auto"/>
              <w:right w:val="single" w:sz="4" w:space="0" w:color="auto"/>
            </w:tcBorders>
            <w:shd w:val="clear" w:color="auto" w:fill="auto"/>
          </w:tcPr>
          <w:p w14:paraId="2C2EE6F3" w14:textId="0F6F4321" w:rsidR="00F317F2" w:rsidRPr="00FC4465" w:rsidRDefault="00F317F2" w:rsidP="00C93947">
            <w:pPr>
              <w:keepNext/>
              <w:keepLines/>
              <w:tabs>
                <w:tab w:val="left" w:pos="294"/>
              </w:tabs>
              <w:spacing w:before="40" w:after="40" w:line="240" w:lineRule="auto"/>
              <w:rPr>
                <w:rFonts w:asciiTheme="majorBidi" w:hAnsiTheme="majorBidi" w:cstheme="majorBidi"/>
                <w:sz w:val="16"/>
                <w:szCs w:val="16"/>
              </w:rPr>
            </w:pPr>
            <w:r w:rsidRPr="00FC4465">
              <w:rPr>
                <w:rFonts w:asciiTheme="majorBidi" w:hAnsiTheme="majorBidi" w:cstheme="majorBidi"/>
                <w:sz w:val="16"/>
                <w:szCs w:val="16"/>
              </w:rPr>
              <w:t>Reducción media de cisteína/lisina ≤ 6,38</w:t>
            </w:r>
            <w:r w:rsidR="008C5013" w:rsidRPr="00FC4465">
              <w:rPr>
                <w:rFonts w:asciiTheme="majorBidi" w:hAnsiTheme="majorBidi" w:cstheme="majorBidi"/>
                <w:sz w:val="16"/>
                <w:szCs w:val="16"/>
              </w:rPr>
              <w:t> %</w:t>
            </w:r>
          </w:p>
          <w:p w14:paraId="1E5ED0EB" w14:textId="77777777" w:rsidR="00F317F2" w:rsidRPr="00FC4465" w:rsidRDefault="00F317F2" w:rsidP="00C93947">
            <w:pPr>
              <w:keepNext/>
              <w:keepLines/>
              <w:tabs>
                <w:tab w:val="left" w:pos="294"/>
              </w:tabs>
              <w:spacing w:before="40" w:after="40" w:line="240" w:lineRule="auto"/>
              <w:rPr>
                <w:rFonts w:asciiTheme="majorBidi" w:hAnsiTheme="majorBidi" w:cstheme="majorBidi"/>
                <w:sz w:val="16"/>
                <w:szCs w:val="16"/>
              </w:rPr>
            </w:pPr>
            <w:r w:rsidRPr="00FC4465">
              <w:rPr>
                <w:rFonts w:asciiTheme="majorBidi" w:hAnsiTheme="majorBidi" w:cstheme="majorBidi"/>
                <w:sz w:val="16"/>
                <w:szCs w:val="16"/>
              </w:rPr>
              <w:t xml:space="preserve">O bien </w:t>
            </w:r>
          </w:p>
          <w:p w14:paraId="36819CA4" w14:textId="4CDE49AA" w:rsidR="00F317F2" w:rsidRPr="00FC4465" w:rsidRDefault="00F317F2" w:rsidP="00C93947">
            <w:pPr>
              <w:keepNext/>
              <w:keepLines/>
              <w:tabs>
                <w:tab w:val="left" w:pos="294"/>
              </w:tabs>
              <w:spacing w:before="40" w:after="40" w:line="240" w:lineRule="auto"/>
              <w:rPr>
                <w:rFonts w:asciiTheme="majorBidi" w:hAnsiTheme="majorBidi" w:cstheme="majorBidi"/>
                <w:sz w:val="16"/>
                <w:szCs w:val="16"/>
              </w:rPr>
            </w:pPr>
            <w:r w:rsidRPr="00FC4465">
              <w:rPr>
                <w:rFonts w:asciiTheme="majorBidi" w:hAnsiTheme="majorBidi" w:cstheme="majorBidi"/>
                <w:sz w:val="16"/>
                <w:szCs w:val="16"/>
              </w:rPr>
              <w:t>Reducción media de cisteína ≤ 13,89</w:t>
            </w:r>
            <w:r w:rsidR="008C5013" w:rsidRPr="00FC4465">
              <w:rPr>
                <w:rFonts w:asciiTheme="majorBidi" w:hAnsiTheme="majorBidi" w:cstheme="majorBidi"/>
                <w:sz w:val="16"/>
                <w:szCs w:val="16"/>
              </w:rPr>
              <w:t> %</w:t>
            </w:r>
          </w:p>
        </w:tc>
        <w:tc>
          <w:tcPr>
            <w:tcW w:w="1404" w:type="dxa"/>
            <w:tcBorders>
              <w:top w:val="single" w:sz="4" w:space="0" w:color="auto"/>
              <w:left w:val="single" w:sz="4" w:space="0" w:color="auto"/>
              <w:bottom w:val="single" w:sz="4" w:space="0" w:color="auto"/>
              <w:right w:val="single" w:sz="4" w:space="0" w:color="auto"/>
            </w:tcBorders>
            <w:shd w:val="clear" w:color="auto" w:fill="auto"/>
          </w:tcPr>
          <w:p w14:paraId="25630E2E" w14:textId="1532FE3E" w:rsidR="00F317F2" w:rsidRPr="00FC4465" w:rsidRDefault="00F317F2" w:rsidP="00C93947">
            <w:pPr>
              <w:keepNext/>
              <w:keepLines/>
              <w:tabs>
                <w:tab w:val="left" w:pos="294"/>
              </w:tabs>
              <w:spacing w:before="40" w:after="40" w:line="240" w:lineRule="auto"/>
              <w:rPr>
                <w:rFonts w:asciiTheme="majorBidi" w:hAnsiTheme="majorBidi" w:cstheme="majorBidi"/>
                <w:sz w:val="16"/>
                <w:szCs w:val="16"/>
              </w:rPr>
            </w:pPr>
            <w:r w:rsidRPr="00FC4465">
              <w:rPr>
                <w:rFonts w:asciiTheme="majorBidi" w:hAnsiTheme="majorBidi" w:cstheme="majorBidi"/>
                <w:sz w:val="16"/>
                <w:szCs w:val="16"/>
              </w:rPr>
              <w:t>Reducción media de NAC y NAL &lt; 4,9</w:t>
            </w:r>
            <w:r w:rsidR="008C5013" w:rsidRPr="00FC4465">
              <w:rPr>
                <w:rFonts w:asciiTheme="majorBidi" w:hAnsiTheme="majorBidi" w:cstheme="majorBidi"/>
                <w:sz w:val="16"/>
                <w:szCs w:val="16"/>
              </w:rPr>
              <w:t> %</w:t>
            </w:r>
            <w:r w:rsidRPr="00FC4465">
              <w:rPr>
                <w:rFonts w:asciiTheme="majorBidi" w:hAnsiTheme="majorBidi" w:cstheme="majorBidi"/>
                <w:sz w:val="16"/>
                <w:szCs w:val="16"/>
              </w:rPr>
              <w:t xml:space="preserve"> </w:t>
            </w:r>
          </w:p>
          <w:p w14:paraId="6423C2F1" w14:textId="77777777" w:rsidR="00F317F2" w:rsidRPr="00FC4465" w:rsidRDefault="00F317F2" w:rsidP="00C93947">
            <w:pPr>
              <w:keepNext/>
              <w:keepLines/>
              <w:tabs>
                <w:tab w:val="left" w:pos="294"/>
              </w:tabs>
              <w:spacing w:before="40" w:after="40" w:line="240" w:lineRule="auto"/>
              <w:rPr>
                <w:rFonts w:asciiTheme="majorBidi" w:hAnsiTheme="majorBidi" w:cstheme="majorBidi"/>
                <w:sz w:val="16"/>
                <w:szCs w:val="16"/>
              </w:rPr>
            </w:pPr>
            <w:r w:rsidRPr="00FC4465">
              <w:rPr>
                <w:rFonts w:asciiTheme="majorBidi" w:hAnsiTheme="majorBidi" w:cstheme="majorBidi"/>
                <w:sz w:val="16"/>
                <w:szCs w:val="16"/>
              </w:rPr>
              <w:t>O bien</w:t>
            </w:r>
          </w:p>
          <w:p w14:paraId="4AFA7549" w14:textId="011713A5" w:rsidR="00F317F2" w:rsidRPr="00FC4465" w:rsidRDefault="00F317F2" w:rsidP="00C93947">
            <w:pPr>
              <w:keepNext/>
              <w:keepLines/>
              <w:tabs>
                <w:tab w:val="left" w:pos="294"/>
              </w:tabs>
              <w:spacing w:before="40" w:after="40" w:line="240" w:lineRule="auto"/>
              <w:rPr>
                <w:rFonts w:asciiTheme="majorBidi" w:hAnsiTheme="majorBidi" w:cstheme="majorBidi"/>
                <w:sz w:val="16"/>
                <w:szCs w:val="16"/>
              </w:rPr>
            </w:pPr>
            <w:r w:rsidRPr="00FC4465">
              <w:rPr>
                <w:rFonts w:asciiTheme="majorBidi" w:hAnsiTheme="majorBidi" w:cstheme="majorBidi"/>
                <w:sz w:val="16"/>
                <w:szCs w:val="16"/>
              </w:rPr>
              <w:t>Reducción de NAC &lt; 5,6</w:t>
            </w:r>
            <w:r w:rsidR="008C5013" w:rsidRPr="00FC4465">
              <w:rPr>
                <w:rFonts w:asciiTheme="majorBidi" w:hAnsiTheme="majorBidi" w:cstheme="majorBidi"/>
                <w:sz w:val="16"/>
                <w:szCs w:val="16"/>
              </w:rPr>
              <w:t> %</w:t>
            </w:r>
          </w:p>
        </w:tc>
        <w:tc>
          <w:tcPr>
            <w:tcW w:w="1185" w:type="dxa"/>
            <w:tcBorders>
              <w:top w:val="single" w:sz="4" w:space="0" w:color="auto"/>
              <w:left w:val="single" w:sz="4" w:space="0" w:color="auto"/>
              <w:bottom w:val="single" w:sz="4" w:space="0" w:color="auto"/>
              <w:right w:val="single" w:sz="4" w:space="0" w:color="auto"/>
            </w:tcBorders>
            <w:shd w:val="clear" w:color="auto" w:fill="auto"/>
          </w:tcPr>
          <w:p w14:paraId="05725447" w14:textId="77777777" w:rsidR="00F317F2" w:rsidRPr="00FC4465" w:rsidRDefault="00F317F2" w:rsidP="00C93947">
            <w:pPr>
              <w:keepNext/>
              <w:keepLines/>
              <w:autoSpaceDE w:val="0"/>
              <w:autoSpaceDN w:val="0"/>
              <w:adjustRightInd w:val="0"/>
              <w:spacing w:before="40" w:after="40" w:line="240" w:lineRule="auto"/>
              <w:rPr>
                <w:rFonts w:asciiTheme="majorBidi" w:hAnsiTheme="majorBidi" w:cstheme="majorBidi"/>
                <w:sz w:val="16"/>
                <w:szCs w:val="16"/>
              </w:rPr>
            </w:pPr>
            <w:r w:rsidRPr="00FC4465">
              <w:rPr>
                <w:rFonts w:asciiTheme="majorBidi" w:hAnsiTheme="majorBidi" w:cstheme="majorBidi"/>
                <w:sz w:val="16"/>
                <w:szCs w:val="16"/>
              </w:rPr>
              <w:t>No se aplica</w:t>
            </w:r>
          </w:p>
        </w:tc>
        <w:tc>
          <w:tcPr>
            <w:tcW w:w="2094" w:type="dxa"/>
            <w:tcBorders>
              <w:top w:val="single" w:sz="4" w:space="0" w:color="auto"/>
              <w:left w:val="single" w:sz="4" w:space="0" w:color="auto"/>
              <w:bottom w:val="single" w:sz="4" w:space="0" w:color="auto"/>
              <w:right w:val="single" w:sz="4" w:space="0" w:color="auto"/>
            </w:tcBorders>
            <w:shd w:val="clear" w:color="auto" w:fill="auto"/>
          </w:tcPr>
          <w:p w14:paraId="0E17EAB5" w14:textId="7482E2D9" w:rsidR="00F317F2" w:rsidRPr="00FC4465" w:rsidRDefault="00F317F2" w:rsidP="00C93947">
            <w:pPr>
              <w:keepNext/>
              <w:keepLines/>
              <w:spacing w:before="40" w:after="40" w:line="240" w:lineRule="auto"/>
              <w:rPr>
                <w:rFonts w:asciiTheme="majorBidi" w:hAnsiTheme="majorBidi" w:cstheme="majorBidi"/>
                <w:sz w:val="16"/>
                <w:szCs w:val="16"/>
              </w:rPr>
            </w:pPr>
            <w:r w:rsidRPr="00FC4465">
              <w:rPr>
                <w:rFonts w:asciiTheme="majorBidi" w:hAnsiTheme="majorBidi" w:cstheme="majorBidi"/>
                <w:sz w:val="16"/>
                <w:szCs w:val="16"/>
              </w:rPr>
              <w:t xml:space="preserve">No se cumple al menos una de las condiciones de la </w:t>
            </w:r>
            <w:r w:rsidR="00864F68">
              <w:rPr>
                <w:rFonts w:asciiTheme="majorBidi" w:hAnsiTheme="majorBidi" w:cstheme="majorBidi"/>
                <w:sz w:val="16"/>
                <w:szCs w:val="16"/>
              </w:rPr>
              <w:br/>
            </w:r>
            <w:r w:rsidRPr="00FC4465">
              <w:rPr>
                <w:rFonts w:asciiTheme="majorBidi" w:hAnsiTheme="majorBidi" w:cstheme="majorBidi"/>
                <w:sz w:val="16"/>
                <w:szCs w:val="16"/>
              </w:rPr>
              <w:t>categoría 1</w:t>
            </w:r>
          </w:p>
        </w:tc>
        <w:tc>
          <w:tcPr>
            <w:tcW w:w="1558" w:type="dxa"/>
            <w:tcBorders>
              <w:top w:val="single" w:sz="4" w:space="0" w:color="auto"/>
              <w:left w:val="single" w:sz="4" w:space="0" w:color="auto"/>
              <w:bottom w:val="single" w:sz="4" w:space="0" w:color="auto"/>
              <w:right w:val="single" w:sz="4" w:space="0" w:color="auto"/>
            </w:tcBorders>
            <w:shd w:val="clear" w:color="auto" w:fill="auto"/>
          </w:tcPr>
          <w:p w14:paraId="4693DD19" w14:textId="77777777" w:rsidR="00F317F2" w:rsidRPr="00FC4465" w:rsidRDefault="00F317F2" w:rsidP="00C93947">
            <w:pPr>
              <w:keepNext/>
              <w:keepLines/>
              <w:spacing w:before="40" w:after="40" w:line="240" w:lineRule="auto"/>
              <w:rPr>
                <w:rFonts w:asciiTheme="majorBidi" w:hAnsiTheme="majorBidi" w:cstheme="majorBidi"/>
                <w:sz w:val="16"/>
                <w:szCs w:val="16"/>
              </w:rPr>
            </w:pPr>
            <w:r w:rsidRPr="00FC4465">
              <w:rPr>
                <w:rFonts w:asciiTheme="majorBidi" w:hAnsiTheme="majorBidi" w:cstheme="majorBidi"/>
                <w:sz w:val="16"/>
                <w:szCs w:val="16"/>
              </w:rPr>
              <w:t>No se cumple al menos una de las condiciones de la categoría 1</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3195DC87" w14:textId="77777777" w:rsidR="00F317F2" w:rsidRPr="00FC4465" w:rsidRDefault="00F317F2" w:rsidP="00C93947">
            <w:pPr>
              <w:keepNext/>
              <w:keepLines/>
              <w:spacing w:before="40" w:after="40" w:line="240" w:lineRule="auto"/>
              <w:rPr>
                <w:rFonts w:asciiTheme="majorBidi" w:hAnsiTheme="majorBidi" w:cstheme="majorBidi"/>
                <w:sz w:val="16"/>
                <w:szCs w:val="16"/>
              </w:rPr>
            </w:pPr>
            <w:r w:rsidRPr="00FC4465">
              <w:rPr>
                <w:rFonts w:asciiTheme="majorBidi" w:hAnsiTheme="majorBidi" w:cstheme="majorBidi"/>
                <w:sz w:val="16"/>
                <w:szCs w:val="16"/>
              </w:rPr>
              <w:t>No se cumple ninguna de las condiciones de la categoría 1</w:t>
            </w:r>
          </w:p>
        </w:tc>
        <w:tc>
          <w:tcPr>
            <w:tcW w:w="1545" w:type="dxa"/>
            <w:tcBorders>
              <w:top w:val="single" w:sz="4" w:space="0" w:color="auto"/>
              <w:left w:val="single" w:sz="4" w:space="0" w:color="auto"/>
              <w:bottom w:val="single" w:sz="4" w:space="0" w:color="auto"/>
              <w:right w:val="single" w:sz="4" w:space="0" w:color="auto"/>
            </w:tcBorders>
            <w:shd w:val="clear" w:color="auto" w:fill="auto"/>
          </w:tcPr>
          <w:p w14:paraId="5D39F5B7" w14:textId="28315B32" w:rsidR="00F317F2" w:rsidRPr="00FC4465" w:rsidRDefault="00F317F2" w:rsidP="00C93947">
            <w:pPr>
              <w:keepNext/>
              <w:keepLines/>
              <w:spacing w:before="40" w:after="40" w:line="240" w:lineRule="auto"/>
              <w:rPr>
                <w:rFonts w:asciiTheme="majorBidi" w:hAnsiTheme="majorBidi" w:cstheme="majorBidi"/>
                <w:sz w:val="16"/>
                <w:szCs w:val="16"/>
              </w:rPr>
            </w:pPr>
            <w:r w:rsidRPr="00FC4465">
              <w:rPr>
                <w:rFonts w:asciiTheme="majorBidi" w:hAnsiTheme="majorBidi" w:cstheme="majorBidi"/>
                <w:sz w:val="16"/>
                <w:szCs w:val="16"/>
              </w:rPr>
              <w:t>Índice de estimulación del CD86 &lt; 150</w:t>
            </w:r>
            <w:r w:rsidR="008C5013" w:rsidRPr="00FC4465">
              <w:rPr>
                <w:rFonts w:asciiTheme="majorBidi" w:hAnsiTheme="majorBidi" w:cstheme="majorBidi"/>
                <w:sz w:val="16"/>
                <w:szCs w:val="16"/>
              </w:rPr>
              <w:t> %</w:t>
            </w:r>
            <w:r w:rsidRPr="00FC4465">
              <w:rPr>
                <w:rFonts w:asciiTheme="majorBidi" w:hAnsiTheme="majorBidi" w:cstheme="majorBidi"/>
                <w:sz w:val="16"/>
                <w:szCs w:val="16"/>
              </w:rPr>
              <w:t xml:space="preserve"> para todas las concentraciones no citotóxicas (viabilidad celular ≥ 70</w:t>
            </w:r>
            <w:r w:rsidR="008C5013" w:rsidRPr="00FC4465">
              <w:rPr>
                <w:rFonts w:asciiTheme="majorBidi" w:hAnsiTheme="majorBidi" w:cstheme="majorBidi"/>
                <w:sz w:val="16"/>
                <w:szCs w:val="16"/>
              </w:rPr>
              <w:t> %</w:t>
            </w:r>
            <w:r w:rsidRPr="00FC4465">
              <w:rPr>
                <w:rFonts w:asciiTheme="majorBidi" w:hAnsiTheme="majorBidi" w:cstheme="majorBidi"/>
                <w:sz w:val="16"/>
                <w:szCs w:val="16"/>
              </w:rPr>
              <w:t>) y no se observan interferencias</w:t>
            </w:r>
          </w:p>
        </w:tc>
        <w:tc>
          <w:tcPr>
            <w:tcW w:w="1406" w:type="dxa"/>
            <w:tcBorders>
              <w:top w:val="nil"/>
              <w:left w:val="single" w:sz="4" w:space="0" w:color="auto"/>
              <w:bottom w:val="single" w:sz="4" w:space="0" w:color="auto"/>
              <w:right w:val="single" w:sz="4" w:space="0" w:color="auto"/>
            </w:tcBorders>
            <w:shd w:val="clear" w:color="auto" w:fill="auto"/>
          </w:tcPr>
          <w:p w14:paraId="1394630C" w14:textId="2CDAA99F" w:rsidR="00F317F2" w:rsidRPr="00FC4465" w:rsidRDefault="00F317F2" w:rsidP="00C93947">
            <w:pPr>
              <w:keepNext/>
              <w:keepLines/>
              <w:spacing w:before="40" w:after="40" w:line="240" w:lineRule="auto"/>
              <w:rPr>
                <w:rFonts w:asciiTheme="majorBidi" w:hAnsiTheme="majorBidi" w:cstheme="majorBidi"/>
                <w:sz w:val="16"/>
                <w:szCs w:val="16"/>
              </w:rPr>
            </w:pPr>
            <w:r w:rsidRPr="00FC4465">
              <w:rPr>
                <w:rFonts w:asciiTheme="majorBidi" w:hAnsiTheme="majorBidi" w:cstheme="majorBidi"/>
                <w:sz w:val="16"/>
                <w:szCs w:val="16"/>
              </w:rPr>
              <w:t>Ind-IL8LA &lt; 1,4 y/o límite inferior del intervalo de confianza al 95</w:t>
            </w:r>
            <w:r w:rsidR="008C5013" w:rsidRPr="00FC4465">
              <w:rPr>
                <w:rFonts w:asciiTheme="majorBidi" w:hAnsiTheme="majorBidi" w:cstheme="majorBidi"/>
                <w:sz w:val="16"/>
                <w:szCs w:val="16"/>
              </w:rPr>
              <w:t> %</w:t>
            </w:r>
            <w:r w:rsidRPr="00FC4465">
              <w:rPr>
                <w:rFonts w:asciiTheme="majorBidi" w:hAnsiTheme="majorBidi" w:cstheme="majorBidi"/>
                <w:sz w:val="16"/>
                <w:szCs w:val="16"/>
              </w:rPr>
              <w:t xml:space="preserve"> de Ind-IL8LA &lt; 1,0 en al menos </w:t>
            </w:r>
            <w:r w:rsidR="00864F68">
              <w:rPr>
                <w:rFonts w:asciiTheme="majorBidi" w:hAnsiTheme="majorBidi" w:cstheme="majorBidi"/>
                <w:sz w:val="16"/>
                <w:szCs w:val="16"/>
              </w:rPr>
              <w:br/>
            </w:r>
            <w:r w:rsidRPr="00FC4465">
              <w:rPr>
                <w:rFonts w:asciiTheme="majorBidi" w:hAnsiTheme="majorBidi" w:cstheme="majorBidi"/>
                <w:sz w:val="16"/>
                <w:szCs w:val="16"/>
              </w:rPr>
              <w:t>3 series independientes de un máximo de 4</w:t>
            </w:r>
          </w:p>
        </w:tc>
        <w:tc>
          <w:tcPr>
            <w:tcW w:w="1246" w:type="dxa"/>
            <w:tcBorders>
              <w:top w:val="nil"/>
              <w:left w:val="single" w:sz="4" w:space="0" w:color="auto"/>
              <w:bottom w:val="single" w:sz="4" w:space="0" w:color="auto"/>
              <w:right w:val="single" w:sz="4" w:space="0" w:color="auto"/>
            </w:tcBorders>
            <w:shd w:val="clear" w:color="auto" w:fill="auto"/>
          </w:tcPr>
          <w:p w14:paraId="3EA8769C" w14:textId="77777777" w:rsidR="00F317F2" w:rsidRPr="00FC4465" w:rsidRDefault="00F317F2" w:rsidP="00C93947">
            <w:pPr>
              <w:keepNext/>
              <w:keepLines/>
              <w:spacing w:before="40" w:after="40" w:line="240" w:lineRule="auto"/>
              <w:rPr>
                <w:rFonts w:asciiTheme="majorBidi" w:hAnsiTheme="majorBidi" w:cstheme="majorBidi"/>
                <w:sz w:val="16"/>
                <w:szCs w:val="16"/>
              </w:rPr>
            </w:pPr>
            <w:r w:rsidRPr="00FC4465">
              <w:rPr>
                <w:rFonts w:asciiTheme="majorBidi" w:hAnsiTheme="majorBidi" w:cstheme="majorBidi"/>
                <w:sz w:val="16"/>
                <w:szCs w:val="16"/>
              </w:rPr>
              <w:t>Valor de decisión medio &lt; 0</w:t>
            </w:r>
          </w:p>
        </w:tc>
      </w:tr>
    </w:tbl>
    <w:p w14:paraId="1CCBCD2D" w14:textId="42030F9D" w:rsidR="00F317F2" w:rsidRPr="00864F68" w:rsidRDefault="00F317F2" w:rsidP="00802EA2">
      <w:pPr>
        <w:spacing w:before="120"/>
        <w:ind w:right="51"/>
        <w:jc w:val="both"/>
        <w:rPr>
          <w:rFonts w:asciiTheme="majorBidi" w:hAnsiTheme="majorBidi" w:cstheme="majorBidi"/>
          <w:i/>
          <w:iCs/>
          <w:sz w:val="18"/>
          <w:szCs w:val="18"/>
        </w:rPr>
      </w:pPr>
      <w:r w:rsidRPr="0081508F">
        <w:rPr>
          <w:rFonts w:asciiTheme="majorBidi" w:hAnsiTheme="majorBidi" w:cstheme="majorBidi"/>
          <w:iCs/>
          <w:sz w:val="18"/>
          <w:szCs w:val="18"/>
          <w:vertAlign w:val="superscript"/>
        </w:rPr>
        <w:t>a</w:t>
      </w:r>
      <w:r w:rsidRPr="00864F68">
        <w:rPr>
          <w:rFonts w:asciiTheme="majorBidi" w:hAnsiTheme="majorBidi" w:cstheme="majorBidi"/>
          <w:i/>
          <w:iCs/>
          <w:sz w:val="18"/>
          <w:szCs w:val="18"/>
          <w:vertAlign w:val="superscript"/>
        </w:rPr>
        <w:t xml:space="preserve"> </w:t>
      </w:r>
      <w:r w:rsidRPr="00864F68">
        <w:rPr>
          <w:rFonts w:asciiTheme="majorBidi" w:hAnsiTheme="majorBidi" w:cstheme="majorBidi"/>
          <w:i/>
          <w:iCs/>
          <w:sz w:val="18"/>
          <w:szCs w:val="18"/>
        </w:rPr>
        <w:t>Los datos no pueden utilizarse por sí solos para concluir la clasificación en la categoría 1 o la no clasificación en la etapa 1, pero podrían emplearse para concluir la clasificación en la categoría</w:t>
      </w:r>
      <w:r w:rsidR="00864F68">
        <w:rPr>
          <w:rFonts w:asciiTheme="majorBidi" w:hAnsiTheme="majorBidi" w:cstheme="majorBidi"/>
          <w:i/>
          <w:iCs/>
          <w:sz w:val="18"/>
          <w:szCs w:val="18"/>
        </w:rPr>
        <w:t> </w:t>
      </w:r>
      <w:r w:rsidRPr="00864F68">
        <w:rPr>
          <w:rFonts w:asciiTheme="majorBidi" w:hAnsiTheme="majorBidi" w:cstheme="majorBidi"/>
          <w:i/>
          <w:iCs/>
          <w:sz w:val="18"/>
          <w:szCs w:val="18"/>
        </w:rPr>
        <w:t>1 en la etapa 2, en función de la decisión de la autoridad competente para su marco regulatorio.</w:t>
      </w:r>
    </w:p>
    <w:p w14:paraId="518AE760" w14:textId="20A65550" w:rsidR="00F317F2" w:rsidRPr="00864F68" w:rsidRDefault="00F317F2" w:rsidP="00864F68">
      <w:pPr>
        <w:ind w:right="51"/>
        <w:rPr>
          <w:rFonts w:asciiTheme="majorBidi" w:hAnsiTheme="majorBidi" w:cstheme="majorBidi"/>
          <w:i/>
          <w:iCs/>
          <w:sz w:val="18"/>
          <w:szCs w:val="18"/>
        </w:rPr>
      </w:pPr>
      <w:r w:rsidRPr="0081508F">
        <w:rPr>
          <w:rFonts w:asciiTheme="majorBidi" w:hAnsiTheme="majorBidi" w:cstheme="majorBidi"/>
          <w:iCs/>
          <w:sz w:val="18"/>
          <w:szCs w:val="18"/>
          <w:vertAlign w:val="superscript"/>
        </w:rPr>
        <w:t>b</w:t>
      </w:r>
      <w:r w:rsidRPr="00864F68">
        <w:rPr>
          <w:rFonts w:asciiTheme="majorBidi" w:hAnsiTheme="majorBidi" w:cstheme="majorBidi"/>
          <w:i/>
          <w:iCs/>
          <w:sz w:val="18"/>
          <w:szCs w:val="18"/>
          <w:vertAlign w:val="superscript"/>
        </w:rPr>
        <w:t xml:space="preserve"> </w:t>
      </w:r>
      <w:r w:rsidRPr="00864F68">
        <w:rPr>
          <w:rFonts w:asciiTheme="majorBidi" w:hAnsiTheme="majorBidi" w:cstheme="majorBidi"/>
          <w:i/>
          <w:iCs/>
          <w:sz w:val="18"/>
          <w:szCs w:val="18"/>
        </w:rPr>
        <w:t>Una autoridad competente puede decidir que los datos pueden utilizarse por sí solos para concluir la clasificación en la subcategoría 1A.</w:t>
      </w:r>
      <w:r w:rsidR="008C5013" w:rsidRPr="00864F68">
        <w:rPr>
          <w:rFonts w:asciiTheme="majorBidi" w:hAnsiTheme="majorBidi" w:cstheme="majorBidi"/>
          <w:iCs/>
          <w:sz w:val="18"/>
          <w:szCs w:val="18"/>
        </w:rPr>
        <w:t>”</w:t>
      </w:r>
      <w:r w:rsidRPr="00864F68">
        <w:rPr>
          <w:rFonts w:asciiTheme="majorBidi" w:hAnsiTheme="majorBidi" w:cstheme="majorBidi"/>
          <w:iCs/>
          <w:sz w:val="18"/>
          <w:szCs w:val="18"/>
        </w:rPr>
        <w:t>.</w:t>
      </w:r>
    </w:p>
    <w:bookmarkEnd w:id="15"/>
    <w:p w14:paraId="579E487C" w14:textId="3DFFB929" w:rsidR="008B6A70" w:rsidRPr="00FC4465" w:rsidRDefault="008B6A70" w:rsidP="00F317F2">
      <w:pPr>
        <w:rPr>
          <w:rFonts w:asciiTheme="majorBidi" w:hAnsiTheme="majorBidi" w:cstheme="majorBidi"/>
        </w:rPr>
      </w:pPr>
    </w:p>
    <w:p w14:paraId="166F3AA1" w14:textId="13DEA3D0" w:rsidR="00F317F2" w:rsidRPr="00FC4465" w:rsidRDefault="00F317F2" w:rsidP="00F317F2">
      <w:pPr>
        <w:rPr>
          <w:rFonts w:asciiTheme="majorBidi" w:hAnsiTheme="majorBidi" w:cstheme="majorBidi"/>
        </w:rPr>
      </w:pPr>
    </w:p>
    <w:p w14:paraId="27FE40CC" w14:textId="77777777" w:rsidR="00284D49" w:rsidRPr="00FC4465" w:rsidRDefault="00284D49" w:rsidP="00F317F2">
      <w:pPr>
        <w:rPr>
          <w:rFonts w:asciiTheme="majorBidi" w:hAnsiTheme="majorBidi" w:cstheme="majorBidi"/>
        </w:rPr>
        <w:sectPr w:rsidR="00284D49" w:rsidRPr="00FC4465" w:rsidSect="00F317F2">
          <w:headerReference w:type="even" r:id="rId43"/>
          <w:headerReference w:type="default" r:id="rId44"/>
          <w:footerReference w:type="even" r:id="rId45"/>
          <w:footerReference w:type="default" r:id="rId46"/>
          <w:endnotePr>
            <w:numFmt w:val="decimal"/>
          </w:endnotePr>
          <w:pgSz w:w="16838" w:h="11906" w:orient="landscape" w:code="9"/>
          <w:pgMar w:top="1134" w:right="1417" w:bottom="1134" w:left="1134" w:header="567" w:footer="567" w:gutter="0"/>
          <w:cols w:space="708"/>
          <w:docGrid w:linePitch="360"/>
        </w:sectPr>
      </w:pPr>
    </w:p>
    <w:p w14:paraId="4B6205A1" w14:textId="77777777" w:rsidR="00284D49" w:rsidRPr="00FC4465" w:rsidRDefault="00284D49" w:rsidP="00802EA2">
      <w:pPr>
        <w:pStyle w:val="GHSHeading3"/>
        <w:keepNext w:val="0"/>
        <w:spacing w:after="120" w:line="240" w:lineRule="atLeast"/>
        <w:ind w:left="851"/>
        <w:jc w:val="both"/>
        <w:rPr>
          <w:rFonts w:asciiTheme="majorBidi" w:hAnsiTheme="majorBidi" w:cstheme="majorBidi"/>
          <w:b w:val="0"/>
          <w:bCs w:val="0"/>
          <w:color w:val="auto"/>
          <w:sz w:val="18"/>
          <w:szCs w:val="18"/>
          <w:lang w:val="es-ES"/>
        </w:rPr>
      </w:pPr>
      <w:r w:rsidRPr="00FC4465">
        <w:rPr>
          <w:rFonts w:asciiTheme="majorBidi" w:hAnsiTheme="majorBidi" w:cstheme="majorBidi"/>
          <w:b w:val="0"/>
          <w:bCs w:val="0"/>
          <w:sz w:val="20"/>
          <w:szCs w:val="20"/>
          <w:lang w:val="es-ES"/>
        </w:rPr>
        <w:lastRenderedPageBreak/>
        <w:t>Al final del capítulo 3.4, añádanse las siguientes referencias:</w:t>
      </w:r>
    </w:p>
    <w:p w14:paraId="0A7EE0AF" w14:textId="47816BDA" w:rsidR="00284D49" w:rsidRPr="00FC4465" w:rsidRDefault="008C5013" w:rsidP="00802EA2">
      <w:pPr>
        <w:pStyle w:val="GHSHeading3"/>
        <w:keepNext w:val="0"/>
        <w:tabs>
          <w:tab w:val="clear" w:pos="1418"/>
          <w:tab w:val="left" w:pos="851"/>
          <w:tab w:val="left" w:pos="8505"/>
        </w:tabs>
        <w:spacing w:after="120" w:line="240" w:lineRule="atLeast"/>
        <w:ind w:left="2268" w:right="1134"/>
        <w:jc w:val="both"/>
        <w:rPr>
          <w:rFonts w:asciiTheme="majorBidi" w:hAnsiTheme="majorBidi" w:cstheme="majorBidi"/>
          <w:b w:val="0"/>
          <w:color w:val="auto"/>
          <w:sz w:val="20"/>
          <w:szCs w:val="20"/>
          <w:lang w:val="es-ES"/>
        </w:rPr>
      </w:pPr>
      <w:bookmarkStart w:id="16" w:name="_Hlk124931458"/>
      <w:r w:rsidRPr="00FC4465">
        <w:rPr>
          <w:rFonts w:asciiTheme="majorBidi" w:hAnsiTheme="majorBidi" w:cstheme="majorBidi"/>
          <w:b w:val="0"/>
          <w:bCs w:val="0"/>
          <w:color w:val="auto"/>
          <w:sz w:val="20"/>
          <w:szCs w:val="20"/>
          <w:lang w:val="es-ES"/>
        </w:rPr>
        <w:t>“</w:t>
      </w:r>
      <w:r w:rsidR="00284D49" w:rsidRPr="00FC4465">
        <w:rPr>
          <w:rFonts w:asciiTheme="majorBidi" w:hAnsiTheme="majorBidi" w:cstheme="majorBidi"/>
          <w:color w:val="auto"/>
          <w:sz w:val="20"/>
          <w:szCs w:val="20"/>
          <w:lang w:val="es-ES"/>
        </w:rPr>
        <w:t>__________________</w:t>
      </w:r>
    </w:p>
    <w:p w14:paraId="407E6254" w14:textId="77777777" w:rsidR="00284D49" w:rsidRPr="00FC4465" w:rsidRDefault="00284D49" w:rsidP="00802EA2">
      <w:pPr>
        <w:pStyle w:val="GHSHeading3"/>
        <w:keepNext w:val="0"/>
        <w:tabs>
          <w:tab w:val="left" w:pos="2410"/>
          <w:tab w:val="left" w:pos="8505"/>
        </w:tabs>
        <w:spacing w:after="120" w:line="240" w:lineRule="atLeast"/>
        <w:ind w:left="2268" w:right="1134"/>
        <w:jc w:val="both"/>
        <w:rPr>
          <w:rFonts w:asciiTheme="majorBidi" w:hAnsiTheme="majorBidi" w:cstheme="majorBidi"/>
          <w:b w:val="0"/>
          <w:i/>
          <w:color w:val="auto"/>
          <w:sz w:val="20"/>
          <w:szCs w:val="20"/>
          <w:lang w:val="es-ES"/>
        </w:rPr>
      </w:pPr>
      <w:r w:rsidRPr="00FC4465">
        <w:rPr>
          <w:rFonts w:asciiTheme="majorBidi" w:hAnsiTheme="majorBidi" w:cstheme="majorBidi"/>
          <w:b w:val="0"/>
          <w:color w:val="auto"/>
          <w:sz w:val="20"/>
          <w:szCs w:val="20"/>
          <w:lang w:val="es-ES"/>
        </w:rPr>
        <w:t>*</w:t>
      </w:r>
      <w:r w:rsidRPr="00FC4465">
        <w:rPr>
          <w:rFonts w:asciiTheme="majorBidi" w:hAnsiTheme="majorBidi" w:cstheme="majorBidi"/>
          <w:b w:val="0"/>
          <w:color w:val="auto"/>
          <w:sz w:val="20"/>
          <w:szCs w:val="20"/>
          <w:lang w:val="es-ES"/>
        </w:rPr>
        <w:tab/>
      </w:r>
      <w:r w:rsidRPr="00FC4465">
        <w:rPr>
          <w:rFonts w:asciiTheme="majorBidi" w:hAnsiTheme="majorBidi" w:cstheme="majorBidi"/>
          <w:b w:val="0"/>
          <w:i/>
          <w:color w:val="auto"/>
          <w:sz w:val="20"/>
          <w:szCs w:val="20"/>
          <w:lang w:val="es-ES"/>
        </w:rPr>
        <w:t>Referencias:</w:t>
      </w:r>
    </w:p>
    <w:p w14:paraId="4B8F18AA" w14:textId="2DAB5147" w:rsidR="00284D49" w:rsidRPr="00FC4465" w:rsidRDefault="00284D49" w:rsidP="00802EA2">
      <w:pPr>
        <w:tabs>
          <w:tab w:val="left" w:pos="8505"/>
        </w:tabs>
        <w:spacing w:after="120"/>
        <w:ind w:left="2268" w:right="1134"/>
        <w:jc w:val="both"/>
        <w:rPr>
          <w:rFonts w:asciiTheme="majorBidi" w:hAnsiTheme="majorBidi" w:cstheme="majorBidi"/>
        </w:rPr>
      </w:pPr>
      <w:r w:rsidRPr="00FC4465">
        <w:rPr>
          <w:rFonts w:asciiTheme="majorBidi" w:hAnsiTheme="majorBidi" w:cstheme="majorBidi"/>
        </w:rPr>
        <w:t>Corsini, E., Clewell, R., Cotgreave, I., Eskes, C., Kopp-Schneider, A., Westmoreland, C., Alves, P.</w:t>
      </w:r>
      <w:r w:rsidR="00156746" w:rsidRPr="00FC4465">
        <w:rPr>
          <w:rFonts w:asciiTheme="majorBidi" w:hAnsiTheme="majorBidi" w:cstheme="majorBidi"/>
        </w:rPr>
        <w:t xml:space="preserve"> </w:t>
      </w:r>
      <w:r w:rsidRPr="00FC4465">
        <w:rPr>
          <w:rFonts w:asciiTheme="majorBidi" w:hAnsiTheme="majorBidi" w:cstheme="majorBidi"/>
        </w:rPr>
        <w:t>M., Navas, J.</w:t>
      </w:r>
      <w:r w:rsidR="00156746" w:rsidRPr="00FC4465">
        <w:rPr>
          <w:rFonts w:asciiTheme="majorBidi" w:hAnsiTheme="majorBidi" w:cstheme="majorBidi"/>
        </w:rPr>
        <w:t xml:space="preserve"> </w:t>
      </w:r>
      <w:r w:rsidRPr="00FC4465">
        <w:rPr>
          <w:rFonts w:asciiTheme="majorBidi" w:hAnsiTheme="majorBidi" w:cstheme="majorBidi"/>
        </w:rPr>
        <w:t>M. y Piersma, A., ESAC Opinion on the Scientific Validity of the GARDskin and GARDpotency Test Methods, Asturiol Bofill, D., Casati, S. y Viegas Barroso, J.</w:t>
      </w:r>
      <w:r w:rsidR="00156746" w:rsidRPr="00FC4465">
        <w:rPr>
          <w:rFonts w:asciiTheme="majorBidi" w:hAnsiTheme="majorBidi" w:cstheme="majorBidi"/>
        </w:rPr>
        <w:t xml:space="preserve"> </w:t>
      </w:r>
      <w:r w:rsidRPr="00FC4465">
        <w:rPr>
          <w:rFonts w:asciiTheme="majorBidi" w:hAnsiTheme="majorBidi" w:cstheme="majorBidi"/>
        </w:rPr>
        <w:t>F. editor(s), Publications Office of the European Union, Luxembourg, 2021, ISBN 978-92-76-40345-6, Doi:10.2760/626728, JRC125963.</w:t>
      </w:r>
    </w:p>
    <w:p w14:paraId="4BB21E07" w14:textId="4784D8AA" w:rsidR="00284D49" w:rsidRPr="00FC4465" w:rsidRDefault="00284D49" w:rsidP="00802EA2">
      <w:pPr>
        <w:tabs>
          <w:tab w:val="left" w:pos="8505"/>
        </w:tabs>
        <w:spacing w:after="120"/>
        <w:ind w:left="2268" w:right="1134"/>
        <w:jc w:val="both"/>
        <w:rPr>
          <w:rFonts w:asciiTheme="majorBidi" w:hAnsiTheme="majorBidi" w:cstheme="majorBidi"/>
        </w:rPr>
      </w:pPr>
      <w:r w:rsidRPr="00FC4465">
        <w:rPr>
          <w:rFonts w:asciiTheme="majorBidi" w:hAnsiTheme="majorBidi" w:cstheme="majorBidi"/>
        </w:rPr>
        <w:t>Cottrez</w:t>
      </w:r>
      <w:r w:rsidR="00626CA4">
        <w:rPr>
          <w:rFonts w:asciiTheme="majorBidi" w:hAnsiTheme="majorBidi" w:cstheme="majorBidi"/>
        </w:rPr>
        <w:t>,</w:t>
      </w:r>
      <w:r w:rsidRPr="00FC4465">
        <w:rPr>
          <w:rFonts w:asciiTheme="majorBidi" w:hAnsiTheme="majorBidi" w:cstheme="majorBidi"/>
        </w:rPr>
        <w:t xml:space="preserve"> F</w:t>
      </w:r>
      <w:r w:rsidR="00626CA4">
        <w:rPr>
          <w:rFonts w:asciiTheme="majorBidi" w:hAnsiTheme="majorBidi" w:cstheme="majorBidi"/>
        </w:rPr>
        <w:t>.</w:t>
      </w:r>
      <w:r w:rsidRPr="00FC4465">
        <w:rPr>
          <w:rFonts w:asciiTheme="majorBidi" w:hAnsiTheme="majorBidi" w:cstheme="majorBidi"/>
        </w:rPr>
        <w:t>, Boitel</w:t>
      </w:r>
      <w:r w:rsidR="00626CA4">
        <w:rPr>
          <w:rFonts w:asciiTheme="majorBidi" w:hAnsiTheme="majorBidi" w:cstheme="majorBidi"/>
        </w:rPr>
        <w:t>,</w:t>
      </w:r>
      <w:r w:rsidRPr="00FC4465">
        <w:rPr>
          <w:rFonts w:asciiTheme="majorBidi" w:hAnsiTheme="majorBidi" w:cstheme="majorBidi"/>
        </w:rPr>
        <w:t xml:space="preserve"> E</w:t>
      </w:r>
      <w:r w:rsidR="00626CA4">
        <w:rPr>
          <w:rFonts w:asciiTheme="majorBidi" w:hAnsiTheme="majorBidi" w:cstheme="majorBidi"/>
        </w:rPr>
        <w:t>.</w:t>
      </w:r>
      <w:r w:rsidRPr="00FC4465">
        <w:rPr>
          <w:rFonts w:asciiTheme="majorBidi" w:hAnsiTheme="majorBidi" w:cstheme="majorBidi"/>
        </w:rPr>
        <w:t>, Auriault</w:t>
      </w:r>
      <w:r w:rsidR="00626CA4">
        <w:rPr>
          <w:rFonts w:asciiTheme="majorBidi" w:hAnsiTheme="majorBidi" w:cstheme="majorBidi"/>
        </w:rPr>
        <w:t>,</w:t>
      </w:r>
      <w:r w:rsidRPr="00FC4465">
        <w:rPr>
          <w:rFonts w:asciiTheme="majorBidi" w:hAnsiTheme="majorBidi" w:cstheme="majorBidi"/>
        </w:rPr>
        <w:t xml:space="preserve"> C</w:t>
      </w:r>
      <w:r w:rsidR="00626CA4">
        <w:rPr>
          <w:rFonts w:asciiTheme="majorBidi" w:hAnsiTheme="majorBidi" w:cstheme="majorBidi"/>
        </w:rPr>
        <w:t>.</w:t>
      </w:r>
      <w:r w:rsidRPr="00FC4465">
        <w:rPr>
          <w:rFonts w:asciiTheme="majorBidi" w:hAnsiTheme="majorBidi" w:cstheme="majorBidi"/>
        </w:rPr>
        <w:t>, Aeby</w:t>
      </w:r>
      <w:r w:rsidR="00626CA4">
        <w:rPr>
          <w:rFonts w:asciiTheme="majorBidi" w:hAnsiTheme="majorBidi" w:cstheme="majorBidi"/>
        </w:rPr>
        <w:t>,</w:t>
      </w:r>
      <w:r w:rsidRPr="00FC4465">
        <w:rPr>
          <w:rFonts w:asciiTheme="majorBidi" w:hAnsiTheme="majorBidi" w:cstheme="majorBidi"/>
        </w:rPr>
        <w:t xml:space="preserve"> P</w:t>
      </w:r>
      <w:r w:rsidR="00626CA4">
        <w:rPr>
          <w:rFonts w:asciiTheme="majorBidi" w:hAnsiTheme="majorBidi" w:cstheme="majorBidi"/>
        </w:rPr>
        <w:t>.</w:t>
      </w:r>
      <w:r w:rsidRPr="00FC4465">
        <w:rPr>
          <w:rFonts w:asciiTheme="majorBidi" w:hAnsiTheme="majorBidi" w:cstheme="majorBidi"/>
        </w:rPr>
        <w:t>, Groux</w:t>
      </w:r>
      <w:r w:rsidR="00626CA4">
        <w:rPr>
          <w:rFonts w:asciiTheme="majorBidi" w:hAnsiTheme="majorBidi" w:cstheme="majorBidi"/>
        </w:rPr>
        <w:t>,</w:t>
      </w:r>
      <w:r w:rsidRPr="00FC4465">
        <w:rPr>
          <w:rFonts w:asciiTheme="majorBidi" w:hAnsiTheme="majorBidi" w:cstheme="majorBidi"/>
        </w:rPr>
        <w:t xml:space="preserve"> H. </w:t>
      </w:r>
      <w:hyperlink r:id="rId47" w:history="1">
        <w:r w:rsidRPr="00FC4465">
          <w:rPr>
            <w:rFonts w:asciiTheme="majorBidi" w:hAnsiTheme="majorBidi" w:cstheme="majorBidi"/>
          </w:rPr>
          <w:t>Genes specifically modulated in sensitized skins allow the detection of sensitizers in a reconstructed human skin model. Development of the SENS-IS assay.</w:t>
        </w:r>
      </w:hyperlink>
      <w:r w:rsidRPr="00FC4465">
        <w:rPr>
          <w:rFonts w:asciiTheme="majorBidi" w:hAnsiTheme="majorBidi" w:cstheme="majorBidi"/>
        </w:rPr>
        <w:t xml:space="preserve"> Toxicol </w:t>
      </w:r>
      <w:r w:rsidR="00762E66">
        <w:rPr>
          <w:rFonts w:asciiTheme="majorBidi" w:hAnsiTheme="majorBidi" w:cstheme="majorBidi"/>
        </w:rPr>
        <w:t>In vitro</w:t>
      </w:r>
      <w:r w:rsidRPr="00FC4465">
        <w:rPr>
          <w:rFonts w:asciiTheme="majorBidi" w:hAnsiTheme="majorBidi" w:cstheme="majorBidi"/>
        </w:rPr>
        <w:t>. 2015 Jun;29(4):787-802. Doi: 10.1016/j.tiv.2015.02.012.</w:t>
      </w:r>
    </w:p>
    <w:p w14:paraId="0B36DE71" w14:textId="61C986DA" w:rsidR="00284D49" w:rsidRPr="00FC4465" w:rsidRDefault="00284D49" w:rsidP="00802EA2">
      <w:pPr>
        <w:tabs>
          <w:tab w:val="left" w:pos="8505"/>
        </w:tabs>
        <w:spacing w:after="120"/>
        <w:ind w:left="2268" w:right="1134"/>
        <w:jc w:val="both"/>
        <w:rPr>
          <w:rFonts w:asciiTheme="majorBidi" w:hAnsiTheme="majorBidi" w:cstheme="majorBidi"/>
        </w:rPr>
      </w:pPr>
      <w:r w:rsidRPr="00FC4465">
        <w:rPr>
          <w:rFonts w:asciiTheme="majorBidi" w:hAnsiTheme="majorBidi" w:cstheme="majorBidi"/>
        </w:rPr>
        <w:t>Cottrez</w:t>
      </w:r>
      <w:r w:rsidR="00626CA4">
        <w:rPr>
          <w:rFonts w:asciiTheme="majorBidi" w:hAnsiTheme="majorBidi" w:cstheme="majorBidi"/>
        </w:rPr>
        <w:t>,</w:t>
      </w:r>
      <w:r w:rsidRPr="00FC4465">
        <w:rPr>
          <w:rFonts w:asciiTheme="majorBidi" w:hAnsiTheme="majorBidi" w:cstheme="majorBidi"/>
        </w:rPr>
        <w:t xml:space="preserve"> F</w:t>
      </w:r>
      <w:r w:rsidR="00626CA4">
        <w:rPr>
          <w:rFonts w:asciiTheme="majorBidi" w:hAnsiTheme="majorBidi" w:cstheme="majorBidi"/>
        </w:rPr>
        <w:t>.</w:t>
      </w:r>
      <w:r w:rsidRPr="00FC4465">
        <w:rPr>
          <w:rFonts w:asciiTheme="majorBidi" w:hAnsiTheme="majorBidi" w:cstheme="majorBidi"/>
        </w:rPr>
        <w:t>, Boitel</w:t>
      </w:r>
      <w:r w:rsidR="00626CA4">
        <w:rPr>
          <w:rFonts w:asciiTheme="majorBidi" w:hAnsiTheme="majorBidi" w:cstheme="majorBidi"/>
        </w:rPr>
        <w:t>,</w:t>
      </w:r>
      <w:r w:rsidRPr="00FC4465">
        <w:rPr>
          <w:rFonts w:asciiTheme="majorBidi" w:hAnsiTheme="majorBidi" w:cstheme="majorBidi"/>
        </w:rPr>
        <w:t xml:space="preserve"> E</w:t>
      </w:r>
      <w:r w:rsidR="00626CA4">
        <w:rPr>
          <w:rFonts w:asciiTheme="majorBidi" w:hAnsiTheme="majorBidi" w:cstheme="majorBidi"/>
        </w:rPr>
        <w:t>.</w:t>
      </w:r>
      <w:r w:rsidRPr="00FC4465">
        <w:rPr>
          <w:rFonts w:asciiTheme="majorBidi" w:hAnsiTheme="majorBidi" w:cstheme="majorBidi"/>
        </w:rPr>
        <w:t>, Ourlin</w:t>
      </w:r>
      <w:r w:rsidR="00626CA4">
        <w:rPr>
          <w:rFonts w:asciiTheme="majorBidi" w:hAnsiTheme="majorBidi" w:cstheme="majorBidi"/>
        </w:rPr>
        <w:t>,</w:t>
      </w:r>
      <w:r w:rsidRPr="00FC4465">
        <w:rPr>
          <w:rFonts w:asciiTheme="majorBidi" w:hAnsiTheme="majorBidi" w:cstheme="majorBidi"/>
        </w:rPr>
        <w:t xml:space="preserve"> J</w:t>
      </w:r>
      <w:r w:rsidR="00626CA4">
        <w:rPr>
          <w:rFonts w:asciiTheme="majorBidi" w:hAnsiTheme="majorBidi" w:cstheme="majorBidi"/>
        </w:rPr>
        <w:t xml:space="preserve">. </w:t>
      </w:r>
      <w:r w:rsidRPr="00FC4465">
        <w:rPr>
          <w:rFonts w:asciiTheme="majorBidi" w:hAnsiTheme="majorBidi" w:cstheme="majorBidi"/>
        </w:rPr>
        <w:t>C</w:t>
      </w:r>
      <w:r w:rsidR="00626CA4">
        <w:rPr>
          <w:rFonts w:asciiTheme="majorBidi" w:hAnsiTheme="majorBidi" w:cstheme="majorBidi"/>
        </w:rPr>
        <w:t>.</w:t>
      </w:r>
      <w:r w:rsidRPr="00FC4465">
        <w:rPr>
          <w:rFonts w:asciiTheme="majorBidi" w:hAnsiTheme="majorBidi" w:cstheme="majorBidi"/>
        </w:rPr>
        <w:t>, Peiffer</w:t>
      </w:r>
      <w:r w:rsidR="00626CA4">
        <w:rPr>
          <w:rFonts w:asciiTheme="majorBidi" w:hAnsiTheme="majorBidi" w:cstheme="majorBidi"/>
        </w:rPr>
        <w:t>,</w:t>
      </w:r>
      <w:r w:rsidRPr="00FC4465">
        <w:rPr>
          <w:rFonts w:asciiTheme="majorBidi" w:hAnsiTheme="majorBidi" w:cstheme="majorBidi"/>
        </w:rPr>
        <w:t xml:space="preserve"> J</w:t>
      </w:r>
      <w:r w:rsidR="00626CA4">
        <w:rPr>
          <w:rFonts w:asciiTheme="majorBidi" w:hAnsiTheme="majorBidi" w:cstheme="majorBidi"/>
        </w:rPr>
        <w:t xml:space="preserve">. </w:t>
      </w:r>
      <w:r w:rsidRPr="00FC4465">
        <w:rPr>
          <w:rFonts w:asciiTheme="majorBidi" w:hAnsiTheme="majorBidi" w:cstheme="majorBidi"/>
        </w:rPr>
        <w:t>L</w:t>
      </w:r>
      <w:r w:rsidR="00626CA4">
        <w:rPr>
          <w:rFonts w:asciiTheme="majorBidi" w:hAnsiTheme="majorBidi" w:cstheme="majorBidi"/>
        </w:rPr>
        <w:t>.</w:t>
      </w:r>
      <w:r w:rsidRPr="00FC4465">
        <w:rPr>
          <w:rFonts w:asciiTheme="majorBidi" w:hAnsiTheme="majorBidi" w:cstheme="majorBidi"/>
        </w:rPr>
        <w:t>, Fabre</w:t>
      </w:r>
      <w:r w:rsidR="00626CA4">
        <w:rPr>
          <w:rFonts w:asciiTheme="majorBidi" w:hAnsiTheme="majorBidi" w:cstheme="majorBidi"/>
        </w:rPr>
        <w:t>,</w:t>
      </w:r>
      <w:r w:rsidRPr="00FC4465">
        <w:rPr>
          <w:rFonts w:asciiTheme="majorBidi" w:hAnsiTheme="majorBidi" w:cstheme="majorBidi"/>
        </w:rPr>
        <w:t xml:space="preserve"> I</w:t>
      </w:r>
      <w:r w:rsidR="00626CA4">
        <w:rPr>
          <w:rFonts w:asciiTheme="majorBidi" w:hAnsiTheme="majorBidi" w:cstheme="majorBidi"/>
        </w:rPr>
        <w:t>.</w:t>
      </w:r>
      <w:r w:rsidRPr="00FC4465">
        <w:rPr>
          <w:rFonts w:asciiTheme="majorBidi" w:hAnsiTheme="majorBidi" w:cstheme="majorBidi"/>
        </w:rPr>
        <w:t>, Henaoui</w:t>
      </w:r>
      <w:r w:rsidR="00626CA4">
        <w:rPr>
          <w:rFonts w:asciiTheme="majorBidi" w:hAnsiTheme="majorBidi" w:cstheme="majorBidi"/>
        </w:rPr>
        <w:t>,</w:t>
      </w:r>
      <w:r w:rsidRPr="00FC4465">
        <w:rPr>
          <w:rFonts w:asciiTheme="majorBidi" w:hAnsiTheme="majorBidi" w:cstheme="majorBidi"/>
        </w:rPr>
        <w:t xml:space="preserve"> I</w:t>
      </w:r>
      <w:r w:rsidR="00626CA4">
        <w:rPr>
          <w:rFonts w:asciiTheme="majorBidi" w:hAnsiTheme="majorBidi" w:cstheme="majorBidi"/>
        </w:rPr>
        <w:t xml:space="preserve">. </w:t>
      </w:r>
      <w:r w:rsidRPr="00FC4465">
        <w:rPr>
          <w:rFonts w:asciiTheme="majorBidi" w:hAnsiTheme="majorBidi" w:cstheme="majorBidi"/>
        </w:rPr>
        <w:t>S</w:t>
      </w:r>
      <w:r w:rsidR="00626CA4">
        <w:rPr>
          <w:rFonts w:asciiTheme="majorBidi" w:hAnsiTheme="majorBidi" w:cstheme="majorBidi"/>
        </w:rPr>
        <w:t>.</w:t>
      </w:r>
      <w:r w:rsidRPr="00FC4465">
        <w:rPr>
          <w:rFonts w:asciiTheme="majorBidi" w:hAnsiTheme="majorBidi" w:cstheme="majorBidi"/>
        </w:rPr>
        <w:t>, Mari</w:t>
      </w:r>
      <w:r w:rsidR="00626CA4">
        <w:rPr>
          <w:rFonts w:asciiTheme="majorBidi" w:hAnsiTheme="majorBidi" w:cstheme="majorBidi"/>
        </w:rPr>
        <w:t>,</w:t>
      </w:r>
      <w:r w:rsidRPr="00FC4465">
        <w:rPr>
          <w:rFonts w:asciiTheme="majorBidi" w:hAnsiTheme="majorBidi" w:cstheme="majorBidi"/>
        </w:rPr>
        <w:t xml:space="preserve"> B</w:t>
      </w:r>
      <w:r w:rsidR="00626CA4">
        <w:rPr>
          <w:rFonts w:asciiTheme="majorBidi" w:hAnsiTheme="majorBidi" w:cstheme="majorBidi"/>
        </w:rPr>
        <w:t>.</w:t>
      </w:r>
      <w:r w:rsidRPr="00FC4465">
        <w:rPr>
          <w:rFonts w:asciiTheme="majorBidi" w:hAnsiTheme="majorBidi" w:cstheme="majorBidi"/>
        </w:rPr>
        <w:t>, Vallauri</w:t>
      </w:r>
      <w:r w:rsidR="00626CA4">
        <w:rPr>
          <w:rFonts w:asciiTheme="majorBidi" w:hAnsiTheme="majorBidi" w:cstheme="majorBidi"/>
        </w:rPr>
        <w:t>,</w:t>
      </w:r>
      <w:r w:rsidRPr="00FC4465">
        <w:rPr>
          <w:rFonts w:asciiTheme="majorBidi" w:hAnsiTheme="majorBidi" w:cstheme="majorBidi"/>
        </w:rPr>
        <w:t xml:space="preserve"> A</w:t>
      </w:r>
      <w:r w:rsidR="00626CA4">
        <w:rPr>
          <w:rFonts w:asciiTheme="majorBidi" w:hAnsiTheme="majorBidi" w:cstheme="majorBidi"/>
        </w:rPr>
        <w:t>.</w:t>
      </w:r>
      <w:r w:rsidRPr="00FC4465">
        <w:rPr>
          <w:rFonts w:asciiTheme="majorBidi" w:hAnsiTheme="majorBidi" w:cstheme="majorBidi"/>
        </w:rPr>
        <w:t>, Paquet</w:t>
      </w:r>
      <w:r w:rsidR="00626CA4">
        <w:rPr>
          <w:rFonts w:asciiTheme="majorBidi" w:hAnsiTheme="majorBidi" w:cstheme="majorBidi"/>
        </w:rPr>
        <w:t>,</w:t>
      </w:r>
      <w:r w:rsidRPr="00FC4465">
        <w:rPr>
          <w:rFonts w:asciiTheme="majorBidi" w:hAnsiTheme="majorBidi" w:cstheme="majorBidi"/>
        </w:rPr>
        <w:t xml:space="preserve"> A</w:t>
      </w:r>
      <w:r w:rsidR="00626CA4">
        <w:rPr>
          <w:rFonts w:asciiTheme="majorBidi" w:hAnsiTheme="majorBidi" w:cstheme="majorBidi"/>
        </w:rPr>
        <w:t>.</w:t>
      </w:r>
      <w:r w:rsidRPr="00FC4465">
        <w:rPr>
          <w:rFonts w:asciiTheme="majorBidi" w:hAnsiTheme="majorBidi" w:cstheme="majorBidi"/>
        </w:rPr>
        <w:t>, Barbry</w:t>
      </w:r>
      <w:r w:rsidR="00626CA4">
        <w:rPr>
          <w:rFonts w:asciiTheme="majorBidi" w:hAnsiTheme="majorBidi" w:cstheme="majorBidi"/>
        </w:rPr>
        <w:t>,</w:t>
      </w:r>
      <w:r w:rsidRPr="00FC4465">
        <w:rPr>
          <w:rFonts w:asciiTheme="majorBidi" w:hAnsiTheme="majorBidi" w:cstheme="majorBidi"/>
        </w:rPr>
        <w:t xml:space="preserve"> P</w:t>
      </w:r>
      <w:r w:rsidR="00626CA4">
        <w:rPr>
          <w:rFonts w:asciiTheme="majorBidi" w:hAnsiTheme="majorBidi" w:cstheme="majorBidi"/>
        </w:rPr>
        <w:t>.</w:t>
      </w:r>
      <w:r w:rsidRPr="00FC4465">
        <w:rPr>
          <w:rFonts w:asciiTheme="majorBidi" w:hAnsiTheme="majorBidi" w:cstheme="majorBidi"/>
        </w:rPr>
        <w:t>, Auriault</w:t>
      </w:r>
      <w:r w:rsidR="00626CA4">
        <w:rPr>
          <w:rFonts w:asciiTheme="majorBidi" w:hAnsiTheme="majorBidi" w:cstheme="majorBidi"/>
        </w:rPr>
        <w:t>,</w:t>
      </w:r>
      <w:r w:rsidRPr="00FC4465">
        <w:rPr>
          <w:rFonts w:asciiTheme="majorBidi" w:hAnsiTheme="majorBidi" w:cstheme="majorBidi"/>
        </w:rPr>
        <w:t xml:space="preserve"> C</w:t>
      </w:r>
      <w:r w:rsidR="00626CA4">
        <w:rPr>
          <w:rFonts w:asciiTheme="majorBidi" w:hAnsiTheme="majorBidi" w:cstheme="majorBidi"/>
        </w:rPr>
        <w:t>.</w:t>
      </w:r>
      <w:r w:rsidRPr="00FC4465">
        <w:rPr>
          <w:rFonts w:asciiTheme="majorBidi" w:hAnsiTheme="majorBidi" w:cstheme="majorBidi"/>
        </w:rPr>
        <w:t>, Aeby</w:t>
      </w:r>
      <w:r w:rsidR="00626CA4">
        <w:rPr>
          <w:rFonts w:asciiTheme="majorBidi" w:hAnsiTheme="majorBidi" w:cstheme="majorBidi"/>
        </w:rPr>
        <w:t>,</w:t>
      </w:r>
      <w:r w:rsidRPr="00FC4465">
        <w:rPr>
          <w:rFonts w:asciiTheme="majorBidi" w:hAnsiTheme="majorBidi" w:cstheme="majorBidi"/>
        </w:rPr>
        <w:t xml:space="preserve"> P</w:t>
      </w:r>
      <w:r w:rsidR="00626CA4">
        <w:rPr>
          <w:rFonts w:asciiTheme="majorBidi" w:hAnsiTheme="majorBidi" w:cstheme="majorBidi"/>
        </w:rPr>
        <w:t>.</w:t>
      </w:r>
      <w:r w:rsidRPr="00FC4465">
        <w:rPr>
          <w:rFonts w:asciiTheme="majorBidi" w:hAnsiTheme="majorBidi" w:cstheme="majorBidi"/>
        </w:rPr>
        <w:t>, Groux</w:t>
      </w:r>
      <w:r w:rsidR="00626CA4">
        <w:rPr>
          <w:rFonts w:asciiTheme="majorBidi" w:hAnsiTheme="majorBidi" w:cstheme="majorBidi"/>
        </w:rPr>
        <w:t>,</w:t>
      </w:r>
      <w:r w:rsidRPr="00FC4465">
        <w:rPr>
          <w:rFonts w:asciiTheme="majorBidi" w:hAnsiTheme="majorBidi" w:cstheme="majorBidi"/>
        </w:rPr>
        <w:t xml:space="preserve"> H. SENS-IS, a 3D reconstituted epidermis based model for quantifying chemical sensitization potency: Reproducibility and predictivity results from an inter</w:t>
      </w:r>
      <w:r w:rsidR="00626CA4">
        <w:rPr>
          <w:rFonts w:asciiTheme="majorBidi" w:hAnsiTheme="majorBidi" w:cstheme="majorBidi"/>
        </w:rPr>
        <w:noBreakHyphen/>
      </w:r>
      <w:r w:rsidRPr="00FC4465">
        <w:rPr>
          <w:rFonts w:asciiTheme="majorBidi" w:hAnsiTheme="majorBidi" w:cstheme="majorBidi"/>
        </w:rPr>
        <w:t xml:space="preserve">laboratory study. Toxicol </w:t>
      </w:r>
      <w:r w:rsidR="00762E66">
        <w:rPr>
          <w:rFonts w:asciiTheme="majorBidi" w:hAnsiTheme="majorBidi" w:cstheme="majorBidi"/>
        </w:rPr>
        <w:t>In vitro</w:t>
      </w:r>
      <w:r w:rsidRPr="00FC4465">
        <w:rPr>
          <w:rFonts w:asciiTheme="majorBidi" w:hAnsiTheme="majorBidi" w:cstheme="majorBidi"/>
        </w:rPr>
        <w:t xml:space="preserve"> 2016 Apr;32:248-60. Doi:</w:t>
      </w:r>
      <w:r w:rsidR="002A21D5">
        <w:rPr>
          <w:rFonts w:asciiTheme="majorBidi" w:hAnsiTheme="majorBidi" w:cstheme="majorBidi"/>
        </w:rPr>
        <w:t> </w:t>
      </w:r>
      <w:r w:rsidRPr="00FC4465">
        <w:rPr>
          <w:rFonts w:asciiTheme="majorBidi" w:hAnsiTheme="majorBidi" w:cstheme="majorBidi"/>
        </w:rPr>
        <w:t>10.1016/j.tiv.2016.01.007.</w:t>
      </w:r>
    </w:p>
    <w:p w14:paraId="53005E1B" w14:textId="4A1605AC" w:rsidR="00284D49" w:rsidRPr="00FC4465" w:rsidRDefault="00284D49" w:rsidP="00802EA2">
      <w:pPr>
        <w:tabs>
          <w:tab w:val="left" w:pos="8505"/>
        </w:tabs>
        <w:spacing w:after="120"/>
        <w:ind w:left="2268" w:right="1134"/>
        <w:jc w:val="both"/>
        <w:rPr>
          <w:rFonts w:asciiTheme="majorBidi" w:hAnsiTheme="majorBidi" w:cstheme="majorBidi"/>
        </w:rPr>
      </w:pPr>
      <w:r w:rsidRPr="00FC4465">
        <w:rPr>
          <w:rFonts w:asciiTheme="majorBidi" w:hAnsiTheme="majorBidi" w:cstheme="majorBidi"/>
        </w:rPr>
        <w:t>ECHA Guidance on the Application of the CLP Criteria Guidance to Regulation (EC) No 1272/2008 on classification, labelling and packaging (CLP) of substances and mixtures Version 5.0 July 2017</w:t>
      </w:r>
      <w:r w:rsidR="00626CA4">
        <w:rPr>
          <w:rFonts w:asciiTheme="majorBidi" w:hAnsiTheme="majorBidi" w:cstheme="majorBidi"/>
        </w:rPr>
        <w:t>.</w:t>
      </w:r>
    </w:p>
    <w:p w14:paraId="50270F78" w14:textId="4683462C" w:rsidR="00284D49" w:rsidRPr="00FC4465" w:rsidRDefault="00284D49" w:rsidP="00802EA2">
      <w:pPr>
        <w:tabs>
          <w:tab w:val="left" w:pos="8505"/>
        </w:tabs>
        <w:spacing w:after="120"/>
        <w:ind w:left="2268" w:right="1134"/>
        <w:jc w:val="both"/>
        <w:rPr>
          <w:rFonts w:asciiTheme="majorBidi" w:hAnsiTheme="majorBidi" w:cstheme="majorBidi"/>
        </w:rPr>
      </w:pPr>
      <w:r w:rsidRPr="00FC4465">
        <w:rPr>
          <w:rFonts w:asciiTheme="majorBidi" w:hAnsiTheme="majorBidi" w:cstheme="majorBidi"/>
        </w:rPr>
        <w:t>Gradin</w:t>
      </w:r>
      <w:r w:rsidR="00626CA4">
        <w:rPr>
          <w:rFonts w:asciiTheme="majorBidi" w:hAnsiTheme="majorBidi" w:cstheme="majorBidi"/>
        </w:rPr>
        <w:t>,</w:t>
      </w:r>
      <w:r w:rsidRPr="00FC4465">
        <w:rPr>
          <w:rFonts w:asciiTheme="majorBidi" w:hAnsiTheme="majorBidi" w:cstheme="majorBidi"/>
        </w:rPr>
        <w:t xml:space="preserve"> R., Johansson</w:t>
      </w:r>
      <w:r w:rsidR="00626CA4">
        <w:rPr>
          <w:rFonts w:asciiTheme="majorBidi" w:hAnsiTheme="majorBidi" w:cstheme="majorBidi"/>
        </w:rPr>
        <w:t>,</w:t>
      </w:r>
      <w:r w:rsidRPr="00FC4465">
        <w:rPr>
          <w:rFonts w:asciiTheme="majorBidi" w:hAnsiTheme="majorBidi" w:cstheme="majorBidi"/>
        </w:rPr>
        <w:t xml:space="preserve"> A., Forreryd</w:t>
      </w:r>
      <w:r w:rsidR="00626CA4">
        <w:rPr>
          <w:rFonts w:asciiTheme="majorBidi" w:hAnsiTheme="majorBidi" w:cstheme="majorBidi"/>
        </w:rPr>
        <w:t>,</w:t>
      </w:r>
      <w:r w:rsidRPr="00FC4465">
        <w:rPr>
          <w:rFonts w:asciiTheme="majorBidi" w:hAnsiTheme="majorBidi" w:cstheme="majorBidi"/>
        </w:rPr>
        <w:t xml:space="preserve"> A., Aaltonen</w:t>
      </w:r>
      <w:r w:rsidR="00626CA4">
        <w:rPr>
          <w:rFonts w:asciiTheme="majorBidi" w:hAnsiTheme="majorBidi" w:cstheme="majorBidi"/>
        </w:rPr>
        <w:t>,</w:t>
      </w:r>
      <w:r w:rsidRPr="00FC4465">
        <w:rPr>
          <w:rFonts w:asciiTheme="majorBidi" w:hAnsiTheme="majorBidi" w:cstheme="majorBidi"/>
        </w:rPr>
        <w:t xml:space="preserve"> E., Jerre</w:t>
      </w:r>
      <w:r w:rsidR="00626CA4">
        <w:rPr>
          <w:rFonts w:asciiTheme="majorBidi" w:hAnsiTheme="majorBidi" w:cstheme="majorBidi"/>
        </w:rPr>
        <w:t>,</w:t>
      </w:r>
      <w:r w:rsidRPr="00FC4465">
        <w:rPr>
          <w:rFonts w:asciiTheme="majorBidi" w:hAnsiTheme="majorBidi" w:cstheme="majorBidi"/>
        </w:rPr>
        <w:t xml:space="preserve"> A., Larne</w:t>
      </w:r>
      <w:r w:rsidR="00626CA4">
        <w:rPr>
          <w:rFonts w:asciiTheme="majorBidi" w:hAnsiTheme="majorBidi" w:cstheme="majorBidi"/>
        </w:rPr>
        <w:t>,</w:t>
      </w:r>
      <w:r w:rsidRPr="00FC4465">
        <w:rPr>
          <w:rFonts w:asciiTheme="majorBidi" w:hAnsiTheme="majorBidi" w:cstheme="majorBidi"/>
        </w:rPr>
        <w:t xml:space="preserve"> O., Mattson</w:t>
      </w:r>
      <w:r w:rsidR="00626CA4">
        <w:rPr>
          <w:rFonts w:asciiTheme="majorBidi" w:hAnsiTheme="majorBidi" w:cstheme="majorBidi"/>
        </w:rPr>
        <w:t>,</w:t>
      </w:r>
      <w:r w:rsidRPr="00FC4465">
        <w:rPr>
          <w:rFonts w:asciiTheme="majorBidi" w:hAnsiTheme="majorBidi" w:cstheme="majorBidi"/>
        </w:rPr>
        <w:t xml:space="preserve"> U., Johansson</w:t>
      </w:r>
      <w:r w:rsidR="00626CA4">
        <w:rPr>
          <w:rFonts w:asciiTheme="majorBidi" w:hAnsiTheme="majorBidi" w:cstheme="majorBidi"/>
        </w:rPr>
        <w:t>,</w:t>
      </w:r>
      <w:r w:rsidRPr="00FC4465">
        <w:rPr>
          <w:rFonts w:asciiTheme="majorBidi" w:hAnsiTheme="majorBidi" w:cstheme="majorBidi"/>
        </w:rPr>
        <w:t xml:space="preserve"> H. (2020) The GARDpotency assay for potency</w:t>
      </w:r>
      <w:r w:rsidR="002A21D5">
        <w:rPr>
          <w:rFonts w:asciiTheme="majorBidi" w:hAnsiTheme="majorBidi" w:cstheme="majorBidi"/>
        </w:rPr>
        <w:noBreakHyphen/>
      </w:r>
      <w:r w:rsidRPr="00FC4465">
        <w:rPr>
          <w:rFonts w:asciiTheme="majorBidi" w:hAnsiTheme="majorBidi" w:cstheme="majorBidi"/>
        </w:rPr>
        <w:t>associated subclassification of chemical skin sensitizers – Rationale, method development, and ring trial results of predictive performance and reproducibility. Toxicol. Sci. 176(2):423-432. Doi: 10.1093/toxsci/kfaa068</w:t>
      </w:r>
      <w:r w:rsidR="00626CA4">
        <w:rPr>
          <w:rFonts w:asciiTheme="majorBidi" w:hAnsiTheme="majorBidi" w:cstheme="majorBidi"/>
        </w:rPr>
        <w:t>.</w:t>
      </w:r>
    </w:p>
    <w:p w14:paraId="05894A63" w14:textId="56FBC53A" w:rsidR="00284D49" w:rsidRPr="00FC4465" w:rsidRDefault="00284D49" w:rsidP="00802EA2">
      <w:pPr>
        <w:tabs>
          <w:tab w:val="left" w:pos="8505"/>
        </w:tabs>
        <w:spacing w:after="120"/>
        <w:ind w:left="2268" w:right="1134"/>
        <w:jc w:val="both"/>
        <w:rPr>
          <w:rFonts w:asciiTheme="majorBidi" w:hAnsiTheme="majorBidi" w:cstheme="majorBidi"/>
        </w:rPr>
      </w:pPr>
      <w:r w:rsidRPr="00FC4465">
        <w:rPr>
          <w:rFonts w:asciiTheme="majorBidi" w:hAnsiTheme="majorBidi" w:cstheme="majorBidi"/>
        </w:rPr>
        <w:t>Johansson</w:t>
      </w:r>
      <w:r w:rsidR="00626CA4">
        <w:rPr>
          <w:rFonts w:asciiTheme="majorBidi" w:hAnsiTheme="majorBidi" w:cstheme="majorBidi"/>
        </w:rPr>
        <w:t>,</w:t>
      </w:r>
      <w:r w:rsidRPr="00FC4465">
        <w:rPr>
          <w:rFonts w:asciiTheme="majorBidi" w:hAnsiTheme="majorBidi" w:cstheme="majorBidi"/>
        </w:rPr>
        <w:t xml:space="preserve"> H., Lindstedt</w:t>
      </w:r>
      <w:r w:rsidR="00626CA4">
        <w:rPr>
          <w:rFonts w:asciiTheme="majorBidi" w:hAnsiTheme="majorBidi" w:cstheme="majorBidi"/>
        </w:rPr>
        <w:t>,</w:t>
      </w:r>
      <w:r w:rsidRPr="00FC4465">
        <w:rPr>
          <w:rFonts w:asciiTheme="majorBidi" w:hAnsiTheme="majorBidi" w:cstheme="majorBidi"/>
        </w:rPr>
        <w:t xml:space="preserve"> M., Albrekt</w:t>
      </w:r>
      <w:r w:rsidR="00626CA4">
        <w:rPr>
          <w:rFonts w:asciiTheme="majorBidi" w:hAnsiTheme="majorBidi" w:cstheme="majorBidi"/>
        </w:rPr>
        <w:t>,</w:t>
      </w:r>
      <w:r w:rsidRPr="00FC4465">
        <w:rPr>
          <w:rFonts w:asciiTheme="majorBidi" w:hAnsiTheme="majorBidi" w:cstheme="majorBidi"/>
        </w:rPr>
        <w:t xml:space="preserve"> A.</w:t>
      </w:r>
      <w:r w:rsidR="00156746" w:rsidRPr="00FC4465">
        <w:rPr>
          <w:rFonts w:asciiTheme="majorBidi" w:hAnsiTheme="majorBidi" w:cstheme="majorBidi"/>
        </w:rPr>
        <w:t xml:space="preserve"> </w:t>
      </w:r>
      <w:r w:rsidRPr="00FC4465">
        <w:rPr>
          <w:rFonts w:asciiTheme="majorBidi" w:hAnsiTheme="majorBidi" w:cstheme="majorBidi"/>
        </w:rPr>
        <w:t>S., Borrebaeck</w:t>
      </w:r>
      <w:r w:rsidR="00626CA4">
        <w:rPr>
          <w:rFonts w:asciiTheme="majorBidi" w:hAnsiTheme="majorBidi" w:cstheme="majorBidi"/>
        </w:rPr>
        <w:t>,</w:t>
      </w:r>
      <w:r w:rsidRPr="00FC4465">
        <w:rPr>
          <w:rFonts w:asciiTheme="majorBidi" w:hAnsiTheme="majorBidi" w:cstheme="majorBidi"/>
        </w:rPr>
        <w:t xml:space="preserve"> C.</w:t>
      </w:r>
      <w:r w:rsidR="00156746" w:rsidRPr="00FC4465">
        <w:rPr>
          <w:rFonts w:asciiTheme="majorBidi" w:hAnsiTheme="majorBidi" w:cstheme="majorBidi"/>
        </w:rPr>
        <w:t xml:space="preserve"> </w:t>
      </w:r>
      <w:r w:rsidRPr="00FC4465">
        <w:rPr>
          <w:rFonts w:asciiTheme="majorBidi" w:hAnsiTheme="majorBidi" w:cstheme="majorBidi"/>
        </w:rPr>
        <w:t>A. (2011)</w:t>
      </w:r>
      <w:r w:rsidR="00626CA4">
        <w:rPr>
          <w:rFonts w:asciiTheme="majorBidi" w:hAnsiTheme="majorBidi" w:cstheme="majorBidi"/>
        </w:rPr>
        <w:t>.</w:t>
      </w:r>
      <w:r w:rsidRPr="00FC4465">
        <w:rPr>
          <w:rFonts w:asciiTheme="majorBidi" w:hAnsiTheme="majorBidi" w:cstheme="majorBidi"/>
        </w:rPr>
        <w:t xml:space="preserve"> A genomic biomarker signature can predict skin sensitizers using a cell-based </w:t>
      </w:r>
      <w:r w:rsidR="00762E66">
        <w:rPr>
          <w:rFonts w:asciiTheme="majorBidi" w:hAnsiTheme="majorBidi" w:cstheme="majorBidi"/>
        </w:rPr>
        <w:t>in vitro</w:t>
      </w:r>
      <w:r w:rsidRPr="00FC4465">
        <w:rPr>
          <w:rFonts w:asciiTheme="majorBidi" w:hAnsiTheme="majorBidi" w:cstheme="majorBidi"/>
        </w:rPr>
        <w:t xml:space="preserve"> alternative to animal tests. BMC Genomics 12:399. Doi:</w:t>
      </w:r>
      <w:r w:rsidR="002A21D5">
        <w:rPr>
          <w:rFonts w:asciiTheme="majorBidi" w:hAnsiTheme="majorBidi" w:cstheme="majorBidi"/>
        </w:rPr>
        <w:t> </w:t>
      </w:r>
      <w:r w:rsidRPr="00FC4465">
        <w:rPr>
          <w:rFonts w:asciiTheme="majorBidi" w:hAnsiTheme="majorBidi" w:cstheme="majorBidi"/>
        </w:rPr>
        <w:t>10.1186/1471-2164-12-399.</w:t>
      </w:r>
    </w:p>
    <w:p w14:paraId="7EF758A1" w14:textId="16A56DB2" w:rsidR="00284D49" w:rsidRPr="00FC4465" w:rsidRDefault="00284D49" w:rsidP="00802EA2">
      <w:pPr>
        <w:tabs>
          <w:tab w:val="left" w:pos="8505"/>
        </w:tabs>
        <w:spacing w:after="120"/>
        <w:ind w:left="2268" w:right="1134"/>
        <w:jc w:val="both"/>
        <w:rPr>
          <w:rFonts w:asciiTheme="majorBidi" w:hAnsiTheme="majorBidi" w:cstheme="majorBidi"/>
        </w:rPr>
      </w:pPr>
      <w:r w:rsidRPr="00FC4465">
        <w:rPr>
          <w:rFonts w:asciiTheme="majorBidi" w:hAnsiTheme="majorBidi" w:cstheme="majorBidi"/>
        </w:rPr>
        <w:t>Johansson</w:t>
      </w:r>
      <w:r w:rsidR="00626CA4">
        <w:rPr>
          <w:rFonts w:asciiTheme="majorBidi" w:hAnsiTheme="majorBidi" w:cstheme="majorBidi"/>
        </w:rPr>
        <w:t>,</w:t>
      </w:r>
      <w:r w:rsidRPr="00FC4465">
        <w:rPr>
          <w:rFonts w:asciiTheme="majorBidi" w:hAnsiTheme="majorBidi" w:cstheme="majorBidi"/>
        </w:rPr>
        <w:t xml:space="preserve"> H., Rydnert</w:t>
      </w:r>
      <w:r w:rsidR="00626CA4">
        <w:rPr>
          <w:rFonts w:asciiTheme="majorBidi" w:hAnsiTheme="majorBidi" w:cstheme="majorBidi"/>
        </w:rPr>
        <w:t>,</w:t>
      </w:r>
      <w:r w:rsidRPr="00FC4465">
        <w:rPr>
          <w:rFonts w:asciiTheme="majorBidi" w:hAnsiTheme="majorBidi" w:cstheme="majorBidi"/>
        </w:rPr>
        <w:t xml:space="preserve"> F., Kühnl</w:t>
      </w:r>
      <w:r w:rsidR="00626CA4">
        <w:rPr>
          <w:rFonts w:asciiTheme="majorBidi" w:hAnsiTheme="majorBidi" w:cstheme="majorBidi"/>
        </w:rPr>
        <w:t>,</w:t>
      </w:r>
      <w:r w:rsidRPr="00FC4465">
        <w:rPr>
          <w:rFonts w:asciiTheme="majorBidi" w:hAnsiTheme="majorBidi" w:cstheme="majorBidi"/>
        </w:rPr>
        <w:t xml:space="preserve"> J., Schepky</w:t>
      </w:r>
      <w:r w:rsidR="00626CA4">
        <w:rPr>
          <w:rFonts w:asciiTheme="majorBidi" w:hAnsiTheme="majorBidi" w:cstheme="majorBidi"/>
        </w:rPr>
        <w:t>,</w:t>
      </w:r>
      <w:r w:rsidRPr="00FC4465">
        <w:rPr>
          <w:rFonts w:asciiTheme="majorBidi" w:hAnsiTheme="majorBidi" w:cstheme="majorBidi"/>
        </w:rPr>
        <w:t xml:space="preserve"> A., Borrebaeck</w:t>
      </w:r>
      <w:r w:rsidR="00626CA4">
        <w:rPr>
          <w:rFonts w:asciiTheme="majorBidi" w:hAnsiTheme="majorBidi" w:cstheme="majorBidi"/>
        </w:rPr>
        <w:t>,</w:t>
      </w:r>
      <w:r w:rsidRPr="00FC4465">
        <w:rPr>
          <w:rFonts w:asciiTheme="majorBidi" w:hAnsiTheme="majorBidi" w:cstheme="majorBidi"/>
        </w:rPr>
        <w:t xml:space="preserve"> C., Lindstedt</w:t>
      </w:r>
      <w:r w:rsidR="00626CA4">
        <w:rPr>
          <w:rFonts w:asciiTheme="majorBidi" w:hAnsiTheme="majorBidi" w:cstheme="majorBidi"/>
        </w:rPr>
        <w:t>,</w:t>
      </w:r>
      <w:r w:rsidRPr="00FC4465">
        <w:rPr>
          <w:rFonts w:asciiTheme="majorBidi" w:hAnsiTheme="majorBidi" w:cstheme="majorBidi"/>
        </w:rPr>
        <w:t xml:space="preserve"> M. (2014)</w:t>
      </w:r>
      <w:r w:rsidR="00626CA4">
        <w:rPr>
          <w:rFonts w:asciiTheme="majorBidi" w:hAnsiTheme="majorBidi" w:cstheme="majorBidi"/>
        </w:rPr>
        <w:t>.</w:t>
      </w:r>
      <w:r w:rsidRPr="00FC4465">
        <w:rPr>
          <w:rFonts w:asciiTheme="majorBidi" w:hAnsiTheme="majorBidi" w:cstheme="majorBidi"/>
        </w:rPr>
        <w:t xml:space="preserve"> Genomic allergen rapid detection in-house validation – A proof of concept. Toxicol. Sci. 139(2):362- 370. Doi: 10.1093/toxsci/kfu046.</w:t>
      </w:r>
    </w:p>
    <w:p w14:paraId="7210202E" w14:textId="4D3898D3" w:rsidR="00284D49" w:rsidRPr="00FC4465" w:rsidRDefault="00284D49" w:rsidP="00802EA2">
      <w:pPr>
        <w:tabs>
          <w:tab w:val="left" w:pos="8505"/>
        </w:tabs>
        <w:spacing w:after="120"/>
        <w:ind w:left="2268" w:right="1134"/>
        <w:jc w:val="both"/>
        <w:rPr>
          <w:rFonts w:asciiTheme="majorBidi" w:hAnsiTheme="majorBidi" w:cstheme="majorBidi"/>
        </w:rPr>
      </w:pPr>
      <w:r w:rsidRPr="00FC4465">
        <w:rPr>
          <w:rFonts w:asciiTheme="majorBidi" w:hAnsiTheme="majorBidi" w:cstheme="majorBidi"/>
        </w:rPr>
        <w:t>Johansson</w:t>
      </w:r>
      <w:r w:rsidR="00626CA4">
        <w:rPr>
          <w:rFonts w:asciiTheme="majorBidi" w:hAnsiTheme="majorBidi" w:cstheme="majorBidi"/>
        </w:rPr>
        <w:t>,</w:t>
      </w:r>
      <w:r w:rsidRPr="00FC4465">
        <w:rPr>
          <w:rFonts w:asciiTheme="majorBidi" w:hAnsiTheme="majorBidi" w:cstheme="majorBidi"/>
        </w:rPr>
        <w:t xml:space="preserve"> H., Gradin</w:t>
      </w:r>
      <w:r w:rsidR="00626CA4">
        <w:rPr>
          <w:rFonts w:asciiTheme="majorBidi" w:hAnsiTheme="majorBidi" w:cstheme="majorBidi"/>
        </w:rPr>
        <w:t>,</w:t>
      </w:r>
      <w:r w:rsidRPr="00FC4465">
        <w:rPr>
          <w:rFonts w:asciiTheme="majorBidi" w:hAnsiTheme="majorBidi" w:cstheme="majorBidi"/>
        </w:rPr>
        <w:t xml:space="preserve"> R., Forreryd</w:t>
      </w:r>
      <w:r w:rsidR="00626CA4">
        <w:rPr>
          <w:rFonts w:asciiTheme="majorBidi" w:hAnsiTheme="majorBidi" w:cstheme="majorBidi"/>
        </w:rPr>
        <w:t>,</w:t>
      </w:r>
      <w:r w:rsidRPr="00FC4465">
        <w:rPr>
          <w:rFonts w:asciiTheme="majorBidi" w:hAnsiTheme="majorBidi" w:cstheme="majorBidi"/>
        </w:rPr>
        <w:t xml:space="preserve"> A., Agemark</w:t>
      </w:r>
      <w:r w:rsidR="00626CA4">
        <w:rPr>
          <w:rFonts w:asciiTheme="majorBidi" w:hAnsiTheme="majorBidi" w:cstheme="majorBidi"/>
        </w:rPr>
        <w:t>,</w:t>
      </w:r>
      <w:r w:rsidRPr="00FC4465">
        <w:rPr>
          <w:rFonts w:asciiTheme="majorBidi" w:hAnsiTheme="majorBidi" w:cstheme="majorBidi"/>
        </w:rPr>
        <w:t xml:space="preserve"> M., Zeller</w:t>
      </w:r>
      <w:r w:rsidR="00626CA4">
        <w:rPr>
          <w:rFonts w:asciiTheme="majorBidi" w:hAnsiTheme="majorBidi" w:cstheme="majorBidi"/>
        </w:rPr>
        <w:t>,</w:t>
      </w:r>
      <w:r w:rsidRPr="00FC4465">
        <w:rPr>
          <w:rFonts w:asciiTheme="majorBidi" w:hAnsiTheme="majorBidi" w:cstheme="majorBidi"/>
        </w:rPr>
        <w:t xml:space="preserve"> K., Johansson</w:t>
      </w:r>
      <w:r w:rsidR="00626CA4">
        <w:rPr>
          <w:rFonts w:asciiTheme="majorBidi" w:hAnsiTheme="majorBidi" w:cstheme="majorBidi"/>
        </w:rPr>
        <w:t>,</w:t>
      </w:r>
      <w:r w:rsidRPr="00FC4465">
        <w:rPr>
          <w:rFonts w:asciiTheme="majorBidi" w:hAnsiTheme="majorBidi" w:cstheme="majorBidi"/>
        </w:rPr>
        <w:t xml:space="preserve"> A., Larne</w:t>
      </w:r>
      <w:r w:rsidR="00626CA4">
        <w:rPr>
          <w:rFonts w:asciiTheme="majorBidi" w:hAnsiTheme="majorBidi" w:cstheme="majorBidi"/>
        </w:rPr>
        <w:t>,</w:t>
      </w:r>
      <w:r w:rsidRPr="00FC4465">
        <w:rPr>
          <w:rFonts w:asciiTheme="majorBidi" w:hAnsiTheme="majorBidi" w:cstheme="majorBidi"/>
        </w:rPr>
        <w:t xml:space="preserve"> O., van Vliet</w:t>
      </w:r>
      <w:r w:rsidR="00626CA4">
        <w:rPr>
          <w:rFonts w:asciiTheme="majorBidi" w:hAnsiTheme="majorBidi" w:cstheme="majorBidi"/>
        </w:rPr>
        <w:t>,</w:t>
      </w:r>
      <w:r w:rsidRPr="00FC4465">
        <w:rPr>
          <w:rFonts w:asciiTheme="majorBidi" w:hAnsiTheme="majorBidi" w:cstheme="majorBidi"/>
        </w:rPr>
        <w:t xml:space="preserve"> E., Borrebaeck</w:t>
      </w:r>
      <w:r w:rsidR="00626CA4">
        <w:rPr>
          <w:rFonts w:asciiTheme="majorBidi" w:hAnsiTheme="majorBidi" w:cstheme="majorBidi"/>
        </w:rPr>
        <w:t>,</w:t>
      </w:r>
      <w:r w:rsidRPr="00FC4465">
        <w:rPr>
          <w:rFonts w:asciiTheme="majorBidi" w:hAnsiTheme="majorBidi" w:cstheme="majorBidi"/>
        </w:rPr>
        <w:t xml:space="preserve"> C., Lindstedt</w:t>
      </w:r>
      <w:r w:rsidR="00626CA4">
        <w:rPr>
          <w:rFonts w:asciiTheme="majorBidi" w:hAnsiTheme="majorBidi" w:cstheme="majorBidi"/>
        </w:rPr>
        <w:t>,</w:t>
      </w:r>
      <w:r w:rsidRPr="00FC4465">
        <w:rPr>
          <w:rFonts w:asciiTheme="majorBidi" w:hAnsiTheme="majorBidi" w:cstheme="majorBidi"/>
        </w:rPr>
        <w:t xml:space="preserve"> M. (2017)</w:t>
      </w:r>
      <w:r w:rsidR="00626CA4">
        <w:rPr>
          <w:rFonts w:asciiTheme="majorBidi" w:hAnsiTheme="majorBidi" w:cstheme="majorBidi"/>
        </w:rPr>
        <w:t>.</w:t>
      </w:r>
      <w:r w:rsidRPr="00FC4465">
        <w:rPr>
          <w:rFonts w:asciiTheme="majorBidi" w:hAnsiTheme="majorBidi" w:cstheme="majorBidi"/>
        </w:rPr>
        <w:t xml:space="preserve"> Evaluation of the GARD assay in a blind Cosmetics Europe study. ALTEX 34(4):515</w:t>
      </w:r>
      <w:r w:rsidR="002A21D5">
        <w:rPr>
          <w:rFonts w:asciiTheme="majorBidi" w:hAnsiTheme="majorBidi" w:cstheme="majorBidi"/>
        </w:rPr>
        <w:noBreakHyphen/>
      </w:r>
      <w:r w:rsidRPr="00FC4465">
        <w:rPr>
          <w:rFonts w:asciiTheme="majorBidi" w:hAnsiTheme="majorBidi" w:cstheme="majorBidi"/>
        </w:rPr>
        <w:t>523. Doi: 10.14573/altex.1701121</w:t>
      </w:r>
      <w:r w:rsidR="00626CA4">
        <w:rPr>
          <w:rFonts w:asciiTheme="majorBidi" w:hAnsiTheme="majorBidi" w:cstheme="majorBidi"/>
        </w:rPr>
        <w:t>.</w:t>
      </w:r>
    </w:p>
    <w:p w14:paraId="6FAF831D" w14:textId="749FE671" w:rsidR="00284D49" w:rsidRPr="00FC4465" w:rsidRDefault="00284D49" w:rsidP="00802EA2">
      <w:pPr>
        <w:tabs>
          <w:tab w:val="left" w:pos="8505"/>
        </w:tabs>
        <w:spacing w:after="120"/>
        <w:ind w:left="2268" w:right="1134"/>
        <w:jc w:val="both"/>
        <w:rPr>
          <w:rFonts w:asciiTheme="majorBidi" w:hAnsiTheme="majorBidi" w:cstheme="majorBidi"/>
        </w:rPr>
      </w:pPr>
      <w:r w:rsidRPr="00FC4465">
        <w:rPr>
          <w:rFonts w:asciiTheme="majorBidi" w:hAnsiTheme="majorBidi" w:cstheme="majorBidi"/>
        </w:rPr>
        <w:t>Jowsey</w:t>
      </w:r>
      <w:r w:rsidR="00626CA4">
        <w:rPr>
          <w:rFonts w:asciiTheme="majorBidi" w:hAnsiTheme="majorBidi" w:cstheme="majorBidi"/>
        </w:rPr>
        <w:t>,</w:t>
      </w:r>
      <w:r w:rsidRPr="00FC4465">
        <w:rPr>
          <w:rFonts w:asciiTheme="majorBidi" w:hAnsiTheme="majorBidi" w:cstheme="majorBidi"/>
        </w:rPr>
        <w:t xml:space="preserve"> I</w:t>
      </w:r>
      <w:r w:rsidR="00626CA4">
        <w:rPr>
          <w:rFonts w:asciiTheme="majorBidi" w:hAnsiTheme="majorBidi" w:cstheme="majorBidi"/>
        </w:rPr>
        <w:t xml:space="preserve">. </w:t>
      </w:r>
      <w:r w:rsidRPr="00FC4465">
        <w:rPr>
          <w:rFonts w:asciiTheme="majorBidi" w:hAnsiTheme="majorBidi" w:cstheme="majorBidi"/>
        </w:rPr>
        <w:t>R</w:t>
      </w:r>
      <w:r w:rsidR="00626CA4">
        <w:rPr>
          <w:rFonts w:asciiTheme="majorBidi" w:hAnsiTheme="majorBidi" w:cstheme="majorBidi"/>
        </w:rPr>
        <w:t>.</w:t>
      </w:r>
      <w:r w:rsidRPr="00FC4465">
        <w:rPr>
          <w:rFonts w:asciiTheme="majorBidi" w:hAnsiTheme="majorBidi" w:cstheme="majorBidi"/>
        </w:rPr>
        <w:t>, Clapp</w:t>
      </w:r>
      <w:r w:rsidR="00626CA4">
        <w:rPr>
          <w:rFonts w:asciiTheme="majorBidi" w:hAnsiTheme="majorBidi" w:cstheme="majorBidi"/>
        </w:rPr>
        <w:t>,</w:t>
      </w:r>
      <w:r w:rsidRPr="00FC4465">
        <w:rPr>
          <w:rFonts w:asciiTheme="majorBidi" w:hAnsiTheme="majorBidi" w:cstheme="majorBidi"/>
        </w:rPr>
        <w:t xml:space="preserve"> C</w:t>
      </w:r>
      <w:r w:rsidR="00626CA4">
        <w:rPr>
          <w:rFonts w:asciiTheme="majorBidi" w:hAnsiTheme="majorBidi" w:cstheme="majorBidi"/>
        </w:rPr>
        <w:t xml:space="preserve">. </w:t>
      </w:r>
      <w:r w:rsidRPr="00FC4465">
        <w:rPr>
          <w:rFonts w:asciiTheme="majorBidi" w:hAnsiTheme="majorBidi" w:cstheme="majorBidi"/>
        </w:rPr>
        <w:t>J</w:t>
      </w:r>
      <w:r w:rsidR="00626CA4">
        <w:rPr>
          <w:rFonts w:asciiTheme="majorBidi" w:hAnsiTheme="majorBidi" w:cstheme="majorBidi"/>
        </w:rPr>
        <w:t>.</w:t>
      </w:r>
      <w:r w:rsidRPr="00FC4465">
        <w:rPr>
          <w:rFonts w:asciiTheme="majorBidi" w:hAnsiTheme="majorBidi" w:cstheme="majorBidi"/>
        </w:rPr>
        <w:t>, Safford</w:t>
      </w:r>
      <w:r w:rsidR="00626CA4">
        <w:rPr>
          <w:rFonts w:asciiTheme="majorBidi" w:hAnsiTheme="majorBidi" w:cstheme="majorBidi"/>
        </w:rPr>
        <w:t>,</w:t>
      </w:r>
      <w:r w:rsidRPr="00FC4465">
        <w:rPr>
          <w:rFonts w:asciiTheme="majorBidi" w:hAnsiTheme="majorBidi" w:cstheme="majorBidi"/>
        </w:rPr>
        <w:t xml:space="preserve"> B</w:t>
      </w:r>
      <w:r w:rsidR="00626CA4">
        <w:rPr>
          <w:rFonts w:asciiTheme="majorBidi" w:hAnsiTheme="majorBidi" w:cstheme="majorBidi"/>
        </w:rPr>
        <w:t>.</w:t>
      </w:r>
      <w:r w:rsidRPr="00FC4465">
        <w:rPr>
          <w:rFonts w:asciiTheme="majorBidi" w:hAnsiTheme="majorBidi" w:cstheme="majorBidi"/>
        </w:rPr>
        <w:t>, Gibbons</w:t>
      </w:r>
      <w:r w:rsidR="00626CA4">
        <w:rPr>
          <w:rFonts w:asciiTheme="majorBidi" w:hAnsiTheme="majorBidi" w:cstheme="majorBidi"/>
        </w:rPr>
        <w:t>,</w:t>
      </w:r>
      <w:r w:rsidRPr="00FC4465">
        <w:rPr>
          <w:rFonts w:asciiTheme="majorBidi" w:hAnsiTheme="majorBidi" w:cstheme="majorBidi"/>
        </w:rPr>
        <w:t xml:space="preserve"> B</w:t>
      </w:r>
      <w:r w:rsidR="00626CA4">
        <w:rPr>
          <w:rFonts w:asciiTheme="majorBidi" w:hAnsiTheme="majorBidi" w:cstheme="majorBidi"/>
        </w:rPr>
        <w:t>.</w:t>
      </w:r>
      <w:r w:rsidR="00A553AD">
        <w:rPr>
          <w:rFonts w:asciiTheme="majorBidi" w:hAnsiTheme="majorBidi" w:cstheme="majorBidi"/>
        </w:rPr>
        <w:t xml:space="preserve"> </w:t>
      </w:r>
      <w:r w:rsidRPr="00FC4465">
        <w:rPr>
          <w:rFonts w:asciiTheme="majorBidi" w:hAnsiTheme="majorBidi" w:cstheme="majorBidi"/>
        </w:rPr>
        <w:t>T</w:t>
      </w:r>
      <w:r w:rsidR="00626CA4">
        <w:rPr>
          <w:rFonts w:asciiTheme="majorBidi" w:hAnsiTheme="majorBidi" w:cstheme="majorBidi"/>
        </w:rPr>
        <w:t>.</w:t>
      </w:r>
      <w:r w:rsidRPr="00FC4465">
        <w:rPr>
          <w:rFonts w:asciiTheme="majorBidi" w:hAnsiTheme="majorBidi" w:cstheme="majorBidi"/>
        </w:rPr>
        <w:t>, Basketter</w:t>
      </w:r>
      <w:r w:rsidR="00626CA4">
        <w:rPr>
          <w:rFonts w:asciiTheme="majorBidi" w:hAnsiTheme="majorBidi" w:cstheme="majorBidi"/>
        </w:rPr>
        <w:t>,</w:t>
      </w:r>
      <w:r w:rsidRPr="00FC4465">
        <w:rPr>
          <w:rFonts w:asciiTheme="majorBidi" w:hAnsiTheme="majorBidi" w:cstheme="majorBidi"/>
        </w:rPr>
        <w:t xml:space="preserve"> D</w:t>
      </w:r>
      <w:r w:rsidR="00626CA4">
        <w:rPr>
          <w:rFonts w:asciiTheme="majorBidi" w:hAnsiTheme="majorBidi" w:cstheme="majorBidi"/>
        </w:rPr>
        <w:t>.</w:t>
      </w:r>
      <w:r w:rsidR="00A553AD">
        <w:rPr>
          <w:rFonts w:asciiTheme="majorBidi" w:hAnsiTheme="majorBidi" w:cstheme="majorBidi"/>
        </w:rPr>
        <w:t xml:space="preserve"> </w:t>
      </w:r>
      <w:r w:rsidRPr="00FC4465">
        <w:rPr>
          <w:rFonts w:asciiTheme="majorBidi" w:hAnsiTheme="majorBidi" w:cstheme="majorBidi"/>
        </w:rPr>
        <w:t>A. (2008). The impact of vehicle on the relative potency of skin-sensitizing chemicals in the local lymph node assay.</w:t>
      </w:r>
      <w:r w:rsidR="008C5013" w:rsidRPr="00FC4465">
        <w:rPr>
          <w:rFonts w:asciiTheme="majorBidi" w:hAnsiTheme="majorBidi" w:cstheme="majorBidi"/>
        </w:rPr>
        <w:t xml:space="preserve"> </w:t>
      </w:r>
      <w:r w:rsidRPr="00FC4465">
        <w:rPr>
          <w:rFonts w:asciiTheme="majorBidi" w:hAnsiTheme="majorBidi" w:cstheme="majorBidi"/>
        </w:rPr>
        <w:t>Cutan Ocul Toxicol: 27 (2); 67-75. Doi:</w:t>
      </w:r>
      <w:r w:rsidR="002A21D5">
        <w:rPr>
          <w:rFonts w:asciiTheme="majorBidi" w:hAnsiTheme="majorBidi" w:cstheme="majorBidi"/>
        </w:rPr>
        <w:t> </w:t>
      </w:r>
      <w:r w:rsidRPr="00FC4465">
        <w:rPr>
          <w:rFonts w:asciiTheme="majorBidi" w:hAnsiTheme="majorBidi" w:cstheme="majorBidi"/>
        </w:rPr>
        <w:t>10.1080/15569520801904655.</w:t>
      </w:r>
    </w:p>
    <w:p w14:paraId="3B45D9DC" w14:textId="2E744756" w:rsidR="00284D49" w:rsidRPr="00FC4465" w:rsidRDefault="00284D49" w:rsidP="00802EA2">
      <w:pPr>
        <w:tabs>
          <w:tab w:val="left" w:pos="8505"/>
        </w:tabs>
        <w:spacing w:after="120"/>
        <w:ind w:left="2268" w:right="1134"/>
        <w:jc w:val="both"/>
        <w:rPr>
          <w:rFonts w:asciiTheme="majorBidi" w:hAnsiTheme="majorBidi" w:cstheme="majorBidi"/>
        </w:rPr>
      </w:pPr>
      <w:r w:rsidRPr="00FC4465">
        <w:rPr>
          <w:rFonts w:asciiTheme="majorBidi" w:hAnsiTheme="majorBidi" w:cstheme="majorBidi"/>
        </w:rPr>
        <w:t>Kligman</w:t>
      </w:r>
      <w:r w:rsidR="00626CA4">
        <w:rPr>
          <w:rFonts w:asciiTheme="majorBidi" w:hAnsiTheme="majorBidi" w:cstheme="majorBidi"/>
        </w:rPr>
        <w:t>,</w:t>
      </w:r>
      <w:r w:rsidRPr="00FC4465">
        <w:rPr>
          <w:rFonts w:asciiTheme="majorBidi" w:hAnsiTheme="majorBidi" w:cstheme="majorBidi"/>
        </w:rPr>
        <w:t xml:space="preserve"> A.</w:t>
      </w:r>
      <w:r w:rsidR="00156746" w:rsidRPr="00FC4465">
        <w:rPr>
          <w:rFonts w:asciiTheme="majorBidi" w:hAnsiTheme="majorBidi" w:cstheme="majorBidi"/>
        </w:rPr>
        <w:t xml:space="preserve"> </w:t>
      </w:r>
      <w:r w:rsidRPr="00FC4465">
        <w:rPr>
          <w:rFonts w:asciiTheme="majorBidi" w:hAnsiTheme="majorBidi" w:cstheme="majorBidi"/>
        </w:rPr>
        <w:t>M. (1966): The identification of contact allergens by human assay: II. Factors influencing the induction and measurement of allergic contact dermatitis. Journal of Investigative Dermatology 47 (5), 375-392. Doi:</w:t>
      </w:r>
      <w:r w:rsidR="002A21D5">
        <w:rPr>
          <w:rFonts w:asciiTheme="majorBidi" w:hAnsiTheme="majorBidi" w:cstheme="majorBidi"/>
        </w:rPr>
        <w:t> </w:t>
      </w:r>
      <w:r w:rsidRPr="00FC4465">
        <w:rPr>
          <w:rFonts w:asciiTheme="majorBidi" w:hAnsiTheme="majorBidi" w:cstheme="majorBidi"/>
        </w:rPr>
        <w:t>10.1038/jid.1966.159</w:t>
      </w:r>
      <w:r w:rsidR="00626CA4">
        <w:rPr>
          <w:rFonts w:asciiTheme="majorBidi" w:hAnsiTheme="majorBidi" w:cstheme="majorBidi"/>
        </w:rPr>
        <w:t>.</w:t>
      </w:r>
    </w:p>
    <w:p w14:paraId="01C39D2D" w14:textId="730E53D5" w:rsidR="00284D49" w:rsidRPr="00FC4465" w:rsidRDefault="00284D49" w:rsidP="00802EA2">
      <w:pPr>
        <w:tabs>
          <w:tab w:val="left" w:pos="8505"/>
        </w:tabs>
        <w:spacing w:after="120"/>
        <w:ind w:left="2268" w:right="1134"/>
        <w:jc w:val="both"/>
        <w:rPr>
          <w:rFonts w:asciiTheme="majorBidi" w:hAnsiTheme="majorBidi" w:cstheme="majorBidi"/>
        </w:rPr>
      </w:pPr>
      <w:r w:rsidRPr="00FC4465">
        <w:rPr>
          <w:rFonts w:asciiTheme="majorBidi" w:hAnsiTheme="majorBidi" w:cstheme="majorBidi"/>
        </w:rPr>
        <w:t>Kobayashi</w:t>
      </w:r>
      <w:r w:rsidR="00626CA4">
        <w:rPr>
          <w:rFonts w:asciiTheme="majorBidi" w:hAnsiTheme="majorBidi" w:cstheme="majorBidi"/>
        </w:rPr>
        <w:t>,</w:t>
      </w:r>
      <w:r w:rsidRPr="00FC4465">
        <w:rPr>
          <w:rFonts w:asciiTheme="majorBidi" w:hAnsiTheme="majorBidi" w:cstheme="majorBidi"/>
        </w:rPr>
        <w:t xml:space="preserve"> T., Maeda</w:t>
      </w:r>
      <w:r w:rsidR="00626CA4">
        <w:rPr>
          <w:rFonts w:asciiTheme="majorBidi" w:hAnsiTheme="majorBidi" w:cstheme="majorBidi"/>
        </w:rPr>
        <w:t>,</w:t>
      </w:r>
      <w:r w:rsidRPr="00FC4465">
        <w:rPr>
          <w:rFonts w:asciiTheme="majorBidi" w:hAnsiTheme="majorBidi" w:cstheme="majorBidi"/>
        </w:rPr>
        <w:t xml:space="preserve"> Y., Kondo</w:t>
      </w:r>
      <w:r w:rsidR="00626CA4">
        <w:rPr>
          <w:rFonts w:asciiTheme="majorBidi" w:hAnsiTheme="majorBidi" w:cstheme="majorBidi"/>
        </w:rPr>
        <w:t>,</w:t>
      </w:r>
      <w:r w:rsidRPr="00FC4465">
        <w:rPr>
          <w:rFonts w:asciiTheme="majorBidi" w:hAnsiTheme="majorBidi" w:cstheme="majorBidi"/>
        </w:rPr>
        <w:t xml:space="preserve"> H., Takeyoshi</w:t>
      </w:r>
      <w:r w:rsidR="00626CA4">
        <w:rPr>
          <w:rFonts w:asciiTheme="majorBidi" w:hAnsiTheme="majorBidi" w:cstheme="majorBidi"/>
        </w:rPr>
        <w:t>,</w:t>
      </w:r>
      <w:r w:rsidRPr="00FC4465">
        <w:rPr>
          <w:rFonts w:asciiTheme="majorBidi" w:hAnsiTheme="majorBidi" w:cstheme="majorBidi"/>
        </w:rPr>
        <w:t xml:space="preserve"> M. (2020)</w:t>
      </w:r>
      <w:r w:rsidR="00626CA4">
        <w:rPr>
          <w:rFonts w:asciiTheme="majorBidi" w:hAnsiTheme="majorBidi" w:cstheme="majorBidi"/>
        </w:rPr>
        <w:t>.</w:t>
      </w:r>
      <w:r w:rsidRPr="00FC4465">
        <w:rPr>
          <w:rFonts w:asciiTheme="majorBidi" w:hAnsiTheme="majorBidi" w:cstheme="majorBidi"/>
        </w:rPr>
        <w:t xml:space="preserve"> Applicability of the proposed GHS subcategorization criterion for LLNA: BrdU-ELISA (OECD TG442B) to the CBA/J strain mouse. Journal of Applied Toxicology. 40(10):1435-1439</w:t>
      </w:r>
      <w:r w:rsidR="00626CA4">
        <w:rPr>
          <w:rFonts w:asciiTheme="majorBidi" w:hAnsiTheme="majorBidi" w:cstheme="majorBidi"/>
        </w:rPr>
        <w:t>.</w:t>
      </w:r>
    </w:p>
    <w:p w14:paraId="48716911" w14:textId="42FBFE7F" w:rsidR="00284D49" w:rsidRPr="00FC4465" w:rsidRDefault="00284D49" w:rsidP="00802EA2">
      <w:pPr>
        <w:tabs>
          <w:tab w:val="left" w:pos="8505"/>
        </w:tabs>
        <w:spacing w:after="120"/>
        <w:ind w:left="2268" w:right="1134"/>
        <w:jc w:val="both"/>
        <w:rPr>
          <w:rFonts w:asciiTheme="majorBidi" w:hAnsiTheme="majorBidi" w:cstheme="majorBidi"/>
        </w:rPr>
      </w:pPr>
      <w:r w:rsidRPr="00FC4465">
        <w:rPr>
          <w:rFonts w:asciiTheme="majorBidi" w:hAnsiTheme="majorBidi" w:cstheme="majorBidi"/>
        </w:rPr>
        <w:lastRenderedPageBreak/>
        <w:t>Maeda</w:t>
      </w:r>
      <w:r w:rsidR="00626CA4">
        <w:rPr>
          <w:rFonts w:asciiTheme="majorBidi" w:hAnsiTheme="majorBidi" w:cstheme="majorBidi"/>
        </w:rPr>
        <w:t>,</w:t>
      </w:r>
      <w:r w:rsidRPr="00FC4465">
        <w:rPr>
          <w:rFonts w:asciiTheme="majorBidi" w:hAnsiTheme="majorBidi" w:cstheme="majorBidi"/>
        </w:rPr>
        <w:t xml:space="preserve"> Y., Takeyoshi</w:t>
      </w:r>
      <w:r w:rsidR="00626CA4">
        <w:rPr>
          <w:rFonts w:asciiTheme="majorBidi" w:hAnsiTheme="majorBidi" w:cstheme="majorBidi"/>
        </w:rPr>
        <w:t>,</w:t>
      </w:r>
      <w:r w:rsidRPr="00FC4465">
        <w:rPr>
          <w:rFonts w:asciiTheme="majorBidi" w:hAnsiTheme="majorBidi" w:cstheme="majorBidi"/>
        </w:rPr>
        <w:t xml:space="preserve"> M. (2019)</w:t>
      </w:r>
      <w:r w:rsidR="00626CA4">
        <w:rPr>
          <w:rFonts w:asciiTheme="majorBidi" w:hAnsiTheme="majorBidi" w:cstheme="majorBidi"/>
        </w:rPr>
        <w:t>.</w:t>
      </w:r>
      <w:r w:rsidRPr="00FC4465">
        <w:rPr>
          <w:rFonts w:asciiTheme="majorBidi" w:hAnsiTheme="majorBidi" w:cstheme="majorBidi"/>
        </w:rPr>
        <w:t xml:space="preserve"> Proposal of GHS sub-categorization criteria for LLNA: BrdU-ELISA (OECD TG442B). Regulatory Toxicology and Pharmacology. 107:104409.</w:t>
      </w:r>
    </w:p>
    <w:p w14:paraId="41D880FA" w14:textId="585F33AA" w:rsidR="00284D49" w:rsidRPr="00FC4465" w:rsidRDefault="00284D49" w:rsidP="00802EA2">
      <w:pPr>
        <w:tabs>
          <w:tab w:val="left" w:pos="8505"/>
        </w:tabs>
        <w:spacing w:after="120"/>
        <w:ind w:left="2268" w:right="1134"/>
        <w:jc w:val="both"/>
        <w:rPr>
          <w:rFonts w:asciiTheme="majorBidi" w:hAnsiTheme="majorBidi" w:cstheme="majorBidi"/>
        </w:rPr>
      </w:pPr>
      <w:r w:rsidRPr="00FC4465">
        <w:rPr>
          <w:rFonts w:asciiTheme="majorBidi" w:hAnsiTheme="majorBidi" w:cstheme="majorBidi"/>
        </w:rPr>
        <w:t>OECD (2014). The Adverse Outcome Pathway for Skin Sensitisation Initiated by Covalent Binding to Proteins, OECD Series on Testing and Assessment, No. 168, OECD Publishing, Paris. Doi.org/10.1787/9789264221444-en</w:t>
      </w:r>
      <w:r w:rsidR="00626CA4">
        <w:rPr>
          <w:rFonts w:asciiTheme="majorBidi" w:hAnsiTheme="majorBidi" w:cstheme="majorBidi"/>
        </w:rPr>
        <w:t>.</w:t>
      </w:r>
    </w:p>
    <w:p w14:paraId="29D8D276" w14:textId="77777777" w:rsidR="00284D49" w:rsidRPr="00FC4465" w:rsidRDefault="00284D49" w:rsidP="00802EA2">
      <w:pPr>
        <w:spacing w:after="120"/>
        <w:ind w:left="2268" w:right="1134"/>
        <w:jc w:val="both"/>
        <w:rPr>
          <w:rFonts w:asciiTheme="majorBidi" w:hAnsiTheme="majorBidi" w:cstheme="majorBidi"/>
        </w:rPr>
      </w:pPr>
      <w:r w:rsidRPr="00FC4465">
        <w:rPr>
          <w:rFonts w:asciiTheme="majorBidi" w:hAnsiTheme="majorBidi" w:cstheme="majorBidi"/>
        </w:rPr>
        <w:t>OECD (2017), Guidance Document on the Reporting of Defined Approaches and Individual Information Sources to be Used within Integrated Approaches to Testing and Assessment (IATA) for Skin Sensitisation, OECD Series on Testing and Assessment, No. 256, OECD Publishing, Paris. Doi.org/10.1787/9789264279285-en.</w:t>
      </w:r>
    </w:p>
    <w:p w14:paraId="7E0EB1F6" w14:textId="14519653" w:rsidR="00284D49" w:rsidRPr="00FC4465" w:rsidRDefault="00284D49" w:rsidP="00802EA2">
      <w:pPr>
        <w:pStyle w:val="SingleTxtG"/>
        <w:tabs>
          <w:tab w:val="clear" w:pos="1701"/>
        </w:tabs>
        <w:ind w:left="2268"/>
        <w:rPr>
          <w:rFonts w:asciiTheme="majorBidi" w:hAnsiTheme="majorBidi" w:cstheme="majorBidi"/>
        </w:rPr>
      </w:pPr>
      <w:r w:rsidRPr="00FC4465">
        <w:rPr>
          <w:rFonts w:asciiTheme="majorBidi" w:hAnsiTheme="majorBidi" w:cstheme="majorBidi"/>
        </w:rPr>
        <w:t>Ryan</w:t>
      </w:r>
      <w:r w:rsidR="0081508F">
        <w:rPr>
          <w:rFonts w:asciiTheme="majorBidi" w:hAnsiTheme="majorBidi" w:cstheme="majorBidi"/>
        </w:rPr>
        <w:t>,</w:t>
      </w:r>
      <w:r w:rsidRPr="00FC4465">
        <w:rPr>
          <w:rFonts w:asciiTheme="majorBidi" w:hAnsiTheme="majorBidi" w:cstheme="majorBidi"/>
        </w:rPr>
        <w:t xml:space="preserve"> C</w:t>
      </w:r>
      <w:r w:rsidR="0081508F">
        <w:rPr>
          <w:rFonts w:asciiTheme="majorBidi" w:hAnsiTheme="majorBidi" w:cstheme="majorBidi"/>
        </w:rPr>
        <w:t xml:space="preserve">. </w:t>
      </w:r>
      <w:r w:rsidRPr="00FC4465">
        <w:rPr>
          <w:rFonts w:asciiTheme="majorBidi" w:hAnsiTheme="majorBidi" w:cstheme="majorBidi"/>
        </w:rPr>
        <w:t>A</w:t>
      </w:r>
      <w:r w:rsidR="0081508F">
        <w:rPr>
          <w:rFonts w:asciiTheme="majorBidi" w:hAnsiTheme="majorBidi" w:cstheme="majorBidi"/>
        </w:rPr>
        <w:t>.</w:t>
      </w:r>
      <w:r w:rsidRPr="00FC4465">
        <w:rPr>
          <w:rFonts w:asciiTheme="majorBidi" w:hAnsiTheme="majorBidi" w:cstheme="majorBidi"/>
        </w:rPr>
        <w:t xml:space="preserve"> y otros (2007): Extrapolating local lymph node assay EC3 values to estimate relative sensitizing potency. Cutan Ocul Toxicol 26(2), 135-45.</w:t>
      </w:r>
    </w:p>
    <w:p w14:paraId="14CE13F2" w14:textId="0B7FE3EA" w:rsidR="00284D49" w:rsidRPr="00FC4465" w:rsidRDefault="00284D49" w:rsidP="00802EA2">
      <w:pPr>
        <w:spacing w:after="120"/>
        <w:ind w:left="2268" w:right="1134"/>
        <w:jc w:val="both"/>
        <w:rPr>
          <w:rFonts w:asciiTheme="majorBidi" w:hAnsiTheme="majorBidi" w:cstheme="majorBidi"/>
        </w:rPr>
      </w:pPr>
      <w:r w:rsidRPr="00FC4465">
        <w:rPr>
          <w:rFonts w:asciiTheme="majorBidi" w:hAnsiTheme="majorBidi" w:cstheme="majorBidi"/>
        </w:rPr>
        <w:t>Saito</w:t>
      </w:r>
      <w:r w:rsidR="00626CA4">
        <w:rPr>
          <w:rFonts w:asciiTheme="majorBidi" w:hAnsiTheme="majorBidi" w:cstheme="majorBidi"/>
        </w:rPr>
        <w:t>,</w:t>
      </w:r>
      <w:r w:rsidRPr="00FC4465">
        <w:rPr>
          <w:rFonts w:asciiTheme="majorBidi" w:hAnsiTheme="majorBidi" w:cstheme="majorBidi"/>
        </w:rPr>
        <w:t xml:space="preserve"> K</w:t>
      </w:r>
      <w:r w:rsidR="00626CA4">
        <w:rPr>
          <w:rFonts w:asciiTheme="majorBidi" w:hAnsiTheme="majorBidi" w:cstheme="majorBidi"/>
        </w:rPr>
        <w:t>.</w:t>
      </w:r>
      <w:r w:rsidRPr="00FC4465">
        <w:rPr>
          <w:rFonts w:asciiTheme="majorBidi" w:hAnsiTheme="majorBidi" w:cstheme="majorBidi"/>
        </w:rPr>
        <w:t>, Takenouchi</w:t>
      </w:r>
      <w:r w:rsidR="00626CA4">
        <w:rPr>
          <w:rFonts w:asciiTheme="majorBidi" w:hAnsiTheme="majorBidi" w:cstheme="majorBidi"/>
        </w:rPr>
        <w:t>,</w:t>
      </w:r>
      <w:r w:rsidRPr="00FC4465">
        <w:rPr>
          <w:rFonts w:asciiTheme="majorBidi" w:hAnsiTheme="majorBidi" w:cstheme="majorBidi"/>
        </w:rPr>
        <w:t xml:space="preserve"> O</w:t>
      </w:r>
      <w:r w:rsidR="00626CA4">
        <w:rPr>
          <w:rFonts w:asciiTheme="majorBidi" w:hAnsiTheme="majorBidi" w:cstheme="majorBidi"/>
        </w:rPr>
        <w:t>.</w:t>
      </w:r>
      <w:r w:rsidRPr="00FC4465">
        <w:rPr>
          <w:rFonts w:asciiTheme="majorBidi" w:hAnsiTheme="majorBidi" w:cstheme="majorBidi"/>
        </w:rPr>
        <w:t>, Nukada</w:t>
      </w:r>
      <w:r w:rsidR="00626CA4">
        <w:rPr>
          <w:rFonts w:asciiTheme="majorBidi" w:hAnsiTheme="majorBidi" w:cstheme="majorBidi"/>
        </w:rPr>
        <w:t>,</w:t>
      </w:r>
      <w:r w:rsidRPr="00FC4465">
        <w:rPr>
          <w:rFonts w:asciiTheme="majorBidi" w:hAnsiTheme="majorBidi" w:cstheme="majorBidi"/>
        </w:rPr>
        <w:t xml:space="preserve"> Y</w:t>
      </w:r>
      <w:r w:rsidR="00626CA4">
        <w:rPr>
          <w:rFonts w:asciiTheme="majorBidi" w:hAnsiTheme="majorBidi" w:cstheme="majorBidi"/>
        </w:rPr>
        <w:t>.</w:t>
      </w:r>
      <w:r w:rsidRPr="00FC4465">
        <w:rPr>
          <w:rFonts w:asciiTheme="majorBidi" w:hAnsiTheme="majorBidi" w:cstheme="majorBidi"/>
        </w:rPr>
        <w:t>, Miyazawa</w:t>
      </w:r>
      <w:r w:rsidR="00626CA4">
        <w:rPr>
          <w:rFonts w:asciiTheme="majorBidi" w:hAnsiTheme="majorBidi" w:cstheme="majorBidi"/>
        </w:rPr>
        <w:t>,</w:t>
      </w:r>
      <w:r w:rsidRPr="00FC4465">
        <w:rPr>
          <w:rFonts w:asciiTheme="majorBidi" w:hAnsiTheme="majorBidi" w:cstheme="majorBidi"/>
        </w:rPr>
        <w:t xml:space="preserve"> M</w:t>
      </w:r>
      <w:r w:rsidR="00626CA4">
        <w:rPr>
          <w:rFonts w:asciiTheme="majorBidi" w:hAnsiTheme="majorBidi" w:cstheme="majorBidi"/>
        </w:rPr>
        <w:t>.</w:t>
      </w:r>
      <w:r w:rsidRPr="00FC4465">
        <w:rPr>
          <w:rFonts w:asciiTheme="majorBidi" w:hAnsiTheme="majorBidi" w:cstheme="majorBidi"/>
        </w:rPr>
        <w:t>, Sakaguchi</w:t>
      </w:r>
      <w:r w:rsidR="00626CA4">
        <w:rPr>
          <w:rFonts w:asciiTheme="majorBidi" w:hAnsiTheme="majorBidi" w:cstheme="majorBidi"/>
        </w:rPr>
        <w:t>,</w:t>
      </w:r>
      <w:r w:rsidRPr="00FC4465">
        <w:rPr>
          <w:rFonts w:asciiTheme="majorBidi" w:hAnsiTheme="majorBidi" w:cstheme="majorBidi"/>
        </w:rPr>
        <w:t xml:space="preserve"> H. </w:t>
      </w:r>
      <w:hyperlink r:id="rId48" w:history="1">
        <w:r w:rsidRPr="00FC4465">
          <w:rPr>
            <w:rFonts w:asciiTheme="majorBidi" w:hAnsiTheme="majorBidi" w:cstheme="majorBidi"/>
          </w:rPr>
          <w:t xml:space="preserve">An </w:t>
        </w:r>
        <w:r w:rsidR="00762E66">
          <w:rPr>
            <w:rFonts w:asciiTheme="majorBidi" w:hAnsiTheme="majorBidi" w:cstheme="majorBidi"/>
          </w:rPr>
          <w:t>in vitro</w:t>
        </w:r>
        <w:r w:rsidRPr="00FC4465">
          <w:rPr>
            <w:rFonts w:asciiTheme="majorBidi" w:hAnsiTheme="majorBidi" w:cstheme="majorBidi"/>
          </w:rPr>
          <w:t xml:space="preserve"> skin sensitization assay termed EpiSensA for broad sets of chemicals including lipophilic chemicals and pre/pro-haptens.</w:t>
        </w:r>
      </w:hyperlink>
      <w:r w:rsidRPr="00FC4465">
        <w:rPr>
          <w:rFonts w:asciiTheme="majorBidi" w:hAnsiTheme="majorBidi" w:cstheme="majorBidi"/>
        </w:rPr>
        <w:t xml:space="preserve"> Toxicol </w:t>
      </w:r>
      <w:r w:rsidR="00762E66">
        <w:rPr>
          <w:rFonts w:asciiTheme="majorBidi" w:hAnsiTheme="majorBidi" w:cstheme="majorBidi"/>
        </w:rPr>
        <w:t>In vitro</w:t>
      </w:r>
      <w:r w:rsidRPr="00FC4465">
        <w:rPr>
          <w:rFonts w:asciiTheme="majorBidi" w:hAnsiTheme="majorBidi" w:cstheme="majorBidi"/>
        </w:rPr>
        <w:t xml:space="preserve">. 2017 Apr;40:11-25. Doi: 10.1016/j.tiv.2016.12.005. </w:t>
      </w:r>
    </w:p>
    <w:p w14:paraId="40DFDBD8" w14:textId="1409E4B0" w:rsidR="00284D49" w:rsidRPr="00FC4465" w:rsidRDefault="00284D49" w:rsidP="00802EA2">
      <w:pPr>
        <w:spacing w:after="120"/>
        <w:ind w:left="2268" w:right="1134"/>
        <w:jc w:val="both"/>
        <w:rPr>
          <w:rFonts w:asciiTheme="majorBidi" w:hAnsiTheme="majorBidi" w:cstheme="majorBidi"/>
        </w:rPr>
      </w:pPr>
      <w:r w:rsidRPr="00FC4465">
        <w:rPr>
          <w:rFonts w:asciiTheme="majorBidi" w:hAnsiTheme="majorBidi" w:cstheme="majorBidi"/>
        </w:rPr>
        <w:t>Wright</w:t>
      </w:r>
      <w:r w:rsidR="00626CA4">
        <w:rPr>
          <w:rFonts w:asciiTheme="majorBidi" w:hAnsiTheme="majorBidi" w:cstheme="majorBidi"/>
        </w:rPr>
        <w:t>,</w:t>
      </w:r>
      <w:r w:rsidRPr="00FC4465">
        <w:rPr>
          <w:rFonts w:asciiTheme="majorBidi" w:hAnsiTheme="majorBidi" w:cstheme="majorBidi"/>
        </w:rPr>
        <w:t xml:space="preserve"> Z</w:t>
      </w:r>
      <w:r w:rsidR="00626CA4">
        <w:rPr>
          <w:rFonts w:asciiTheme="majorBidi" w:hAnsiTheme="majorBidi" w:cstheme="majorBidi"/>
        </w:rPr>
        <w:t xml:space="preserve">. </w:t>
      </w:r>
      <w:r w:rsidRPr="00FC4465">
        <w:rPr>
          <w:rFonts w:asciiTheme="majorBidi" w:hAnsiTheme="majorBidi" w:cstheme="majorBidi"/>
        </w:rPr>
        <w:t>M</w:t>
      </w:r>
      <w:r w:rsidR="00626CA4">
        <w:rPr>
          <w:rFonts w:asciiTheme="majorBidi" w:hAnsiTheme="majorBidi" w:cstheme="majorBidi"/>
        </w:rPr>
        <w:t>.</w:t>
      </w:r>
      <w:r w:rsidRPr="00FC4465">
        <w:rPr>
          <w:rFonts w:asciiTheme="majorBidi" w:hAnsiTheme="majorBidi" w:cstheme="majorBidi"/>
        </w:rPr>
        <w:t>, Basketter</w:t>
      </w:r>
      <w:r w:rsidR="00626CA4">
        <w:rPr>
          <w:rFonts w:asciiTheme="majorBidi" w:hAnsiTheme="majorBidi" w:cstheme="majorBidi"/>
        </w:rPr>
        <w:t>,</w:t>
      </w:r>
      <w:r w:rsidRPr="00FC4465">
        <w:rPr>
          <w:rFonts w:asciiTheme="majorBidi" w:hAnsiTheme="majorBidi" w:cstheme="majorBidi"/>
        </w:rPr>
        <w:t xml:space="preserve"> P</w:t>
      </w:r>
      <w:r w:rsidR="00626CA4">
        <w:rPr>
          <w:rFonts w:asciiTheme="majorBidi" w:hAnsiTheme="majorBidi" w:cstheme="majorBidi"/>
        </w:rPr>
        <w:t>.</w:t>
      </w:r>
      <w:r w:rsidRPr="00FC4465">
        <w:rPr>
          <w:rFonts w:asciiTheme="majorBidi" w:hAnsiTheme="majorBidi" w:cstheme="majorBidi"/>
        </w:rPr>
        <w:t>A</w:t>
      </w:r>
      <w:r w:rsidR="00626CA4">
        <w:rPr>
          <w:rFonts w:asciiTheme="majorBidi" w:hAnsiTheme="majorBidi" w:cstheme="majorBidi"/>
        </w:rPr>
        <w:t>.</w:t>
      </w:r>
      <w:r w:rsidRPr="00FC4465">
        <w:rPr>
          <w:rFonts w:asciiTheme="majorBidi" w:hAnsiTheme="majorBidi" w:cstheme="majorBidi"/>
        </w:rPr>
        <w:t>, Blaikie</w:t>
      </w:r>
      <w:r w:rsidR="00626CA4">
        <w:rPr>
          <w:rFonts w:asciiTheme="majorBidi" w:hAnsiTheme="majorBidi" w:cstheme="majorBidi"/>
        </w:rPr>
        <w:t>,</w:t>
      </w:r>
      <w:r w:rsidRPr="00FC4465">
        <w:rPr>
          <w:rFonts w:asciiTheme="majorBidi" w:hAnsiTheme="majorBidi" w:cstheme="majorBidi"/>
        </w:rPr>
        <w:t xml:space="preserve"> L</w:t>
      </w:r>
      <w:r w:rsidR="00626CA4">
        <w:rPr>
          <w:rFonts w:asciiTheme="majorBidi" w:hAnsiTheme="majorBidi" w:cstheme="majorBidi"/>
        </w:rPr>
        <w:t>.</w:t>
      </w:r>
      <w:r w:rsidRPr="00FC4465">
        <w:rPr>
          <w:rFonts w:asciiTheme="majorBidi" w:hAnsiTheme="majorBidi" w:cstheme="majorBidi"/>
        </w:rPr>
        <w:t>, Cooper</w:t>
      </w:r>
      <w:r w:rsidR="00626CA4">
        <w:rPr>
          <w:rFonts w:asciiTheme="majorBidi" w:hAnsiTheme="majorBidi" w:cstheme="majorBidi"/>
        </w:rPr>
        <w:t>,</w:t>
      </w:r>
      <w:r w:rsidRPr="00FC4465">
        <w:rPr>
          <w:rFonts w:asciiTheme="majorBidi" w:hAnsiTheme="majorBidi" w:cstheme="majorBidi"/>
        </w:rPr>
        <w:t xml:space="preserve"> K</w:t>
      </w:r>
      <w:r w:rsidR="00626CA4">
        <w:rPr>
          <w:rFonts w:asciiTheme="majorBidi" w:hAnsiTheme="majorBidi" w:cstheme="majorBidi"/>
        </w:rPr>
        <w:t>.</w:t>
      </w:r>
      <w:r w:rsidR="00A553AD">
        <w:rPr>
          <w:rFonts w:asciiTheme="majorBidi" w:hAnsiTheme="majorBidi" w:cstheme="majorBidi"/>
        </w:rPr>
        <w:t xml:space="preserve"> </w:t>
      </w:r>
      <w:r w:rsidRPr="00FC4465">
        <w:rPr>
          <w:rFonts w:asciiTheme="majorBidi" w:hAnsiTheme="majorBidi" w:cstheme="majorBidi"/>
        </w:rPr>
        <w:t>J</w:t>
      </w:r>
      <w:r w:rsidR="00626CA4">
        <w:rPr>
          <w:rFonts w:asciiTheme="majorBidi" w:hAnsiTheme="majorBidi" w:cstheme="majorBidi"/>
        </w:rPr>
        <w:t>.</w:t>
      </w:r>
      <w:r w:rsidRPr="00FC4465">
        <w:rPr>
          <w:rFonts w:asciiTheme="majorBidi" w:hAnsiTheme="majorBidi" w:cstheme="majorBidi"/>
        </w:rPr>
        <w:t>, Warbrick</w:t>
      </w:r>
      <w:r w:rsidR="00626CA4">
        <w:rPr>
          <w:rFonts w:asciiTheme="majorBidi" w:hAnsiTheme="majorBidi" w:cstheme="majorBidi"/>
        </w:rPr>
        <w:t>,</w:t>
      </w:r>
      <w:r w:rsidRPr="00FC4465">
        <w:rPr>
          <w:rFonts w:asciiTheme="majorBidi" w:hAnsiTheme="majorBidi" w:cstheme="majorBidi"/>
        </w:rPr>
        <w:t xml:space="preserve"> E</w:t>
      </w:r>
      <w:r w:rsidR="00626CA4">
        <w:rPr>
          <w:rFonts w:asciiTheme="majorBidi" w:hAnsiTheme="majorBidi" w:cstheme="majorBidi"/>
        </w:rPr>
        <w:t>.</w:t>
      </w:r>
      <w:r w:rsidR="00A553AD">
        <w:rPr>
          <w:rFonts w:asciiTheme="majorBidi" w:hAnsiTheme="majorBidi" w:cstheme="majorBidi"/>
        </w:rPr>
        <w:t xml:space="preserve"> </w:t>
      </w:r>
      <w:r w:rsidRPr="00FC4465">
        <w:rPr>
          <w:rFonts w:asciiTheme="majorBidi" w:hAnsiTheme="majorBidi" w:cstheme="majorBidi"/>
        </w:rPr>
        <w:t>V</w:t>
      </w:r>
      <w:r w:rsidR="00626CA4">
        <w:rPr>
          <w:rFonts w:asciiTheme="majorBidi" w:hAnsiTheme="majorBidi" w:cstheme="majorBidi"/>
        </w:rPr>
        <w:t>.</w:t>
      </w:r>
      <w:r w:rsidRPr="00FC4465">
        <w:rPr>
          <w:rFonts w:asciiTheme="majorBidi" w:hAnsiTheme="majorBidi" w:cstheme="majorBidi"/>
        </w:rPr>
        <w:t>, Dearman</w:t>
      </w:r>
      <w:r w:rsidR="00626CA4">
        <w:rPr>
          <w:rFonts w:asciiTheme="majorBidi" w:hAnsiTheme="majorBidi" w:cstheme="majorBidi"/>
        </w:rPr>
        <w:t>,</w:t>
      </w:r>
      <w:r w:rsidRPr="00FC4465">
        <w:rPr>
          <w:rFonts w:asciiTheme="majorBidi" w:hAnsiTheme="majorBidi" w:cstheme="majorBidi"/>
        </w:rPr>
        <w:t xml:space="preserve"> R</w:t>
      </w:r>
      <w:r w:rsidR="00626CA4">
        <w:rPr>
          <w:rFonts w:asciiTheme="majorBidi" w:hAnsiTheme="majorBidi" w:cstheme="majorBidi"/>
        </w:rPr>
        <w:t>.</w:t>
      </w:r>
      <w:r w:rsidR="00A553AD">
        <w:rPr>
          <w:rFonts w:asciiTheme="majorBidi" w:hAnsiTheme="majorBidi" w:cstheme="majorBidi"/>
        </w:rPr>
        <w:t xml:space="preserve"> </w:t>
      </w:r>
      <w:r w:rsidRPr="00FC4465">
        <w:rPr>
          <w:rFonts w:asciiTheme="majorBidi" w:hAnsiTheme="majorBidi" w:cstheme="majorBidi"/>
        </w:rPr>
        <w:t>J</w:t>
      </w:r>
      <w:r w:rsidR="00626CA4">
        <w:rPr>
          <w:rFonts w:asciiTheme="majorBidi" w:hAnsiTheme="majorBidi" w:cstheme="majorBidi"/>
        </w:rPr>
        <w:t>.</w:t>
      </w:r>
      <w:r w:rsidRPr="00FC4465">
        <w:rPr>
          <w:rFonts w:asciiTheme="majorBidi" w:hAnsiTheme="majorBidi" w:cstheme="majorBidi"/>
        </w:rPr>
        <w:t>, Kimber</w:t>
      </w:r>
      <w:r w:rsidR="00626CA4">
        <w:rPr>
          <w:rFonts w:asciiTheme="majorBidi" w:hAnsiTheme="majorBidi" w:cstheme="majorBidi"/>
        </w:rPr>
        <w:t>,</w:t>
      </w:r>
      <w:r w:rsidRPr="00FC4465">
        <w:rPr>
          <w:rFonts w:asciiTheme="majorBidi" w:hAnsiTheme="majorBidi" w:cstheme="majorBidi"/>
        </w:rPr>
        <w:t xml:space="preserve"> I. Vehicle effects on skin sensitizing potency of four chemicals: assessment using the local lymph node assay. Int J Cosmet Sci.</w:t>
      </w:r>
      <w:r w:rsidR="002A21D5">
        <w:rPr>
          <w:rFonts w:asciiTheme="majorBidi" w:hAnsiTheme="majorBidi" w:cstheme="majorBidi"/>
        </w:rPr>
        <w:t> </w:t>
      </w:r>
      <w:r w:rsidRPr="00FC4465">
        <w:rPr>
          <w:rFonts w:asciiTheme="majorBidi" w:hAnsiTheme="majorBidi" w:cstheme="majorBidi"/>
        </w:rPr>
        <w:t xml:space="preserve">2001 Apr;23(2):75-83. Doi: 10.1046/j.1467-2494.2001.00066.x. </w:t>
      </w:r>
    </w:p>
    <w:p w14:paraId="6701B865" w14:textId="2868EF49" w:rsidR="00284D49" w:rsidRPr="00FC4465" w:rsidRDefault="00284D49" w:rsidP="00802EA2">
      <w:pPr>
        <w:spacing w:after="120"/>
        <w:ind w:left="2268" w:right="1134"/>
        <w:jc w:val="both"/>
        <w:rPr>
          <w:rFonts w:asciiTheme="majorBidi" w:hAnsiTheme="majorBidi" w:cstheme="majorBidi"/>
        </w:rPr>
      </w:pPr>
      <w:r w:rsidRPr="00FC4465">
        <w:rPr>
          <w:rFonts w:asciiTheme="majorBidi" w:hAnsiTheme="majorBidi" w:cstheme="majorBidi"/>
        </w:rPr>
        <w:t>Zeller</w:t>
      </w:r>
      <w:r w:rsidR="00626CA4">
        <w:rPr>
          <w:rFonts w:asciiTheme="majorBidi" w:hAnsiTheme="majorBidi" w:cstheme="majorBidi"/>
        </w:rPr>
        <w:t>,</w:t>
      </w:r>
      <w:r w:rsidRPr="00FC4465">
        <w:rPr>
          <w:rFonts w:asciiTheme="majorBidi" w:hAnsiTheme="majorBidi" w:cstheme="majorBidi"/>
        </w:rPr>
        <w:t xml:space="preserve"> K.</w:t>
      </w:r>
      <w:r w:rsidR="00156746" w:rsidRPr="00FC4465">
        <w:rPr>
          <w:rFonts w:asciiTheme="majorBidi" w:hAnsiTheme="majorBidi" w:cstheme="majorBidi"/>
        </w:rPr>
        <w:t xml:space="preserve"> </w:t>
      </w:r>
      <w:r w:rsidRPr="00FC4465">
        <w:rPr>
          <w:rFonts w:asciiTheme="majorBidi" w:hAnsiTheme="majorBidi" w:cstheme="majorBidi"/>
        </w:rPr>
        <w:t>S., Forreryd</w:t>
      </w:r>
      <w:r w:rsidR="00626CA4">
        <w:rPr>
          <w:rFonts w:asciiTheme="majorBidi" w:hAnsiTheme="majorBidi" w:cstheme="majorBidi"/>
        </w:rPr>
        <w:t>,</w:t>
      </w:r>
      <w:r w:rsidRPr="00FC4465">
        <w:rPr>
          <w:rFonts w:asciiTheme="majorBidi" w:hAnsiTheme="majorBidi" w:cstheme="majorBidi"/>
        </w:rPr>
        <w:t xml:space="preserve"> A., Lindberg</w:t>
      </w:r>
      <w:r w:rsidR="00626CA4">
        <w:rPr>
          <w:rFonts w:asciiTheme="majorBidi" w:hAnsiTheme="majorBidi" w:cstheme="majorBidi"/>
        </w:rPr>
        <w:t>,</w:t>
      </w:r>
      <w:r w:rsidRPr="00FC4465">
        <w:rPr>
          <w:rFonts w:asciiTheme="majorBidi" w:hAnsiTheme="majorBidi" w:cstheme="majorBidi"/>
        </w:rPr>
        <w:t xml:space="preserve"> T., Gradin</w:t>
      </w:r>
      <w:r w:rsidR="00626CA4">
        <w:rPr>
          <w:rFonts w:asciiTheme="majorBidi" w:hAnsiTheme="majorBidi" w:cstheme="majorBidi"/>
        </w:rPr>
        <w:t>,</w:t>
      </w:r>
      <w:r w:rsidRPr="00FC4465">
        <w:rPr>
          <w:rFonts w:asciiTheme="majorBidi" w:hAnsiTheme="majorBidi" w:cstheme="majorBidi"/>
        </w:rPr>
        <w:t xml:space="preserve"> R., Chawade</w:t>
      </w:r>
      <w:r w:rsidR="00626CA4">
        <w:rPr>
          <w:rFonts w:asciiTheme="majorBidi" w:hAnsiTheme="majorBidi" w:cstheme="majorBidi"/>
        </w:rPr>
        <w:t>,</w:t>
      </w:r>
      <w:r w:rsidRPr="00FC4465">
        <w:rPr>
          <w:rFonts w:asciiTheme="majorBidi" w:hAnsiTheme="majorBidi" w:cstheme="majorBidi"/>
        </w:rPr>
        <w:t xml:space="preserve"> A., Lindstedt</w:t>
      </w:r>
      <w:r w:rsidR="00626CA4">
        <w:rPr>
          <w:rFonts w:asciiTheme="majorBidi" w:hAnsiTheme="majorBidi" w:cstheme="majorBidi"/>
        </w:rPr>
        <w:t>,</w:t>
      </w:r>
      <w:r w:rsidRPr="00FC4465">
        <w:rPr>
          <w:rFonts w:asciiTheme="majorBidi" w:hAnsiTheme="majorBidi" w:cstheme="majorBidi"/>
        </w:rPr>
        <w:t xml:space="preserve"> M. (2017)</w:t>
      </w:r>
      <w:r w:rsidR="00626CA4">
        <w:rPr>
          <w:rFonts w:asciiTheme="majorBidi" w:hAnsiTheme="majorBidi" w:cstheme="majorBidi"/>
        </w:rPr>
        <w:t>.</w:t>
      </w:r>
      <w:r w:rsidRPr="00FC4465">
        <w:rPr>
          <w:rFonts w:asciiTheme="majorBidi" w:hAnsiTheme="majorBidi" w:cstheme="majorBidi"/>
        </w:rPr>
        <w:t xml:space="preserve"> The GARD platform for potency assessment of skin sensitizing chemicals. ALTEX 34(4):539-559. Doi: 10.14573/altex.1701101.</w:t>
      </w:r>
      <w:r w:rsidR="008C5013" w:rsidRPr="00FC4465">
        <w:rPr>
          <w:rFonts w:asciiTheme="majorBidi" w:hAnsiTheme="majorBidi" w:cstheme="majorBidi"/>
        </w:rPr>
        <w:t>”</w:t>
      </w:r>
      <w:r w:rsidRPr="00FC4465">
        <w:rPr>
          <w:rFonts w:asciiTheme="majorBidi" w:hAnsiTheme="majorBidi" w:cstheme="majorBidi"/>
        </w:rPr>
        <w:t>.</w:t>
      </w:r>
    </w:p>
    <w:bookmarkEnd w:id="16"/>
    <w:p w14:paraId="480BED1B" w14:textId="77777777" w:rsidR="00284D49" w:rsidRPr="00FC4465" w:rsidRDefault="00284D49" w:rsidP="00802EA2">
      <w:pPr>
        <w:pStyle w:val="H1G"/>
      </w:pPr>
      <w:r w:rsidRPr="00FC4465">
        <w:tab/>
      </w:r>
      <w:r w:rsidRPr="00FC4465">
        <w:tab/>
        <w:t>Capítulo 3.5</w:t>
      </w:r>
    </w:p>
    <w:p w14:paraId="0C940CAA" w14:textId="77777777" w:rsidR="00284D49" w:rsidRPr="00FC4465" w:rsidRDefault="00284D49" w:rsidP="00284D49">
      <w:pPr>
        <w:pStyle w:val="SingleTxtG"/>
        <w:tabs>
          <w:tab w:val="clear" w:pos="1701"/>
        </w:tabs>
        <w:rPr>
          <w:rFonts w:asciiTheme="majorBidi" w:hAnsiTheme="majorBidi" w:cstheme="majorBidi"/>
        </w:rPr>
      </w:pPr>
      <w:r w:rsidRPr="00FC4465">
        <w:rPr>
          <w:rFonts w:asciiTheme="majorBidi" w:hAnsiTheme="majorBidi" w:cstheme="majorBidi"/>
        </w:rPr>
        <w:t>3.5.3.2.4</w:t>
      </w:r>
      <w:r w:rsidRPr="00FC4465">
        <w:rPr>
          <w:rFonts w:asciiTheme="majorBidi" w:hAnsiTheme="majorBidi" w:cstheme="majorBidi"/>
        </w:rPr>
        <w:tab/>
        <w:t>La modificación no se aplica al texto en español.</w:t>
      </w:r>
    </w:p>
    <w:p w14:paraId="26B67FCB" w14:textId="5188F23D" w:rsidR="00284D49" w:rsidRPr="00FC4465" w:rsidRDefault="00284D49" w:rsidP="00284D49">
      <w:pPr>
        <w:pStyle w:val="SingleTxtG"/>
        <w:tabs>
          <w:tab w:val="clear" w:pos="1701"/>
        </w:tabs>
        <w:ind w:left="2268" w:hanging="1134"/>
        <w:rPr>
          <w:rFonts w:asciiTheme="majorBidi" w:hAnsiTheme="majorBidi" w:cstheme="majorBidi"/>
        </w:rPr>
      </w:pPr>
      <w:r w:rsidRPr="00FC4465">
        <w:rPr>
          <w:rFonts w:asciiTheme="majorBidi" w:hAnsiTheme="majorBidi" w:cstheme="majorBidi"/>
        </w:rPr>
        <w:t>3.5.4</w:t>
      </w:r>
      <w:r w:rsidRPr="00FC4465">
        <w:rPr>
          <w:rFonts w:asciiTheme="majorBidi" w:hAnsiTheme="majorBidi" w:cstheme="majorBidi"/>
        </w:rPr>
        <w:tab/>
        <w:t xml:space="preserve">Modifíquese la última oración del párrafo para que diga: </w:t>
      </w:r>
      <w:r w:rsidR="008C5013" w:rsidRPr="00FC4465">
        <w:rPr>
          <w:rFonts w:asciiTheme="majorBidi" w:hAnsiTheme="majorBidi" w:cstheme="majorBidi"/>
        </w:rPr>
        <w:t>“</w:t>
      </w:r>
      <w:r w:rsidRPr="00FC4465">
        <w:rPr>
          <w:rFonts w:asciiTheme="majorBidi" w:hAnsiTheme="majorBidi" w:cstheme="majorBidi"/>
        </w:rPr>
        <w:t>La tabla 3.5.2 presenta los elementos específicos que deben figurar en las etiquetas de las sustancias y mezclas clasificadas en esta clase de peligro con arreglo a los criterios indicados en el presente capítulo.</w:t>
      </w:r>
      <w:r w:rsidR="008C5013" w:rsidRPr="00FC4465">
        <w:rPr>
          <w:rFonts w:asciiTheme="majorBidi" w:hAnsiTheme="majorBidi" w:cstheme="majorBidi"/>
        </w:rPr>
        <w:t>”</w:t>
      </w:r>
      <w:r w:rsidR="002A6B6E">
        <w:rPr>
          <w:rFonts w:asciiTheme="majorBidi" w:hAnsiTheme="majorBidi" w:cstheme="majorBidi"/>
        </w:rPr>
        <w:t>.</w:t>
      </w:r>
    </w:p>
    <w:p w14:paraId="425164C4" w14:textId="53127AE7" w:rsidR="00284D49" w:rsidRPr="00FC4465" w:rsidRDefault="00284D49" w:rsidP="00284D49">
      <w:pPr>
        <w:pStyle w:val="SingleTxtG"/>
        <w:tabs>
          <w:tab w:val="clear" w:pos="1701"/>
        </w:tabs>
        <w:ind w:left="2268" w:hanging="1134"/>
        <w:rPr>
          <w:rFonts w:asciiTheme="majorBidi" w:hAnsiTheme="majorBidi" w:cstheme="majorBidi"/>
        </w:rPr>
      </w:pPr>
      <w:r w:rsidRPr="00FC4465">
        <w:rPr>
          <w:rFonts w:asciiTheme="majorBidi" w:hAnsiTheme="majorBidi" w:cstheme="majorBidi"/>
        </w:rPr>
        <w:t xml:space="preserve">3.5.5.1.1 </w:t>
      </w:r>
      <w:r w:rsidRPr="00FC4465">
        <w:rPr>
          <w:rFonts w:asciiTheme="majorBidi" w:hAnsiTheme="majorBidi" w:cstheme="majorBidi"/>
        </w:rPr>
        <w:tab/>
        <w:t xml:space="preserve">En los cuadros de texto segundo y tercero del procedimiento de decisión 3.5.1, sustitúyase </w:t>
      </w:r>
      <w:r w:rsidR="008C5013" w:rsidRPr="00FC4465">
        <w:rPr>
          <w:rFonts w:asciiTheme="majorBidi" w:hAnsiTheme="majorBidi" w:cstheme="majorBidi"/>
        </w:rPr>
        <w:t>“</w:t>
      </w:r>
      <w:r w:rsidRPr="00FC4465">
        <w:rPr>
          <w:rFonts w:asciiTheme="majorBidi" w:hAnsiTheme="majorBidi" w:cstheme="majorBidi"/>
        </w:rPr>
        <w:t>para sopesar toda la información disponible</w:t>
      </w:r>
      <w:r w:rsidR="008C5013" w:rsidRPr="00FC4465">
        <w:rPr>
          <w:rFonts w:asciiTheme="majorBidi" w:hAnsiTheme="majorBidi" w:cstheme="majorBidi"/>
        </w:rPr>
        <w:t>”</w:t>
      </w:r>
      <w:r w:rsidRPr="00FC4465">
        <w:rPr>
          <w:rFonts w:asciiTheme="majorBidi" w:hAnsiTheme="majorBidi" w:cstheme="majorBidi"/>
        </w:rPr>
        <w:t xml:space="preserve"> por </w:t>
      </w:r>
      <w:r w:rsidR="008C5013" w:rsidRPr="00FC4465">
        <w:rPr>
          <w:rFonts w:asciiTheme="majorBidi" w:hAnsiTheme="majorBidi" w:cstheme="majorBidi"/>
        </w:rPr>
        <w:t>“</w:t>
      </w:r>
      <w:r w:rsidRPr="00FC4465">
        <w:rPr>
          <w:rFonts w:asciiTheme="majorBidi" w:hAnsiTheme="majorBidi" w:cstheme="majorBidi"/>
        </w:rPr>
        <w:t>en el marco de una evaluación del peso de los datos</w:t>
      </w:r>
      <w:r w:rsidR="008C5013" w:rsidRPr="00FC4465">
        <w:rPr>
          <w:rFonts w:asciiTheme="majorBidi" w:hAnsiTheme="majorBidi" w:cstheme="majorBidi"/>
        </w:rPr>
        <w:t>”</w:t>
      </w:r>
      <w:r w:rsidRPr="00FC4465">
        <w:rPr>
          <w:rFonts w:asciiTheme="majorBidi" w:hAnsiTheme="majorBidi" w:cstheme="majorBidi"/>
        </w:rPr>
        <w:t>.</w:t>
      </w:r>
    </w:p>
    <w:p w14:paraId="47937AC2" w14:textId="77777777" w:rsidR="00284D49" w:rsidRPr="00FC4465" w:rsidRDefault="00284D49" w:rsidP="00802EA2">
      <w:pPr>
        <w:pStyle w:val="H1G"/>
      </w:pPr>
      <w:r w:rsidRPr="00FC4465">
        <w:tab/>
      </w:r>
      <w:r w:rsidRPr="00FC4465">
        <w:tab/>
        <w:t>Capítulo 3.6</w:t>
      </w:r>
    </w:p>
    <w:p w14:paraId="7FD95038" w14:textId="77777777" w:rsidR="00284D49" w:rsidRPr="00FC4465" w:rsidRDefault="00284D49" w:rsidP="00284D49">
      <w:pPr>
        <w:pStyle w:val="SingleTxtG"/>
        <w:tabs>
          <w:tab w:val="clear" w:pos="1701"/>
          <w:tab w:val="clear" w:pos="2835"/>
        </w:tabs>
        <w:ind w:left="2268" w:hanging="1134"/>
        <w:rPr>
          <w:rFonts w:asciiTheme="majorBidi" w:hAnsiTheme="majorBidi" w:cstheme="majorBidi"/>
        </w:rPr>
      </w:pPr>
      <w:r w:rsidRPr="00FC4465">
        <w:rPr>
          <w:rFonts w:asciiTheme="majorBidi" w:hAnsiTheme="majorBidi" w:cstheme="majorBidi"/>
        </w:rPr>
        <w:t>3.6.3.2.4</w:t>
      </w:r>
      <w:r w:rsidRPr="00FC4465">
        <w:rPr>
          <w:rFonts w:asciiTheme="majorBidi" w:hAnsiTheme="majorBidi" w:cstheme="majorBidi"/>
        </w:rPr>
        <w:tab/>
      </w:r>
      <w:r w:rsidRPr="00FC4465">
        <w:rPr>
          <w:rFonts w:asciiTheme="majorBidi" w:hAnsiTheme="majorBidi" w:cstheme="majorBidi"/>
        </w:rPr>
        <w:tab/>
        <w:t>La modificación no se aplica al texto en español.</w:t>
      </w:r>
    </w:p>
    <w:p w14:paraId="4EE77C30" w14:textId="77777777" w:rsidR="00284D49" w:rsidRPr="00FC4465" w:rsidRDefault="00284D49" w:rsidP="00284D49">
      <w:pPr>
        <w:pStyle w:val="SingleTxtG"/>
        <w:tabs>
          <w:tab w:val="clear" w:pos="1701"/>
        </w:tabs>
        <w:rPr>
          <w:rFonts w:asciiTheme="majorBidi" w:hAnsiTheme="majorBidi" w:cstheme="majorBidi"/>
        </w:rPr>
      </w:pPr>
      <w:r w:rsidRPr="00FC4465">
        <w:rPr>
          <w:rFonts w:asciiTheme="majorBidi" w:hAnsiTheme="majorBidi" w:cstheme="majorBidi"/>
        </w:rPr>
        <w:t>3.6.4</w:t>
      </w:r>
      <w:r w:rsidRPr="00FC4465">
        <w:rPr>
          <w:rFonts w:asciiTheme="majorBidi" w:hAnsiTheme="majorBidi" w:cstheme="majorBidi"/>
        </w:rPr>
        <w:tab/>
        <w:t>Modifíquese la última oración del párrafo para que diga:</w:t>
      </w:r>
    </w:p>
    <w:p w14:paraId="2194236B" w14:textId="6391F24C" w:rsidR="00284D49" w:rsidRPr="00FC4465" w:rsidRDefault="008C5013" w:rsidP="00284D49">
      <w:pPr>
        <w:pStyle w:val="SingleTxtG"/>
        <w:tabs>
          <w:tab w:val="clear" w:pos="1701"/>
        </w:tabs>
        <w:ind w:left="2268"/>
        <w:rPr>
          <w:rFonts w:asciiTheme="majorBidi" w:hAnsiTheme="majorBidi" w:cstheme="majorBidi"/>
        </w:rPr>
      </w:pPr>
      <w:r w:rsidRPr="00FC4465">
        <w:rPr>
          <w:rFonts w:asciiTheme="majorBidi" w:hAnsiTheme="majorBidi" w:cstheme="majorBidi"/>
        </w:rPr>
        <w:t>“</w:t>
      </w:r>
      <w:r w:rsidR="00284D49" w:rsidRPr="00FC4465">
        <w:rPr>
          <w:rFonts w:asciiTheme="majorBidi" w:hAnsiTheme="majorBidi" w:cstheme="majorBidi"/>
        </w:rPr>
        <w:t>La tabla 3.6.2 presenta los elementos específicos que deben figurar en las etiquetas de las sustancias y mezclas clasificadas en esta clase de peligro con arreglo a los criterios indicados en el presente capítulo.</w:t>
      </w:r>
      <w:r w:rsidRPr="00FC4465">
        <w:rPr>
          <w:rFonts w:asciiTheme="majorBidi" w:hAnsiTheme="majorBidi" w:cstheme="majorBidi"/>
        </w:rPr>
        <w:t>”</w:t>
      </w:r>
      <w:r w:rsidR="002A6B6E">
        <w:rPr>
          <w:rFonts w:asciiTheme="majorBidi" w:hAnsiTheme="majorBidi" w:cstheme="majorBidi"/>
        </w:rPr>
        <w:t>.</w:t>
      </w:r>
    </w:p>
    <w:p w14:paraId="4B1F7B83" w14:textId="5456E0E7" w:rsidR="00284D49" w:rsidRPr="00FC4465" w:rsidRDefault="00284D49" w:rsidP="00284D49">
      <w:pPr>
        <w:pStyle w:val="SingleTxtG"/>
        <w:ind w:left="2268" w:hanging="1134"/>
        <w:rPr>
          <w:rFonts w:asciiTheme="majorBidi" w:hAnsiTheme="majorBidi" w:cstheme="majorBidi"/>
        </w:rPr>
      </w:pPr>
      <w:r w:rsidRPr="00FC4465">
        <w:rPr>
          <w:rFonts w:asciiTheme="majorBidi" w:hAnsiTheme="majorBidi" w:cstheme="majorBidi"/>
        </w:rPr>
        <w:t xml:space="preserve">3.6.5.1 </w:t>
      </w:r>
      <w:r w:rsidRPr="00FC4465">
        <w:rPr>
          <w:rFonts w:asciiTheme="majorBidi" w:hAnsiTheme="majorBidi" w:cstheme="majorBidi"/>
        </w:rPr>
        <w:tab/>
        <w:t xml:space="preserve">En los cuadros de texto segundo y tercero del procedimiento de decisión 3.6.1, sustitúyase </w:t>
      </w:r>
      <w:r w:rsidR="008C5013" w:rsidRPr="00FC4465">
        <w:rPr>
          <w:rFonts w:asciiTheme="majorBidi" w:hAnsiTheme="majorBidi" w:cstheme="majorBidi"/>
        </w:rPr>
        <w:t>“</w:t>
      </w:r>
      <w:r w:rsidRPr="00FC4465">
        <w:rPr>
          <w:rFonts w:asciiTheme="majorBidi" w:hAnsiTheme="majorBidi" w:cstheme="majorBidi"/>
        </w:rPr>
        <w:t>que sopesen toda la información disponible (datos convincentes y de peso)</w:t>
      </w:r>
      <w:r w:rsidR="008C5013" w:rsidRPr="00FC4465">
        <w:rPr>
          <w:rFonts w:asciiTheme="majorBidi" w:hAnsiTheme="majorBidi" w:cstheme="majorBidi"/>
        </w:rPr>
        <w:t>”</w:t>
      </w:r>
      <w:r w:rsidRPr="00FC4465">
        <w:rPr>
          <w:rFonts w:asciiTheme="majorBidi" w:hAnsiTheme="majorBidi" w:cstheme="majorBidi"/>
        </w:rPr>
        <w:t xml:space="preserve"> por </w:t>
      </w:r>
      <w:r w:rsidR="008C5013" w:rsidRPr="00FC4465">
        <w:rPr>
          <w:rFonts w:asciiTheme="majorBidi" w:hAnsiTheme="majorBidi" w:cstheme="majorBidi"/>
        </w:rPr>
        <w:t>“</w:t>
      </w:r>
      <w:r w:rsidRPr="00FC4465">
        <w:rPr>
          <w:rFonts w:asciiTheme="majorBidi" w:hAnsiTheme="majorBidi" w:cstheme="majorBidi"/>
        </w:rPr>
        <w:t>en el marco de una evaluación del peso y la fuerza convincente de los datos</w:t>
      </w:r>
      <w:r w:rsidR="008C5013" w:rsidRPr="00FC4465">
        <w:rPr>
          <w:rFonts w:asciiTheme="majorBidi" w:hAnsiTheme="majorBidi" w:cstheme="majorBidi"/>
        </w:rPr>
        <w:t>”</w:t>
      </w:r>
      <w:r w:rsidRPr="00FC4465">
        <w:rPr>
          <w:rFonts w:asciiTheme="majorBidi" w:hAnsiTheme="majorBidi" w:cstheme="majorBidi"/>
        </w:rPr>
        <w:t>.</w:t>
      </w:r>
    </w:p>
    <w:p w14:paraId="11D240E9" w14:textId="2D6949BD" w:rsidR="00284D49" w:rsidRPr="00FC4465" w:rsidRDefault="00284D49" w:rsidP="00284D49">
      <w:pPr>
        <w:pStyle w:val="SingleTxtG"/>
        <w:ind w:left="2268" w:hanging="1134"/>
        <w:rPr>
          <w:rFonts w:asciiTheme="majorBidi" w:hAnsiTheme="majorBidi" w:cstheme="majorBidi"/>
        </w:rPr>
      </w:pPr>
      <w:r w:rsidRPr="00FC4465">
        <w:rPr>
          <w:rFonts w:asciiTheme="majorBidi" w:hAnsiTheme="majorBidi" w:cstheme="majorBidi"/>
        </w:rPr>
        <w:t>3.6.5.3.2</w:t>
      </w:r>
      <w:r w:rsidRPr="00FC4465">
        <w:rPr>
          <w:rFonts w:asciiTheme="majorBidi" w:hAnsiTheme="majorBidi" w:cstheme="majorBidi"/>
        </w:rPr>
        <w:tab/>
        <w:t xml:space="preserve">En la tercera oración, sustitúyase </w:t>
      </w:r>
      <w:r w:rsidR="008C5013" w:rsidRPr="00FC4465">
        <w:rPr>
          <w:rFonts w:asciiTheme="majorBidi" w:hAnsiTheme="majorBidi" w:cstheme="majorBidi"/>
        </w:rPr>
        <w:t>“</w:t>
      </w:r>
      <w:r w:rsidRPr="00FC4465">
        <w:rPr>
          <w:rFonts w:asciiTheme="majorBidi" w:hAnsiTheme="majorBidi" w:cstheme="majorBidi"/>
        </w:rPr>
        <w:t>El análisis del peso</w:t>
      </w:r>
      <w:r w:rsidR="008C5013" w:rsidRPr="00FC4465">
        <w:rPr>
          <w:rFonts w:asciiTheme="majorBidi" w:hAnsiTheme="majorBidi" w:cstheme="majorBidi"/>
        </w:rPr>
        <w:t>”</w:t>
      </w:r>
      <w:r w:rsidRPr="00FC4465">
        <w:rPr>
          <w:rFonts w:asciiTheme="majorBidi" w:hAnsiTheme="majorBidi" w:cstheme="majorBidi"/>
        </w:rPr>
        <w:t xml:space="preserve"> por </w:t>
      </w:r>
      <w:r w:rsidR="008C5013" w:rsidRPr="00FC4465">
        <w:rPr>
          <w:rFonts w:asciiTheme="majorBidi" w:hAnsiTheme="majorBidi" w:cstheme="majorBidi"/>
        </w:rPr>
        <w:t>“</w:t>
      </w:r>
      <w:r w:rsidRPr="00FC4465">
        <w:rPr>
          <w:rFonts w:asciiTheme="majorBidi" w:hAnsiTheme="majorBidi" w:cstheme="majorBidi"/>
        </w:rPr>
        <w:t>La evaluación del peso</w:t>
      </w:r>
      <w:r w:rsidR="008C5013" w:rsidRPr="00FC4465">
        <w:rPr>
          <w:rFonts w:asciiTheme="majorBidi" w:hAnsiTheme="majorBidi" w:cstheme="majorBidi"/>
        </w:rPr>
        <w:t>”</w:t>
      </w:r>
      <w:r w:rsidRPr="00FC4465">
        <w:rPr>
          <w:rFonts w:asciiTheme="majorBidi" w:hAnsiTheme="majorBidi" w:cstheme="majorBidi"/>
        </w:rPr>
        <w:t xml:space="preserve">. </w:t>
      </w:r>
    </w:p>
    <w:p w14:paraId="4A10E8D6" w14:textId="742773E0" w:rsidR="00284D49" w:rsidRPr="00FC4465" w:rsidRDefault="00284D49" w:rsidP="00284D49">
      <w:pPr>
        <w:pStyle w:val="SingleTxtG"/>
        <w:ind w:left="2268" w:hanging="1134"/>
        <w:rPr>
          <w:rFonts w:asciiTheme="majorBidi" w:hAnsiTheme="majorBidi" w:cstheme="majorBidi"/>
        </w:rPr>
      </w:pPr>
      <w:r w:rsidRPr="00FC4465">
        <w:rPr>
          <w:rFonts w:asciiTheme="majorBidi" w:hAnsiTheme="majorBidi" w:cstheme="majorBidi"/>
        </w:rPr>
        <w:t>3.6.5.3.2.1</w:t>
      </w:r>
      <w:r w:rsidRPr="00FC4465">
        <w:rPr>
          <w:rFonts w:asciiTheme="majorBidi" w:hAnsiTheme="majorBidi" w:cstheme="majorBidi"/>
        </w:rPr>
        <w:tab/>
        <w:t xml:space="preserve">En la última oración, sustitúyase </w:t>
      </w:r>
      <w:r w:rsidR="008C5013" w:rsidRPr="00FC4465">
        <w:rPr>
          <w:rFonts w:asciiTheme="majorBidi" w:hAnsiTheme="majorBidi" w:cstheme="majorBidi"/>
        </w:rPr>
        <w:t>“</w:t>
      </w:r>
      <w:r w:rsidRPr="00FC4465">
        <w:rPr>
          <w:rFonts w:asciiTheme="majorBidi" w:hAnsiTheme="majorBidi" w:cstheme="majorBidi"/>
        </w:rPr>
        <w:t>cuando se aprecian las consideraciones sobre el peso</w:t>
      </w:r>
      <w:r w:rsidR="008C5013" w:rsidRPr="00FC4465">
        <w:rPr>
          <w:rFonts w:asciiTheme="majorBidi" w:hAnsiTheme="majorBidi" w:cstheme="majorBidi"/>
        </w:rPr>
        <w:t>”</w:t>
      </w:r>
      <w:r w:rsidRPr="00FC4465">
        <w:rPr>
          <w:rFonts w:asciiTheme="majorBidi" w:hAnsiTheme="majorBidi" w:cstheme="majorBidi"/>
        </w:rPr>
        <w:t xml:space="preserve"> por </w:t>
      </w:r>
      <w:r w:rsidR="008C5013" w:rsidRPr="00FC4465">
        <w:rPr>
          <w:rFonts w:asciiTheme="majorBidi" w:hAnsiTheme="majorBidi" w:cstheme="majorBidi"/>
        </w:rPr>
        <w:t>“</w:t>
      </w:r>
      <w:r w:rsidRPr="00FC4465">
        <w:rPr>
          <w:rFonts w:asciiTheme="majorBidi" w:hAnsiTheme="majorBidi" w:cstheme="majorBidi"/>
        </w:rPr>
        <w:t>en la evaluación del peso</w:t>
      </w:r>
      <w:r w:rsidR="008C5013" w:rsidRPr="00FC4465">
        <w:rPr>
          <w:rFonts w:asciiTheme="majorBidi" w:hAnsiTheme="majorBidi" w:cstheme="majorBidi"/>
        </w:rPr>
        <w:t>”</w:t>
      </w:r>
      <w:r w:rsidRPr="00FC4465">
        <w:rPr>
          <w:rFonts w:asciiTheme="majorBidi" w:hAnsiTheme="majorBidi" w:cstheme="majorBidi"/>
        </w:rPr>
        <w:t xml:space="preserve">. </w:t>
      </w:r>
    </w:p>
    <w:p w14:paraId="05C12A72" w14:textId="77777777" w:rsidR="00284D49" w:rsidRPr="00FC4465" w:rsidRDefault="00284D49" w:rsidP="00802EA2">
      <w:pPr>
        <w:pStyle w:val="H1G"/>
      </w:pPr>
      <w:r w:rsidRPr="00FC4465">
        <w:lastRenderedPageBreak/>
        <w:tab/>
      </w:r>
      <w:r w:rsidRPr="00FC4465">
        <w:tab/>
        <w:t>Capítulo 3.7</w:t>
      </w:r>
    </w:p>
    <w:p w14:paraId="5E85FC94" w14:textId="77777777" w:rsidR="00284D49" w:rsidRPr="00FC4465" w:rsidRDefault="00284D49" w:rsidP="00284D49">
      <w:pPr>
        <w:pStyle w:val="SingleTxtG"/>
        <w:keepNext/>
        <w:keepLines/>
        <w:tabs>
          <w:tab w:val="clear" w:pos="1701"/>
        </w:tabs>
        <w:ind w:left="2268" w:hanging="1134"/>
        <w:rPr>
          <w:rFonts w:asciiTheme="majorBidi" w:hAnsiTheme="majorBidi" w:cstheme="majorBidi"/>
        </w:rPr>
      </w:pPr>
      <w:r w:rsidRPr="00FC4465">
        <w:rPr>
          <w:rFonts w:asciiTheme="majorBidi" w:hAnsiTheme="majorBidi" w:cstheme="majorBidi"/>
        </w:rPr>
        <w:t>3.7.2.2.1</w:t>
      </w:r>
      <w:r w:rsidRPr="00FC4465">
        <w:rPr>
          <w:rFonts w:asciiTheme="majorBidi" w:hAnsiTheme="majorBidi" w:cstheme="majorBidi"/>
        </w:rPr>
        <w:tab/>
        <w:t>La modificación no se aplica al texto en español.</w:t>
      </w:r>
    </w:p>
    <w:p w14:paraId="55379733" w14:textId="77777777" w:rsidR="00284D49" w:rsidRPr="00FC4465" w:rsidRDefault="00284D49" w:rsidP="00284D49">
      <w:pPr>
        <w:pStyle w:val="SingleTxtG"/>
        <w:tabs>
          <w:tab w:val="clear" w:pos="1701"/>
        </w:tabs>
        <w:ind w:left="2268" w:hanging="1134"/>
        <w:rPr>
          <w:rFonts w:asciiTheme="majorBidi" w:hAnsiTheme="majorBidi" w:cstheme="majorBidi"/>
        </w:rPr>
      </w:pPr>
      <w:r w:rsidRPr="00FC4465">
        <w:rPr>
          <w:rFonts w:asciiTheme="majorBidi" w:hAnsiTheme="majorBidi" w:cstheme="majorBidi"/>
        </w:rPr>
        <w:t>3.7.2.3.1</w:t>
      </w:r>
      <w:r w:rsidRPr="00FC4465">
        <w:rPr>
          <w:rFonts w:asciiTheme="majorBidi" w:hAnsiTheme="majorBidi" w:cstheme="majorBidi"/>
        </w:rPr>
        <w:tab/>
        <w:t>La modificación no se aplica al texto en español.</w:t>
      </w:r>
    </w:p>
    <w:p w14:paraId="50B06CC6" w14:textId="77777777" w:rsidR="00284D49" w:rsidRPr="00FC4465" w:rsidRDefault="00284D49" w:rsidP="00284D49">
      <w:pPr>
        <w:pStyle w:val="SingleTxtG"/>
        <w:tabs>
          <w:tab w:val="clear" w:pos="1701"/>
          <w:tab w:val="clear" w:pos="2268"/>
        </w:tabs>
        <w:ind w:left="2268" w:hanging="1134"/>
        <w:rPr>
          <w:rFonts w:asciiTheme="majorBidi" w:hAnsiTheme="majorBidi" w:cstheme="majorBidi"/>
        </w:rPr>
      </w:pPr>
      <w:r w:rsidRPr="00FC4465">
        <w:rPr>
          <w:rFonts w:asciiTheme="majorBidi" w:hAnsiTheme="majorBidi" w:cstheme="majorBidi"/>
        </w:rPr>
        <w:t>3.7.2.4.1</w:t>
      </w:r>
      <w:r w:rsidRPr="00FC4465">
        <w:rPr>
          <w:rFonts w:asciiTheme="majorBidi" w:hAnsiTheme="majorBidi" w:cstheme="majorBidi"/>
        </w:rPr>
        <w:tab/>
        <w:t xml:space="preserve">La modificación no se aplica al texto en español. </w:t>
      </w:r>
    </w:p>
    <w:p w14:paraId="1B49BB54" w14:textId="77777777" w:rsidR="00284D49" w:rsidRPr="00FC4465" w:rsidRDefault="00284D49" w:rsidP="00284D49">
      <w:pPr>
        <w:pStyle w:val="SingleTxtG"/>
        <w:tabs>
          <w:tab w:val="clear" w:pos="1701"/>
          <w:tab w:val="clear" w:pos="2835"/>
        </w:tabs>
        <w:ind w:left="2268" w:hanging="1134"/>
        <w:rPr>
          <w:rFonts w:asciiTheme="majorBidi" w:hAnsiTheme="majorBidi" w:cstheme="majorBidi"/>
        </w:rPr>
      </w:pPr>
      <w:r w:rsidRPr="00FC4465">
        <w:rPr>
          <w:rFonts w:asciiTheme="majorBidi" w:hAnsiTheme="majorBidi" w:cstheme="majorBidi"/>
        </w:rPr>
        <w:t>3.7.3.2.4</w:t>
      </w:r>
      <w:r w:rsidRPr="00FC4465">
        <w:rPr>
          <w:rFonts w:asciiTheme="majorBidi" w:hAnsiTheme="majorBidi" w:cstheme="majorBidi"/>
        </w:rPr>
        <w:tab/>
      </w:r>
      <w:r w:rsidRPr="00FC4465">
        <w:rPr>
          <w:rFonts w:asciiTheme="majorBidi" w:hAnsiTheme="majorBidi" w:cstheme="majorBidi"/>
        </w:rPr>
        <w:tab/>
        <w:t xml:space="preserve">La modificación no se aplica al texto en español. </w:t>
      </w:r>
    </w:p>
    <w:p w14:paraId="76A43F5B" w14:textId="298C411F" w:rsidR="00284D49" w:rsidRPr="00FC4465" w:rsidRDefault="00284D49" w:rsidP="00284D49">
      <w:pPr>
        <w:pStyle w:val="SingleTxtG"/>
        <w:tabs>
          <w:tab w:val="clear" w:pos="1701"/>
        </w:tabs>
        <w:ind w:left="2268" w:hanging="1134"/>
        <w:rPr>
          <w:rFonts w:asciiTheme="majorBidi" w:hAnsiTheme="majorBidi" w:cstheme="majorBidi"/>
        </w:rPr>
      </w:pPr>
      <w:r w:rsidRPr="00FC4465">
        <w:rPr>
          <w:rFonts w:asciiTheme="majorBidi" w:hAnsiTheme="majorBidi" w:cstheme="majorBidi"/>
        </w:rPr>
        <w:t>3.7.4</w:t>
      </w:r>
      <w:r w:rsidRPr="00FC4465">
        <w:rPr>
          <w:rFonts w:asciiTheme="majorBidi" w:hAnsiTheme="majorBidi" w:cstheme="majorBidi"/>
        </w:rPr>
        <w:tab/>
        <w:t xml:space="preserve">Al final del párrafo, añádase la siguiente oración: </w:t>
      </w:r>
      <w:r w:rsidR="008C5013" w:rsidRPr="00FC4465">
        <w:rPr>
          <w:rFonts w:asciiTheme="majorBidi" w:hAnsiTheme="majorBidi" w:cstheme="majorBidi"/>
        </w:rPr>
        <w:t>“</w:t>
      </w:r>
      <w:r w:rsidRPr="00FC4465">
        <w:rPr>
          <w:rFonts w:asciiTheme="majorBidi" w:hAnsiTheme="majorBidi" w:cstheme="majorBidi"/>
        </w:rPr>
        <w:t>La tabla 3.7.2 presenta los elementos específicos que deben figurar en las etiquetas de las sustancias y mezclas clasificadas en esta clase de peligro con arreglo a los criterios indicados en el presente capítulo.</w:t>
      </w:r>
      <w:r w:rsidR="008C5013" w:rsidRPr="00FC4465">
        <w:rPr>
          <w:rFonts w:asciiTheme="majorBidi" w:hAnsiTheme="majorBidi" w:cstheme="majorBidi"/>
        </w:rPr>
        <w:t>”</w:t>
      </w:r>
      <w:r w:rsidRPr="00FC4465">
        <w:rPr>
          <w:rFonts w:asciiTheme="majorBidi" w:hAnsiTheme="majorBidi" w:cstheme="majorBidi"/>
        </w:rPr>
        <w:t xml:space="preserve"> </w:t>
      </w:r>
      <w:bookmarkStart w:id="17" w:name="_Hlk124935572"/>
      <w:bookmarkEnd w:id="17"/>
    </w:p>
    <w:p w14:paraId="161F8EF5" w14:textId="0545C658" w:rsidR="00284D49" w:rsidRPr="00FC4465" w:rsidRDefault="00284D49" w:rsidP="00284D49">
      <w:pPr>
        <w:pStyle w:val="SingleTxtG"/>
        <w:tabs>
          <w:tab w:val="clear" w:pos="1701"/>
        </w:tabs>
        <w:ind w:left="2268" w:hanging="1134"/>
        <w:rPr>
          <w:rFonts w:asciiTheme="majorBidi" w:hAnsiTheme="majorBidi" w:cstheme="majorBidi"/>
        </w:rPr>
      </w:pPr>
      <w:r w:rsidRPr="00FC4465">
        <w:rPr>
          <w:rFonts w:asciiTheme="majorBidi" w:hAnsiTheme="majorBidi" w:cstheme="majorBidi"/>
        </w:rPr>
        <w:t xml:space="preserve">3.7.5.1.1 </w:t>
      </w:r>
      <w:r w:rsidRPr="00FC4465">
        <w:rPr>
          <w:rFonts w:asciiTheme="majorBidi" w:hAnsiTheme="majorBidi" w:cstheme="majorBidi"/>
        </w:rPr>
        <w:tab/>
        <w:t xml:space="preserve">En los cuadros de texto segundo y tercero del procedimiento de decisión 3.7.1, sustitúyase </w:t>
      </w:r>
      <w:r w:rsidR="008C5013" w:rsidRPr="00FC4465">
        <w:rPr>
          <w:rFonts w:asciiTheme="majorBidi" w:hAnsiTheme="majorBidi" w:cstheme="majorBidi"/>
        </w:rPr>
        <w:t>“</w:t>
      </w:r>
      <w:r w:rsidRPr="00FC4465">
        <w:rPr>
          <w:rFonts w:asciiTheme="majorBidi" w:hAnsiTheme="majorBidi" w:cstheme="majorBidi"/>
        </w:rPr>
        <w:t>que sopesen toda la información disponible</w:t>
      </w:r>
      <w:r w:rsidR="008C5013" w:rsidRPr="00FC4465">
        <w:rPr>
          <w:rFonts w:asciiTheme="majorBidi" w:hAnsiTheme="majorBidi" w:cstheme="majorBidi"/>
        </w:rPr>
        <w:t>”</w:t>
      </w:r>
      <w:r w:rsidRPr="00FC4465">
        <w:rPr>
          <w:rFonts w:asciiTheme="majorBidi" w:hAnsiTheme="majorBidi" w:cstheme="majorBidi"/>
        </w:rPr>
        <w:t xml:space="preserve"> por </w:t>
      </w:r>
      <w:r w:rsidR="008C5013" w:rsidRPr="00FC4465">
        <w:rPr>
          <w:rFonts w:asciiTheme="majorBidi" w:hAnsiTheme="majorBidi" w:cstheme="majorBidi"/>
        </w:rPr>
        <w:t>“</w:t>
      </w:r>
      <w:r w:rsidRPr="00FC4465">
        <w:rPr>
          <w:rFonts w:asciiTheme="majorBidi" w:hAnsiTheme="majorBidi" w:cstheme="majorBidi"/>
        </w:rPr>
        <w:t>en el marco de una evaluación del peso de los datos</w:t>
      </w:r>
      <w:r w:rsidR="008C5013" w:rsidRPr="00FC4465">
        <w:rPr>
          <w:rFonts w:asciiTheme="majorBidi" w:hAnsiTheme="majorBidi" w:cstheme="majorBidi"/>
        </w:rPr>
        <w:t>”</w:t>
      </w:r>
      <w:r w:rsidRPr="00FC4465">
        <w:rPr>
          <w:rFonts w:asciiTheme="majorBidi" w:hAnsiTheme="majorBidi" w:cstheme="majorBidi"/>
        </w:rPr>
        <w:t>.</w:t>
      </w:r>
    </w:p>
    <w:p w14:paraId="53BBFB15" w14:textId="77777777" w:rsidR="00284D49" w:rsidRPr="00FC4465" w:rsidRDefault="00284D49" w:rsidP="00802EA2">
      <w:pPr>
        <w:pStyle w:val="H1G"/>
      </w:pPr>
      <w:r w:rsidRPr="00FC4465">
        <w:tab/>
      </w:r>
      <w:r w:rsidRPr="00FC4465">
        <w:tab/>
        <w:t>Capítulo 3.8</w:t>
      </w:r>
    </w:p>
    <w:p w14:paraId="6D9C49AA" w14:textId="4FAEA572" w:rsidR="00284D49" w:rsidRPr="00FC4465" w:rsidRDefault="00284D49" w:rsidP="00284D49">
      <w:pPr>
        <w:pStyle w:val="Bullet1G"/>
        <w:numPr>
          <w:ilvl w:val="0"/>
          <w:numId w:val="0"/>
        </w:numPr>
        <w:suppressAutoHyphens/>
        <w:kinsoku w:val="0"/>
        <w:overflowPunct w:val="0"/>
        <w:autoSpaceDE w:val="0"/>
        <w:autoSpaceDN w:val="0"/>
        <w:adjustRightInd w:val="0"/>
        <w:snapToGrid w:val="0"/>
        <w:ind w:left="2268" w:hanging="1134"/>
        <w:rPr>
          <w:rFonts w:asciiTheme="majorBidi" w:hAnsiTheme="majorBidi" w:cstheme="majorBidi"/>
        </w:rPr>
      </w:pPr>
      <w:r w:rsidRPr="00FC4465">
        <w:rPr>
          <w:rFonts w:asciiTheme="majorBidi" w:hAnsiTheme="majorBidi" w:cstheme="majorBidi"/>
        </w:rPr>
        <w:t xml:space="preserve">Tabla 3.8.1 </w:t>
      </w:r>
      <w:r w:rsidRPr="00FC4465">
        <w:rPr>
          <w:rFonts w:asciiTheme="majorBidi" w:hAnsiTheme="majorBidi" w:cstheme="majorBidi"/>
        </w:rPr>
        <w:tab/>
        <w:t xml:space="preserve">En la primera oración de la nota </w:t>
      </w:r>
      <w:r w:rsidRPr="00FC4465">
        <w:rPr>
          <w:rFonts w:asciiTheme="majorBidi" w:hAnsiTheme="majorBidi" w:cstheme="majorBidi"/>
          <w:i/>
          <w:iCs/>
        </w:rPr>
        <w:t>a</w:t>
      </w:r>
      <w:r w:rsidRPr="00FC4465">
        <w:rPr>
          <w:rFonts w:asciiTheme="majorBidi" w:hAnsiTheme="majorBidi" w:cstheme="majorBidi"/>
        </w:rPr>
        <w:t xml:space="preserve">, sustitúyase </w:t>
      </w:r>
      <w:r w:rsidR="008C5013" w:rsidRPr="00FC4465">
        <w:rPr>
          <w:rFonts w:asciiTheme="majorBidi" w:hAnsiTheme="majorBidi" w:cstheme="majorBidi"/>
        </w:rPr>
        <w:t>“</w:t>
      </w:r>
      <w:r w:rsidRPr="00FC4465">
        <w:rPr>
          <w:rFonts w:asciiTheme="majorBidi" w:hAnsiTheme="majorBidi" w:cstheme="majorBidi"/>
        </w:rPr>
        <w:t>a la hora de sopesar los datos</w:t>
      </w:r>
      <w:r w:rsidR="008C5013" w:rsidRPr="00FC4465">
        <w:rPr>
          <w:rFonts w:asciiTheme="majorBidi" w:hAnsiTheme="majorBidi" w:cstheme="majorBidi"/>
        </w:rPr>
        <w:t>”</w:t>
      </w:r>
      <w:r w:rsidRPr="00FC4465">
        <w:rPr>
          <w:rFonts w:asciiTheme="majorBidi" w:hAnsiTheme="majorBidi" w:cstheme="majorBidi"/>
        </w:rPr>
        <w:t xml:space="preserve"> por </w:t>
      </w:r>
      <w:r w:rsidR="008C5013" w:rsidRPr="00FC4465">
        <w:rPr>
          <w:rFonts w:asciiTheme="majorBidi" w:hAnsiTheme="majorBidi" w:cstheme="majorBidi"/>
        </w:rPr>
        <w:t>“</w:t>
      </w:r>
      <w:r w:rsidRPr="00FC4465">
        <w:rPr>
          <w:rFonts w:asciiTheme="majorBidi" w:hAnsiTheme="majorBidi" w:cstheme="majorBidi"/>
        </w:rPr>
        <w:t>en el marco de una evaluación del peso de los datos</w:t>
      </w:r>
      <w:r w:rsidR="008C5013" w:rsidRPr="00FC4465">
        <w:rPr>
          <w:rFonts w:asciiTheme="majorBidi" w:hAnsiTheme="majorBidi" w:cstheme="majorBidi"/>
        </w:rPr>
        <w:t>”</w:t>
      </w:r>
      <w:r w:rsidRPr="00FC4465">
        <w:rPr>
          <w:rFonts w:asciiTheme="majorBidi" w:hAnsiTheme="majorBidi" w:cstheme="majorBidi"/>
        </w:rPr>
        <w:t>.</w:t>
      </w:r>
    </w:p>
    <w:p w14:paraId="1FC2F453" w14:textId="77777777" w:rsidR="00284D49" w:rsidRPr="00FC4465" w:rsidRDefault="00284D49" w:rsidP="00284D49">
      <w:pPr>
        <w:pStyle w:val="Bullet1G"/>
        <w:numPr>
          <w:ilvl w:val="0"/>
          <w:numId w:val="0"/>
        </w:numPr>
        <w:suppressAutoHyphens/>
        <w:kinsoku w:val="0"/>
        <w:overflowPunct w:val="0"/>
        <w:autoSpaceDE w:val="0"/>
        <w:autoSpaceDN w:val="0"/>
        <w:adjustRightInd w:val="0"/>
        <w:snapToGrid w:val="0"/>
        <w:ind w:left="2268"/>
        <w:rPr>
          <w:rFonts w:asciiTheme="majorBidi" w:hAnsiTheme="majorBidi" w:cstheme="majorBidi"/>
        </w:rPr>
      </w:pPr>
      <w:r w:rsidRPr="00FC4465">
        <w:rPr>
          <w:rFonts w:asciiTheme="majorBidi" w:hAnsiTheme="majorBidi" w:cstheme="majorBidi"/>
        </w:rPr>
        <w:t xml:space="preserve">La modificación de la nota </w:t>
      </w:r>
      <w:r w:rsidRPr="00FC4465">
        <w:rPr>
          <w:rFonts w:asciiTheme="majorBidi" w:hAnsiTheme="majorBidi" w:cstheme="majorBidi"/>
          <w:i/>
          <w:iCs/>
        </w:rPr>
        <w:t>b</w:t>
      </w:r>
      <w:r w:rsidRPr="00FC4465">
        <w:rPr>
          <w:rFonts w:asciiTheme="majorBidi" w:hAnsiTheme="majorBidi" w:cstheme="majorBidi"/>
        </w:rPr>
        <w:t xml:space="preserve"> no se aplica al texto en español.</w:t>
      </w:r>
    </w:p>
    <w:p w14:paraId="1523C77B" w14:textId="77777777" w:rsidR="00284D49" w:rsidRPr="00FC4465" w:rsidRDefault="00284D49" w:rsidP="00284D49">
      <w:pPr>
        <w:pStyle w:val="SingleTxtG"/>
        <w:tabs>
          <w:tab w:val="clear" w:pos="1701"/>
        </w:tabs>
        <w:ind w:left="2268" w:hanging="1134"/>
        <w:rPr>
          <w:rFonts w:asciiTheme="majorBidi" w:hAnsiTheme="majorBidi" w:cstheme="majorBidi"/>
        </w:rPr>
      </w:pPr>
      <w:r w:rsidRPr="00FC4465">
        <w:rPr>
          <w:rFonts w:asciiTheme="majorBidi" w:hAnsiTheme="majorBidi" w:cstheme="majorBidi"/>
        </w:rPr>
        <w:t xml:space="preserve">3.8.2.1.10.1 </w:t>
      </w:r>
      <w:r w:rsidRPr="00FC4465">
        <w:rPr>
          <w:rFonts w:asciiTheme="majorBidi" w:hAnsiTheme="majorBidi" w:cstheme="majorBidi"/>
        </w:rPr>
        <w:tab/>
        <w:t>La modificación no se aplica al texto en español.</w:t>
      </w:r>
    </w:p>
    <w:p w14:paraId="18A87D6C" w14:textId="568BECFC" w:rsidR="00284D49" w:rsidRPr="00FC4465" w:rsidRDefault="00284D49" w:rsidP="00284D49">
      <w:pPr>
        <w:pStyle w:val="SingleTxtG"/>
        <w:tabs>
          <w:tab w:val="clear" w:pos="1701"/>
        </w:tabs>
        <w:ind w:left="2268" w:hanging="1134"/>
        <w:rPr>
          <w:rFonts w:asciiTheme="majorBidi" w:hAnsiTheme="majorBidi" w:cstheme="majorBidi"/>
        </w:rPr>
      </w:pPr>
      <w:r w:rsidRPr="00FC4465">
        <w:rPr>
          <w:rFonts w:asciiTheme="majorBidi" w:hAnsiTheme="majorBidi" w:cstheme="majorBidi"/>
        </w:rPr>
        <w:t>3.8.2.2.1 d)</w:t>
      </w:r>
      <w:r w:rsidRPr="00FC4465">
        <w:rPr>
          <w:rFonts w:asciiTheme="majorBidi" w:hAnsiTheme="majorBidi" w:cstheme="majorBidi"/>
        </w:rPr>
        <w:tab/>
        <w:t>La modificación no se aplica al texto en español.</w:t>
      </w:r>
      <w:r w:rsidR="008C5013" w:rsidRPr="00FC4465">
        <w:rPr>
          <w:rFonts w:asciiTheme="majorBidi" w:hAnsiTheme="majorBidi" w:cstheme="majorBidi"/>
        </w:rPr>
        <w:t xml:space="preserve"> </w:t>
      </w:r>
    </w:p>
    <w:p w14:paraId="12E05381" w14:textId="77777777" w:rsidR="00284D49" w:rsidRPr="00FC4465" w:rsidRDefault="00284D49" w:rsidP="00284D49">
      <w:pPr>
        <w:pStyle w:val="SingleTxtG"/>
        <w:tabs>
          <w:tab w:val="clear" w:pos="1701"/>
        </w:tabs>
        <w:ind w:left="2268" w:hanging="1134"/>
        <w:rPr>
          <w:rFonts w:asciiTheme="majorBidi" w:hAnsiTheme="majorBidi" w:cstheme="majorBidi"/>
        </w:rPr>
      </w:pPr>
      <w:r w:rsidRPr="00FC4465">
        <w:rPr>
          <w:rFonts w:asciiTheme="majorBidi" w:hAnsiTheme="majorBidi" w:cstheme="majorBidi"/>
        </w:rPr>
        <w:t>3.8.3.2</w:t>
      </w:r>
      <w:r w:rsidRPr="00FC4465">
        <w:rPr>
          <w:rFonts w:asciiTheme="majorBidi" w:hAnsiTheme="majorBidi" w:cstheme="majorBidi"/>
        </w:rPr>
        <w:tab/>
        <w:t>La modificación no se aplica al texto en español.</w:t>
      </w:r>
    </w:p>
    <w:p w14:paraId="42F04957" w14:textId="77777777" w:rsidR="00284D49" w:rsidRPr="00FC4465" w:rsidRDefault="00284D49" w:rsidP="00284D49">
      <w:pPr>
        <w:pStyle w:val="SingleTxtG"/>
        <w:tabs>
          <w:tab w:val="clear" w:pos="1701"/>
          <w:tab w:val="clear" w:pos="2268"/>
        </w:tabs>
        <w:ind w:left="2268" w:hanging="1134"/>
        <w:rPr>
          <w:rFonts w:asciiTheme="majorBidi" w:hAnsiTheme="majorBidi" w:cstheme="majorBidi"/>
        </w:rPr>
      </w:pPr>
      <w:r w:rsidRPr="00FC4465">
        <w:rPr>
          <w:rFonts w:asciiTheme="majorBidi" w:hAnsiTheme="majorBidi" w:cstheme="majorBidi"/>
        </w:rPr>
        <w:t>3.8.3.3.6</w:t>
      </w:r>
      <w:r w:rsidRPr="00FC4465">
        <w:rPr>
          <w:rFonts w:asciiTheme="majorBidi" w:hAnsiTheme="majorBidi" w:cstheme="majorBidi"/>
        </w:rPr>
        <w:tab/>
        <w:t xml:space="preserve">La modificación no se aplica al texto en español. </w:t>
      </w:r>
    </w:p>
    <w:p w14:paraId="173A6167" w14:textId="36599EF6" w:rsidR="00284D49" w:rsidRPr="00FC4465" w:rsidRDefault="00284D49" w:rsidP="00284D49">
      <w:pPr>
        <w:pStyle w:val="SingleTxtG"/>
        <w:tabs>
          <w:tab w:val="clear" w:pos="1701"/>
        </w:tabs>
        <w:ind w:left="2268" w:hanging="1134"/>
        <w:rPr>
          <w:rFonts w:asciiTheme="majorBidi" w:hAnsiTheme="majorBidi" w:cstheme="majorBidi"/>
        </w:rPr>
      </w:pPr>
      <w:r w:rsidRPr="00FC4465">
        <w:rPr>
          <w:rFonts w:asciiTheme="majorBidi" w:hAnsiTheme="majorBidi" w:cstheme="majorBidi"/>
        </w:rPr>
        <w:t>3.8.3.3.7</w:t>
      </w:r>
      <w:r w:rsidRPr="00FC4465">
        <w:rPr>
          <w:rFonts w:asciiTheme="majorBidi" w:hAnsiTheme="majorBidi" w:cstheme="majorBidi"/>
        </w:rPr>
        <w:tab/>
        <w:t xml:space="preserve">Al inicio de la primera oración, sustitúyase </w:t>
      </w:r>
      <w:r w:rsidR="008C5013" w:rsidRPr="00FC4465">
        <w:rPr>
          <w:rFonts w:asciiTheme="majorBidi" w:hAnsiTheme="majorBidi" w:cstheme="majorBidi"/>
        </w:rPr>
        <w:t>“</w:t>
      </w:r>
      <w:r w:rsidRPr="00FC4465">
        <w:rPr>
          <w:rFonts w:asciiTheme="majorBidi" w:hAnsiTheme="majorBidi" w:cstheme="majorBidi"/>
        </w:rPr>
        <w:t>mezcla en forma de aerosol</w:t>
      </w:r>
      <w:r w:rsidR="008C5013" w:rsidRPr="00FC4465">
        <w:rPr>
          <w:rFonts w:asciiTheme="majorBidi" w:hAnsiTheme="majorBidi" w:cstheme="majorBidi"/>
        </w:rPr>
        <w:t>”</w:t>
      </w:r>
      <w:r w:rsidRPr="00FC4465">
        <w:rPr>
          <w:rFonts w:asciiTheme="majorBidi" w:hAnsiTheme="majorBidi" w:cstheme="majorBidi"/>
        </w:rPr>
        <w:t xml:space="preserve"> por </w:t>
      </w:r>
      <w:r w:rsidR="008C5013" w:rsidRPr="00FC4465">
        <w:rPr>
          <w:rFonts w:asciiTheme="majorBidi" w:hAnsiTheme="majorBidi" w:cstheme="majorBidi"/>
        </w:rPr>
        <w:t>“</w:t>
      </w:r>
      <w:r w:rsidRPr="00FC4465">
        <w:rPr>
          <w:rFonts w:asciiTheme="majorBidi" w:hAnsiTheme="majorBidi" w:cstheme="majorBidi"/>
        </w:rPr>
        <w:t>mezcla aerosolizada</w:t>
      </w:r>
      <w:r w:rsidR="008C5013" w:rsidRPr="00FC4465">
        <w:rPr>
          <w:rFonts w:asciiTheme="majorBidi" w:hAnsiTheme="majorBidi" w:cstheme="majorBidi"/>
        </w:rPr>
        <w:t>”</w:t>
      </w:r>
      <w:r w:rsidRPr="00FC4465">
        <w:rPr>
          <w:rFonts w:asciiTheme="majorBidi" w:hAnsiTheme="majorBidi" w:cstheme="majorBidi"/>
        </w:rPr>
        <w:t>.</w:t>
      </w:r>
    </w:p>
    <w:p w14:paraId="35B77B3E" w14:textId="088667E3" w:rsidR="00284D49" w:rsidRPr="00FC4465" w:rsidRDefault="00284D49" w:rsidP="00284D49">
      <w:pPr>
        <w:pStyle w:val="SingleTxtG"/>
        <w:tabs>
          <w:tab w:val="clear" w:pos="1701"/>
        </w:tabs>
        <w:ind w:left="2268" w:hanging="1134"/>
        <w:rPr>
          <w:rFonts w:asciiTheme="majorBidi" w:hAnsiTheme="majorBidi" w:cstheme="majorBidi"/>
        </w:rPr>
      </w:pPr>
      <w:r w:rsidRPr="00FC4465">
        <w:rPr>
          <w:rFonts w:asciiTheme="majorBidi" w:hAnsiTheme="majorBidi" w:cstheme="majorBidi"/>
        </w:rPr>
        <w:t>3.8.4.1</w:t>
      </w:r>
      <w:r w:rsidRPr="00FC4465">
        <w:rPr>
          <w:rFonts w:asciiTheme="majorBidi" w:hAnsiTheme="majorBidi" w:cstheme="majorBidi"/>
        </w:rPr>
        <w:tab/>
        <w:t xml:space="preserve">Al final del párrafo, añádase la siguiente oración: </w:t>
      </w:r>
      <w:r w:rsidR="008C5013" w:rsidRPr="00FC4465">
        <w:rPr>
          <w:rFonts w:asciiTheme="majorBidi" w:hAnsiTheme="majorBidi" w:cstheme="majorBidi"/>
        </w:rPr>
        <w:t>“</w:t>
      </w:r>
      <w:r w:rsidRPr="00FC4465">
        <w:rPr>
          <w:rFonts w:asciiTheme="majorBidi" w:hAnsiTheme="majorBidi" w:cstheme="majorBidi"/>
        </w:rPr>
        <w:t>La tabla 3.8.3 presenta los elementos específicos que deben figurar en las etiquetas de las sustancias y mezclas clasificadas en esta clase de peligro con arreglo a los criterios indicados en el presente capítulo.</w:t>
      </w:r>
      <w:r w:rsidR="008C5013" w:rsidRPr="00FC4465">
        <w:rPr>
          <w:rFonts w:asciiTheme="majorBidi" w:hAnsiTheme="majorBidi" w:cstheme="majorBidi"/>
        </w:rPr>
        <w:t>”</w:t>
      </w:r>
      <w:r w:rsidRPr="00FC4465">
        <w:rPr>
          <w:rFonts w:asciiTheme="majorBidi" w:hAnsiTheme="majorBidi" w:cstheme="majorBidi"/>
        </w:rPr>
        <w:t>.</w:t>
      </w:r>
    </w:p>
    <w:p w14:paraId="5AFFD6A8" w14:textId="62EA856D" w:rsidR="00284D49" w:rsidRPr="00FC4465" w:rsidRDefault="00284D49" w:rsidP="00284D49">
      <w:pPr>
        <w:pStyle w:val="SingleTxtG"/>
        <w:tabs>
          <w:tab w:val="clear" w:pos="1701"/>
        </w:tabs>
        <w:ind w:left="2268" w:hanging="1134"/>
        <w:rPr>
          <w:rFonts w:asciiTheme="majorBidi" w:hAnsiTheme="majorBidi" w:cstheme="majorBidi"/>
        </w:rPr>
      </w:pPr>
      <w:r w:rsidRPr="00FC4465">
        <w:rPr>
          <w:rFonts w:asciiTheme="majorBidi" w:hAnsiTheme="majorBidi" w:cstheme="majorBidi"/>
        </w:rPr>
        <w:t xml:space="preserve">3.8.5.1 </w:t>
      </w:r>
      <w:r w:rsidRPr="00FC4465">
        <w:rPr>
          <w:rFonts w:asciiTheme="majorBidi" w:hAnsiTheme="majorBidi" w:cstheme="majorBidi"/>
        </w:rPr>
        <w:tab/>
        <w:t>En los cuadros de texto cuarto, quinto y sexto del procedimiento de decisión</w:t>
      </w:r>
      <w:r w:rsidR="002A21D5">
        <w:rPr>
          <w:rFonts w:asciiTheme="majorBidi" w:hAnsiTheme="majorBidi" w:cstheme="majorBidi"/>
        </w:rPr>
        <w:t> </w:t>
      </w:r>
      <w:r w:rsidRPr="00FC4465">
        <w:rPr>
          <w:rFonts w:asciiTheme="majorBidi" w:hAnsiTheme="majorBidi" w:cstheme="majorBidi"/>
        </w:rPr>
        <w:t xml:space="preserve">3.8.1, sustitúyase </w:t>
      </w:r>
      <w:r w:rsidR="008C5013" w:rsidRPr="00FC4465">
        <w:rPr>
          <w:rFonts w:asciiTheme="majorBidi" w:hAnsiTheme="majorBidi" w:cstheme="majorBidi"/>
        </w:rPr>
        <w:t>“</w:t>
      </w:r>
      <w:r w:rsidRPr="00FC4465">
        <w:rPr>
          <w:rFonts w:asciiTheme="majorBidi" w:hAnsiTheme="majorBidi" w:cstheme="majorBidi"/>
        </w:rPr>
        <w:t>que sopesen todos los datos disponibles</w:t>
      </w:r>
      <w:r w:rsidR="008C5013" w:rsidRPr="00FC4465">
        <w:rPr>
          <w:rFonts w:asciiTheme="majorBidi" w:hAnsiTheme="majorBidi" w:cstheme="majorBidi"/>
        </w:rPr>
        <w:t>”</w:t>
      </w:r>
      <w:r w:rsidRPr="00FC4465">
        <w:rPr>
          <w:rFonts w:asciiTheme="majorBidi" w:hAnsiTheme="majorBidi" w:cstheme="majorBidi"/>
        </w:rPr>
        <w:t xml:space="preserve"> por </w:t>
      </w:r>
      <w:r w:rsidR="008C5013" w:rsidRPr="00FC4465">
        <w:rPr>
          <w:rFonts w:asciiTheme="majorBidi" w:hAnsiTheme="majorBidi" w:cstheme="majorBidi"/>
        </w:rPr>
        <w:t>“</w:t>
      </w:r>
      <w:r w:rsidRPr="00FC4465">
        <w:rPr>
          <w:rFonts w:asciiTheme="majorBidi" w:hAnsiTheme="majorBidi" w:cstheme="majorBidi"/>
        </w:rPr>
        <w:t>en el marco de una evaluación del peso de los datos</w:t>
      </w:r>
      <w:r w:rsidR="008C5013" w:rsidRPr="00FC4465">
        <w:rPr>
          <w:rFonts w:asciiTheme="majorBidi" w:hAnsiTheme="majorBidi" w:cstheme="majorBidi"/>
        </w:rPr>
        <w:t>”</w:t>
      </w:r>
      <w:r w:rsidRPr="00FC4465">
        <w:rPr>
          <w:rFonts w:asciiTheme="majorBidi" w:hAnsiTheme="majorBidi" w:cstheme="majorBidi"/>
        </w:rPr>
        <w:t>.</w:t>
      </w:r>
    </w:p>
    <w:p w14:paraId="23DAE2C5" w14:textId="77777777" w:rsidR="00284D49" w:rsidRPr="00FC4465" w:rsidRDefault="00284D49" w:rsidP="00802EA2">
      <w:pPr>
        <w:pStyle w:val="H1G"/>
      </w:pPr>
      <w:r w:rsidRPr="00FC4465">
        <w:tab/>
      </w:r>
      <w:r w:rsidRPr="00FC4465">
        <w:tab/>
        <w:t>Capítulo 3.9</w:t>
      </w:r>
    </w:p>
    <w:p w14:paraId="1F3A5D16" w14:textId="77777777" w:rsidR="00284D49" w:rsidRPr="00FC4465" w:rsidRDefault="00284D49" w:rsidP="00284D49">
      <w:pPr>
        <w:pStyle w:val="SingleTxtG"/>
        <w:tabs>
          <w:tab w:val="clear" w:pos="1701"/>
          <w:tab w:val="clear" w:pos="2268"/>
        </w:tabs>
        <w:ind w:left="2127" w:hanging="993"/>
        <w:rPr>
          <w:rFonts w:asciiTheme="majorBidi" w:hAnsiTheme="majorBidi" w:cstheme="majorBidi"/>
        </w:rPr>
      </w:pPr>
      <w:r w:rsidRPr="00FC4465">
        <w:rPr>
          <w:rFonts w:asciiTheme="majorBidi" w:hAnsiTheme="majorBidi" w:cstheme="majorBidi"/>
        </w:rPr>
        <w:t>3.9.2.9.8</w:t>
      </w:r>
      <w:r w:rsidRPr="00FC4465">
        <w:rPr>
          <w:rFonts w:asciiTheme="majorBidi" w:hAnsiTheme="majorBidi" w:cstheme="majorBidi"/>
        </w:rPr>
        <w:tab/>
        <w:t>La modificación no se aplica al texto en español.</w:t>
      </w:r>
    </w:p>
    <w:p w14:paraId="1D11CD57" w14:textId="77777777" w:rsidR="00284D49" w:rsidRPr="00FC4465" w:rsidRDefault="00284D49" w:rsidP="00284D49">
      <w:pPr>
        <w:pStyle w:val="SingleTxtG"/>
        <w:tabs>
          <w:tab w:val="clear" w:pos="1701"/>
          <w:tab w:val="clear" w:pos="2268"/>
        </w:tabs>
        <w:ind w:left="2127" w:hanging="993"/>
        <w:rPr>
          <w:rFonts w:asciiTheme="majorBidi" w:hAnsiTheme="majorBidi" w:cstheme="majorBidi"/>
        </w:rPr>
      </w:pPr>
      <w:r w:rsidRPr="00FC4465">
        <w:rPr>
          <w:rFonts w:asciiTheme="majorBidi" w:hAnsiTheme="majorBidi" w:cstheme="majorBidi"/>
        </w:rPr>
        <w:t>3.9.2.10.1</w:t>
      </w:r>
      <w:r w:rsidRPr="00FC4465">
        <w:rPr>
          <w:rFonts w:asciiTheme="majorBidi" w:hAnsiTheme="majorBidi" w:cstheme="majorBidi"/>
        </w:rPr>
        <w:tab/>
        <w:t>La modificación no se aplica al texto en español.</w:t>
      </w:r>
    </w:p>
    <w:p w14:paraId="4EFF4CDC" w14:textId="77777777" w:rsidR="00284D49" w:rsidRPr="00FC4465" w:rsidRDefault="00284D49" w:rsidP="00284D49">
      <w:pPr>
        <w:pStyle w:val="SingleTxtG"/>
        <w:tabs>
          <w:tab w:val="clear" w:pos="1701"/>
          <w:tab w:val="clear" w:pos="2268"/>
        </w:tabs>
        <w:ind w:left="2127" w:hanging="993"/>
        <w:rPr>
          <w:rFonts w:asciiTheme="majorBidi" w:hAnsiTheme="majorBidi" w:cstheme="majorBidi"/>
        </w:rPr>
      </w:pPr>
      <w:r w:rsidRPr="00FC4465">
        <w:rPr>
          <w:rFonts w:asciiTheme="majorBidi" w:hAnsiTheme="majorBidi" w:cstheme="majorBidi"/>
        </w:rPr>
        <w:t>3.9.3.2</w:t>
      </w:r>
      <w:r w:rsidRPr="00FC4465">
        <w:rPr>
          <w:rFonts w:asciiTheme="majorBidi" w:hAnsiTheme="majorBidi" w:cstheme="majorBidi"/>
        </w:rPr>
        <w:tab/>
        <w:t>La modificación no se aplica al texto en español.</w:t>
      </w:r>
    </w:p>
    <w:p w14:paraId="33346DFD" w14:textId="77777777" w:rsidR="00284D49" w:rsidRPr="00FC4465" w:rsidRDefault="00284D49" w:rsidP="00284D49">
      <w:pPr>
        <w:pStyle w:val="SingleTxtG"/>
        <w:tabs>
          <w:tab w:val="clear" w:pos="1701"/>
          <w:tab w:val="clear" w:pos="2268"/>
        </w:tabs>
        <w:ind w:left="2127" w:hanging="993"/>
        <w:rPr>
          <w:rFonts w:asciiTheme="majorBidi" w:hAnsiTheme="majorBidi" w:cstheme="majorBidi"/>
        </w:rPr>
      </w:pPr>
      <w:r w:rsidRPr="00FC4465">
        <w:rPr>
          <w:rFonts w:asciiTheme="majorBidi" w:hAnsiTheme="majorBidi" w:cstheme="majorBidi"/>
        </w:rPr>
        <w:t xml:space="preserve">3.9.3.3.6 </w:t>
      </w:r>
      <w:r w:rsidRPr="00FC4465">
        <w:rPr>
          <w:rFonts w:asciiTheme="majorBidi" w:hAnsiTheme="majorBidi" w:cstheme="majorBidi"/>
        </w:rPr>
        <w:tab/>
        <w:t xml:space="preserve">La modificación no se aplica al texto en español. </w:t>
      </w:r>
    </w:p>
    <w:p w14:paraId="7D6C431F" w14:textId="0F612F63" w:rsidR="00284D49" w:rsidRPr="00FC4465" w:rsidRDefault="00284D49" w:rsidP="00284D49">
      <w:pPr>
        <w:pStyle w:val="SingleTxtG"/>
        <w:tabs>
          <w:tab w:val="clear" w:pos="1701"/>
          <w:tab w:val="clear" w:pos="2268"/>
          <w:tab w:val="clear" w:pos="2835"/>
          <w:tab w:val="left" w:pos="2127"/>
        </w:tabs>
        <w:ind w:left="2127" w:hanging="993"/>
        <w:rPr>
          <w:rFonts w:asciiTheme="majorBidi" w:hAnsiTheme="majorBidi" w:cstheme="majorBidi"/>
        </w:rPr>
      </w:pPr>
      <w:r w:rsidRPr="00FC4465">
        <w:rPr>
          <w:rFonts w:asciiTheme="majorBidi" w:hAnsiTheme="majorBidi" w:cstheme="majorBidi"/>
        </w:rPr>
        <w:t xml:space="preserve">3.9.3.3.7 </w:t>
      </w:r>
      <w:r w:rsidRPr="00FC4465">
        <w:rPr>
          <w:rFonts w:asciiTheme="majorBidi" w:hAnsiTheme="majorBidi" w:cstheme="majorBidi"/>
        </w:rPr>
        <w:tab/>
        <w:t xml:space="preserve">Al inicio del párrafo, sustitúyase </w:t>
      </w:r>
      <w:r w:rsidR="008C5013" w:rsidRPr="00FC4465">
        <w:rPr>
          <w:rFonts w:asciiTheme="majorBidi" w:hAnsiTheme="majorBidi" w:cstheme="majorBidi"/>
        </w:rPr>
        <w:t>“</w:t>
      </w:r>
      <w:r w:rsidRPr="00FC4465">
        <w:rPr>
          <w:rFonts w:asciiTheme="majorBidi" w:hAnsiTheme="majorBidi" w:cstheme="majorBidi"/>
        </w:rPr>
        <w:t>mezcla en forma de aerosol</w:t>
      </w:r>
      <w:r w:rsidR="008C5013" w:rsidRPr="00FC4465">
        <w:rPr>
          <w:rFonts w:asciiTheme="majorBidi" w:hAnsiTheme="majorBidi" w:cstheme="majorBidi"/>
        </w:rPr>
        <w:t>”</w:t>
      </w:r>
      <w:r w:rsidRPr="00FC4465">
        <w:rPr>
          <w:rFonts w:asciiTheme="majorBidi" w:hAnsiTheme="majorBidi" w:cstheme="majorBidi"/>
        </w:rPr>
        <w:t xml:space="preserve"> por </w:t>
      </w:r>
      <w:r w:rsidR="008C5013" w:rsidRPr="00FC4465">
        <w:rPr>
          <w:rFonts w:asciiTheme="majorBidi" w:hAnsiTheme="majorBidi" w:cstheme="majorBidi"/>
        </w:rPr>
        <w:t>“</w:t>
      </w:r>
      <w:r w:rsidRPr="00FC4465">
        <w:rPr>
          <w:rFonts w:asciiTheme="majorBidi" w:hAnsiTheme="majorBidi" w:cstheme="majorBidi"/>
        </w:rPr>
        <w:t>mezcla aerosolizada</w:t>
      </w:r>
      <w:r w:rsidR="008C5013" w:rsidRPr="00FC4465">
        <w:rPr>
          <w:rFonts w:asciiTheme="majorBidi" w:hAnsiTheme="majorBidi" w:cstheme="majorBidi"/>
        </w:rPr>
        <w:t>”</w:t>
      </w:r>
      <w:r w:rsidRPr="00FC4465">
        <w:rPr>
          <w:rFonts w:asciiTheme="majorBidi" w:hAnsiTheme="majorBidi" w:cstheme="majorBidi"/>
        </w:rPr>
        <w:t>.</w:t>
      </w:r>
    </w:p>
    <w:p w14:paraId="3D57EFA7" w14:textId="323F9521" w:rsidR="00284D49" w:rsidRPr="00FC4465" w:rsidRDefault="00284D49" w:rsidP="00284D49">
      <w:pPr>
        <w:pStyle w:val="SingleTxtG"/>
        <w:tabs>
          <w:tab w:val="clear" w:pos="1701"/>
          <w:tab w:val="clear" w:pos="2268"/>
        </w:tabs>
        <w:ind w:left="2127" w:hanging="993"/>
        <w:rPr>
          <w:rFonts w:asciiTheme="majorBidi" w:hAnsiTheme="majorBidi" w:cstheme="majorBidi"/>
        </w:rPr>
      </w:pPr>
      <w:r w:rsidRPr="00FC4465">
        <w:rPr>
          <w:rFonts w:asciiTheme="majorBidi" w:hAnsiTheme="majorBidi" w:cstheme="majorBidi"/>
        </w:rPr>
        <w:t>3.9.4</w:t>
      </w:r>
      <w:r w:rsidRPr="00FC4465">
        <w:rPr>
          <w:rFonts w:asciiTheme="majorBidi" w:hAnsiTheme="majorBidi" w:cstheme="majorBidi"/>
        </w:rPr>
        <w:tab/>
        <w:t xml:space="preserve">Al final del párrafo, añádase la siguiente oración: </w:t>
      </w:r>
      <w:r w:rsidR="008C5013" w:rsidRPr="00FC4465">
        <w:rPr>
          <w:rFonts w:asciiTheme="majorBidi" w:hAnsiTheme="majorBidi" w:cstheme="majorBidi"/>
        </w:rPr>
        <w:t>“</w:t>
      </w:r>
      <w:r w:rsidRPr="00FC4465">
        <w:rPr>
          <w:rFonts w:asciiTheme="majorBidi" w:hAnsiTheme="majorBidi" w:cstheme="majorBidi"/>
        </w:rPr>
        <w:t>La tabla 3.9.4 presenta los elementos específicos que deben figurar en las etiquetas de las sustancias y mezclas clasificadas en esta clase de peligro con arreglo a los criterios indicados en el presente capítulo.</w:t>
      </w:r>
      <w:r w:rsidR="008C5013" w:rsidRPr="00FC4465">
        <w:rPr>
          <w:rFonts w:asciiTheme="majorBidi" w:hAnsiTheme="majorBidi" w:cstheme="majorBidi"/>
        </w:rPr>
        <w:t>”</w:t>
      </w:r>
      <w:r w:rsidRPr="00FC4465">
        <w:rPr>
          <w:rFonts w:asciiTheme="majorBidi" w:hAnsiTheme="majorBidi" w:cstheme="majorBidi"/>
        </w:rPr>
        <w:t>.</w:t>
      </w:r>
    </w:p>
    <w:p w14:paraId="7191A904" w14:textId="4C2A074A" w:rsidR="00284D49" w:rsidRPr="00FC4465" w:rsidRDefault="00284D49" w:rsidP="00284D49">
      <w:pPr>
        <w:pStyle w:val="SingleTxtG"/>
        <w:tabs>
          <w:tab w:val="clear" w:pos="1701"/>
          <w:tab w:val="clear" w:pos="2268"/>
        </w:tabs>
        <w:ind w:left="2127" w:hanging="993"/>
        <w:rPr>
          <w:rFonts w:asciiTheme="majorBidi" w:hAnsiTheme="majorBidi" w:cstheme="majorBidi"/>
        </w:rPr>
      </w:pPr>
      <w:r w:rsidRPr="00FC4465">
        <w:rPr>
          <w:rFonts w:asciiTheme="majorBidi" w:hAnsiTheme="majorBidi" w:cstheme="majorBidi"/>
        </w:rPr>
        <w:t xml:space="preserve">3.9.5.1 </w:t>
      </w:r>
      <w:r w:rsidRPr="00FC4465">
        <w:rPr>
          <w:rFonts w:asciiTheme="majorBidi" w:hAnsiTheme="majorBidi" w:cstheme="majorBidi"/>
        </w:rPr>
        <w:tab/>
        <w:t xml:space="preserve">En el cuarto cuadro de texto del procedimiento de decisión 3.9.1, sustitúyase </w:t>
      </w:r>
      <w:r w:rsidR="008C5013" w:rsidRPr="00FC4465">
        <w:rPr>
          <w:rFonts w:asciiTheme="majorBidi" w:hAnsiTheme="majorBidi" w:cstheme="majorBidi"/>
        </w:rPr>
        <w:t>“</w:t>
      </w:r>
      <w:r w:rsidRPr="00FC4465">
        <w:rPr>
          <w:rFonts w:asciiTheme="majorBidi" w:hAnsiTheme="majorBidi" w:cstheme="majorBidi"/>
        </w:rPr>
        <w:t>que sopesen todos los datos disponibles</w:t>
      </w:r>
      <w:r w:rsidR="008C5013" w:rsidRPr="00FC4465">
        <w:rPr>
          <w:rFonts w:asciiTheme="majorBidi" w:hAnsiTheme="majorBidi" w:cstheme="majorBidi"/>
        </w:rPr>
        <w:t>”</w:t>
      </w:r>
      <w:r w:rsidRPr="00FC4465">
        <w:rPr>
          <w:rFonts w:asciiTheme="majorBidi" w:hAnsiTheme="majorBidi" w:cstheme="majorBidi"/>
        </w:rPr>
        <w:t xml:space="preserve"> por </w:t>
      </w:r>
      <w:r w:rsidR="008C5013" w:rsidRPr="00FC4465">
        <w:rPr>
          <w:rFonts w:asciiTheme="majorBidi" w:hAnsiTheme="majorBidi" w:cstheme="majorBidi"/>
        </w:rPr>
        <w:t>“</w:t>
      </w:r>
      <w:r w:rsidRPr="00FC4465">
        <w:rPr>
          <w:rFonts w:asciiTheme="majorBidi" w:hAnsiTheme="majorBidi" w:cstheme="majorBidi"/>
        </w:rPr>
        <w:t xml:space="preserve">en el marco de una evaluación </w:t>
      </w:r>
      <w:r w:rsidRPr="00FC4465">
        <w:rPr>
          <w:rFonts w:asciiTheme="majorBidi" w:hAnsiTheme="majorBidi" w:cstheme="majorBidi"/>
        </w:rPr>
        <w:lastRenderedPageBreak/>
        <w:t>del peso de los datos</w:t>
      </w:r>
      <w:r w:rsidR="008C5013" w:rsidRPr="00FC4465">
        <w:rPr>
          <w:rFonts w:asciiTheme="majorBidi" w:hAnsiTheme="majorBidi" w:cstheme="majorBidi"/>
        </w:rPr>
        <w:t>”</w:t>
      </w:r>
      <w:r w:rsidRPr="00FC4465">
        <w:rPr>
          <w:rFonts w:asciiTheme="majorBidi" w:hAnsiTheme="majorBidi" w:cstheme="majorBidi"/>
        </w:rPr>
        <w:t xml:space="preserve">, y en el quinto, sustitúyase </w:t>
      </w:r>
      <w:r w:rsidR="008C5013" w:rsidRPr="00FC4465">
        <w:rPr>
          <w:rFonts w:asciiTheme="majorBidi" w:hAnsiTheme="majorBidi" w:cstheme="majorBidi"/>
        </w:rPr>
        <w:t>“</w:t>
      </w:r>
      <w:r w:rsidRPr="00FC4465">
        <w:rPr>
          <w:rFonts w:asciiTheme="majorBidi" w:hAnsiTheme="majorBidi" w:cstheme="majorBidi"/>
        </w:rPr>
        <w:t>tras haber evaluado y sopesado los datos disponibles</w:t>
      </w:r>
      <w:r w:rsidR="008C5013" w:rsidRPr="00FC4465">
        <w:rPr>
          <w:rFonts w:asciiTheme="majorBidi" w:hAnsiTheme="majorBidi" w:cstheme="majorBidi"/>
        </w:rPr>
        <w:t>”</w:t>
      </w:r>
      <w:r w:rsidRPr="00FC4465">
        <w:rPr>
          <w:rFonts w:asciiTheme="majorBidi" w:hAnsiTheme="majorBidi" w:cstheme="majorBidi"/>
        </w:rPr>
        <w:t xml:space="preserve"> por </w:t>
      </w:r>
      <w:r w:rsidR="008C5013" w:rsidRPr="00FC4465">
        <w:rPr>
          <w:rFonts w:asciiTheme="majorBidi" w:hAnsiTheme="majorBidi" w:cstheme="majorBidi"/>
        </w:rPr>
        <w:t>“</w:t>
      </w:r>
      <w:r w:rsidRPr="00FC4465">
        <w:rPr>
          <w:rFonts w:asciiTheme="majorBidi" w:hAnsiTheme="majorBidi" w:cstheme="majorBidi"/>
        </w:rPr>
        <w:t>tras realizar una evaluación del peso de los datos</w:t>
      </w:r>
      <w:r w:rsidR="008C5013" w:rsidRPr="00FC4465">
        <w:rPr>
          <w:rFonts w:asciiTheme="majorBidi" w:hAnsiTheme="majorBidi" w:cstheme="majorBidi"/>
        </w:rPr>
        <w:t>”</w:t>
      </w:r>
      <w:r w:rsidRPr="00FC4465">
        <w:rPr>
          <w:rFonts w:asciiTheme="majorBidi" w:hAnsiTheme="majorBidi" w:cstheme="majorBidi"/>
        </w:rPr>
        <w:t>.</w:t>
      </w:r>
    </w:p>
    <w:p w14:paraId="7C0DE600" w14:textId="77777777" w:rsidR="00284D49" w:rsidRPr="00FC4465" w:rsidRDefault="00284D49" w:rsidP="00802EA2">
      <w:pPr>
        <w:pStyle w:val="H1G"/>
      </w:pPr>
      <w:r w:rsidRPr="00FC4465">
        <w:tab/>
      </w:r>
      <w:r w:rsidRPr="00FC4465">
        <w:tab/>
        <w:t>Capítulo 3.10</w:t>
      </w:r>
    </w:p>
    <w:p w14:paraId="3C3D8F67" w14:textId="77777777" w:rsidR="00284D49" w:rsidRPr="00FC4465" w:rsidRDefault="00284D49" w:rsidP="00284D49">
      <w:pPr>
        <w:pStyle w:val="SingleTxtG"/>
        <w:tabs>
          <w:tab w:val="clear" w:pos="1701"/>
        </w:tabs>
        <w:ind w:left="2268" w:hanging="1134"/>
        <w:rPr>
          <w:rFonts w:asciiTheme="majorBidi" w:hAnsiTheme="majorBidi" w:cstheme="majorBidi"/>
        </w:rPr>
      </w:pPr>
      <w:r w:rsidRPr="00FC4465">
        <w:rPr>
          <w:rFonts w:asciiTheme="majorBidi" w:hAnsiTheme="majorBidi" w:cstheme="majorBidi"/>
        </w:rPr>
        <w:t>3.10.3.2.6</w:t>
      </w:r>
      <w:r w:rsidRPr="00FC4465">
        <w:rPr>
          <w:rFonts w:asciiTheme="majorBidi" w:hAnsiTheme="majorBidi" w:cstheme="majorBidi"/>
        </w:rPr>
        <w:tab/>
        <w:t xml:space="preserve">La modificación no se aplica al texto en español. </w:t>
      </w:r>
    </w:p>
    <w:p w14:paraId="20B33092" w14:textId="077B6C9D" w:rsidR="00284D49" w:rsidRPr="00FC4465" w:rsidRDefault="00284D49" w:rsidP="00284D49">
      <w:pPr>
        <w:pStyle w:val="SingleTxtG"/>
        <w:tabs>
          <w:tab w:val="clear" w:pos="1701"/>
        </w:tabs>
        <w:ind w:left="2268" w:hanging="1134"/>
        <w:rPr>
          <w:rFonts w:asciiTheme="majorBidi" w:hAnsiTheme="majorBidi" w:cstheme="majorBidi"/>
        </w:rPr>
      </w:pPr>
      <w:r w:rsidRPr="00FC4465">
        <w:rPr>
          <w:rFonts w:asciiTheme="majorBidi" w:hAnsiTheme="majorBidi" w:cstheme="majorBidi"/>
        </w:rPr>
        <w:t>3.10.4.1</w:t>
      </w:r>
      <w:r w:rsidRPr="00FC4465">
        <w:rPr>
          <w:rFonts w:asciiTheme="majorBidi" w:hAnsiTheme="majorBidi" w:cstheme="majorBidi"/>
        </w:rPr>
        <w:tab/>
        <w:t xml:space="preserve">Modifíquese la última oración del párrafo para que diga: </w:t>
      </w:r>
      <w:r w:rsidR="008C5013" w:rsidRPr="00FC4465">
        <w:rPr>
          <w:rFonts w:asciiTheme="majorBidi" w:hAnsiTheme="majorBidi" w:cstheme="majorBidi"/>
        </w:rPr>
        <w:t>“</w:t>
      </w:r>
      <w:r w:rsidRPr="00FC4465">
        <w:rPr>
          <w:rFonts w:asciiTheme="majorBidi" w:hAnsiTheme="majorBidi" w:cstheme="majorBidi"/>
        </w:rPr>
        <w:t>La tabla 3.10.2 presenta los elementos específicos que deben figurar en las etiquetas de las sustancias y mezclas clasificadas en esta clase de peligro con arreglo a los criterios indicados en el presente capítulo.</w:t>
      </w:r>
      <w:r w:rsidR="008C5013" w:rsidRPr="00FC4465">
        <w:rPr>
          <w:rFonts w:asciiTheme="majorBidi" w:hAnsiTheme="majorBidi" w:cstheme="majorBidi"/>
        </w:rPr>
        <w:t>”</w:t>
      </w:r>
      <w:r w:rsidRPr="00FC4465">
        <w:rPr>
          <w:rFonts w:asciiTheme="majorBidi" w:hAnsiTheme="majorBidi" w:cstheme="majorBidi"/>
        </w:rPr>
        <w:t>.</w:t>
      </w:r>
    </w:p>
    <w:p w14:paraId="155B15D3" w14:textId="77777777" w:rsidR="00284D49" w:rsidRPr="00FC4465" w:rsidRDefault="00284D49" w:rsidP="00802EA2">
      <w:pPr>
        <w:pStyle w:val="H1G"/>
      </w:pPr>
      <w:r w:rsidRPr="00FC4465">
        <w:tab/>
      </w:r>
      <w:r w:rsidRPr="00FC4465">
        <w:tab/>
        <w:t>Capítulo 4.1</w:t>
      </w:r>
    </w:p>
    <w:p w14:paraId="62610FC0" w14:textId="2ED32D9E" w:rsidR="00284D49" w:rsidRPr="00FC4465" w:rsidRDefault="00284D49" w:rsidP="00284D49">
      <w:pPr>
        <w:pStyle w:val="SingleTxtG"/>
        <w:tabs>
          <w:tab w:val="clear" w:pos="1701"/>
        </w:tabs>
        <w:ind w:left="2268" w:hanging="1134"/>
        <w:rPr>
          <w:rFonts w:asciiTheme="majorBidi" w:hAnsiTheme="majorBidi" w:cstheme="majorBidi"/>
        </w:rPr>
      </w:pPr>
      <w:r w:rsidRPr="00FC4465">
        <w:rPr>
          <w:rFonts w:asciiTheme="majorBidi" w:hAnsiTheme="majorBidi" w:cstheme="majorBidi"/>
        </w:rPr>
        <w:t>4.1.2.5</w:t>
      </w:r>
      <w:r w:rsidRPr="00FC4465">
        <w:rPr>
          <w:rFonts w:asciiTheme="majorBidi" w:hAnsiTheme="majorBidi" w:cstheme="majorBidi"/>
        </w:rPr>
        <w:tab/>
        <w:t xml:space="preserve">En la cuarta oración, sustitúyase </w:t>
      </w:r>
      <w:r w:rsidR="008C5013" w:rsidRPr="00FC4465">
        <w:rPr>
          <w:rFonts w:asciiTheme="majorBidi" w:hAnsiTheme="majorBidi" w:cstheme="majorBidi"/>
        </w:rPr>
        <w:t>“</w:t>
      </w:r>
      <w:r w:rsidRPr="00FC4465">
        <w:rPr>
          <w:rFonts w:asciiTheme="majorBidi" w:hAnsiTheme="majorBidi" w:cstheme="majorBidi"/>
        </w:rPr>
        <w:t>en que se recurra a ponderar la evidencia disponible</w:t>
      </w:r>
      <w:r w:rsidR="008C5013" w:rsidRPr="00FC4465">
        <w:rPr>
          <w:rFonts w:asciiTheme="majorBidi" w:hAnsiTheme="majorBidi" w:cstheme="majorBidi"/>
        </w:rPr>
        <w:t>”</w:t>
      </w:r>
      <w:r w:rsidRPr="00FC4465">
        <w:rPr>
          <w:rFonts w:asciiTheme="majorBidi" w:hAnsiTheme="majorBidi" w:cstheme="majorBidi"/>
        </w:rPr>
        <w:t xml:space="preserve"> por </w:t>
      </w:r>
      <w:r w:rsidR="008C5013" w:rsidRPr="00FC4465">
        <w:rPr>
          <w:rFonts w:asciiTheme="majorBidi" w:hAnsiTheme="majorBidi" w:cstheme="majorBidi"/>
        </w:rPr>
        <w:t>“</w:t>
      </w:r>
      <w:r w:rsidRPr="00FC4465">
        <w:rPr>
          <w:rFonts w:asciiTheme="majorBidi" w:hAnsiTheme="majorBidi" w:cstheme="majorBidi"/>
        </w:rPr>
        <w:t>en que se realice una evaluación del peso de los datos</w:t>
      </w:r>
      <w:r w:rsidR="008C5013" w:rsidRPr="00FC4465">
        <w:rPr>
          <w:rFonts w:asciiTheme="majorBidi" w:hAnsiTheme="majorBidi" w:cstheme="majorBidi"/>
        </w:rPr>
        <w:t>”</w:t>
      </w:r>
      <w:r w:rsidRPr="00FC4465">
        <w:rPr>
          <w:rFonts w:asciiTheme="majorBidi" w:hAnsiTheme="majorBidi" w:cstheme="majorBidi"/>
        </w:rPr>
        <w:t>.</w:t>
      </w:r>
    </w:p>
    <w:p w14:paraId="40A61942" w14:textId="3AE5253B" w:rsidR="00284D49" w:rsidRPr="00FC4465" w:rsidRDefault="00284D49" w:rsidP="00284D49">
      <w:pPr>
        <w:pStyle w:val="SingleTxtG"/>
        <w:tabs>
          <w:tab w:val="clear" w:pos="1701"/>
        </w:tabs>
        <w:ind w:left="2268" w:hanging="1134"/>
        <w:rPr>
          <w:rFonts w:asciiTheme="majorBidi" w:hAnsiTheme="majorBidi" w:cstheme="majorBidi"/>
        </w:rPr>
      </w:pPr>
      <w:r w:rsidRPr="00FC4465">
        <w:rPr>
          <w:rFonts w:asciiTheme="majorBidi" w:hAnsiTheme="majorBidi" w:cstheme="majorBidi"/>
        </w:rPr>
        <w:t xml:space="preserve">4.1.3.4.6 </w:t>
      </w:r>
      <w:r w:rsidRPr="00FC4465">
        <w:rPr>
          <w:rFonts w:asciiTheme="majorBidi" w:hAnsiTheme="majorBidi" w:cstheme="majorBidi"/>
        </w:rPr>
        <w:tab/>
        <w:t xml:space="preserve">En la última oración, sustitúyase </w:t>
      </w:r>
      <w:r w:rsidR="008C5013" w:rsidRPr="00FC4465">
        <w:rPr>
          <w:rFonts w:asciiTheme="majorBidi" w:hAnsiTheme="majorBidi" w:cstheme="majorBidi"/>
        </w:rPr>
        <w:t>“</w:t>
      </w:r>
      <w:r w:rsidRPr="00FC4465">
        <w:rPr>
          <w:rFonts w:asciiTheme="majorBidi" w:hAnsiTheme="majorBidi" w:cstheme="majorBidi"/>
        </w:rPr>
        <w:t>podrá asignarse a la misma</w:t>
      </w:r>
      <w:r w:rsidR="008C5013" w:rsidRPr="00FC4465">
        <w:rPr>
          <w:rFonts w:asciiTheme="majorBidi" w:hAnsiTheme="majorBidi" w:cstheme="majorBidi"/>
        </w:rPr>
        <w:t>”</w:t>
      </w:r>
      <w:r w:rsidRPr="00FC4465">
        <w:rPr>
          <w:rFonts w:asciiTheme="majorBidi" w:hAnsiTheme="majorBidi" w:cstheme="majorBidi"/>
        </w:rPr>
        <w:t xml:space="preserve"> por </w:t>
      </w:r>
      <w:r w:rsidR="008C5013" w:rsidRPr="00FC4465">
        <w:rPr>
          <w:rFonts w:asciiTheme="majorBidi" w:hAnsiTheme="majorBidi" w:cstheme="majorBidi"/>
        </w:rPr>
        <w:t>“</w:t>
      </w:r>
      <w:r w:rsidRPr="00FC4465">
        <w:rPr>
          <w:rFonts w:asciiTheme="majorBidi" w:hAnsiTheme="majorBidi" w:cstheme="majorBidi"/>
        </w:rPr>
        <w:t>podrá clasificarse en la misma</w:t>
      </w:r>
      <w:r w:rsidR="008C5013" w:rsidRPr="00FC4465">
        <w:rPr>
          <w:rFonts w:asciiTheme="majorBidi" w:hAnsiTheme="majorBidi" w:cstheme="majorBidi"/>
        </w:rPr>
        <w:t>”</w:t>
      </w:r>
      <w:r w:rsidRPr="00FC4465">
        <w:rPr>
          <w:rFonts w:asciiTheme="majorBidi" w:hAnsiTheme="majorBidi" w:cstheme="majorBidi"/>
        </w:rPr>
        <w:t xml:space="preserve">. </w:t>
      </w:r>
    </w:p>
    <w:p w14:paraId="3F23D105" w14:textId="38A3F839" w:rsidR="00284D49" w:rsidRPr="00FC4465" w:rsidRDefault="00284D49" w:rsidP="00284D49">
      <w:pPr>
        <w:pStyle w:val="SingleTxtG"/>
        <w:tabs>
          <w:tab w:val="clear" w:pos="1701"/>
        </w:tabs>
        <w:ind w:left="2268" w:hanging="1134"/>
        <w:rPr>
          <w:rFonts w:asciiTheme="majorBidi" w:hAnsiTheme="majorBidi" w:cstheme="majorBidi"/>
        </w:rPr>
      </w:pPr>
      <w:r w:rsidRPr="00FC4465">
        <w:rPr>
          <w:rFonts w:asciiTheme="majorBidi" w:hAnsiTheme="majorBidi" w:cstheme="majorBidi"/>
        </w:rPr>
        <w:t>4.1.4</w:t>
      </w:r>
      <w:r w:rsidRPr="00FC4465">
        <w:rPr>
          <w:rFonts w:asciiTheme="majorBidi" w:hAnsiTheme="majorBidi" w:cstheme="majorBidi"/>
        </w:rPr>
        <w:tab/>
        <w:t xml:space="preserve">Al final del párrafo, añádase la siguiente oración: </w:t>
      </w:r>
      <w:r w:rsidR="008C5013" w:rsidRPr="00FC4465">
        <w:rPr>
          <w:rFonts w:asciiTheme="majorBidi" w:hAnsiTheme="majorBidi" w:cstheme="majorBidi"/>
        </w:rPr>
        <w:t>“</w:t>
      </w:r>
      <w:r w:rsidRPr="00FC4465">
        <w:rPr>
          <w:rFonts w:asciiTheme="majorBidi" w:hAnsiTheme="majorBidi" w:cstheme="majorBidi"/>
        </w:rPr>
        <w:t>La tabla 4.1.6 presenta los elementos específicos que deben figurar en las etiquetas de las sustancias y mezclas clasificadas en esta clase de peligro con arreglo a los criterios indicados en el presente capítulo.</w:t>
      </w:r>
      <w:r w:rsidR="008C5013" w:rsidRPr="00FC4465">
        <w:rPr>
          <w:rFonts w:asciiTheme="majorBidi" w:hAnsiTheme="majorBidi" w:cstheme="majorBidi"/>
        </w:rPr>
        <w:t>”</w:t>
      </w:r>
      <w:r w:rsidRPr="00FC4465">
        <w:rPr>
          <w:rFonts w:asciiTheme="majorBidi" w:hAnsiTheme="majorBidi" w:cstheme="majorBidi"/>
        </w:rPr>
        <w:t>.</w:t>
      </w:r>
    </w:p>
    <w:p w14:paraId="5C1670B3" w14:textId="77777777" w:rsidR="00284D49" w:rsidRPr="00FC4465" w:rsidRDefault="00284D49" w:rsidP="00802EA2">
      <w:pPr>
        <w:pStyle w:val="H1G"/>
      </w:pPr>
      <w:r w:rsidRPr="00FC4465">
        <w:tab/>
      </w:r>
      <w:r w:rsidRPr="00FC4465">
        <w:tab/>
        <w:t>Capítulo 4.2</w:t>
      </w:r>
    </w:p>
    <w:p w14:paraId="63EE7298" w14:textId="71CB5E89" w:rsidR="00284D49" w:rsidRPr="00FC4465" w:rsidRDefault="00284D49" w:rsidP="00284D49">
      <w:pPr>
        <w:pStyle w:val="SingleTxtG"/>
        <w:tabs>
          <w:tab w:val="clear" w:pos="1701"/>
        </w:tabs>
        <w:ind w:left="2268" w:hanging="1134"/>
        <w:rPr>
          <w:rFonts w:asciiTheme="majorBidi" w:hAnsiTheme="majorBidi" w:cstheme="majorBidi"/>
        </w:rPr>
      </w:pPr>
      <w:r w:rsidRPr="00FC4465">
        <w:rPr>
          <w:rFonts w:asciiTheme="majorBidi" w:hAnsiTheme="majorBidi" w:cstheme="majorBidi"/>
        </w:rPr>
        <w:t>4.2.3</w:t>
      </w:r>
      <w:r w:rsidRPr="00FC4465">
        <w:rPr>
          <w:rFonts w:asciiTheme="majorBidi" w:hAnsiTheme="majorBidi" w:cstheme="majorBidi"/>
        </w:rPr>
        <w:tab/>
        <w:t xml:space="preserve">Al final del párrafo, añádase la siguiente oración: </w:t>
      </w:r>
      <w:r w:rsidR="008C5013" w:rsidRPr="00FC4465">
        <w:rPr>
          <w:rFonts w:asciiTheme="majorBidi" w:hAnsiTheme="majorBidi" w:cstheme="majorBidi"/>
        </w:rPr>
        <w:t>“</w:t>
      </w:r>
      <w:r w:rsidRPr="00FC4465">
        <w:rPr>
          <w:rFonts w:asciiTheme="majorBidi" w:hAnsiTheme="majorBidi" w:cstheme="majorBidi"/>
        </w:rPr>
        <w:t>La tabla 4.2.2 presenta los elementos específicos que deben figurar en las etiquetas de las sustancias y mezclas clasificadas en esta clase de peligro con arreglo a los criterios indicados en el presente capítulo.</w:t>
      </w:r>
      <w:r w:rsidR="008C5013" w:rsidRPr="00FC4465">
        <w:rPr>
          <w:rFonts w:asciiTheme="majorBidi" w:hAnsiTheme="majorBidi" w:cstheme="majorBidi"/>
        </w:rPr>
        <w:t>”</w:t>
      </w:r>
      <w:r w:rsidRPr="00FC4465">
        <w:rPr>
          <w:rFonts w:asciiTheme="majorBidi" w:hAnsiTheme="majorBidi" w:cstheme="majorBidi"/>
        </w:rPr>
        <w:t>.</w:t>
      </w:r>
    </w:p>
    <w:p w14:paraId="4DAF1CD1" w14:textId="77777777" w:rsidR="00284D49" w:rsidRPr="00FC4465" w:rsidRDefault="00284D49" w:rsidP="00802EA2">
      <w:pPr>
        <w:pStyle w:val="H1G"/>
      </w:pPr>
      <w:r w:rsidRPr="00FC4465">
        <w:tab/>
      </w:r>
      <w:r w:rsidRPr="00FC4465">
        <w:tab/>
        <w:t>Anexo 3</w:t>
      </w:r>
    </w:p>
    <w:p w14:paraId="51F15178" w14:textId="77777777" w:rsidR="00284D49" w:rsidRPr="00FC4465" w:rsidRDefault="00284D49" w:rsidP="00802EA2">
      <w:pPr>
        <w:pStyle w:val="H23G"/>
      </w:pPr>
      <w:r w:rsidRPr="00FC4465">
        <w:tab/>
      </w:r>
      <w:r w:rsidRPr="00FC4465">
        <w:tab/>
        <w:t>Sección 1</w:t>
      </w:r>
    </w:p>
    <w:p w14:paraId="31CF56BD" w14:textId="77777777" w:rsidR="00284D49" w:rsidRPr="00FC4465" w:rsidRDefault="00284D49" w:rsidP="00802EA2">
      <w:pPr>
        <w:pStyle w:val="SingleTxtG"/>
        <w:keepNext/>
        <w:keepLines/>
        <w:tabs>
          <w:tab w:val="clear" w:pos="1701"/>
        </w:tabs>
        <w:rPr>
          <w:rFonts w:asciiTheme="majorBidi" w:hAnsiTheme="majorBidi" w:cstheme="majorBidi"/>
        </w:rPr>
      </w:pPr>
      <w:r w:rsidRPr="00FC4465">
        <w:rPr>
          <w:rFonts w:asciiTheme="majorBidi" w:hAnsiTheme="majorBidi" w:cstheme="majorBidi"/>
        </w:rPr>
        <w:t>A3.1.2.3</w:t>
      </w:r>
      <w:r w:rsidRPr="00FC4465">
        <w:rPr>
          <w:rFonts w:asciiTheme="majorBidi" w:hAnsiTheme="majorBidi" w:cstheme="majorBidi"/>
        </w:rPr>
        <w:tab/>
        <w:t>Modifíquese la última oración para que diga:</w:t>
      </w:r>
    </w:p>
    <w:p w14:paraId="7A3F6AF2" w14:textId="2E8A9B36" w:rsidR="00284D49" w:rsidRPr="00FC4465" w:rsidRDefault="008C5013" w:rsidP="00802EA2">
      <w:pPr>
        <w:pStyle w:val="SingleTxtG"/>
        <w:tabs>
          <w:tab w:val="clear" w:pos="1701"/>
        </w:tabs>
        <w:ind w:left="2268"/>
        <w:rPr>
          <w:rFonts w:asciiTheme="majorBidi" w:hAnsiTheme="majorBidi" w:cstheme="majorBidi"/>
        </w:rPr>
      </w:pPr>
      <w:r w:rsidRPr="00FC4465">
        <w:rPr>
          <w:rFonts w:asciiTheme="majorBidi" w:hAnsiTheme="majorBidi" w:cstheme="majorBidi"/>
        </w:rPr>
        <w:t>“</w:t>
      </w:r>
      <w:r w:rsidR="00284D49" w:rsidRPr="00FC4465">
        <w:rPr>
          <w:rFonts w:asciiTheme="majorBidi" w:hAnsiTheme="majorBidi" w:cstheme="majorBidi"/>
        </w:rPr>
        <w:t xml:space="preserve">Por ejemplo, H300 + H310 + H330 indica que el texto que deberá aparecer en la etiqueta es </w:t>
      </w:r>
      <w:r w:rsidRPr="00FC4465">
        <w:rPr>
          <w:rFonts w:asciiTheme="majorBidi" w:hAnsiTheme="majorBidi" w:cstheme="majorBidi"/>
        </w:rPr>
        <w:t>“</w:t>
      </w:r>
      <w:r w:rsidR="00284D49" w:rsidRPr="00FC4465">
        <w:rPr>
          <w:rFonts w:asciiTheme="majorBidi" w:hAnsiTheme="majorBidi" w:cstheme="majorBidi"/>
          <w:b/>
          <w:bCs/>
        </w:rPr>
        <w:t>Mortal en caso de ingestión, contacto con la piel o inhalación</w:t>
      </w:r>
      <w:r w:rsidRPr="00FC4465">
        <w:rPr>
          <w:rFonts w:asciiTheme="majorBidi" w:hAnsiTheme="majorBidi" w:cstheme="majorBidi"/>
        </w:rPr>
        <w:t>”</w:t>
      </w:r>
      <w:r w:rsidR="00284D49" w:rsidRPr="00FC4465">
        <w:rPr>
          <w:rFonts w:asciiTheme="majorBidi" w:hAnsiTheme="majorBidi" w:cstheme="majorBidi"/>
        </w:rPr>
        <w:t>.</w:t>
      </w:r>
      <w:r w:rsidRPr="00FC4465">
        <w:rPr>
          <w:rFonts w:asciiTheme="majorBidi" w:hAnsiTheme="majorBidi" w:cstheme="majorBidi"/>
        </w:rPr>
        <w:t>”</w:t>
      </w:r>
      <w:r w:rsidR="00284D49" w:rsidRPr="00FC4465">
        <w:rPr>
          <w:rFonts w:asciiTheme="majorBidi" w:hAnsiTheme="majorBidi" w:cstheme="majorBidi"/>
        </w:rPr>
        <w:t>.</w:t>
      </w:r>
    </w:p>
    <w:p w14:paraId="6DF6C165" w14:textId="77777777" w:rsidR="00284D49" w:rsidRPr="00FC4465" w:rsidRDefault="00284D49" w:rsidP="00802EA2">
      <w:pPr>
        <w:pStyle w:val="SingleTxtG"/>
        <w:tabs>
          <w:tab w:val="clear" w:pos="1701"/>
        </w:tabs>
        <w:ind w:left="1701" w:hanging="567"/>
        <w:rPr>
          <w:rFonts w:asciiTheme="majorBidi" w:hAnsiTheme="majorBidi" w:cstheme="majorBidi"/>
        </w:rPr>
      </w:pPr>
      <w:r w:rsidRPr="00FC4465">
        <w:rPr>
          <w:rFonts w:asciiTheme="majorBidi" w:hAnsiTheme="majorBidi" w:cstheme="majorBidi"/>
        </w:rPr>
        <w:t>A3.1.2.4</w:t>
      </w:r>
      <w:r w:rsidRPr="00FC4465">
        <w:rPr>
          <w:rFonts w:asciiTheme="majorBidi" w:hAnsiTheme="majorBidi" w:cstheme="majorBidi"/>
        </w:rPr>
        <w:tab/>
        <w:t xml:space="preserve">Modifíquese la última oración para que diga: </w:t>
      </w:r>
    </w:p>
    <w:p w14:paraId="2E6626B8" w14:textId="01A090C8" w:rsidR="00284D49" w:rsidRPr="00FC4465" w:rsidRDefault="008C5013" w:rsidP="00802EA2">
      <w:pPr>
        <w:pStyle w:val="SingleTxtG"/>
        <w:tabs>
          <w:tab w:val="clear" w:pos="1701"/>
        </w:tabs>
        <w:ind w:left="2268"/>
        <w:rPr>
          <w:rFonts w:asciiTheme="majorBidi" w:hAnsiTheme="majorBidi" w:cstheme="majorBidi"/>
        </w:rPr>
      </w:pPr>
      <w:r w:rsidRPr="00FC4465">
        <w:rPr>
          <w:rFonts w:asciiTheme="majorBidi" w:hAnsiTheme="majorBidi" w:cstheme="majorBidi"/>
        </w:rPr>
        <w:t>“</w:t>
      </w:r>
      <w:r w:rsidR="00284D49" w:rsidRPr="00FC4465">
        <w:rPr>
          <w:rFonts w:asciiTheme="majorBidi" w:hAnsiTheme="majorBidi" w:cstheme="majorBidi"/>
        </w:rPr>
        <w:t>Además, cuando esté permitida una indicación de peligro combinada para dos o más indicaciones de peligro individuales (véase A3.1.2.5), la autoridad competente podrá especificar si la etiqueta debe contener la indicación combinada o las correspondientes indicaciones individuales, o dejar esta decisión a discreción del fabricante/proveedor.</w:t>
      </w:r>
      <w:r w:rsidRPr="00FC4465">
        <w:rPr>
          <w:rFonts w:asciiTheme="majorBidi" w:hAnsiTheme="majorBidi" w:cstheme="majorBidi"/>
        </w:rPr>
        <w:t>”</w:t>
      </w:r>
      <w:r w:rsidR="00284D49" w:rsidRPr="00FC4465">
        <w:rPr>
          <w:rFonts w:asciiTheme="majorBidi" w:hAnsiTheme="majorBidi" w:cstheme="majorBidi"/>
        </w:rPr>
        <w:t>.</w:t>
      </w:r>
    </w:p>
    <w:p w14:paraId="1FE83165" w14:textId="77777777" w:rsidR="00284D49" w:rsidRPr="00FC4465" w:rsidRDefault="00284D49" w:rsidP="00802EA2">
      <w:pPr>
        <w:pStyle w:val="SingleTxtG"/>
        <w:tabs>
          <w:tab w:val="clear" w:pos="1701"/>
        </w:tabs>
        <w:rPr>
          <w:rFonts w:asciiTheme="majorBidi" w:hAnsiTheme="majorBidi" w:cstheme="majorBidi"/>
        </w:rPr>
      </w:pPr>
      <w:r w:rsidRPr="00FC4465">
        <w:rPr>
          <w:rFonts w:asciiTheme="majorBidi" w:hAnsiTheme="majorBidi" w:cstheme="majorBidi"/>
        </w:rPr>
        <w:t>A3.1.2.5 (nuevo)</w:t>
      </w:r>
      <w:r w:rsidRPr="00FC4465">
        <w:rPr>
          <w:rFonts w:asciiTheme="majorBidi" w:hAnsiTheme="majorBidi" w:cstheme="majorBidi"/>
        </w:rPr>
        <w:tab/>
        <w:t>Después de la actual tabla A3.1.1, insértese un nuevo párrafo que diga:</w:t>
      </w:r>
    </w:p>
    <w:p w14:paraId="29BBAD49" w14:textId="2D9C7705" w:rsidR="00284D49" w:rsidRPr="00FC4465" w:rsidRDefault="008C5013" w:rsidP="00802EA2">
      <w:pPr>
        <w:pStyle w:val="SingleTxtG"/>
        <w:tabs>
          <w:tab w:val="clear" w:pos="1701"/>
        </w:tabs>
        <w:ind w:left="2268"/>
        <w:rPr>
          <w:rFonts w:asciiTheme="majorBidi" w:hAnsiTheme="majorBidi" w:cstheme="majorBidi"/>
        </w:rPr>
      </w:pPr>
      <w:bookmarkStart w:id="18" w:name="_Hlk124948137"/>
      <w:r w:rsidRPr="00FC4465">
        <w:rPr>
          <w:rFonts w:asciiTheme="majorBidi" w:hAnsiTheme="majorBidi" w:cstheme="majorBidi"/>
        </w:rPr>
        <w:t>“</w:t>
      </w:r>
      <w:r w:rsidR="00284D49" w:rsidRPr="00FC4465">
        <w:rPr>
          <w:rFonts w:asciiTheme="majorBidi" w:hAnsiTheme="majorBidi" w:cstheme="majorBidi"/>
        </w:rPr>
        <w:t>A3.1.2.5</w:t>
      </w:r>
      <w:r w:rsidR="00284D49" w:rsidRPr="00FC4465">
        <w:rPr>
          <w:rFonts w:asciiTheme="majorBidi" w:hAnsiTheme="majorBidi" w:cstheme="majorBidi"/>
        </w:rPr>
        <w:tab/>
        <w:t xml:space="preserve">Además de las combinaciones que figuran en la tabla A3.1.2, también se permite combinar más de una indicación de peligro para la salud de gravedad equivalente si, por ejemplo, no hay espacio suficiente en la etiqueta. Cuando se combinen indicaciones de peligro, todos los peligros deberán quedar claramente indicados y solo podrá prescindirse del texto repetido. Las indicaciones pueden combinarse mediante la conjunción </w:t>
      </w:r>
      <w:r w:rsidRPr="00FC4465">
        <w:rPr>
          <w:rFonts w:asciiTheme="majorBidi" w:hAnsiTheme="majorBidi" w:cstheme="majorBidi"/>
        </w:rPr>
        <w:t>“</w:t>
      </w:r>
      <w:r w:rsidR="00284D49" w:rsidRPr="00FC4465">
        <w:rPr>
          <w:rFonts w:asciiTheme="majorBidi" w:hAnsiTheme="majorBidi" w:cstheme="majorBidi"/>
        </w:rPr>
        <w:t>y</w:t>
      </w:r>
      <w:r w:rsidRPr="00FC4465">
        <w:rPr>
          <w:rFonts w:asciiTheme="majorBidi" w:hAnsiTheme="majorBidi" w:cstheme="majorBidi"/>
        </w:rPr>
        <w:t>”</w:t>
      </w:r>
      <w:r w:rsidR="00284D49" w:rsidRPr="00FC4465">
        <w:rPr>
          <w:rFonts w:asciiTheme="majorBidi" w:hAnsiTheme="majorBidi" w:cstheme="majorBidi"/>
        </w:rPr>
        <w:t xml:space="preserve">, utilizando signos de puntuación adicionales y cambiando la caja de la letra inicial de la primera palabra de la indicación. Por ejemplo, las indicaciones H317 </w:t>
      </w:r>
      <w:r w:rsidRPr="00FC4465">
        <w:rPr>
          <w:rFonts w:asciiTheme="majorBidi" w:hAnsiTheme="majorBidi" w:cstheme="majorBidi"/>
        </w:rPr>
        <w:t>“</w:t>
      </w:r>
      <w:r w:rsidR="00284D49" w:rsidRPr="00FC4465">
        <w:rPr>
          <w:rFonts w:asciiTheme="majorBidi" w:hAnsiTheme="majorBidi" w:cstheme="majorBidi"/>
        </w:rPr>
        <w:t>Puede provocar alergia cutánea</w:t>
      </w:r>
      <w:r w:rsidRPr="00FC4465">
        <w:rPr>
          <w:rFonts w:asciiTheme="majorBidi" w:hAnsiTheme="majorBidi" w:cstheme="majorBidi"/>
        </w:rPr>
        <w:t>”</w:t>
      </w:r>
      <w:r w:rsidR="00284D49" w:rsidRPr="00FC4465">
        <w:rPr>
          <w:rFonts w:asciiTheme="majorBidi" w:hAnsiTheme="majorBidi" w:cstheme="majorBidi"/>
        </w:rPr>
        <w:t xml:space="preserve"> + H340 </w:t>
      </w:r>
      <w:r w:rsidRPr="00FC4465">
        <w:rPr>
          <w:rFonts w:asciiTheme="majorBidi" w:hAnsiTheme="majorBidi" w:cstheme="majorBidi"/>
        </w:rPr>
        <w:t>“</w:t>
      </w:r>
      <w:r w:rsidR="00284D49" w:rsidRPr="00FC4465">
        <w:rPr>
          <w:rFonts w:asciiTheme="majorBidi" w:hAnsiTheme="majorBidi" w:cstheme="majorBidi"/>
        </w:rPr>
        <w:t>Puede provocar defectos genéticos</w:t>
      </w:r>
      <w:r w:rsidRPr="00FC4465">
        <w:rPr>
          <w:rFonts w:asciiTheme="majorBidi" w:hAnsiTheme="majorBidi" w:cstheme="majorBidi"/>
        </w:rPr>
        <w:t>”</w:t>
      </w:r>
      <w:r w:rsidR="00284D49" w:rsidRPr="00FC4465">
        <w:rPr>
          <w:rFonts w:asciiTheme="majorBidi" w:hAnsiTheme="majorBidi" w:cstheme="majorBidi"/>
        </w:rPr>
        <w:t xml:space="preserve"> + H350 </w:t>
      </w:r>
      <w:r w:rsidRPr="00FC4465">
        <w:rPr>
          <w:rFonts w:asciiTheme="majorBidi" w:hAnsiTheme="majorBidi" w:cstheme="majorBidi"/>
        </w:rPr>
        <w:t>“</w:t>
      </w:r>
      <w:r w:rsidR="00284D49" w:rsidRPr="00FC4465">
        <w:rPr>
          <w:rFonts w:asciiTheme="majorBidi" w:hAnsiTheme="majorBidi" w:cstheme="majorBidi"/>
        </w:rPr>
        <w:t xml:space="preserve">Puede </w:t>
      </w:r>
      <w:r w:rsidR="00284D49" w:rsidRPr="00FC4465">
        <w:rPr>
          <w:rFonts w:asciiTheme="majorBidi" w:hAnsiTheme="majorBidi" w:cstheme="majorBidi"/>
        </w:rPr>
        <w:lastRenderedPageBreak/>
        <w:t>provocar cáncer</w:t>
      </w:r>
      <w:r w:rsidRPr="00FC4465">
        <w:rPr>
          <w:rFonts w:asciiTheme="majorBidi" w:hAnsiTheme="majorBidi" w:cstheme="majorBidi"/>
        </w:rPr>
        <w:t>”</w:t>
      </w:r>
      <w:r w:rsidR="00284D49" w:rsidRPr="00FC4465">
        <w:rPr>
          <w:rFonts w:asciiTheme="majorBidi" w:hAnsiTheme="majorBidi" w:cstheme="majorBidi"/>
        </w:rPr>
        <w:t xml:space="preserve"> pueden combinarse porque todas ellas corresponden a peligros para la salud de categoría 1 (es decir, son indicaciones de peligro para la salud de gravedad equivalente) y tienen elementos repetidos (todas ellas empiezan por </w:t>
      </w:r>
      <w:r w:rsidRPr="00FC4465">
        <w:rPr>
          <w:rFonts w:asciiTheme="majorBidi" w:hAnsiTheme="majorBidi" w:cstheme="majorBidi"/>
        </w:rPr>
        <w:t>“</w:t>
      </w:r>
      <w:r w:rsidR="00284D49" w:rsidRPr="00FC4465">
        <w:rPr>
          <w:rFonts w:asciiTheme="majorBidi" w:hAnsiTheme="majorBidi" w:cstheme="majorBidi"/>
        </w:rPr>
        <w:t>Puede provocar</w:t>
      </w:r>
      <w:r w:rsidRPr="00FC4465">
        <w:rPr>
          <w:rFonts w:asciiTheme="majorBidi" w:hAnsiTheme="majorBidi" w:cstheme="majorBidi"/>
        </w:rPr>
        <w:t>”</w:t>
      </w:r>
      <w:r w:rsidR="00284D49" w:rsidRPr="00FC4465">
        <w:rPr>
          <w:rFonts w:asciiTheme="majorBidi" w:hAnsiTheme="majorBidi" w:cstheme="majorBidi"/>
        </w:rPr>
        <w:t xml:space="preserve">). Pueden por lo tanto combinarse como sigue: </w:t>
      </w:r>
      <w:r w:rsidRPr="00FC4465">
        <w:rPr>
          <w:rFonts w:asciiTheme="majorBidi" w:hAnsiTheme="majorBidi" w:cstheme="majorBidi"/>
        </w:rPr>
        <w:t>“</w:t>
      </w:r>
      <w:r w:rsidR="00284D49" w:rsidRPr="00FC4465">
        <w:rPr>
          <w:rFonts w:asciiTheme="majorBidi" w:hAnsiTheme="majorBidi" w:cstheme="majorBidi"/>
        </w:rPr>
        <w:t>Puede provocar alergia cutánea, defectos genéticos y cáncer</w:t>
      </w:r>
      <w:r w:rsidRPr="00FC4465">
        <w:rPr>
          <w:rFonts w:asciiTheme="majorBidi" w:hAnsiTheme="majorBidi" w:cstheme="majorBidi"/>
        </w:rPr>
        <w:t>”</w:t>
      </w:r>
      <w:r w:rsidR="00284D49" w:rsidRPr="00FC4465">
        <w:rPr>
          <w:rFonts w:asciiTheme="majorBidi" w:hAnsiTheme="majorBidi" w:cstheme="majorBidi"/>
        </w:rPr>
        <w:t>. La autoridad competente puede limitar los tipos de combinaciones permitidas con el fin de asegurar que la indicación combinada sea comprensible (por ejemplo, puede fijar un máximo de indicaciones de peligro que pueden combinarse).</w:t>
      </w:r>
      <w:r w:rsidRPr="00FC4465">
        <w:rPr>
          <w:rFonts w:asciiTheme="majorBidi" w:hAnsiTheme="majorBidi" w:cstheme="majorBidi"/>
        </w:rPr>
        <w:t>”</w:t>
      </w:r>
      <w:r w:rsidR="00284D49" w:rsidRPr="00FC4465">
        <w:rPr>
          <w:rFonts w:asciiTheme="majorBidi" w:hAnsiTheme="majorBidi" w:cstheme="majorBidi"/>
        </w:rPr>
        <w:t>.</w:t>
      </w:r>
    </w:p>
    <w:bookmarkEnd w:id="18"/>
    <w:p w14:paraId="1FF388D6" w14:textId="77777777" w:rsidR="00284D49" w:rsidRPr="00FC4465" w:rsidRDefault="00284D49" w:rsidP="00802EA2">
      <w:pPr>
        <w:pStyle w:val="H23G"/>
      </w:pPr>
      <w:r w:rsidRPr="00FC4465">
        <w:tab/>
      </w:r>
      <w:r w:rsidRPr="00FC4465">
        <w:tab/>
        <w:t>Tabla A3.1.2</w:t>
      </w:r>
    </w:p>
    <w:p w14:paraId="5CD53FE0" w14:textId="3525448D" w:rsidR="00284D49" w:rsidRPr="00FC4465" w:rsidRDefault="00284D49" w:rsidP="00802EA2">
      <w:pPr>
        <w:pStyle w:val="Bullet1G"/>
        <w:keepNext/>
        <w:keepLines/>
        <w:numPr>
          <w:ilvl w:val="0"/>
          <w:numId w:val="0"/>
        </w:numPr>
        <w:suppressAutoHyphens/>
        <w:kinsoku w:val="0"/>
        <w:overflowPunct w:val="0"/>
        <w:autoSpaceDE w:val="0"/>
        <w:autoSpaceDN w:val="0"/>
        <w:adjustRightInd w:val="0"/>
        <w:snapToGrid w:val="0"/>
        <w:ind w:left="567" w:firstLine="567"/>
        <w:rPr>
          <w:rFonts w:asciiTheme="majorBidi" w:hAnsiTheme="majorBidi" w:cstheme="majorBidi"/>
        </w:rPr>
      </w:pPr>
      <w:r w:rsidRPr="00FC4465">
        <w:rPr>
          <w:rFonts w:asciiTheme="majorBidi" w:hAnsiTheme="majorBidi" w:cstheme="majorBidi"/>
        </w:rPr>
        <w:t xml:space="preserve">Después de la tabla A3.1.2, insértese la siguiente nota </w:t>
      </w:r>
      <w:r w:rsidR="008C5013" w:rsidRPr="00FC4465">
        <w:rPr>
          <w:rFonts w:asciiTheme="majorBidi" w:hAnsiTheme="majorBidi" w:cstheme="majorBidi"/>
        </w:rPr>
        <w:t>“</w:t>
      </w:r>
      <w:r w:rsidRPr="00FC4465">
        <w:rPr>
          <w:rFonts w:asciiTheme="majorBidi" w:hAnsiTheme="majorBidi" w:cstheme="majorBidi"/>
        </w:rPr>
        <w:t>a</w:t>
      </w:r>
      <w:r w:rsidR="008C5013" w:rsidRPr="00FC4465">
        <w:rPr>
          <w:rFonts w:asciiTheme="majorBidi" w:hAnsiTheme="majorBidi" w:cstheme="majorBidi"/>
        </w:rPr>
        <w:t>”</w:t>
      </w:r>
      <w:r w:rsidRPr="00FC4465">
        <w:rPr>
          <w:rFonts w:asciiTheme="majorBidi" w:hAnsiTheme="majorBidi" w:cstheme="majorBidi"/>
        </w:rPr>
        <w:t>:</w:t>
      </w:r>
    </w:p>
    <w:p w14:paraId="7C004ECF" w14:textId="59CAAACE" w:rsidR="00284D49" w:rsidRPr="002A6B6E" w:rsidRDefault="008C5013" w:rsidP="00802EA2">
      <w:pPr>
        <w:pStyle w:val="SingleTxtG"/>
        <w:tabs>
          <w:tab w:val="clear" w:pos="1701"/>
          <w:tab w:val="left" w:pos="1985"/>
        </w:tabs>
        <w:ind w:left="1701"/>
        <w:rPr>
          <w:rFonts w:asciiTheme="majorBidi" w:hAnsiTheme="majorBidi" w:cstheme="majorBidi"/>
          <w:i/>
          <w:iCs/>
          <w:sz w:val="18"/>
          <w:szCs w:val="18"/>
        </w:rPr>
      </w:pPr>
      <w:r w:rsidRPr="002A6B6E">
        <w:rPr>
          <w:rFonts w:asciiTheme="majorBidi" w:hAnsiTheme="majorBidi" w:cstheme="majorBidi"/>
          <w:sz w:val="18"/>
          <w:szCs w:val="18"/>
        </w:rPr>
        <w:t>“</w:t>
      </w:r>
      <w:r w:rsidR="00284D49" w:rsidRPr="002A6B6E">
        <w:rPr>
          <w:rFonts w:asciiTheme="majorBidi" w:hAnsiTheme="majorBidi" w:cstheme="majorBidi"/>
          <w:sz w:val="18"/>
          <w:szCs w:val="18"/>
          <w:vertAlign w:val="superscript"/>
        </w:rPr>
        <w:t>a</w:t>
      </w:r>
      <w:r w:rsidR="00284D49" w:rsidRPr="002A6B6E">
        <w:rPr>
          <w:rFonts w:asciiTheme="majorBidi" w:hAnsiTheme="majorBidi" w:cstheme="majorBidi"/>
          <w:sz w:val="18"/>
          <w:szCs w:val="18"/>
        </w:rPr>
        <w:t xml:space="preserve"> </w:t>
      </w:r>
      <w:r w:rsidR="00284D49" w:rsidRPr="002A6B6E">
        <w:rPr>
          <w:rFonts w:asciiTheme="majorBidi" w:hAnsiTheme="majorBidi" w:cstheme="majorBidi"/>
          <w:i/>
          <w:iCs/>
          <w:sz w:val="18"/>
          <w:szCs w:val="18"/>
        </w:rPr>
        <w:t>Las autoridades competentes podrán seleccionar la indicación o indicaciones de peligro aplicables en función de las categorías de peligro correspondientes a lesiones oculares graves/irritación ocular que apliquen en su jurisdicción (2/2A o 2A/2B).</w:t>
      </w:r>
      <w:r w:rsidRPr="002A6B6E">
        <w:rPr>
          <w:rFonts w:asciiTheme="majorBidi" w:hAnsiTheme="majorBidi" w:cstheme="majorBidi"/>
          <w:iCs/>
          <w:sz w:val="18"/>
          <w:szCs w:val="18"/>
        </w:rPr>
        <w:t>”</w:t>
      </w:r>
      <w:r w:rsidR="00284D49" w:rsidRPr="002A6B6E">
        <w:rPr>
          <w:rFonts w:asciiTheme="majorBidi" w:hAnsiTheme="majorBidi" w:cstheme="majorBidi"/>
          <w:iCs/>
          <w:sz w:val="18"/>
          <w:szCs w:val="18"/>
        </w:rPr>
        <w:t>.</w:t>
      </w:r>
    </w:p>
    <w:p w14:paraId="32DC649E" w14:textId="00485753" w:rsidR="00284D49" w:rsidRPr="00FC4465" w:rsidRDefault="00802EA2" w:rsidP="00802EA2">
      <w:pPr>
        <w:pStyle w:val="H23G"/>
      </w:pPr>
      <w:r>
        <w:tab/>
      </w:r>
      <w:r>
        <w:tab/>
      </w:r>
      <w:r>
        <w:tab/>
      </w:r>
      <w:r w:rsidR="00284D49" w:rsidRPr="00FC4465">
        <w:t>H317, columna (3)</w:t>
      </w:r>
    </w:p>
    <w:p w14:paraId="4C0CE055" w14:textId="77777777" w:rsidR="00284D49" w:rsidRPr="00FC4465" w:rsidRDefault="00284D49" w:rsidP="00802EA2">
      <w:pPr>
        <w:pStyle w:val="SingleTxtG"/>
        <w:ind w:left="1701"/>
        <w:rPr>
          <w:rFonts w:asciiTheme="majorBidi" w:hAnsiTheme="majorBidi" w:cstheme="majorBidi"/>
        </w:rPr>
      </w:pPr>
      <w:r w:rsidRPr="00FC4465">
        <w:rPr>
          <w:rFonts w:asciiTheme="majorBidi" w:hAnsiTheme="majorBidi" w:cstheme="majorBidi"/>
        </w:rPr>
        <w:t>La modificación no se aplica al texto en español.</w:t>
      </w:r>
    </w:p>
    <w:p w14:paraId="2506FC0A" w14:textId="5F6C5F57" w:rsidR="00284D49" w:rsidRPr="00FC4465" w:rsidRDefault="00802EA2" w:rsidP="00802EA2">
      <w:pPr>
        <w:pStyle w:val="H23G"/>
      </w:pPr>
      <w:r>
        <w:tab/>
      </w:r>
      <w:r>
        <w:tab/>
      </w:r>
      <w:r w:rsidR="00284D49" w:rsidRPr="00FC4465">
        <w:t>H334, columna (3)</w:t>
      </w:r>
    </w:p>
    <w:p w14:paraId="17FFD956" w14:textId="77777777" w:rsidR="00284D49" w:rsidRPr="00FC4465" w:rsidRDefault="00284D49" w:rsidP="00802EA2">
      <w:pPr>
        <w:spacing w:after="120"/>
        <w:ind w:left="1701" w:right="992"/>
        <w:jc w:val="both"/>
        <w:rPr>
          <w:rFonts w:asciiTheme="majorBidi" w:hAnsiTheme="majorBidi" w:cstheme="majorBidi"/>
          <w:color w:val="000000" w:themeColor="text1"/>
        </w:rPr>
      </w:pPr>
      <w:r w:rsidRPr="00FC4465">
        <w:rPr>
          <w:rFonts w:asciiTheme="majorBidi" w:hAnsiTheme="majorBidi" w:cstheme="majorBidi"/>
        </w:rPr>
        <w:t>La modificación no se aplica al texto en español.</w:t>
      </w:r>
    </w:p>
    <w:p w14:paraId="4D417994" w14:textId="2FFB712D" w:rsidR="00284D49" w:rsidRPr="00FC4465" w:rsidRDefault="00802EA2" w:rsidP="00802EA2">
      <w:pPr>
        <w:pStyle w:val="H23G"/>
      </w:pPr>
      <w:r>
        <w:tab/>
      </w:r>
      <w:r>
        <w:tab/>
      </w:r>
      <w:r w:rsidR="00284D49" w:rsidRPr="00FC4465">
        <w:t>H315 + H319 (nuevo)</w:t>
      </w:r>
    </w:p>
    <w:p w14:paraId="63E20B97" w14:textId="260025B3" w:rsidR="00284D49" w:rsidRPr="00FC4465" w:rsidRDefault="00284D49" w:rsidP="00802EA2">
      <w:pPr>
        <w:pStyle w:val="Bullet1G"/>
        <w:numPr>
          <w:ilvl w:val="0"/>
          <w:numId w:val="0"/>
        </w:numPr>
        <w:suppressAutoHyphens/>
        <w:kinsoku w:val="0"/>
        <w:overflowPunct w:val="0"/>
        <w:autoSpaceDE w:val="0"/>
        <w:autoSpaceDN w:val="0"/>
        <w:adjustRightInd w:val="0"/>
        <w:snapToGrid w:val="0"/>
        <w:ind w:left="1701"/>
        <w:rPr>
          <w:rFonts w:asciiTheme="majorBidi" w:hAnsiTheme="majorBidi" w:cstheme="majorBidi"/>
        </w:rPr>
      </w:pPr>
      <w:r w:rsidRPr="00FC4465">
        <w:rPr>
          <w:rFonts w:asciiTheme="majorBidi" w:hAnsiTheme="majorBidi" w:cstheme="majorBidi"/>
        </w:rPr>
        <w:t xml:space="preserve">Insértese la siguiente nueva fila después de </w:t>
      </w:r>
      <w:r w:rsidR="008C5013" w:rsidRPr="00FC4465">
        <w:rPr>
          <w:rFonts w:asciiTheme="majorBidi" w:hAnsiTheme="majorBidi" w:cstheme="majorBidi"/>
        </w:rPr>
        <w:t>“</w:t>
      </w:r>
      <w:r w:rsidRPr="00FC4465">
        <w:rPr>
          <w:rFonts w:asciiTheme="majorBidi" w:hAnsiTheme="majorBidi" w:cstheme="majorBidi"/>
        </w:rPr>
        <w:t>H303 + H313 + H333</w:t>
      </w:r>
      <w:r w:rsidR="008C5013" w:rsidRPr="00FC4465">
        <w:rPr>
          <w:rFonts w:asciiTheme="majorBidi" w:hAnsiTheme="majorBidi" w:cstheme="majorBidi"/>
        </w:rPr>
        <w:t>”</w:t>
      </w:r>
      <w:r w:rsidRPr="00FC4465">
        <w:rPr>
          <w:rFonts w:asciiTheme="majorBidi" w:hAnsiTheme="majorBidi" w:cstheme="majorBidi"/>
        </w:rPr>
        <w:t>:</w:t>
      </w:r>
    </w:p>
    <w:tbl>
      <w:tblPr>
        <w:tblStyle w:val="TableGrid"/>
        <w:tblW w:w="0" w:type="auto"/>
        <w:tblInd w:w="1134" w:type="dxa"/>
        <w:tblLayout w:type="fixed"/>
        <w:tblLook w:val="04A0" w:firstRow="1" w:lastRow="0" w:firstColumn="1" w:lastColumn="0" w:noHBand="0" w:noVBand="1"/>
      </w:tblPr>
      <w:tblGrid>
        <w:gridCol w:w="704"/>
        <w:gridCol w:w="2063"/>
        <w:gridCol w:w="3401"/>
        <w:gridCol w:w="1198"/>
      </w:tblGrid>
      <w:tr w:rsidR="00284D49" w:rsidRPr="00FC4465" w14:paraId="559953AE" w14:textId="77777777" w:rsidTr="00802EA2">
        <w:tc>
          <w:tcPr>
            <w:tcW w:w="704" w:type="dxa"/>
          </w:tcPr>
          <w:p w14:paraId="71E37E1D" w14:textId="77777777" w:rsidR="00284D49" w:rsidRPr="00FC4465" w:rsidRDefault="00284D49" w:rsidP="00C93947">
            <w:pPr>
              <w:pStyle w:val="SingleTxtG"/>
              <w:spacing w:before="40" w:after="40"/>
              <w:ind w:left="0" w:right="0"/>
              <w:jc w:val="center"/>
              <w:rPr>
                <w:rFonts w:asciiTheme="majorBidi" w:hAnsiTheme="majorBidi" w:cstheme="majorBidi"/>
                <w:sz w:val="18"/>
                <w:szCs w:val="18"/>
              </w:rPr>
            </w:pPr>
            <w:r w:rsidRPr="00FC4465">
              <w:rPr>
                <w:rFonts w:asciiTheme="majorBidi" w:hAnsiTheme="majorBidi" w:cstheme="majorBidi"/>
                <w:sz w:val="18"/>
                <w:szCs w:val="18"/>
              </w:rPr>
              <w:t>H315</w:t>
            </w:r>
            <w:r w:rsidRPr="00FC4465">
              <w:rPr>
                <w:rFonts w:asciiTheme="majorBidi" w:hAnsiTheme="majorBidi" w:cstheme="majorBidi"/>
                <w:sz w:val="18"/>
                <w:szCs w:val="18"/>
              </w:rPr>
              <w:br/>
              <w:t>+</w:t>
            </w:r>
            <w:r w:rsidRPr="00FC4465">
              <w:rPr>
                <w:rFonts w:asciiTheme="majorBidi" w:hAnsiTheme="majorBidi" w:cstheme="majorBidi"/>
                <w:sz w:val="18"/>
                <w:szCs w:val="18"/>
              </w:rPr>
              <w:br/>
              <w:t>H319</w:t>
            </w:r>
          </w:p>
        </w:tc>
        <w:tc>
          <w:tcPr>
            <w:tcW w:w="2063" w:type="dxa"/>
          </w:tcPr>
          <w:p w14:paraId="3F6A0BB5" w14:textId="77777777" w:rsidR="00284D49" w:rsidRPr="00FC4465" w:rsidRDefault="00284D49" w:rsidP="00C93947">
            <w:pPr>
              <w:pStyle w:val="SingleTxtG"/>
              <w:spacing w:before="40" w:after="40"/>
              <w:ind w:left="0" w:right="0"/>
              <w:jc w:val="left"/>
              <w:rPr>
                <w:rFonts w:asciiTheme="majorBidi" w:hAnsiTheme="majorBidi" w:cstheme="majorBidi"/>
                <w:b/>
                <w:bCs/>
                <w:sz w:val="18"/>
                <w:szCs w:val="18"/>
              </w:rPr>
            </w:pPr>
            <w:r w:rsidRPr="00FC4465">
              <w:rPr>
                <w:rFonts w:asciiTheme="majorBidi" w:hAnsiTheme="majorBidi" w:cstheme="majorBidi"/>
                <w:b/>
                <w:bCs/>
                <w:sz w:val="18"/>
                <w:szCs w:val="18"/>
              </w:rPr>
              <w:t>Provoca irritación cutánea e irritación ocular grave</w:t>
            </w:r>
            <w:r w:rsidRPr="00FC4465">
              <w:rPr>
                <w:rFonts w:asciiTheme="majorBidi" w:hAnsiTheme="majorBidi" w:cstheme="majorBidi"/>
                <w:b/>
                <w:bCs/>
                <w:sz w:val="18"/>
                <w:szCs w:val="18"/>
                <w:vertAlign w:val="superscript"/>
              </w:rPr>
              <w:t>a</w:t>
            </w:r>
          </w:p>
        </w:tc>
        <w:tc>
          <w:tcPr>
            <w:tcW w:w="3401" w:type="dxa"/>
          </w:tcPr>
          <w:p w14:paraId="624FEB41" w14:textId="67E17051" w:rsidR="00284D49" w:rsidRPr="00FC4465" w:rsidRDefault="00284D49" w:rsidP="00C93947">
            <w:pPr>
              <w:pStyle w:val="SingleTxtG"/>
              <w:spacing w:before="40" w:after="40"/>
              <w:ind w:left="137" w:right="0"/>
              <w:jc w:val="left"/>
              <w:rPr>
                <w:rFonts w:asciiTheme="majorBidi" w:hAnsiTheme="majorBidi" w:cstheme="majorBidi"/>
                <w:sz w:val="18"/>
                <w:szCs w:val="18"/>
              </w:rPr>
            </w:pPr>
            <w:r w:rsidRPr="00FC4465">
              <w:rPr>
                <w:rFonts w:asciiTheme="majorBidi" w:hAnsiTheme="majorBidi" w:cstheme="majorBidi"/>
                <w:sz w:val="18"/>
                <w:szCs w:val="18"/>
              </w:rPr>
              <w:t>Corrosión/irritación cutánea (capítulo</w:t>
            </w:r>
            <w:r w:rsidR="008C5013" w:rsidRPr="00FC4465">
              <w:rPr>
                <w:rFonts w:asciiTheme="majorBidi" w:hAnsiTheme="majorBidi" w:cstheme="majorBidi"/>
                <w:sz w:val="18"/>
                <w:szCs w:val="18"/>
              </w:rPr>
              <w:t xml:space="preserve"> </w:t>
            </w:r>
            <w:r w:rsidRPr="00FC4465">
              <w:rPr>
                <w:rFonts w:asciiTheme="majorBidi" w:hAnsiTheme="majorBidi" w:cstheme="majorBidi"/>
                <w:sz w:val="18"/>
                <w:szCs w:val="18"/>
              </w:rPr>
              <w:t>3.2) y lesiones oculares graves/irritación ocular (capítulo 3.3)</w:t>
            </w:r>
          </w:p>
        </w:tc>
        <w:tc>
          <w:tcPr>
            <w:tcW w:w="1198" w:type="dxa"/>
          </w:tcPr>
          <w:p w14:paraId="2F0107E9" w14:textId="77777777" w:rsidR="00284D49" w:rsidRPr="00FC4465" w:rsidRDefault="00284D49" w:rsidP="00C93947">
            <w:pPr>
              <w:pStyle w:val="SingleTxtG"/>
              <w:spacing w:before="40" w:after="40"/>
              <w:ind w:left="0" w:right="0"/>
              <w:jc w:val="center"/>
              <w:rPr>
                <w:rFonts w:asciiTheme="majorBidi" w:hAnsiTheme="majorBidi" w:cstheme="majorBidi"/>
                <w:sz w:val="18"/>
                <w:szCs w:val="18"/>
              </w:rPr>
            </w:pPr>
            <w:r w:rsidRPr="00FC4465">
              <w:rPr>
                <w:rFonts w:asciiTheme="majorBidi" w:hAnsiTheme="majorBidi" w:cstheme="majorBidi"/>
                <w:sz w:val="18"/>
                <w:szCs w:val="18"/>
              </w:rPr>
              <w:t>2 (cutánea) + 2/2A (ocular)</w:t>
            </w:r>
          </w:p>
        </w:tc>
      </w:tr>
    </w:tbl>
    <w:p w14:paraId="762C1279" w14:textId="384306F4" w:rsidR="00284D49" w:rsidRPr="00FC4465" w:rsidRDefault="00802EA2" w:rsidP="00802EA2">
      <w:pPr>
        <w:pStyle w:val="H23G"/>
      </w:pPr>
      <w:r>
        <w:tab/>
      </w:r>
      <w:r>
        <w:tab/>
      </w:r>
      <w:r w:rsidR="00284D49" w:rsidRPr="00FC4465">
        <w:t>H315 + H320</w:t>
      </w:r>
    </w:p>
    <w:p w14:paraId="13CDAB1D" w14:textId="487DFFFC" w:rsidR="00284D49" w:rsidRPr="002A6B6E" w:rsidRDefault="00284D49" w:rsidP="00802EA2">
      <w:pPr>
        <w:pStyle w:val="Bullet1G"/>
        <w:numPr>
          <w:ilvl w:val="0"/>
          <w:numId w:val="0"/>
        </w:numPr>
        <w:ind w:left="1701"/>
        <w:rPr>
          <w:rFonts w:asciiTheme="majorBidi" w:hAnsiTheme="majorBidi" w:cstheme="majorBidi"/>
        </w:rPr>
      </w:pPr>
      <w:r w:rsidRPr="002A6B6E">
        <w:rPr>
          <w:rFonts w:asciiTheme="majorBidi" w:hAnsiTheme="majorBidi" w:cstheme="majorBidi"/>
        </w:rPr>
        <w:t xml:space="preserve">En la columna (2), añádase una llamada a la nota </w:t>
      </w:r>
      <w:r w:rsidR="008C5013" w:rsidRPr="002A6B6E">
        <w:rPr>
          <w:rFonts w:asciiTheme="majorBidi" w:hAnsiTheme="majorBidi" w:cstheme="majorBidi"/>
        </w:rPr>
        <w:t>“</w:t>
      </w:r>
      <w:r w:rsidRPr="002A6B6E">
        <w:rPr>
          <w:rFonts w:asciiTheme="majorBidi" w:hAnsiTheme="majorBidi" w:cstheme="majorBidi"/>
          <w:vertAlign w:val="superscript"/>
        </w:rPr>
        <w:t>a</w:t>
      </w:r>
      <w:r w:rsidR="008C5013" w:rsidRPr="002A6B6E">
        <w:rPr>
          <w:rFonts w:asciiTheme="majorBidi" w:hAnsiTheme="majorBidi" w:cstheme="majorBidi"/>
        </w:rPr>
        <w:t>”</w:t>
      </w:r>
      <w:r w:rsidRPr="002A6B6E">
        <w:rPr>
          <w:rFonts w:asciiTheme="majorBidi" w:hAnsiTheme="majorBidi" w:cstheme="majorBidi"/>
        </w:rPr>
        <w:t xml:space="preserve"> al final de la indicación de peligro, que pasa a ser: </w:t>
      </w:r>
      <w:r w:rsidR="008C5013" w:rsidRPr="002A6B6E">
        <w:rPr>
          <w:rFonts w:asciiTheme="majorBidi" w:hAnsiTheme="majorBidi" w:cstheme="majorBidi"/>
        </w:rPr>
        <w:t>“</w:t>
      </w:r>
      <w:r w:rsidRPr="002A6B6E">
        <w:rPr>
          <w:rFonts w:asciiTheme="majorBidi" w:hAnsiTheme="majorBidi" w:cstheme="majorBidi"/>
        </w:rPr>
        <w:t>Provoca irritación cutánea y ocular</w:t>
      </w:r>
      <w:r w:rsidRPr="002A6B6E">
        <w:rPr>
          <w:rFonts w:asciiTheme="majorBidi" w:hAnsiTheme="majorBidi" w:cstheme="majorBidi"/>
          <w:vertAlign w:val="superscript"/>
        </w:rPr>
        <w:t>a</w:t>
      </w:r>
      <w:r w:rsidR="008C5013" w:rsidRPr="002A6B6E">
        <w:rPr>
          <w:rFonts w:asciiTheme="majorBidi" w:hAnsiTheme="majorBidi" w:cstheme="majorBidi"/>
        </w:rPr>
        <w:t>”</w:t>
      </w:r>
      <w:r w:rsidRPr="002A6B6E">
        <w:rPr>
          <w:rFonts w:asciiTheme="majorBidi" w:hAnsiTheme="majorBidi" w:cstheme="majorBidi"/>
        </w:rPr>
        <w:t xml:space="preserve">. </w:t>
      </w:r>
    </w:p>
    <w:p w14:paraId="542A3473" w14:textId="22F125D6" w:rsidR="00284D49" w:rsidRPr="00FC4465" w:rsidRDefault="00284D49" w:rsidP="00802EA2">
      <w:pPr>
        <w:pStyle w:val="Bullet1G"/>
        <w:numPr>
          <w:ilvl w:val="0"/>
          <w:numId w:val="0"/>
        </w:numPr>
        <w:ind w:left="1701"/>
        <w:rPr>
          <w:rFonts w:asciiTheme="majorBidi" w:hAnsiTheme="majorBidi" w:cstheme="majorBidi"/>
        </w:rPr>
      </w:pPr>
      <w:r w:rsidRPr="00FC4465">
        <w:rPr>
          <w:rFonts w:asciiTheme="majorBidi" w:hAnsiTheme="majorBidi" w:cstheme="majorBidi"/>
        </w:rPr>
        <w:t xml:space="preserve">En la columna (4), sustitúyase </w:t>
      </w:r>
      <w:r w:rsidR="008C5013" w:rsidRPr="00FC4465">
        <w:rPr>
          <w:rFonts w:asciiTheme="majorBidi" w:hAnsiTheme="majorBidi" w:cstheme="majorBidi"/>
        </w:rPr>
        <w:t>“</w:t>
      </w:r>
      <w:r w:rsidRPr="00FC4465">
        <w:rPr>
          <w:rFonts w:asciiTheme="majorBidi" w:hAnsiTheme="majorBidi" w:cstheme="majorBidi"/>
        </w:rPr>
        <w:t>2 (cutánea)/2B (ocular)</w:t>
      </w:r>
      <w:r w:rsidR="008C5013" w:rsidRPr="00FC4465">
        <w:rPr>
          <w:rFonts w:asciiTheme="majorBidi" w:hAnsiTheme="majorBidi" w:cstheme="majorBidi"/>
        </w:rPr>
        <w:t>”</w:t>
      </w:r>
      <w:r w:rsidRPr="00FC4465">
        <w:rPr>
          <w:rFonts w:asciiTheme="majorBidi" w:hAnsiTheme="majorBidi" w:cstheme="majorBidi"/>
        </w:rPr>
        <w:t xml:space="preserve"> por </w:t>
      </w:r>
      <w:r w:rsidR="008C5013" w:rsidRPr="00FC4465">
        <w:rPr>
          <w:rFonts w:asciiTheme="majorBidi" w:hAnsiTheme="majorBidi" w:cstheme="majorBidi"/>
        </w:rPr>
        <w:t>“</w:t>
      </w:r>
      <w:r w:rsidRPr="00FC4465">
        <w:rPr>
          <w:rFonts w:asciiTheme="majorBidi" w:hAnsiTheme="majorBidi" w:cstheme="majorBidi"/>
        </w:rPr>
        <w:t>2 (cutánea) + 2B (ocular)</w:t>
      </w:r>
      <w:r w:rsidR="008C5013" w:rsidRPr="00FC4465">
        <w:rPr>
          <w:rFonts w:asciiTheme="majorBidi" w:hAnsiTheme="majorBidi" w:cstheme="majorBidi"/>
        </w:rPr>
        <w:t>”</w:t>
      </w:r>
      <w:r w:rsidRPr="00FC4465">
        <w:rPr>
          <w:rFonts w:asciiTheme="majorBidi" w:hAnsiTheme="majorBidi" w:cstheme="majorBidi"/>
        </w:rPr>
        <w:t>.</w:t>
      </w:r>
    </w:p>
    <w:p w14:paraId="722B1377" w14:textId="77777777" w:rsidR="00284D49" w:rsidRPr="00FC4465" w:rsidRDefault="00284D49" w:rsidP="00802EA2">
      <w:pPr>
        <w:pStyle w:val="H23G"/>
      </w:pPr>
      <w:r w:rsidRPr="00FC4465">
        <w:tab/>
      </w:r>
      <w:r w:rsidRPr="00FC4465">
        <w:tab/>
        <w:t>Sección 2</w:t>
      </w:r>
    </w:p>
    <w:p w14:paraId="7996A773" w14:textId="77777777" w:rsidR="00284D49" w:rsidRPr="00FC4465" w:rsidRDefault="00284D49" w:rsidP="00802EA2">
      <w:pPr>
        <w:pStyle w:val="SingleTxtG"/>
        <w:rPr>
          <w:rFonts w:asciiTheme="majorBidi" w:hAnsiTheme="majorBidi" w:cstheme="majorBidi"/>
        </w:rPr>
      </w:pPr>
      <w:r w:rsidRPr="00FC4465">
        <w:rPr>
          <w:rFonts w:asciiTheme="majorBidi" w:hAnsiTheme="majorBidi" w:cstheme="majorBidi"/>
        </w:rPr>
        <w:t>A3.2.2.4</w:t>
      </w:r>
      <w:r w:rsidRPr="00FC4465">
        <w:rPr>
          <w:rFonts w:asciiTheme="majorBidi" w:hAnsiTheme="majorBidi" w:cstheme="majorBidi"/>
        </w:rPr>
        <w:tab/>
        <w:t>Añádase un nuevo párrafo que diga:</w:t>
      </w:r>
    </w:p>
    <w:p w14:paraId="23A2E449" w14:textId="44DE42AD" w:rsidR="00284D49" w:rsidRPr="00FC4465" w:rsidRDefault="008C5013" w:rsidP="00802EA2">
      <w:pPr>
        <w:pStyle w:val="SingleTxtG"/>
        <w:tabs>
          <w:tab w:val="clear" w:pos="1701"/>
        </w:tabs>
        <w:ind w:left="2268"/>
        <w:rPr>
          <w:rFonts w:asciiTheme="majorBidi" w:hAnsiTheme="majorBidi" w:cstheme="majorBidi"/>
        </w:rPr>
      </w:pPr>
      <w:bookmarkStart w:id="19" w:name="_Hlk124949447"/>
      <w:r w:rsidRPr="00FC4465">
        <w:rPr>
          <w:rFonts w:asciiTheme="majorBidi" w:hAnsiTheme="majorBidi" w:cstheme="majorBidi"/>
        </w:rPr>
        <w:t>“</w:t>
      </w:r>
      <w:r w:rsidR="00284D49" w:rsidRPr="00FC4465">
        <w:rPr>
          <w:rFonts w:asciiTheme="majorBidi" w:hAnsiTheme="majorBidi" w:cstheme="majorBidi"/>
        </w:rPr>
        <w:t>A3.2.2.4</w:t>
      </w:r>
      <w:r w:rsidR="00284D49" w:rsidRPr="00FC4465">
        <w:rPr>
          <w:rFonts w:asciiTheme="majorBidi" w:hAnsiTheme="majorBidi" w:cstheme="majorBidi"/>
        </w:rPr>
        <w:tab/>
        <w:t>Los corchetes […] en el código de un consejo de prudencia indican que este no es adecuado en todos los casos y debe ser utilizado solo en ciertas circunstancias. En ese caso, las condiciones de uso, que indican cuándo debería utilizarse, figuran en la columna (5) de las tablas.</w:t>
      </w:r>
      <w:r w:rsidRPr="00FC4465">
        <w:rPr>
          <w:rFonts w:asciiTheme="majorBidi" w:hAnsiTheme="majorBidi" w:cstheme="majorBidi"/>
        </w:rPr>
        <w:t>”</w:t>
      </w:r>
      <w:r w:rsidR="00284D49" w:rsidRPr="00FC4465">
        <w:rPr>
          <w:rFonts w:asciiTheme="majorBidi" w:hAnsiTheme="majorBidi" w:cstheme="majorBidi"/>
        </w:rPr>
        <w:t>.</w:t>
      </w:r>
    </w:p>
    <w:bookmarkEnd w:id="19"/>
    <w:p w14:paraId="3B1C8196" w14:textId="77777777" w:rsidR="00284D49" w:rsidRPr="00FC4465" w:rsidRDefault="00284D49" w:rsidP="00802EA2">
      <w:pPr>
        <w:pStyle w:val="SingleTxtG"/>
        <w:rPr>
          <w:rFonts w:asciiTheme="majorBidi" w:hAnsiTheme="majorBidi" w:cstheme="majorBidi"/>
        </w:rPr>
      </w:pPr>
      <w:r w:rsidRPr="00FC4465">
        <w:rPr>
          <w:rFonts w:asciiTheme="majorBidi" w:hAnsiTheme="majorBidi" w:cstheme="majorBidi"/>
        </w:rPr>
        <w:t>A3.2.4.4</w:t>
      </w:r>
      <w:r w:rsidRPr="00FC4465">
        <w:rPr>
          <w:rFonts w:asciiTheme="majorBidi" w:hAnsiTheme="majorBidi" w:cstheme="majorBidi"/>
        </w:rPr>
        <w:tab/>
        <w:t>Modifíquese para que diga:</w:t>
      </w:r>
    </w:p>
    <w:p w14:paraId="4FA432C1" w14:textId="1B15925F" w:rsidR="00284D49" w:rsidRPr="00FC4465" w:rsidRDefault="008C5013" w:rsidP="00802EA2">
      <w:pPr>
        <w:pStyle w:val="SingleTxtG"/>
        <w:ind w:left="2268"/>
        <w:rPr>
          <w:rFonts w:asciiTheme="majorBidi" w:hAnsiTheme="majorBidi" w:cstheme="majorBidi"/>
        </w:rPr>
      </w:pPr>
      <w:r w:rsidRPr="00FC4465">
        <w:rPr>
          <w:rFonts w:asciiTheme="majorBidi" w:hAnsiTheme="majorBidi" w:cstheme="majorBidi"/>
        </w:rPr>
        <w:t>“</w:t>
      </w:r>
      <w:r w:rsidR="00284D49" w:rsidRPr="00FC4465">
        <w:rPr>
          <w:rFonts w:asciiTheme="majorBidi" w:hAnsiTheme="majorBidi" w:cstheme="majorBidi"/>
        </w:rPr>
        <w:t>A3.2.4.4</w:t>
      </w:r>
      <w:r w:rsidR="00284D49" w:rsidRPr="00FC4465">
        <w:rPr>
          <w:rFonts w:asciiTheme="majorBidi" w:hAnsiTheme="majorBidi" w:cstheme="majorBidi"/>
        </w:rPr>
        <w:tab/>
        <w:t xml:space="preserve">Los corchetes […] en el texto de un consejo de prudencia indican que el texto que encierran no es adecuado en todos los casos y debe ser utilizado solo en ciertas circunstancias. En ese caso, las condiciones de uso, que indican cuándo debería utilizarse, figuran en la columna (5) de las tablas. Por ejemplo, para el código P264 se indica: </w:t>
      </w:r>
      <w:r w:rsidRPr="00FC4465">
        <w:rPr>
          <w:rFonts w:asciiTheme="majorBidi" w:hAnsiTheme="majorBidi" w:cstheme="majorBidi"/>
        </w:rPr>
        <w:t>“</w:t>
      </w:r>
      <w:r w:rsidR="00284D49" w:rsidRPr="00FC4465">
        <w:rPr>
          <w:rFonts w:asciiTheme="majorBidi" w:hAnsiTheme="majorBidi" w:cstheme="majorBidi"/>
          <w:b/>
          <w:bCs/>
        </w:rPr>
        <w:t>Lavarse cuidadosamente las manos [y…] después de la manipulación</w:t>
      </w:r>
      <w:r w:rsidRPr="00FC4465">
        <w:rPr>
          <w:rFonts w:asciiTheme="majorBidi" w:hAnsiTheme="majorBidi" w:cstheme="majorBidi"/>
        </w:rPr>
        <w:t>”</w:t>
      </w:r>
      <w:r w:rsidR="00284D49" w:rsidRPr="00FC4465">
        <w:rPr>
          <w:rFonts w:asciiTheme="majorBidi" w:hAnsiTheme="majorBidi" w:cstheme="majorBidi"/>
        </w:rPr>
        <w:t xml:space="preserve">. Este consejo va acompañado de la condición de uso siguiente: </w:t>
      </w:r>
      <w:r w:rsidRPr="00FC4465">
        <w:rPr>
          <w:rFonts w:asciiTheme="majorBidi" w:hAnsiTheme="majorBidi" w:cstheme="majorBidi"/>
        </w:rPr>
        <w:t>“</w:t>
      </w:r>
      <w:r w:rsidR="001D4A00">
        <w:rPr>
          <w:rFonts w:asciiTheme="majorBidi" w:hAnsiTheme="majorBidi" w:cstheme="majorBidi"/>
        </w:rPr>
        <w:t>–</w:t>
      </w:r>
      <w:r w:rsidR="00284D49" w:rsidRPr="00FC4465">
        <w:rPr>
          <w:rFonts w:asciiTheme="majorBidi" w:hAnsiTheme="majorBidi" w:cstheme="majorBidi"/>
        </w:rPr>
        <w:t xml:space="preserve"> </w:t>
      </w:r>
      <w:r w:rsidR="00284D49" w:rsidRPr="00FC4465">
        <w:rPr>
          <w:rFonts w:asciiTheme="majorBidi" w:hAnsiTheme="majorBidi" w:cstheme="majorBidi"/>
          <w:i/>
          <w:iCs/>
        </w:rPr>
        <w:t>texto entre corchetes para indicar otras partes del cuerpo que deben lavarse después de la manipulación, según lo especificado por el fabricante/proveedor o la autoridad competente.</w:t>
      </w:r>
      <w:r w:rsidRPr="00FC4465">
        <w:rPr>
          <w:rFonts w:asciiTheme="majorBidi" w:hAnsiTheme="majorBidi" w:cstheme="majorBidi"/>
        </w:rPr>
        <w:t>”</w:t>
      </w:r>
      <w:r w:rsidR="001D4A00">
        <w:rPr>
          <w:rFonts w:asciiTheme="majorBidi" w:hAnsiTheme="majorBidi" w:cstheme="majorBidi"/>
        </w:rPr>
        <w:t xml:space="preserve">. </w:t>
      </w:r>
      <w:r w:rsidR="00284D49" w:rsidRPr="00FC4465">
        <w:rPr>
          <w:rFonts w:asciiTheme="majorBidi" w:hAnsiTheme="majorBidi" w:cstheme="majorBidi"/>
        </w:rPr>
        <w:t xml:space="preserve">La aplicación de esta condición de uso debe interpretarse de la manera siguiente: Si se facilita información adicional acerca de qué otra parte o partes del cuerpo deben lavarse después de la manipulación, deberá usarse el texto entre corchetes seguido del nombre de esas partes. En cambio, si no es necesario </w:t>
      </w:r>
      <w:r w:rsidR="00284D49" w:rsidRPr="00FC4465">
        <w:rPr>
          <w:rFonts w:asciiTheme="majorBidi" w:hAnsiTheme="majorBidi" w:cstheme="majorBidi"/>
        </w:rPr>
        <w:lastRenderedPageBreak/>
        <w:t xml:space="preserve">especificar ninguna otra parte del cuerpo, no se utilizará el texto entre corchetes y el consejo será entonces: </w:t>
      </w:r>
      <w:r w:rsidRPr="00FC4465">
        <w:rPr>
          <w:rFonts w:asciiTheme="majorBidi" w:hAnsiTheme="majorBidi" w:cstheme="majorBidi"/>
        </w:rPr>
        <w:t>“</w:t>
      </w:r>
      <w:r w:rsidR="00284D49" w:rsidRPr="00FC4465">
        <w:rPr>
          <w:rFonts w:asciiTheme="majorBidi" w:hAnsiTheme="majorBidi" w:cstheme="majorBidi"/>
          <w:b/>
          <w:bCs/>
        </w:rPr>
        <w:t>Lavarse cuidadosamente las manos después de la manipulación</w:t>
      </w:r>
      <w:r w:rsidRPr="00FC4465">
        <w:rPr>
          <w:rFonts w:asciiTheme="majorBidi" w:hAnsiTheme="majorBidi" w:cstheme="majorBidi"/>
        </w:rPr>
        <w:t>”</w:t>
      </w:r>
      <w:r w:rsidR="00284D49" w:rsidRPr="00FC4465">
        <w:rPr>
          <w:rFonts w:asciiTheme="majorBidi" w:hAnsiTheme="majorBidi" w:cstheme="majorBidi"/>
        </w:rPr>
        <w:t>.</w:t>
      </w:r>
      <w:r w:rsidRPr="00FC4465">
        <w:rPr>
          <w:rFonts w:asciiTheme="majorBidi" w:hAnsiTheme="majorBidi" w:cstheme="majorBidi"/>
        </w:rPr>
        <w:t>”</w:t>
      </w:r>
      <w:r w:rsidR="00284D49" w:rsidRPr="00FC4465">
        <w:rPr>
          <w:rFonts w:asciiTheme="majorBidi" w:hAnsiTheme="majorBidi" w:cstheme="majorBidi"/>
        </w:rPr>
        <w:t>.</w:t>
      </w:r>
    </w:p>
    <w:p w14:paraId="693BF917" w14:textId="77777777" w:rsidR="00284D49" w:rsidRPr="00FC4465" w:rsidRDefault="00284D49" w:rsidP="00802EA2">
      <w:pPr>
        <w:pStyle w:val="SingleTxtG"/>
        <w:keepNext/>
        <w:keepLines/>
        <w:rPr>
          <w:rFonts w:asciiTheme="majorBidi" w:hAnsiTheme="majorBidi" w:cstheme="majorBidi"/>
        </w:rPr>
      </w:pPr>
      <w:r w:rsidRPr="00FC4465">
        <w:rPr>
          <w:rFonts w:asciiTheme="majorBidi" w:hAnsiTheme="majorBidi" w:cstheme="majorBidi"/>
        </w:rPr>
        <w:t>A3.2.5.2.2</w:t>
      </w:r>
      <w:r w:rsidRPr="00FC4465">
        <w:rPr>
          <w:rFonts w:asciiTheme="majorBidi" w:hAnsiTheme="majorBidi" w:cstheme="majorBidi"/>
        </w:rPr>
        <w:tab/>
        <w:t>Después de la primera oración, insértese el siguiente texto:</w:t>
      </w:r>
    </w:p>
    <w:p w14:paraId="3CCFE589" w14:textId="3E15B42B" w:rsidR="00284D49" w:rsidRPr="00FC4465" w:rsidRDefault="008C5013" w:rsidP="00802EA2">
      <w:pPr>
        <w:pStyle w:val="SingleTxtG"/>
        <w:tabs>
          <w:tab w:val="clear" w:pos="1701"/>
        </w:tabs>
        <w:ind w:left="2268"/>
        <w:rPr>
          <w:rFonts w:asciiTheme="majorBidi" w:hAnsiTheme="majorBidi" w:cstheme="majorBidi"/>
        </w:rPr>
      </w:pPr>
      <w:r w:rsidRPr="00FC4465">
        <w:rPr>
          <w:rFonts w:asciiTheme="majorBidi" w:hAnsiTheme="majorBidi" w:cstheme="majorBidi"/>
        </w:rPr>
        <w:t>“</w:t>
      </w:r>
      <w:r w:rsidR="00284D49" w:rsidRPr="00FC4465">
        <w:rPr>
          <w:rFonts w:asciiTheme="majorBidi" w:hAnsiTheme="majorBidi" w:cstheme="majorBidi"/>
        </w:rPr>
        <w:t xml:space="preserve">Los consejos de prudencia pueden combinarse mediante la conjunción </w:t>
      </w:r>
      <w:r w:rsidRPr="00FC4465">
        <w:rPr>
          <w:rFonts w:asciiTheme="majorBidi" w:hAnsiTheme="majorBidi" w:cstheme="majorBidi"/>
        </w:rPr>
        <w:t>“</w:t>
      </w:r>
      <w:r w:rsidR="00284D49" w:rsidRPr="00FC4465">
        <w:rPr>
          <w:rFonts w:asciiTheme="majorBidi" w:hAnsiTheme="majorBidi" w:cstheme="majorBidi"/>
        </w:rPr>
        <w:t>y</w:t>
      </w:r>
      <w:r w:rsidRPr="00FC4465">
        <w:rPr>
          <w:rFonts w:asciiTheme="majorBidi" w:hAnsiTheme="majorBidi" w:cstheme="majorBidi"/>
        </w:rPr>
        <w:t>”</w:t>
      </w:r>
      <w:r w:rsidR="00284D49" w:rsidRPr="00FC4465">
        <w:rPr>
          <w:rFonts w:asciiTheme="majorBidi" w:hAnsiTheme="majorBidi" w:cstheme="majorBidi"/>
        </w:rPr>
        <w:t>, utilizando signos de puntuación adicionales y cambiando la caja de la letra inicial de la primera palabra de la indicación. Por ejemplo, para el código</w:t>
      </w:r>
      <w:r w:rsidR="002A21D5">
        <w:rPr>
          <w:rFonts w:asciiTheme="majorBidi" w:hAnsiTheme="majorBidi" w:cstheme="majorBidi"/>
        </w:rPr>
        <w:t> </w:t>
      </w:r>
      <w:r w:rsidR="00284D49" w:rsidRPr="00FC4465">
        <w:rPr>
          <w:rFonts w:asciiTheme="majorBidi" w:hAnsiTheme="majorBidi" w:cstheme="majorBidi"/>
        </w:rPr>
        <w:t>P302</w:t>
      </w:r>
      <w:r w:rsidR="002A21D5">
        <w:rPr>
          <w:rFonts w:asciiTheme="majorBidi" w:hAnsiTheme="majorBidi" w:cstheme="majorBidi"/>
        </w:rPr>
        <w:t> </w:t>
      </w:r>
      <w:r w:rsidR="00284D49" w:rsidRPr="00FC4465">
        <w:rPr>
          <w:rFonts w:asciiTheme="majorBidi" w:hAnsiTheme="majorBidi" w:cstheme="majorBidi"/>
        </w:rPr>
        <w:t xml:space="preserve">+ P335 + P334 se indica: </w:t>
      </w:r>
      <w:r w:rsidRPr="00FC4465">
        <w:rPr>
          <w:rFonts w:asciiTheme="majorBidi" w:hAnsiTheme="majorBidi" w:cstheme="majorBidi"/>
        </w:rPr>
        <w:t>“</w:t>
      </w:r>
      <w:r w:rsidR="00284D49" w:rsidRPr="00FC4465">
        <w:rPr>
          <w:rFonts w:asciiTheme="majorBidi" w:hAnsiTheme="majorBidi" w:cstheme="majorBidi"/>
          <w:b/>
          <w:bCs/>
        </w:rPr>
        <w:t>EN CASO DE CONTACTO CON LA PIEL: Cepillar las partículas sueltas depositadas en la piel y sumergir en agua fría [o envolver en vendas húmedas]</w:t>
      </w:r>
      <w:r w:rsidRPr="00FC4465">
        <w:rPr>
          <w:rFonts w:asciiTheme="majorBidi" w:hAnsiTheme="majorBidi" w:cstheme="majorBidi"/>
        </w:rPr>
        <w:t>”</w:t>
      </w:r>
      <w:r w:rsidR="00284D49" w:rsidRPr="00FC4465">
        <w:rPr>
          <w:rFonts w:asciiTheme="majorBidi" w:hAnsiTheme="majorBidi" w:cstheme="majorBidi"/>
        </w:rPr>
        <w:t>.</w:t>
      </w:r>
      <w:r w:rsidRPr="00FC4465">
        <w:rPr>
          <w:rFonts w:asciiTheme="majorBidi" w:hAnsiTheme="majorBidi" w:cstheme="majorBidi"/>
        </w:rPr>
        <w:t>”</w:t>
      </w:r>
      <w:r w:rsidR="00284D49" w:rsidRPr="00FC4465">
        <w:rPr>
          <w:rFonts w:asciiTheme="majorBidi" w:hAnsiTheme="majorBidi" w:cstheme="majorBidi"/>
        </w:rPr>
        <w:t>.</w:t>
      </w:r>
    </w:p>
    <w:p w14:paraId="0EA58E1E" w14:textId="77777777" w:rsidR="00284D49" w:rsidRPr="00FC4465" w:rsidRDefault="00284D49" w:rsidP="00802EA2">
      <w:pPr>
        <w:pStyle w:val="H23G"/>
      </w:pPr>
      <w:r w:rsidRPr="00FC4465">
        <w:tab/>
      </w:r>
      <w:r w:rsidRPr="00FC4465">
        <w:tab/>
        <w:t>Tabla A3.2.2</w:t>
      </w:r>
    </w:p>
    <w:p w14:paraId="0049C41C" w14:textId="627D86F6" w:rsidR="00284D49" w:rsidRPr="00FC4465" w:rsidRDefault="00802EA2" w:rsidP="00802EA2">
      <w:pPr>
        <w:pStyle w:val="H23G"/>
      </w:pPr>
      <w:r>
        <w:tab/>
      </w:r>
      <w:r>
        <w:tab/>
      </w:r>
      <w:r w:rsidR="00284D49" w:rsidRPr="00FC4465">
        <w:t>P233</w:t>
      </w:r>
    </w:p>
    <w:p w14:paraId="28F503EC" w14:textId="1A8930E0" w:rsidR="00284D49" w:rsidRPr="00FC4465" w:rsidRDefault="00284D49" w:rsidP="00284D49">
      <w:pPr>
        <w:pStyle w:val="Bullet1G"/>
        <w:numPr>
          <w:ilvl w:val="0"/>
          <w:numId w:val="0"/>
        </w:numPr>
        <w:suppressAutoHyphens/>
        <w:kinsoku w:val="0"/>
        <w:overflowPunct w:val="0"/>
        <w:autoSpaceDE w:val="0"/>
        <w:autoSpaceDN w:val="0"/>
        <w:adjustRightInd w:val="0"/>
        <w:snapToGrid w:val="0"/>
        <w:ind w:left="1134"/>
        <w:rPr>
          <w:rFonts w:asciiTheme="majorBidi" w:hAnsiTheme="majorBidi" w:cstheme="majorBidi"/>
        </w:rPr>
      </w:pPr>
      <w:r w:rsidRPr="00FC4465">
        <w:rPr>
          <w:rFonts w:asciiTheme="majorBidi" w:hAnsiTheme="majorBidi" w:cstheme="majorBidi"/>
        </w:rPr>
        <w:t xml:space="preserve">Después de la fila aplicable a </w:t>
      </w:r>
      <w:r w:rsidR="008C5013" w:rsidRPr="00FC4465">
        <w:rPr>
          <w:rFonts w:asciiTheme="majorBidi" w:hAnsiTheme="majorBidi" w:cstheme="majorBidi"/>
        </w:rPr>
        <w:t>“</w:t>
      </w:r>
      <w:r w:rsidRPr="00FC4465">
        <w:rPr>
          <w:rFonts w:asciiTheme="majorBidi" w:hAnsiTheme="majorBidi" w:cstheme="majorBidi"/>
        </w:rPr>
        <w:t>Toxicidad aguda por inhalación (capítulo 3.1)</w:t>
      </w:r>
      <w:r w:rsidR="008C5013" w:rsidRPr="00FC4465">
        <w:rPr>
          <w:rFonts w:asciiTheme="majorBidi" w:hAnsiTheme="majorBidi" w:cstheme="majorBidi"/>
        </w:rPr>
        <w:t>”</w:t>
      </w:r>
      <w:r w:rsidRPr="00FC4465">
        <w:rPr>
          <w:rFonts w:asciiTheme="majorBidi" w:hAnsiTheme="majorBidi" w:cstheme="majorBidi"/>
        </w:rPr>
        <w:t>, insértese la siguiente nueva fila:</w:t>
      </w:r>
    </w:p>
    <w:tbl>
      <w:tblPr>
        <w:tblStyle w:val="TableGrid"/>
        <w:tblW w:w="7370" w:type="dxa"/>
        <w:tblInd w:w="1134" w:type="dxa"/>
        <w:tblLayout w:type="fixed"/>
        <w:tblLook w:val="04A0" w:firstRow="1" w:lastRow="0" w:firstColumn="1" w:lastColumn="0" w:noHBand="0" w:noVBand="1"/>
      </w:tblPr>
      <w:tblGrid>
        <w:gridCol w:w="432"/>
        <w:gridCol w:w="560"/>
        <w:gridCol w:w="3835"/>
        <w:gridCol w:w="1521"/>
        <w:gridCol w:w="1022"/>
      </w:tblGrid>
      <w:tr w:rsidR="00284D49" w:rsidRPr="00FC4465" w14:paraId="76F74382" w14:textId="77777777" w:rsidTr="001D4A00">
        <w:tc>
          <w:tcPr>
            <w:tcW w:w="432" w:type="dxa"/>
          </w:tcPr>
          <w:p w14:paraId="5AA42C7B" w14:textId="77777777" w:rsidR="00284D49" w:rsidRPr="00FC4465" w:rsidRDefault="00284D49" w:rsidP="00C93947">
            <w:pPr>
              <w:pStyle w:val="Bullet2G"/>
              <w:numPr>
                <w:ilvl w:val="0"/>
                <w:numId w:val="0"/>
              </w:numPr>
              <w:ind w:right="112"/>
              <w:rPr>
                <w:rFonts w:asciiTheme="majorBidi" w:eastAsia="SimSun" w:hAnsiTheme="majorBidi" w:cstheme="majorBidi"/>
                <w:sz w:val="18"/>
                <w:szCs w:val="18"/>
                <w:lang w:eastAsia="zh-CN"/>
              </w:rPr>
            </w:pPr>
          </w:p>
        </w:tc>
        <w:tc>
          <w:tcPr>
            <w:tcW w:w="560" w:type="dxa"/>
          </w:tcPr>
          <w:p w14:paraId="674B584D" w14:textId="77777777" w:rsidR="00284D49" w:rsidRPr="00FC4465" w:rsidRDefault="00284D49" w:rsidP="00C93947">
            <w:pPr>
              <w:pStyle w:val="Bullet2G"/>
              <w:numPr>
                <w:ilvl w:val="0"/>
                <w:numId w:val="0"/>
              </w:numPr>
              <w:ind w:right="112"/>
              <w:rPr>
                <w:rFonts w:asciiTheme="majorBidi" w:eastAsia="SimSun" w:hAnsiTheme="majorBidi" w:cstheme="majorBidi"/>
                <w:sz w:val="18"/>
                <w:szCs w:val="18"/>
                <w:lang w:eastAsia="zh-CN"/>
              </w:rPr>
            </w:pPr>
          </w:p>
        </w:tc>
        <w:tc>
          <w:tcPr>
            <w:tcW w:w="3836" w:type="dxa"/>
          </w:tcPr>
          <w:p w14:paraId="50877835" w14:textId="77777777" w:rsidR="00284D49" w:rsidRPr="00FC4465" w:rsidRDefault="00284D49" w:rsidP="00C93947">
            <w:pPr>
              <w:pStyle w:val="Bullet2G"/>
              <w:numPr>
                <w:ilvl w:val="0"/>
                <w:numId w:val="0"/>
              </w:numPr>
              <w:ind w:right="112"/>
              <w:jc w:val="left"/>
              <w:rPr>
                <w:rFonts w:asciiTheme="majorBidi" w:eastAsia="SimSun" w:hAnsiTheme="majorBidi" w:cstheme="majorBidi"/>
                <w:sz w:val="18"/>
                <w:szCs w:val="18"/>
              </w:rPr>
            </w:pPr>
            <w:r w:rsidRPr="00FC4465">
              <w:rPr>
                <w:rFonts w:asciiTheme="majorBidi" w:hAnsiTheme="majorBidi" w:cstheme="majorBidi"/>
                <w:sz w:val="18"/>
                <w:szCs w:val="18"/>
              </w:rPr>
              <w:t>Sensibilización respiratoria (capítulo 3.4)</w:t>
            </w:r>
          </w:p>
        </w:tc>
        <w:tc>
          <w:tcPr>
            <w:tcW w:w="1521" w:type="dxa"/>
          </w:tcPr>
          <w:p w14:paraId="781B7B37" w14:textId="77777777" w:rsidR="00284D49" w:rsidRPr="00FC4465" w:rsidRDefault="00284D49" w:rsidP="00C93947">
            <w:pPr>
              <w:pStyle w:val="Bullet2G"/>
              <w:numPr>
                <w:ilvl w:val="0"/>
                <w:numId w:val="0"/>
              </w:numPr>
              <w:ind w:right="0"/>
              <w:jc w:val="center"/>
              <w:rPr>
                <w:rFonts w:asciiTheme="majorBidi" w:eastAsia="SimSun" w:hAnsiTheme="majorBidi" w:cstheme="majorBidi"/>
                <w:sz w:val="18"/>
                <w:szCs w:val="18"/>
              </w:rPr>
            </w:pPr>
            <w:r w:rsidRPr="00FC4465">
              <w:rPr>
                <w:rFonts w:asciiTheme="majorBidi" w:hAnsiTheme="majorBidi" w:cstheme="majorBidi"/>
                <w:sz w:val="18"/>
                <w:szCs w:val="18"/>
              </w:rPr>
              <w:t>1, 1A, 1B</w:t>
            </w:r>
          </w:p>
        </w:tc>
        <w:tc>
          <w:tcPr>
            <w:tcW w:w="1022" w:type="dxa"/>
          </w:tcPr>
          <w:p w14:paraId="5152F7BF" w14:textId="77777777" w:rsidR="00284D49" w:rsidRPr="00FC4465" w:rsidRDefault="00284D49" w:rsidP="00C93947">
            <w:pPr>
              <w:pStyle w:val="Bullet2G"/>
              <w:numPr>
                <w:ilvl w:val="0"/>
                <w:numId w:val="0"/>
              </w:numPr>
              <w:ind w:right="112"/>
              <w:rPr>
                <w:rFonts w:asciiTheme="majorBidi" w:eastAsia="SimSun" w:hAnsiTheme="majorBidi" w:cstheme="majorBidi"/>
                <w:sz w:val="18"/>
                <w:szCs w:val="18"/>
                <w:lang w:eastAsia="zh-CN"/>
              </w:rPr>
            </w:pPr>
          </w:p>
        </w:tc>
      </w:tr>
    </w:tbl>
    <w:p w14:paraId="06E5CC5D" w14:textId="48E667EB" w:rsidR="00284D49" w:rsidRPr="00FC4465" w:rsidRDefault="00284D49" w:rsidP="00802EA2">
      <w:pPr>
        <w:pStyle w:val="Bullet2G"/>
        <w:numPr>
          <w:ilvl w:val="0"/>
          <w:numId w:val="0"/>
        </w:numPr>
        <w:spacing w:before="120"/>
        <w:ind w:left="1134"/>
        <w:rPr>
          <w:rFonts w:asciiTheme="majorBidi" w:hAnsiTheme="majorBidi" w:cstheme="majorBidi"/>
          <w:i/>
          <w:iCs/>
        </w:rPr>
      </w:pPr>
      <w:r w:rsidRPr="00FC4465">
        <w:rPr>
          <w:rFonts w:asciiTheme="majorBidi" w:hAnsiTheme="majorBidi" w:cstheme="majorBidi"/>
          <w:i/>
          <w:iCs/>
        </w:rPr>
        <w:t>(</w:t>
      </w:r>
      <w:r w:rsidRPr="00FC4465">
        <w:rPr>
          <w:rFonts w:asciiTheme="majorBidi" w:hAnsiTheme="majorBidi" w:cstheme="majorBidi"/>
          <w:b/>
          <w:bCs/>
          <w:i/>
          <w:iCs/>
        </w:rPr>
        <w:t>Nota de la secretaría</w:t>
      </w:r>
      <w:r w:rsidRPr="001D4A00">
        <w:rPr>
          <w:rFonts w:asciiTheme="majorBidi" w:hAnsiTheme="majorBidi" w:cstheme="majorBidi"/>
          <w:b/>
          <w:bCs/>
          <w:i/>
          <w:iCs/>
        </w:rPr>
        <w:t>:</w:t>
      </w:r>
      <w:r w:rsidRPr="00FC4465">
        <w:rPr>
          <w:rFonts w:asciiTheme="majorBidi" w:hAnsiTheme="majorBidi" w:cstheme="majorBidi"/>
          <w:i/>
          <w:iCs/>
        </w:rPr>
        <w:t xml:space="preserve"> </w:t>
      </w:r>
      <w:r w:rsidR="0081508F">
        <w:rPr>
          <w:rFonts w:asciiTheme="majorBidi" w:hAnsiTheme="majorBidi" w:cstheme="majorBidi"/>
          <w:i/>
          <w:iCs/>
        </w:rPr>
        <w:t>L</w:t>
      </w:r>
      <w:r w:rsidRPr="00FC4465">
        <w:rPr>
          <w:rFonts w:asciiTheme="majorBidi" w:hAnsiTheme="majorBidi" w:cstheme="majorBidi"/>
          <w:i/>
          <w:iCs/>
        </w:rPr>
        <w:t xml:space="preserve">a condición de uso que figura actualmente en la columna (5) sigue siendo aplicable y se mantiene sin cambios para </w:t>
      </w:r>
      <w:r w:rsidR="008C5013" w:rsidRPr="00FC4465">
        <w:rPr>
          <w:rFonts w:asciiTheme="majorBidi" w:hAnsiTheme="majorBidi" w:cstheme="majorBidi"/>
        </w:rPr>
        <w:t>“</w:t>
      </w:r>
      <w:r w:rsidRPr="00FC4465">
        <w:rPr>
          <w:rFonts w:asciiTheme="majorBidi" w:hAnsiTheme="majorBidi" w:cstheme="majorBidi"/>
          <w:i/>
          <w:iCs/>
        </w:rPr>
        <w:t>toxicidad aguda por inhalación</w:t>
      </w:r>
      <w:r w:rsidR="008C5013" w:rsidRPr="00FC4465">
        <w:rPr>
          <w:rFonts w:asciiTheme="majorBidi" w:hAnsiTheme="majorBidi" w:cstheme="majorBidi"/>
        </w:rPr>
        <w:t>”</w:t>
      </w:r>
      <w:r w:rsidRPr="00FC4465">
        <w:rPr>
          <w:rFonts w:asciiTheme="majorBidi" w:hAnsiTheme="majorBidi" w:cstheme="majorBidi"/>
          <w:i/>
          <w:iCs/>
        </w:rPr>
        <w:t>, pero no se aplica a la nueva fila relativa a la sensibilización respiratoria).</w:t>
      </w:r>
    </w:p>
    <w:p w14:paraId="38DDC242" w14:textId="1CD25344" w:rsidR="00284D49" w:rsidRPr="00FC4465" w:rsidRDefault="00284D49" w:rsidP="00802EA2">
      <w:pPr>
        <w:pStyle w:val="Bullet2G"/>
        <w:numPr>
          <w:ilvl w:val="0"/>
          <w:numId w:val="0"/>
        </w:numPr>
        <w:ind w:left="1134"/>
        <w:rPr>
          <w:rFonts w:asciiTheme="majorBidi" w:hAnsiTheme="majorBidi" w:cstheme="majorBidi"/>
        </w:rPr>
      </w:pPr>
      <w:r w:rsidRPr="00FC4465">
        <w:rPr>
          <w:rFonts w:asciiTheme="majorBidi" w:hAnsiTheme="majorBidi" w:cstheme="majorBidi"/>
        </w:rPr>
        <w:t xml:space="preserve">Para las clases de peligro </w:t>
      </w:r>
      <w:r w:rsidR="008C5013" w:rsidRPr="00FC4465">
        <w:rPr>
          <w:rFonts w:asciiTheme="majorBidi" w:hAnsiTheme="majorBidi" w:cstheme="majorBidi"/>
        </w:rPr>
        <w:t>“</w:t>
      </w:r>
      <w:r w:rsidRPr="00FC4465">
        <w:rPr>
          <w:rFonts w:asciiTheme="majorBidi" w:hAnsiTheme="majorBidi" w:cstheme="majorBidi"/>
        </w:rPr>
        <w:t>Toxicidad específica de órganos diana (exposición única); irritación de las vías respiratorias</w:t>
      </w:r>
      <w:r w:rsidR="008C5013" w:rsidRPr="00FC4465">
        <w:rPr>
          <w:rFonts w:asciiTheme="majorBidi" w:hAnsiTheme="majorBidi" w:cstheme="majorBidi"/>
        </w:rPr>
        <w:t>”</w:t>
      </w:r>
      <w:r w:rsidRPr="00FC4465">
        <w:rPr>
          <w:rFonts w:asciiTheme="majorBidi" w:hAnsiTheme="majorBidi" w:cstheme="majorBidi"/>
        </w:rPr>
        <w:t xml:space="preserve"> y </w:t>
      </w:r>
      <w:r w:rsidR="008C5013" w:rsidRPr="00FC4465">
        <w:rPr>
          <w:rFonts w:asciiTheme="majorBidi" w:hAnsiTheme="majorBidi" w:cstheme="majorBidi"/>
        </w:rPr>
        <w:t>“</w:t>
      </w:r>
      <w:r w:rsidRPr="00FC4465">
        <w:rPr>
          <w:rFonts w:asciiTheme="majorBidi" w:hAnsiTheme="majorBidi" w:cstheme="majorBidi"/>
        </w:rPr>
        <w:t>Toxicidad específica de órganos diana (exposición única); efecto narcótico</w:t>
      </w:r>
      <w:r w:rsidR="008C5013" w:rsidRPr="00FC4465">
        <w:rPr>
          <w:rFonts w:asciiTheme="majorBidi" w:hAnsiTheme="majorBidi" w:cstheme="majorBidi"/>
        </w:rPr>
        <w:t>”</w:t>
      </w:r>
      <w:r w:rsidRPr="00FC4465">
        <w:rPr>
          <w:rFonts w:asciiTheme="majorBidi" w:hAnsiTheme="majorBidi" w:cstheme="majorBidi"/>
        </w:rPr>
        <w:t xml:space="preserve">, añádase en la columna (5) la siguiente condición de uso: </w:t>
      </w:r>
    </w:p>
    <w:p w14:paraId="2E7239D7" w14:textId="4EA43FE3" w:rsidR="00284D49" w:rsidRPr="00FC4465" w:rsidRDefault="008C5013" w:rsidP="00802EA2">
      <w:pPr>
        <w:pStyle w:val="Bullet2G"/>
        <w:numPr>
          <w:ilvl w:val="0"/>
          <w:numId w:val="0"/>
        </w:numPr>
        <w:ind w:left="1418"/>
        <w:rPr>
          <w:rFonts w:asciiTheme="majorBidi" w:hAnsiTheme="majorBidi" w:cstheme="majorBidi"/>
          <w:i/>
          <w:iCs/>
        </w:rPr>
      </w:pPr>
      <w:r w:rsidRPr="00FC4465">
        <w:rPr>
          <w:rFonts w:asciiTheme="majorBidi" w:hAnsiTheme="majorBidi" w:cstheme="majorBidi"/>
        </w:rPr>
        <w:t>“</w:t>
      </w:r>
      <w:r w:rsidR="00284D49" w:rsidRPr="00FC4465">
        <w:rPr>
          <w:rFonts w:asciiTheme="majorBidi" w:hAnsiTheme="majorBidi" w:cstheme="majorBidi"/>
        </w:rPr>
        <w:t xml:space="preserve">- </w:t>
      </w:r>
      <w:r w:rsidR="00284D49" w:rsidRPr="00FC4465">
        <w:rPr>
          <w:rFonts w:asciiTheme="majorBidi" w:hAnsiTheme="majorBidi" w:cstheme="majorBidi"/>
          <w:i/>
          <w:iCs/>
        </w:rPr>
        <w:t>si el producto químico es volátil y puede dar lugar a la formación de una atmósfera peligrosa.</w:t>
      </w:r>
      <w:r w:rsidRPr="00FC4465">
        <w:rPr>
          <w:rFonts w:asciiTheme="majorBidi" w:hAnsiTheme="majorBidi" w:cstheme="majorBidi"/>
          <w:i/>
          <w:iCs/>
        </w:rPr>
        <w:t>”</w:t>
      </w:r>
      <w:r w:rsidR="00284D49" w:rsidRPr="00FC4465">
        <w:rPr>
          <w:rFonts w:asciiTheme="majorBidi" w:hAnsiTheme="majorBidi" w:cstheme="majorBidi"/>
          <w:i/>
          <w:iCs/>
        </w:rPr>
        <w:t>.</w:t>
      </w:r>
    </w:p>
    <w:p w14:paraId="6F21BB1A" w14:textId="1C710055" w:rsidR="00284D49" w:rsidRPr="00FC4465" w:rsidRDefault="00802EA2" w:rsidP="00802EA2">
      <w:pPr>
        <w:pStyle w:val="H23G"/>
      </w:pPr>
      <w:r>
        <w:tab/>
      </w:r>
      <w:r>
        <w:tab/>
      </w:r>
      <w:r w:rsidR="00284D49" w:rsidRPr="00FC4465">
        <w:t>P260</w:t>
      </w:r>
    </w:p>
    <w:p w14:paraId="7C13D804" w14:textId="161BDB7E" w:rsidR="00284D49" w:rsidRPr="00FC4465" w:rsidRDefault="00284D49" w:rsidP="00284D49">
      <w:pPr>
        <w:pStyle w:val="Bullet2G"/>
        <w:numPr>
          <w:ilvl w:val="0"/>
          <w:numId w:val="0"/>
        </w:numPr>
        <w:ind w:left="1134"/>
        <w:rPr>
          <w:rFonts w:asciiTheme="majorBidi" w:hAnsiTheme="majorBidi" w:cstheme="majorBidi"/>
        </w:rPr>
      </w:pPr>
      <w:r w:rsidRPr="00FC4465">
        <w:rPr>
          <w:rFonts w:asciiTheme="majorBidi" w:hAnsiTheme="majorBidi" w:cstheme="majorBidi"/>
        </w:rPr>
        <w:t xml:space="preserve">Insértese la siguiente nueva fila después de la aplicable a </w:t>
      </w:r>
      <w:r w:rsidR="008C5013" w:rsidRPr="00FC4465">
        <w:rPr>
          <w:rFonts w:asciiTheme="majorBidi" w:hAnsiTheme="majorBidi" w:cstheme="majorBidi"/>
        </w:rPr>
        <w:t>“</w:t>
      </w:r>
      <w:r w:rsidRPr="00FC4465">
        <w:rPr>
          <w:rFonts w:asciiTheme="majorBidi" w:hAnsiTheme="majorBidi" w:cstheme="majorBidi"/>
        </w:rPr>
        <w:t>Toxicidad aguda por inhalación (capítulo 3.1)</w:t>
      </w:r>
      <w:r w:rsidR="008C5013" w:rsidRPr="00FC4465">
        <w:rPr>
          <w:rFonts w:asciiTheme="majorBidi" w:hAnsiTheme="majorBidi" w:cstheme="majorBidi"/>
        </w:rPr>
        <w:t>”</w:t>
      </w:r>
      <w:r w:rsidRPr="00FC4465">
        <w:rPr>
          <w:rFonts w:asciiTheme="majorBidi" w:hAnsiTheme="majorBidi" w:cstheme="majorBidi"/>
        </w:rPr>
        <w:t>:</w:t>
      </w:r>
    </w:p>
    <w:tbl>
      <w:tblPr>
        <w:tblStyle w:val="TableGrid"/>
        <w:tblW w:w="7370" w:type="dxa"/>
        <w:tblInd w:w="1134" w:type="dxa"/>
        <w:tblLayout w:type="fixed"/>
        <w:tblLook w:val="04A0" w:firstRow="1" w:lastRow="0" w:firstColumn="1" w:lastColumn="0" w:noHBand="0" w:noVBand="1"/>
      </w:tblPr>
      <w:tblGrid>
        <w:gridCol w:w="597"/>
        <w:gridCol w:w="597"/>
        <w:gridCol w:w="3640"/>
        <w:gridCol w:w="1477"/>
        <w:gridCol w:w="1059"/>
      </w:tblGrid>
      <w:tr w:rsidR="00284D49" w:rsidRPr="00FC4465" w14:paraId="520E4AC6" w14:textId="77777777" w:rsidTr="008E74DD">
        <w:tc>
          <w:tcPr>
            <w:tcW w:w="597" w:type="dxa"/>
          </w:tcPr>
          <w:p w14:paraId="20531029" w14:textId="77777777" w:rsidR="00284D49" w:rsidRPr="00FC4465" w:rsidRDefault="00284D49" w:rsidP="00C93947">
            <w:pPr>
              <w:pStyle w:val="Bullet2G"/>
              <w:numPr>
                <w:ilvl w:val="0"/>
                <w:numId w:val="0"/>
              </w:numPr>
              <w:ind w:right="112"/>
              <w:rPr>
                <w:rFonts w:asciiTheme="majorBidi" w:eastAsia="SimSun" w:hAnsiTheme="majorBidi" w:cstheme="majorBidi"/>
                <w:sz w:val="18"/>
                <w:szCs w:val="18"/>
                <w:lang w:eastAsia="zh-CN"/>
              </w:rPr>
            </w:pPr>
          </w:p>
        </w:tc>
        <w:tc>
          <w:tcPr>
            <w:tcW w:w="597" w:type="dxa"/>
          </w:tcPr>
          <w:p w14:paraId="2D9FAE5E" w14:textId="77777777" w:rsidR="00284D49" w:rsidRPr="00FC4465" w:rsidRDefault="00284D49" w:rsidP="00C93947">
            <w:pPr>
              <w:pStyle w:val="Bullet2G"/>
              <w:numPr>
                <w:ilvl w:val="0"/>
                <w:numId w:val="0"/>
              </w:numPr>
              <w:ind w:right="112"/>
              <w:rPr>
                <w:rFonts w:asciiTheme="majorBidi" w:eastAsia="SimSun" w:hAnsiTheme="majorBidi" w:cstheme="majorBidi"/>
                <w:sz w:val="18"/>
                <w:szCs w:val="18"/>
                <w:lang w:eastAsia="zh-CN"/>
              </w:rPr>
            </w:pPr>
          </w:p>
        </w:tc>
        <w:tc>
          <w:tcPr>
            <w:tcW w:w="3640" w:type="dxa"/>
          </w:tcPr>
          <w:p w14:paraId="61F10BD6" w14:textId="77777777" w:rsidR="00284D49" w:rsidRPr="00FC4465" w:rsidRDefault="00284D49" w:rsidP="00C93947">
            <w:pPr>
              <w:pStyle w:val="Bullet2G"/>
              <w:numPr>
                <w:ilvl w:val="0"/>
                <w:numId w:val="0"/>
              </w:numPr>
              <w:ind w:right="0"/>
              <w:jc w:val="left"/>
              <w:rPr>
                <w:rFonts w:asciiTheme="majorBidi" w:eastAsia="SimSun" w:hAnsiTheme="majorBidi" w:cstheme="majorBidi"/>
                <w:sz w:val="18"/>
                <w:szCs w:val="18"/>
              </w:rPr>
            </w:pPr>
            <w:r w:rsidRPr="00FC4465">
              <w:rPr>
                <w:rFonts w:asciiTheme="majorBidi" w:hAnsiTheme="majorBidi" w:cstheme="majorBidi"/>
                <w:sz w:val="18"/>
                <w:szCs w:val="18"/>
              </w:rPr>
              <w:t>Sensibilización respiratoria (capítulo 3.4)</w:t>
            </w:r>
          </w:p>
        </w:tc>
        <w:tc>
          <w:tcPr>
            <w:tcW w:w="1477" w:type="dxa"/>
          </w:tcPr>
          <w:p w14:paraId="775FF9B7" w14:textId="77777777" w:rsidR="00284D49" w:rsidRPr="00FC4465" w:rsidRDefault="00284D49" w:rsidP="00C93947">
            <w:pPr>
              <w:pStyle w:val="Bullet2G"/>
              <w:numPr>
                <w:ilvl w:val="0"/>
                <w:numId w:val="0"/>
              </w:numPr>
              <w:ind w:right="112"/>
              <w:jc w:val="center"/>
              <w:rPr>
                <w:rFonts w:asciiTheme="majorBidi" w:eastAsia="SimSun" w:hAnsiTheme="majorBidi" w:cstheme="majorBidi"/>
                <w:sz w:val="18"/>
                <w:szCs w:val="18"/>
              </w:rPr>
            </w:pPr>
            <w:r w:rsidRPr="00FC4465">
              <w:rPr>
                <w:rFonts w:asciiTheme="majorBidi" w:hAnsiTheme="majorBidi" w:cstheme="majorBidi"/>
                <w:sz w:val="18"/>
                <w:szCs w:val="18"/>
              </w:rPr>
              <w:t>1, 1A, 1B</w:t>
            </w:r>
          </w:p>
        </w:tc>
        <w:tc>
          <w:tcPr>
            <w:tcW w:w="1059" w:type="dxa"/>
          </w:tcPr>
          <w:p w14:paraId="37FBCDAE" w14:textId="77777777" w:rsidR="00284D49" w:rsidRPr="00FC4465" w:rsidRDefault="00284D49" w:rsidP="00C93947">
            <w:pPr>
              <w:pStyle w:val="Bullet2G"/>
              <w:numPr>
                <w:ilvl w:val="0"/>
                <w:numId w:val="0"/>
              </w:numPr>
              <w:ind w:right="112"/>
              <w:jc w:val="left"/>
              <w:rPr>
                <w:rFonts w:asciiTheme="majorBidi" w:eastAsia="SimSun" w:hAnsiTheme="majorBidi" w:cstheme="majorBidi"/>
                <w:sz w:val="18"/>
                <w:szCs w:val="18"/>
              </w:rPr>
            </w:pPr>
          </w:p>
        </w:tc>
      </w:tr>
    </w:tbl>
    <w:p w14:paraId="09578179" w14:textId="4F590FE6" w:rsidR="00284D49" w:rsidRPr="00FC4465" w:rsidRDefault="00284D49" w:rsidP="00802EA2">
      <w:pPr>
        <w:pStyle w:val="Bullet2G"/>
        <w:numPr>
          <w:ilvl w:val="0"/>
          <w:numId w:val="0"/>
        </w:numPr>
        <w:spacing w:before="240"/>
        <w:ind w:left="1134"/>
        <w:rPr>
          <w:rFonts w:asciiTheme="majorBidi" w:hAnsiTheme="majorBidi" w:cstheme="majorBidi"/>
        </w:rPr>
      </w:pPr>
      <w:r w:rsidRPr="00FC4465">
        <w:rPr>
          <w:rFonts w:asciiTheme="majorBidi" w:hAnsiTheme="majorBidi" w:cstheme="majorBidi"/>
        </w:rPr>
        <w:t xml:space="preserve">En la columna (5), aplíquese la siguiente condición de uso a las clases de peligro </w:t>
      </w:r>
      <w:r w:rsidR="008C5013" w:rsidRPr="00FC4465">
        <w:rPr>
          <w:rFonts w:asciiTheme="majorBidi" w:hAnsiTheme="majorBidi" w:cstheme="majorBidi"/>
        </w:rPr>
        <w:t>“</w:t>
      </w:r>
      <w:r w:rsidRPr="00FC4465">
        <w:rPr>
          <w:rFonts w:asciiTheme="majorBidi" w:hAnsiTheme="majorBidi" w:cstheme="majorBidi"/>
        </w:rPr>
        <w:t>Toxicidad aguda por inhalación</w:t>
      </w:r>
      <w:r w:rsidR="008C5013" w:rsidRPr="00FC4465">
        <w:rPr>
          <w:rFonts w:asciiTheme="majorBidi" w:hAnsiTheme="majorBidi" w:cstheme="majorBidi"/>
        </w:rPr>
        <w:t>”</w:t>
      </w:r>
      <w:r w:rsidRPr="00FC4465">
        <w:rPr>
          <w:rFonts w:asciiTheme="majorBidi" w:hAnsiTheme="majorBidi" w:cstheme="majorBidi"/>
        </w:rPr>
        <w:t xml:space="preserve">, </w:t>
      </w:r>
      <w:r w:rsidR="008C5013" w:rsidRPr="00FC4465">
        <w:rPr>
          <w:rFonts w:asciiTheme="majorBidi" w:hAnsiTheme="majorBidi" w:cstheme="majorBidi"/>
        </w:rPr>
        <w:t>“</w:t>
      </w:r>
      <w:r w:rsidRPr="00FC4465">
        <w:rPr>
          <w:rFonts w:asciiTheme="majorBidi" w:hAnsiTheme="majorBidi" w:cstheme="majorBidi"/>
        </w:rPr>
        <w:t>Sensibilización respiratoria</w:t>
      </w:r>
      <w:r w:rsidR="008C5013" w:rsidRPr="00FC4465">
        <w:rPr>
          <w:rFonts w:asciiTheme="majorBidi" w:hAnsiTheme="majorBidi" w:cstheme="majorBidi"/>
        </w:rPr>
        <w:t>”</w:t>
      </w:r>
      <w:r w:rsidRPr="00FC4465">
        <w:rPr>
          <w:rFonts w:asciiTheme="majorBidi" w:hAnsiTheme="majorBidi" w:cstheme="majorBidi"/>
        </w:rPr>
        <w:t xml:space="preserve">, </w:t>
      </w:r>
      <w:r w:rsidR="008C5013" w:rsidRPr="00FC4465">
        <w:rPr>
          <w:rFonts w:asciiTheme="majorBidi" w:hAnsiTheme="majorBidi" w:cstheme="majorBidi"/>
        </w:rPr>
        <w:t>“</w:t>
      </w:r>
      <w:r w:rsidRPr="00FC4465">
        <w:rPr>
          <w:rFonts w:asciiTheme="majorBidi" w:hAnsiTheme="majorBidi" w:cstheme="majorBidi"/>
        </w:rPr>
        <w:t>Toxicidad específica de órganos diana (exposición única)</w:t>
      </w:r>
      <w:r w:rsidR="008C5013" w:rsidRPr="00FC4465">
        <w:rPr>
          <w:rFonts w:asciiTheme="majorBidi" w:hAnsiTheme="majorBidi" w:cstheme="majorBidi"/>
        </w:rPr>
        <w:t>”</w:t>
      </w:r>
      <w:r w:rsidRPr="00FC4465">
        <w:rPr>
          <w:rFonts w:asciiTheme="majorBidi" w:hAnsiTheme="majorBidi" w:cstheme="majorBidi"/>
        </w:rPr>
        <w:t xml:space="preserve"> y </w:t>
      </w:r>
      <w:r w:rsidR="008C5013" w:rsidRPr="00FC4465">
        <w:rPr>
          <w:rFonts w:asciiTheme="majorBidi" w:hAnsiTheme="majorBidi" w:cstheme="majorBidi"/>
        </w:rPr>
        <w:t>“</w:t>
      </w:r>
      <w:r w:rsidRPr="00FC4465">
        <w:rPr>
          <w:rFonts w:asciiTheme="majorBidi" w:hAnsiTheme="majorBidi" w:cstheme="majorBidi"/>
        </w:rPr>
        <w:t>Toxicidad específica de órganos diana (exposiciones repetidas o prolongadas)</w:t>
      </w:r>
      <w:r w:rsidR="008C5013" w:rsidRPr="00FC4465">
        <w:rPr>
          <w:rFonts w:asciiTheme="majorBidi" w:hAnsiTheme="majorBidi" w:cstheme="majorBidi"/>
        </w:rPr>
        <w:t>”</w:t>
      </w:r>
      <w:r w:rsidRPr="00FC4465">
        <w:rPr>
          <w:rFonts w:asciiTheme="majorBidi" w:hAnsiTheme="majorBidi" w:cstheme="majorBidi"/>
        </w:rPr>
        <w:t>:</w:t>
      </w:r>
    </w:p>
    <w:p w14:paraId="7D0EB5E0" w14:textId="496A6B0C" w:rsidR="00284D49" w:rsidRPr="00FC4465" w:rsidRDefault="008C5013" w:rsidP="00802EA2">
      <w:pPr>
        <w:pStyle w:val="Bullet2G"/>
        <w:numPr>
          <w:ilvl w:val="0"/>
          <w:numId w:val="0"/>
        </w:numPr>
        <w:ind w:left="1559"/>
        <w:rPr>
          <w:rFonts w:asciiTheme="majorBidi" w:hAnsiTheme="majorBidi" w:cstheme="majorBidi"/>
        </w:rPr>
      </w:pPr>
      <w:r w:rsidRPr="00FC4465">
        <w:rPr>
          <w:rFonts w:asciiTheme="majorBidi" w:hAnsiTheme="majorBidi" w:cstheme="majorBidi"/>
        </w:rPr>
        <w:t>“</w:t>
      </w:r>
      <w:r w:rsidR="00284D49" w:rsidRPr="00FC4465">
        <w:rPr>
          <w:rFonts w:asciiTheme="majorBidi" w:hAnsiTheme="majorBidi" w:cstheme="majorBidi"/>
        </w:rPr>
        <w:t>El fabricante/proveedor o la autoridad competente especificarán el estado o estados físicos aplicables.</w:t>
      </w:r>
      <w:r w:rsidRPr="00FC4465">
        <w:rPr>
          <w:rFonts w:asciiTheme="majorBidi" w:hAnsiTheme="majorBidi" w:cstheme="majorBidi"/>
        </w:rPr>
        <w:t>”</w:t>
      </w:r>
      <w:r w:rsidR="00284D49" w:rsidRPr="00FC4465">
        <w:rPr>
          <w:rFonts w:asciiTheme="majorBidi" w:hAnsiTheme="majorBidi" w:cstheme="majorBidi"/>
        </w:rPr>
        <w:t>.</w:t>
      </w:r>
    </w:p>
    <w:p w14:paraId="3864580C" w14:textId="3CF7F7A5" w:rsidR="00284D49" w:rsidRPr="00FC4465" w:rsidRDefault="00802EA2" w:rsidP="00802EA2">
      <w:pPr>
        <w:pStyle w:val="H23G"/>
      </w:pPr>
      <w:r>
        <w:tab/>
      </w:r>
      <w:r>
        <w:tab/>
      </w:r>
      <w:r w:rsidR="00284D49" w:rsidRPr="00FC4465">
        <w:t>P261</w:t>
      </w:r>
    </w:p>
    <w:p w14:paraId="7C929FFE" w14:textId="77777777" w:rsidR="00284D49" w:rsidRPr="00FC4465" w:rsidRDefault="00284D49" w:rsidP="00284D49">
      <w:pPr>
        <w:pStyle w:val="SingleTxtG"/>
        <w:rPr>
          <w:rFonts w:asciiTheme="majorBidi" w:hAnsiTheme="majorBidi" w:cstheme="majorBidi"/>
        </w:rPr>
      </w:pPr>
      <w:r w:rsidRPr="00FC4465">
        <w:rPr>
          <w:rFonts w:asciiTheme="majorBidi" w:hAnsiTheme="majorBidi" w:cstheme="majorBidi"/>
        </w:rPr>
        <w:t>Suprímase la entrada correspondiente a la sensibilización respiratoria, categorías 1, 1A, 1B.</w:t>
      </w:r>
    </w:p>
    <w:p w14:paraId="2010D919" w14:textId="14801628" w:rsidR="00284D49" w:rsidRPr="00FC4465" w:rsidRDefault="00802EA2" w:rsidP="00802EA2">
      <w:pPr>
        <w:pStyle w:val="H23G"/>
      </w:pPr>
      <w:r>
        <w:tab/>
      </w:r>
      <w:r>
        <w:tab/>
      </w:r>
      <w:r w:rsidR="00284D49" w:rsidRPr="00FC4465">
        <w:t>P262, columna (4)</w:t>
      </w:r>
    </w:p>
    <w:p w14:paraId="41655771" w14:textId="347BE65D" w:rsidR="00284D49" w:rsidRPr="00FC4465" w:rsidRDefault="00284D49" w:rsidP="00284D49">
      <w:pPr>
        <w:pStyle w:val="SingleTxtG"/>
        <w:rPr>
          <w:rFonts w:asciiTheme="majorBidi" w:hAnsiTheme="majorBidi" w:cstheme="majorBidi"/>
        </w:rPr>
      </w:pPr>
      <w:r w:rsidRPr="00FC4465">
        <w:rPr>
          <w:rFonts w:asciiTheme="majorBidi" w:hAnsiTheme="majorBidi" w:cstheme="majorBidi"/>
        </w:rPr>
        <w:t xml:space="preserve">Después de </w:t>
      </w:r>
      <w:r w:rsidR="008C5013" w:rsidRPr="00FC4465">
        <w:rPr>
          <w:rFonts w:asciiTheme="majorBidi" w:hAnsiTheme="majorBidi" w:cstheme="majorBidi"/>
        </w:rPr>
        <w:t>“</w:t>
      </w:r>
      <w:r w:rsidRPr="00FC4465">
        <w:rPr>
          <w:rFonts w:asciiTheme="majorBidi" w:hAnsiTheme="majorBidi" w:cstheme="majorBidi"/>
        </w:rPr>
        <w:t>1, 2</w:t>
      </w:r>
      <w:r w:rsidR="008C5013" w:rsidRPr="00FC4465">
        <w:rPr>
          <w:rFonts w:asciiTheme="majorBidi" w:hAnsiTheme="majorBidi" w:cstheme="majorBidi"/>
        </w:rPr>
        <w:t>”</w:t>
      </w:r>
      <w:r w:rsidRPr="00FC4465">
        <w:rPr>
          <w:rFonts w:asciiTheme="majorBidi" w:hAnsiTheme="majorBidi" w:cstheme="majorBidi"/>
        </w:rPr>
        <w:t xml:space="preserve">, insértese </w:t>
      </w:r>
      <w:r w:rsidR="008C5013" w:rsidRPr="00FC4465">
        <w:rPr>
          <w:rFonts w:asciiTheme="majorBidi" w:hAnsiTheme="majorBidi" w:cstheme="majorBidi"/>
        </w:rPr>
        <w:t>“</w:t>
      </w:r>
      <w:r w:rsidRPr="00FC4465">
        <w:rPr>
          <w:rFonts w:asciiTheme="majorBidi" w:hAnsiTheme="majorBidi" w:cstheme="majorBidi"/>
        </w:rPr>
        <w:t>, 3</w:t>
      </w:r>
      <w:r w:rsidR="008C5013" w:rsidRPr="00FC4465">
        <w:rPr>
          <w:rFonts w:asciiTheme="majorBidi" w:hAnsiTheme="majorBidi" w:cstheme="majorBidi"/>
        </w:rPr>
        <w:t>”</w:t>
      </w:r>
      <w:r w:rsidRPr="00FC4465">
        <w:rPr>
          <w:rFonts w:asciiTheme="majorBidi" w:hAnsiTheme="majorBidi" w:cstheme="majorBidi"/>
        </w:rPr>
        <w:t>.</w:t>
      </w:r>
    </w:p>
    <w:p w14:paraId="67D86F34" w14:textId="1A102606" w:rsidR="00284D49" w:rsidRPr="00FC4465" w:rsidRDefault="00802EA2" w:rsidP="00802EA2">
      <w:pPr>
        <w:pStyle w:val="H23G"/>
      </w:pPr>
      <w:r>
        <w:tab/>
      </w:r>
      <w:r>
        <w:tab/>
      </w:r>
      <w:r w:rsidR="00284D49" w:rsidRPr="00FC4465">
        <w:t>P264 y P270, columna (4)</w:t>
      </w:r>
    </w:p>
    <w:p w14:paraId="752EFFF8" w14:textId="55C7CD83" w:rsidR="00284D49" w:rsidRPr="00FC4465" w:rsidRDefault="00284D49" w:rsidP="00284D49">
      <w:pPr>
        <w:pStyle w:val="Bullet1G"/>
        <w:keepNext/>
        <w:keepLines/>
        <w:numPr>
          <w:ilvl w:val="0"/>
          <w:numId w:val="0"/>
        </w:numPr>
        <w:suppressAutoHyphens/>
        <w:kinsoku w:val="0"/>
        <w:overflowPunct w:val="0"/>
        <w:autoSpaceDE w:val="0"/>
        <w:autoSpaceDN w:val="0"/>
        <w:adjustRightInd w:val="0"/>
        <w:snapToGrid w:val="0"/>
        <w:ind w:left="1134"/>
        <w:rPr>
          <w:rFonts w:asciiTheme="majorBidi" w:hAnsiTheme="majorBidi" w:cstheme="majorBidi"/>
        </w:rPr>
      </w:pPr>
      <w:r w:rsidRPr="00FC4465">
        <w:rPr>
          <w:rFonts w:asciiTheme="majorBidi" w:hAnsiTheme="majorBidi" w:cstheme="majorBidi"/>
        </w:rPr>
        <w:t xml:space="preserve">Para la clase de peligro </w:t>
      </w:r>
      <w:r w:rsidR="008C5013" w:rsidRPr="00FC4465">
        <w:rPr>
          <w:rFonts w:asciiTheme="majorBidi" w:hAnsiTheme="majorBidi" w:cstheme="majorBidi"/>
        </w:rPr>
        <w:t>“</w:t>
      </w:r>
      <w:r w:rsidRPr="00FC4465">
        <w:rPr>
          <w:rFonts w:asciiTheme="majorBidi" w:hAnsiTheme="majorBidi" w:cstheme="majorBidi"/>
        </w:rPr>
        <w:t>Toxicidad aguda por vía cutánea</w:t>
      </w:r>
      <w:r w:rsidR="008C5013" w:rsidRPr="00FC4465">
        <w:rPr>
          <w:rFonts w:asciiTheme="majorBidi" w:hAnsiTheme="majorBidi" w:cstheme="majorBidi"/>
        </w:rPr>
        <w:t>”</w:t>
      </w:r>
      <w:r w:rsidRPr="00FC4465">
        <w:rPr>
          <w:rFonts w:asciiTheme="majorBidi" w:hAnsiTheme="majorBidi" w:cstheme="majorBidi"/>
        </w:rPr>
        <w:t xml:space="preserve">, después de </w:t>
      </w:r>
      <w:r w:rsidR="008C5013" w:rsidRPr="00FC4465">
        <w:rPr>
          <w:rFonts w:asciiTheme="majorBidi" w:hAnsiTheme="majorBidi" w:cstheme="majorBidi"/>
        </w:rPr>
        <w:t>“</w:t>
      </w:r>
      <w:r w:rsidRPr="00FC4465">
        <w:rPr>
          <w:rFonts w:asciiTheme="majorBidi" w:hAnsiTheme="majorBidi" w:cstheme="majorBidi"/>
        </w:rPr>
        <w:t>1, 2</w:t>
      </w:r>
      <w:r w:rsidR="008C5013" w:rsidRPr="00FC4465">
        <w:rPr>
          <w:rFonts w:asciiTheme="majorBidi" w:hAnsiTheme="majorBidi" w:cstheme="majorBidi"/>
        </w:rPr>
        <w:t>”</w:t>
      </w:r>
      <w:r w:rsidRPr="00FC4465">
        <w:rPr>
          <w:rFonts w:asciiTheme="majorBidi" w:hAnsiTheme="majorBidi" w:cstheme="majorBidi"/>
        </w:rPr>
        <w:t xml:space="preserve">, insértese </w:t>
      </w:r>
      <w:r w:rsidR="008C5013" w:rsidRPr="00FC4465">
        <w:rPr>
          <w:rFonts w:asciiTheme="majorBidi" w:hAnsiTheme="majorBidi" w:cstheme="majorBidi"/>
        </w:rPr>
        <w:t>“</w:t>
      </w:r>
      <w:r w:rsidRPr="00FC4465">
        <w:rPr>
          <w:rFonts w:asciiTheme="majorBidi" w:hAnsiTheme="majorBidi" w:cstheme="majorBidi"/>
        </w:rPr>
        <w:t>, 3</w:t>
      </w:r>
      <w:r w:rsidR="008C5013" w:rsidRPr="00FC4465">
        <w:rPr>
          <w:rFonts w:asciiTheme="majorBidi" w:hAnsiTheme="majorBidi" w:cstheme="majorBidi"/>
        </w:rPr>
        <w:t>”</w:t>
      </w:r>
      <w:r w:rsidRPr="00FC4465">
        <w:rPr>
          <w:rFonts w:asciiTheme="majorBidi" w:hAnsiTheme="majorBidi" w:cstheme="majorBidi"/>
        </w:rPr>
        <w:t xml:space="preserve">. </w:t>
      </w:r>
    </w:p>
    <w:p w14:paraId="271EC462" w14:textId="6E1D30F9" w:rsidR="00284D49" w:rsidRPr="00FC4465" w:rsidRDefault="00802EA2" w:rsidP="00802EA2">
      <w:pPr>
        <w:pStyle w:val="H23G"/>
      </w:pPr>
      <w:r>
        <w:tab/>
      </w:r>
      <w:r>
        <w:tab/>
      </w:r>
      <w:r w:rsidR="00284D49" w:rsidRPr="00FC4465">
        <w:t>P271</w:t>
      </w:r>
    </w:p>
    <w:p w14:paraId="62609DAB" w14:textId="2A37816B" w:rsidR="00284D49" w:rsidRPr="00FC4465" w:rsidRDefault="00284D49" w:rsidP="00284D49">
      <w:pPr>
        <w:pStyle w:val="SingleTxtG"/>
        <w:rPr>
          <w:rFonts w:asciiTheme="majorBidi" w:hAnsiTheme="majorBidi" w:cstheme="majorBidi"/>
          <w:b/>
          <w:bCs/>
        </w:rPr>
      </w:pPr>
      <w:r w:rsidRPr="00FC4465">
        <w:rPr>
          <w:rFonts w:asciiTheme="majorBidi" w:hAnsiTheme="majorBidi" w:cstheme="majorBidi"/>
        </w:rPr>
        <w:t xml:space="preserve">En la columna (2), modifíquese el consejo de prudencia para que diga: </w:t>
      </w:r>
      <w:r w:rsidR="008C5013" w:rsidRPr="00FC4465">
        <w:rPr>
          <w:rFonts w:asciiTheme="majorBidi" w:hAnsiTheme="majorBidi" w:cstheme="majorBidi"/>
        </w:rPr>
        <w:t>“</w:t>
      </w:r>
      <w:r w:rsidRPr="00FC4465">
        <w:rPr>
          <w:rFonts w:asciiTheme="majorBidi" w:hAnsiTheme="majorBidi" w:cstheme="majorBidi"/>
          <w:b/>
          <w:bCs/>
        </w:rPr>
        <w:t>Utilizar solo al aire libre o con una ventilación suficiente.</w:t>
      </w:r>
      <w:r w:rsidR="008C5013" w:rsidRPr="008E74DD">
        <w:rPr>
          <w:rFonts w:asciiTheme="majorBidi" w:hAnsiTheme="majorBidi" w:cstheme="majorBidi"/>
        </w:rPr>
        <w:t>”</w:t>
      </w:r>
      <w:r w:rsidRPr="008E74DD">
        <w:rPr>
          <w:rFonts w:asciiTheme="majorBidi" w:hAnsiTheme="majorBidi" w:cstheme="majorBidi"/>
        </w:rPr>
        <w:t>.</w:t>
      </w:r>
    </w:p>
    <w:p w14:paraId="2F8DA08F" w14:textId="38A7C26A" w:rsidR="00284D49" w:rsidRPr="00FC4465" w:rsidRDefault="00284D49" w:rsidP="00284D49">
      <w:pPr>
        <w:pStyle w:val="SingleTxtG"/>
        <w:rPr>
          <w:rFonts w:asciiTheme="majorBidi" w:hAnsiTheme="majorBidi" w:cstheme="majorBidi"/>
        </w:rPr>
      </w:pPr>
      <w:r w:rsidRPr="00FC4465">
        <w:rPr>
          <w:rFonts w:asciiTheme="majorBidi" w:hAnsiTheme="majorBidi" w:cstheme="majorBidi"/>
        </w:rPr>
        <w:lastRenderedPageBreak/>
        <w:t xml:space="preserve">Insértese la siguiente nueva fila después de la correspondiente a </w:t>
      </w:r>
      <w:r w:rsidR="008C5013" w:rsidRPr="00FC4465">
        <w:rPr>
          <w:rFonts w:asciiTheme="majorBidi" w:hAnsiTheme="majorBidi" w:cstheme="majorBidi"/>
        </w:rPr>
        <w:t>“</w:t>
      </w:r>
      <w:r w:rsidRPr="00FC4465">
        <w:rPr>
          <w:rFonts w:asciiTheme="majorBidi" w:hAnsiTheme="majorBidi" w:cstheme="majorBidi"/>
        </w:rPr>
        <w:t>Toxicidad aguda por inhalación (capítulo 3.1)</w:t>
      </w:r>
      <w:r w:rsidR="008C5013" w:rsidRPr="00FC4465">
        <w:rPr>
          <w:rFonts w:asciiTheme="majorBidi" w:hAnsiTheme="majorBidi" w:cstheme="majorBidi"/>
        </w:rPr>
        <w:t>”</w:t>
      </w:r>
      <w:r w:rsidRPr="00FC4465">
        <w:rPr>
          <w:rFonts w:asciiTheme="majorBidi" w:hAnsiTheme="majorBidi" w:cstheme="majorBidi"/>
        </w:rPr>
        <w:t>:</w:t>
      </w:r>
    </w:p>
    <w:tbl>
      <w:tblPr>
        <w:tblStyle w:val="TableGrid"/>
        <w:tblW w:w="0" w:type="auto"/>
        <w:tblInd w:w="1129" w:type="dxa"/>
        <w:tblLayout w:type="fixed"/>
        <w:tblLook w:val="04A0" w:firstRow="1" w:lastRow="0" w:firstColumn="1" w:lastColumn="0" w:noHBand="0" w:noVBand="1"/>
      </w:tblPr>
      <w:tblGrid>
        <w:gridCol w:w="574"/>
        <w:gridCol w:w="560"/>
        <w:gridCol w:w="3835"/>
        <w:gridCol w:w="1512"/>
        <w:gridCol w:w="1166"/>
      </w:tblGrid>
      <w:tr w:rsidR="00284D49" w:rsidRPr="00FC4465" w14:paraId="45DF2F48" w14:textId="77777777" w:rsidTr="00FC4465">
        <w:tc>
          <w:tcPr>
            <w:tcW w:w="574" w:type="dxa"/>
          </w:tcPr>
          <w:p w14:paraId="675555F4" w14:textId="77777777" w:rsidR="00284D49" w:rsidRPr="00FC4465" w:rsidRDefault="00284D49" w:rsidP="00C93947">
            <w:pPr>
              <w:pStyle w:val="Bullet2G"/>
              <w:numPr>
                <w:ilvl w:val="0"/>
                <w:numId w:val="0"/>
              </w:numPr>
              <w:ind w:right="112"/>
              <w:rPr>
                <w:rFonts w:asciiTheme="majorBidi" w:eastAsia="SimSun" w:hAnsiTheme="majorBidi" w:cstheme="majorBidi"/>
                <w:sz w:val="18"/>
                <w:szCs w:val="18"/>
                <w:lang w:eastAsia="zh-CN"/>
              </w:rPr>
            </w:pPr>
          </w:p>
        </w:tc>
        <w:tc>
          <w:tcPr>
            <w:tcW w:w="560" w:type="dxa"/>
          </w:tcPr>
          <w:p w14:paraId="4FCF60D5" w14:textId="77777777" w:rsidR="00284D49" w:rsidRPr="00FC4465" w:rsidRDefault="00284D49" w:rsidP="00C93947">
            <w:pPr>
              <w:pStyle w:val="Bullet2G"/>
              <w:numPr>
                <w:ilvl w:val="0"/>
                <w:numId w:val="0"/>
              </w:numPr>
              <w:ind w:right="112"/>
              <w:rPr>
                <w:rFonts w:asciiTheme="majorBidi" w:eastAsia="SimSun" w:hAnsiTheme="majorBidi" w:cstheme="majorBidi"/>
                <w:sz w:val="18"/>
                <w:szCs w:val="18"/>
                <w:lang w:eastAsia="zh-CN"/>
              </w:rPr>
            </w:pPr>
          </w:p>
        </w:tc>
        <w:tc>
          <w:tcPr>
            <w:tcW w:w="3835" w:type="dxa"/>
          </w:tcPr>
          <w:p w14:paraId="61C2BA7F" w14:textId="77777777" w:rsidR="00284D49" w:rsidRPr="00FC4465" w:rsidRDefault="00284D49" w:rsidP="00C93947">
            <w:pPr>
              <w:pStyle w:val="Bullet2G"/>
              <w:numPr>
                <w:ilvl w:val="0"/>
                <w:numId w:val="0"/>
              </w:numPr>
              <w:ind w:right="112"/>
              <w:jc w:val="left"/>
              <w:rPr>
                <w:rFonts w:asciiTheme="majorBidi" w:eastAsia="SimSun" w:hAnsiTheme="majorBidi" w:cstheme="majorBidi"/>
                <w:sz w:val="18"/>
                <w:szCs w:val="18"/>
              </w:rPr>
            </w:pPr>
            <w:r w:rsidRPr="00FC4465">
              <w:rPr>
                <w:rFonts w:asciiTheme="majorBidi" w:hAnsiTheme="majorBidi" w:cstheme="majorBidi"/>
                <w:sz w:val="18"/>
                <w:szCs w:val="18"/>
              </w:rPr>
              <w:t>Sensibilización respiratoria (capítulo 3.4)</w:t>
            </w:r>
          </w:p>
        </w:tc>
        <w:tc>
          <w:tcPr>
            <w:tcW w:w="1512" w:type="dxa"/>
          </w:tcPr>
          <w:p w14:paraId="0679824A" w14:textId="77777777" w:rsidR="00284D49" w:rsidRPr="00FC4465" w:rsidRDefault="00284D49" w:rsidP="00C93947">
            <w:pPr>
              <w:pStyle w:val="Bullet2G"/>
              <w:numPr>
                <w:ilvl w:val="0"/>
                <w:numId w:val="0"/>
              </w:numPr>
              <w:ind w:right="112"/>
              <w:jc w:val="center"/>
              <w:rPr>
                <w:rFonts w:asciiTheme="majorBidi" w:eastAsia="SimSun" w:hAnsiTheme="majorBidi" w:cstheme="majorBidi"/>
                <w:sz w:val="18"/>
                <w:szCs w:val="18"/>
              </w:rPr>
            </w:pPr>
            <w:r w:rsidRPr="00FC4465">
              <w:rPr>
                <w:rFonts w:asciiTheme="majorBidi" w:hAnsiTheme="majorBidi" w:cstheme="majorBidi"/>
                <w:sz w:val="18"/>
                <w:szCs w:val="18"/>
              </w:rPr>
              <w:t>1, 1A, 1B</w:t>
            </w:r>
          </w:p>
        </w:tc>
        <w:tc>
          <w:tcPr>
            <w:tcW w:w="1166" w:type="dxa"/>
          </w:tcPr>
          <w:p w14:paraId="7E8816CA" w14:textId="77777777" w:rsidR="00284D49" w:rsidRPr="00FC4465" w:rsidRDefault="00284D49" w:rsidP="00C93947">
            <w:pPr>
              <w:pStyle w:val="Bullet2G"/>
              <w:numPr>
                <w:ilvl w:val="0"/>
                <w:numId w:val="0"/>
              </w:numPr>
              <w:ind w:right="112"/>
              <w:jc w:val="left"/>
              <w:rPr>
                <w:rFonts w:asciiTheme="majorBidi" w:eastAsia="SimSun" w:hAnsiTheme="majorBidi" w:cstheme="majorBidi"/>
                <w:sz w:val="18"/>
                <w:szCs w:val="18"/>
                <w:lang w:eastAsia="zh-CN"/>
              </w:rPr>
            </w:pPr>
          </w:p>
        </w:tc>
      </w:tr>
    </w:tbl>
    <w:p w14:paraId="1E25A637" w14:textId="77777777" w:rsidR="00284D49" w:rsidRPr="00FC4465" w:rsidRDefault="00284D49" w:rsidP="00802EA2">
      <w:pPr>
        <w:pStyle w:val="SingleTxtG"/>
        <w:spacing w:before="240"/>
        <w:rPr>
          <w:rFonts w:asciiTheme="majorBidi" w:hAnsiTheme="majorBidi" w:cstheme="majorBidi"/>
        </w:rPr>
      </w:pPr>
      <w:r w:rsidRPr="00FC4465">
        <w:rPr>
          <w:rFonts w:asciiTheme="majorBidi" w:hAnsiTheme="majorBidi" w:cstheme="majorBidi"/>
        </w:rPr>
        <w:t xml:space="preserve">En la columna (5), insértese la siguiente condición de uso, aplicable a todas las clases de peligro (incluida la sensibilización respiratoria): </w:t>
      </w:r>
    </w:p>
    <w:p w14:paraId="25664348" w14:textId="4104AC68" w:rsidR="00284D49" w:rsidRPr="00FC4465" w:rsidRDefault="008C5013" w:rsidP="00802EA2">
      <w:pPr>
        <w:pStyle w:val="SingleTxtG"/>
        <w:ind w:left="1418"/>
        <w:rPr>
          <w:rFonts w:asciiTheme="majorBidi" w:hAnsiTheme="majorBidi" w:cstheme="majorBidi"/>
        </w:rPr>
      </w:pPr>
      <w:r w:rsidRPr="00FC4465">
        <w:rPr>
          <w:rFonts w:asciiTheme="majorBidi" w:hAnsiTheme="majorBidi" w:cstheme="majorBidi"/>
        </w:rPr>
        <w:t>“</w:t>
      </w:r>
      <w:r w:rsidR="00284D49" w:rsidRPr="00FC4465">
        <w:rPr>
          <w:rFonts w:asciiTheme="majorBidi" w:hAnsiTheme="majorBidi" w:cstheme="majorBidi"/>
        </w:rPr>
        <w:t>El fabricante/proveedor especificará en la ficha de datos de seguridad y en todas las instrucciones de seguridad complementarias que se faciliten a los consumidores el tipo de ventilación que sería suficiente para un uso seguro.</w:t>
      </w:r>
      <w:r w:rsidRPr="00FC4465">
        <w:rPr>
          <w:rFonts w:asciiTheme="majorBidi" w:hAnsiTheme="majorBidi" w:cstheme="majorBidi"/>
        </w:rPr>
        <w:t>”</w:t>
      </w:r>
      <w:r w:rsidR="00284D49" w:rsidRPr="00FC4465">
        <w:rPr>
          <w:rFonts w:asciiTheme="majorBidi" w:hAnsiTheme="majorBidi" w:cstheme="majorBidi"/>
        </w:rPr>
        <w:t>.</w:t>
      </w:r>
    </w:p>
    <w:p w14:paraId="5F2FD694" w14:textId="1FB204F1" w:rsidR="00284D49" w:rsidRPr="00FC4465" w:rsidRDefault="00802EA2" w:rsidP="00802EA2">
      <w:pPr>
        <w:pStyle w:val="H23G"/>
      </w:pPr>
      <w:r>
        <w:tab/>
      </w:r>
      <w:r>
        <w:tab/>
      </w:r>
      <w:r w:rsidR="00284D49" w:rsidRPr="00FC4465">
        <w:t>P280</w:t>
      </w:r>
    </w:p>
    <w:p w14:paraId="4947D929" w14:textId="5C7972D6" w:rsidR="00284D49" w:rsidRPr="00FC4465" w:rsidRDefault="00284D49" w:rsidP="00284D49">
      <w:pPr>
        <w:pStyle w:val="SingleTxtG"/>
        <w:keepNext/>
        <w:keepLines/>
        <w:rPr>
          <w:rFonts w:asciiTheme="majorBidi" w:hAnsiTheme="majorBidi" w:cstheme="majorBidi"/>
        </w:rPr>
      </w:pPr>
      <w:r w:rsidRPr="00FC4465">
        <w:rPr>
          <w:rFonts w:asciiTheme="majorBidi" w:hAnsiTheme="majorBidi" w:cstheme="majorBidi"/>
        </w:rPr>
        <w:t xml:space="preserve">Insértese la siguiente nueva fila después de la correspondiente a </w:t>
      </w:r>
      <w:r w:rsidR="008C5013" w:rsidRPr="00FC4465">
        <w:rPr>
          <w:rFonts w:asciiTheme="majorBidi" w:hAnsiTheme="majorBidi" w:cstheme="majorBidi"/>
        </w:rPr>
        <w:t>“</w:t>
      </w:r>
      <w:r w:rsidRPr="00FC4465">
        <w:rPr>
          <w:rFonts w:asciiTheme="majorBidi" w:hAnsiTheme="majorBidi" w:cstheme="majorBidi"/>
        </w:rPr>
        <w:t>Irritación ocular (capítulo</w:t>
      </w:r>
      <w:r w:rsidR="002A21D5">
        <w:rPr>
          <w:rFonts w:asciiTheme="majorBidi" w:hAnsiTheme="majorBidi" w:cstheme="majorBidi"/>
        </w:rPr>
        <w:t> </w:t>
      </w:r>
      <w:r w:rsidRPr="00FC4465">
        <w:rPr>
          <w:rFonts w:asciiTheme="majorBidi" w:hAnsiTheme="majorBidi" w:cstheme="majorBidi"/>
        </w:rPr>
        <w:t>3.3)</w:t>
      </w:r>
      <w:r w:rsidR="008C5013" w:rsidRPr="00FC4465">
        <w:rPr>
          <w:rFonts w:asciiTheme="majorBidi" w:hAnsiTheme="majorBidi" w:cstheme="majorBidi"/>
        </w:rPr>
        <w:t>”</w:t>
      </w:r>
      <w:r w:rsidRPr="00FC4465">
        <w:rPr>
          <w:rFonts w:asciiTheme="majorBidi" w:hAnsiTheme="majorBidi" w:cstheme="majorBidi"/>
        </w:rPr>
        <w:t xml:space="preserve">: </w:t>
      </w:r>
    </w:p>
    <w:tbl>
      <w:tblPr>
        <w:tblStyle w:val="TableGrid"/>
        <w:tblW w:w="0" w:type="auto"/>
        <w:tblInd w:w="1129" w:type="dxa"/>
        <w:tblLayout w:type="fixed"/>
        <w:tblLook w:val="04A0" w:firstRow="1" w:lastRow="0" w:firstColumn="1" w:lastColumn="0" w:noHBand="0" w:noVBand="1"/>
      </w:tblPr>
      <w:tblGrid>
        <w:gridCol w:w="574"/>
        <w:gridCol w:w="560"/>
        <w:gridCol w:w="2977"/>
        <w:gridCol w:w="851"/>
        <w:gridCol w:w="2752"/>
      </w:tblGrid>
      <w:tr w:rsidR="00284D49" w:rsidRPr="00FC4465" w14:paraId="2A49850D" w14:textId="77777777" w:rsidTr="00FC4465">
        <w:tc>
          <w:tcPr>
            <w:tcW w:w="574" w:type="dxa"/>
          </w:tcPr>
          <w:p w14:paraId="6462DB39" w14:textId="77777777" w:rsidR="00284D49" w:rsidRPr="00FC4465" w:rsidRDefault="00284D49" w:rsidP="00C93947">
            <w:pPr>
              <w:pStyle w:val="Bullet2G"/>
              <w:keepNext/>
              <w:keepLines/>
              <w:numPr>
                <w:ilvl w:val="0"/>
                <w:numId w:val="0"/>
              </w:numPr>
              <w:spacing w:after="0"/>
              <w:ind w:right="112"/>
              <w:rPr>
                <w:rFonts w:asciiTheme="majorBidi" w:eastAsia="SimSun" w:hAnsiTheme="majorBidi" w:cstheme="majorBidi"/>
                <w:sz w:val="18"/>
                <w:szCs w:val="18"/>
                <w:lang w:eastAsia="zh-CN"/>
              </w:rPr>
            </w:pPr>
          </w:p>
        </w:tc>
        <w:tc>
          <w:tcPr>
            <w:tcW w:w="560" w:type="dxa"/>
          </w:tcPr>
          <w:p w14:paraId="3F811809" w14:textId="77777777" w:rsidR="00284D49" w:rsidRPr="00FC4465" w:rsidRDefault="00284D49" w:rsidP="00C93947">
            <w:pPr>
              <w:pStyle w:val="Bullet2G"/>
              <w:keepNext/>
              <w:keepLines/>
              <w:numPr>
                <w:ilvl w:val="0"/>
                <w:numId w:val="0"/>
              </w:numPr>
              <w:spacing w:after="0"/>
              <w:ind w:right="112"/>
              <w:rPr>
                <w:rFonts w:asciiTheme="majorBidi" w:eastAsia="SimSun" w:hAnsiTheme="majorBidi" w:cstheme="majorBidi"/>
                <w:sz w:val="18"/>
                <w:szCs w:val="18"/>
                <w:lang w:eastAsia="zh-CN"/>
              </w:rPr>
            </w:pPr>
          </w:p>
        </w:tc>
        <w:tc>
          <w:tcPr>
            <w:tcW w:w="2977" w:type="dxa"/>
          </w:tcPr>
          <w:p w14:paraId="5683F48C" w14:textId="77777777" w:rsidR="00284D49" w:rsidRPr="00FC4465" w:rsidRDefault="00284D49" w:rsidP="00C93947">
            <w:pPr>
              <w:pStyle w:val="Bullet2G"/>
              <w:keepNext/>
              <w:keepLines/>
              <w:numPr>
                <w:ilvl w:val="0"/>
                <w:numId w:val="0"/>
              </w:numPr>
              <w:spacing w:after="0"/>
              <w:ind w:right="112"/>
              <w:jc w:val="left"/>
              <w:rPr>
                <w:rFonts w:asciiTheme="majorBidi" w:eastAsia="SimSun" w:hAnsiTheme="majorBidi" w:cstheme="majorBidi"/>
                <w:sz w:val="18"/>
                <w:szCs w:val="18"/>
              </w:rPr>
            </w:pPr>
            <w:r w:rsidRPr="00FC4465">
              <w:rPr>
                <w:rFonts w:asciiTheme="majorBidi" w:hAnsiTheme="majorBidi" w:cstheme="majorBidi"/>
                <w:sz w:val="18"/>
                <w:szCs w:val="18"/>
              </w:rPr>
              <w:t>Sensibilización respiratoria (capítulo 3.4)</w:t>
            </w:r>
          </w:p>
        </w:tc>
        <w:tc>
          <w:tcPr>
            <w:tcW w:w="851" w:type="dxa"/>
          </w:tcPr>
          <w:p w14:paraId="1F49928D" w14:textId="77777777" w:rsidR="00284D49" w:rsidRPr="00FC4465" w:rsidRDefault="00284D49" w:rsidP="00C93947">
            <w:pPr>
              <w:pStyle w:val="Bullet2G"/>
              <w:keepNext/>
              <w:keepLines/>
              <w:numPr>
                <w:ilvl w:val="0"/>
                <w:numId w:val="0"/>
              </w:numPr>
              <w:spacing w:after="0"/>
              <w:ind w:right="112"/>
              <w:jc w:val="center"/>
              <w:rPr>
                <w:rFonts w:asciiTheme="majorBidi" w:eastAsia="SimSun" w:hAnsiTheme="majorBidi" w:cstheme="majorBidi"/>
                <w:sz w:val="18"/>
                <w:szCs w:val="18"/>
              </w:rPr>
            </w:pPr>
            <w:r w:rsidRPr="00FC4465">
              <w:rPr>
                <w:rFonts w:asciiTheme="majorBidi" w:hAnsiTheme="majorBidi" w:cstheme="majorBidi"/>
                <w:sz w:val="18"/>
                <w:szCs w:val="18"/>
              </w:rPr>
              <w:t>1, 1A, 1B</w:t>
            </w:r>
          </w:p>
        </w:tc>
        <w:tc>
          <w:tcPr>
            <w:tcW w:w="2752" w:type="dxa"/>
          </w:tcPr>
          <w:p w14:paraId="6487F014" w14:textId="77777777" w:rsidR="00284D49" w:rsidRPr="00FC4465" w:rsidRDefault="00284D49" w:rsidP="00C93947">
            <w:pPr>
              <w:pStyle w:val="Bullet2G"/>
              <w:keepNext/>
              <w:keepLines/>
              <w:numPr>
                <w:ilvl w:val="0"/>
                <w:numId w:val="0"/>
              </w:numPr>
              <w:spacing w:after="0"/>
              <w:ind w:left="6" w:right="113"/>
              <w:jc w:val="left"/>
              <w:rPr>
                <w:rFonts w:asciiTheme="majorBidi" w:eastAsia="SimSun" w:hAnsiTheme="majorBidi" w:cstheme="majorBidi"/>
                <w:sz w:val="18"/>
                <w:szCs w:val="18"/>
              </w:rPr>
            </w:pPr>
            <w:r w:rsidRPr="00FC4465">
              <w:rPr>
                <w:rFonts w:asciiTheme="majorBidi" w:hAnsiTheme="majorBidi" w:cstheme="majorBidi"/>
                <w:sz w:val="18"/>
                <w:szCs w:val="18"/>
              </w:rPr>
              <w:t xml:space="preserve">– </w:t>
            </w:r>
            <w:r w:rsidRPr="00FC4465">
              <w:rPr>
                <w:rFonts w:asciiTheme="majorBidi" w:hAnsiTheme="majorBidi" w:cstheme="majorBidi"/>
                <w:i/>
                <w:iCs/>
                <w:sz w:val="18"/>
                <w:szCs w:val="18"/>
              </w:rPr>
              <w:t>especificar guantes/ropa de protección</w:t>
            </w:r>
            <w:r w:rsidRPr="00FC4465">
              <w:rPr>
                <w:rFonts w:asciiTheme="majorBidi" w:hAnsiTheme="majorBidi" w:cstheme="majorBidi"/>
                <w:sz w:val="18"/>
                <w:szCs w:val="18"/>
              </w:rPr>
              <w:t>.</w:t>
            </w:r>
          </w:p>
          <w:p w14:paraId="4E122CB2" w14:textId="77777777" w:rsidR="00284D49" w:rsidRPr="00FC4465" w:rsidRDefault="00284D49" w:rsidP="00C93947">
            <w:pPr>
              <w:pStyle w:val="Bullet2G"/>
              <w:keepNext/>
              <w:keepLines/>
              <w:numPr>
                <w:ilvl w:val="0"/>
                <w:numId w:val="0"/>
              </w:numPr>
              <w:spacing w:after="0" w:line="240" w:lineRule="auto"/>
              <w:ind w:left="6" w:right="113"/>
              <w:jc w:val="left"/>
              <w:rPr>
                <w:rFonts w:asciiTheme="majorBidi" w:eastAsia="SimSun" w:hAnsiTheme="majorBidi" w:cstheme="majorBidi"/>
                <w:sz w:val="18"/>
                <w:szCs w:val="18"/>
              </w:rPr>
            </w:pPr>
            <w:r w:rsidRPr="00FC4465">
              <w:rPr>
                <w:rFonts w:asciiTheme="majorBidi" w:hAnsiTheme="majorBidi" w:cstheme="majorBidi"/>
                <w:sz w:val="18"/>
                <w:szCs w:val="18"/>
              </w:rPr>
              <w:t>El fabricante/proveedor o la autoridad competente podrá especificar el tipo de equipo cuando corresponda.</w:t>
            </w:r>
          </w:p>
        </w:tc>
      </w:tr>
    </w:tbl>
    <w:p w14:paraId="61821C23" w14:textId="58A59D4E" w:rsidR="00284D49" w:rsidRPr="00FC4465" w:rsidRDefault="00802EA2" w:rsidP="00802EA2">
      <w:pPr>
        <w:pStyle w:val="H23G"/>
      </w:pPr>
      <w:r>
        <w:tab/>
      </w:r>
      <w:r>
        <w:tab/>
      </w:r>
      <w:r w:rsidR="00284D49" w:rsidRPr="00FC4465">
        <w:t>P284</w:t>
      </w:r>
    </w:p>
    <w:p w14:paraId="577E5171" w14:textId="77777777" w:rsidR="00284D49" w:rsidRPr="00FC4465" w:rsidRDefault="00284D49" w:rsidP="00284D49">
      <w:pPr>
        <w:pStyle w:val="SingleTxtG"/>
        <w:rPr>
          <w:rFonts w:asciiTheme="majorBidi" w:hAnsiTheme="majorBidi" w:cstheme="majorBidi"/>
        </w:rPr>
      </w:pPr>
      <w:r w:rsidRPr="00FC4465">
        <w:rPr>
          <w:rFonts w:asciiTheme="majorBidi" w:hAnsiTheme="majorBidi" w:cstheme="majorBidi"/>
        </w:rPr>
        <w:t>En la columna (2), suprímanse los corchetes en el consejo de prudencia.</w:t>
      </w:r>
    </w:p>
    <w:p w14:paraId="24073704" w14:textId="77777777" w:rsidR="00284D49" w:rsidRPr="00FC4465" w:rsidRDefault="00284D49" w:rsidP="00284D49">
      <w:pPr>
        <w:pStyle w:val="SingleTxtG"/>
        <w:rPr>
          <w:rFonts w:asciiTheme="majorBidi" w:hAnsiTheme="majorBidi" w:cstheme="majorBidi"/>
        </w:rPr>
      </w:pPr>
      <w:r w:rsidRPr="00FC4465">
        <w:rPr>
          <w:rFonts w:asciiTheme="majorBidi" w:hAnsiTheme="majorBidi" w:cstheme="majorBidi"/>
        </w:rPr>
        <w:t xml:space="preserve">En la columna (5), modifíquese la condición de uso para que diga: </w:t>
      </w:r>
    </w:p>
    <w:p w14:paraId="43D65B8F" w14:textId="380CB3AF" w:rsidR="00284D49" w:rsidRPr="00FC4465" w:rsidRDefault="008C5013" w:rsidP="00284D49">
      <w:pPr>
        <w:pStyle w:val="Bullet2G"/>
        <w:numPr>
          <w:ilvl w:val="0"/>
          <w:numId w:val="0"/>
        </w:numPr>
        <w:ind w:left="1418"/>
        <w:rPr>
          <w:rFonts w:asciiTheme="majorBidi" w:hAnsiTheme="majorBidi" w:cstheme="majorBidi"/>
        </w:rPr>
      </w:pPr>
      <w:r w:rsidRPr="00FC4465">
        <w:rPr>
          <w:rFonts w:asciiTheme="majorBidi" w:hAnsiTheme="majorBidi" w:cstheme="majorBidi"/>
        </w:rPr>
        <w:t>“</w:t>
      </w:r>
      <w:r w:rsidR="00284D49" w:rsidRPr="00FC4465">
        <w:rPr>
          <w:rFonts w:asciiTheme="majorBidi" w:hAnsiTheme="majorBidi" w:cstheme="majorBidi"/>
        </w:rPr>
        <w:t>El fabricante/proveedor especificará en la ficha de datos de seguridad el tipo de ventilación que sería suficiente para un uso seguro y acompañará el producto químico en el punto de uso con información adicional en que se indique el tipo de equipo respiratorio que podría también ser necesario.</w:t>
      </w:r>
      <w:r w:rsidRPr="00FC4465">
        <w:rPr>
          <w:rFonts w:asciiTheme="majorBidi" w:hAnsiTheme="majorBidi" w:cstheme="majorBidi"/>
        </w:rPr>
        <w:t>”</w:t>
      </w:r>
      <w:r w:rsidR="00284D49" w:rsidRPr="00FC4465">
        <w:rPr>
          <w:rFonts w:asciiTheme="majorBidi" w:hAnsiTheme="majorBidi" w:cstheme="majorBidi"/>
        </w:rPr>
        <w:t>.</w:t>
      </w:r>
    </w:p>
    <w:p w14:paraId="11836541" w14:textId="77777777" w:rsidR="00284D49" w:rsidRPr="00FC4465" w:rsidRDefault="00284D49" w:rsidP="00802EA2">
      <w:pPr>
        <w:pStyle w:val="H23G"/>
      </w:pPr>
      <w:r w:rsidRPr="00FC4465">
        <w:tab/>
      </w:r>
      <w:r w:rsidRPr="00FC4465">
        <w:tab/>
        <w:t>Tabla A3.2.3</w:t>
      </w:r>
    </w:p>
    <w:p w14:paraId="78D01C17" w14:textId="3A0E5D85" w:rsidR="00284D49" w:rsidRPr="00FC4465" w:rsidRDefault="00802EA2" w:rsidP="00802EA2">
      <w:pPr>
        <w:pStyle w:val="H23G"/>
      </w:pPr>
      <w:r>
        <w:tab/>
      </w:r>
      <w:r>
        <w:tab/>
      </w:r>
      <w:r w:rsidR="00284D49" w:rsidRPr="00FC4465">
        <w:t>P302 + P335 + P334, columna (2)</w:t>
      </w:r>
    </w:p>
    <w:p w14:paraId="62D2A85F" w14:textId="44108A03" w:rsidR="00284D49" w:rsidRPr="008E74DD" w:rsidRDefault="00284D49" w:rsidP="00284D49">
      <w:pPr>
        <w:pStyle w:val="SingleTxtG"/>
        <w:rPr>
          <w:rFonts w:asciiTheme="majorBidi" w:hAnsiTheme="majorBidi" w:cstheme="majorBidi"/>
        </w:rPr>
      </w:pPr>
      <w:r w:rsidRPr="00FC4465">
        <w:rPr>
          <w:rFonts w:asciiTheme="majorBidi" w:hAnsiTheme="majorBidi" w:cstheme="majorBidi"/>
        </w:rPr>
        <w:t xml:space="preserve">Modifíquese el texto para que diga: </w:t>
      </w:r>
      <w:r w:rsidR="008C5013" w:rsidRPr="00FC4465">
        <w:rPr>
          <w:rFonts w:asciiTheme="majorBidi" w:hAnsiTheme="majorBidi" w:cstheme="majorBidi"/>
        </w:rPr>
        <w:t>“</w:t>
      </w:r>
      <w:r w:rsidRPr="00FC4465">
        <w:rPr>
          <w:rFonts w:asciiTheme="majorBidi" w:hAnsiTheme="majorBidi" w:cstheme="majorBidi"/>
          <w:b/>
          <w:bCs/>
        </w:rPr>
        <w:t>EN CASO DE CONTACTO CON LA PIEL: Cepillar las partículas sueltas depositadas en la piel y sumergir en agua fría [o envolver en vendas húmedas].</w:t>
      </w:r>
      <w:r w:rsidR="008C5013" w:rsidRPr="008E74DD">
        <w:rPr>
          <w:rFonts w:asciiTheme="majorBidi" w:hAnsiTheme="majorBidi" w:cstheme="majorBidi"/>
        </w:rPr>
        <w:t>”</w:t>
      </w:r>
      <w:r w:rsidRPr="008E74DD">
        <w:rPr>
          <w:rFonts w:asciiTheme="majorBidi" w:hAnsiTheme="majorBidi" w:cstheme="majorBidi"/>
        </w:rPr>
        <w:t>.</w:t>
      </w:r>
    </w:p>
    <w:p w14:paraId="469234D4" w14:textId="77777777" w:rsidR="00284D49" w:rsidRPr="00FC4465" w:rsidRDefault="00284D49" w:rsidP="00802EA2">
      <w:pPr>
        <w:pStyle w:val="H23G"/>
      </w:pPr>
      <w:r w:rsidRPr="00FC4465">
        <w:tab/>
      </w:r>
      <w:r w:rsidRPr="00FC4465">
        <w:tab/>
        <w:t>Tabla A3.2.4</w:t>
      </w:r>
    </w:p>
    <w:p w14:paraId="72018D91" w14:textId="6F55C12E" w:rsidR="00284D49" w:rsidRPr="00FC4465" w:rsidRDefault="00802EA2" w:rsidP="00802EA2">
      <w:pPr>
        <w:pStyle w:val="H23G"/>
      </w:pPr>
      <w:r>
        <w:tab/>
      </w:r>
      <w:r>
        <w:tab/>
      </w:r>
      <w:r w:rsidR="00284D49" w:rsidRPr="00FC4465">
        <w:t>P403</w:t>
      </w:r>
    </w:p>
    <w:p w14:paraId="40A0EABD" w14:textId="7846812D" w:rsidR="00284D49" w:rsidRPr="00FC4465" w:rsidRDefault="00284D49" w:rsidP="00284D49">
      <w:pPr>
        <w:pStyle w:val="SingleTxtG"/>
        <w:rPr>
          <w:rFonts w:asciiTheme="majorBidi" w:hAnsiTheme="majorBidi" w:cstheme="majorBidi"/>
        </w:rPr>
      </w:pPr>
      <w:r w:rsidRPr="00FC4465">
        <w:rPr>
          <w:rFonts w:asciiTheme="majorBidi" w:hAnsiTheme="majorBidi" w:cstheme="majorBidi"/>
        </w:rPr>
        <w:t xml:space="preserve">Insértese la siguiente nueva fila después de la correspondiente a </w:t>
      </w:r>
      <w:r w:rsidR="008C5013" w:rsidRPr="00FC4465">
        <w:rPr>
          <w:rFonts w:asciiTheme="majorBidi" w:hAnsiTheme="majorBidi" w:cstheme="majorBidi"/>
        </w:rPr>
        <w:t>“</w:t>
      </w:r>
      <w:r w:rsidRPr="00FC4465">
        <w:rPr>
          <w:rFonts w:asciiTheme="majorBidi" w:hAnsiTheme="majorBidi" w:cstheme="majorBidi"/>
        </w:rPr>
        <w:t>Toxicidad aguda por inhalación (capítulo 3.1)</w:t>
      </w:r>
      <w:r w:rsidR="008C5013" w:rsidRPr="00FC4465">
        <w:rPr>
          <w:rFonts w:asciiTheme="majorBidi" w:hAnsiTheme="majorBidi" w:cstheme="majorBidi"/>
        </w:rPr>
        <w:t>”</w:t>
      </w:r>
      <w:r w:rsidRPr="00FC4465">
        <w:rPr>
          <w:rFonts w:asciiTheme="majorBidi" w:hAnsiTheme="majorBidi" w:cstheme="majorBidi"/>
        </w:rPr>
        <w:t xml:space="preserve">: </w:t>
      </w:r>
    </w:p>
    <w:tbl>
      <w:tblPr>
        <w:tblStyle w:val="TableGrid"/>
        <w:tblW w:w="0" w:type="auto"/>
        <w:tblInd w:w="1118" w:type="dxa"/>
        <w:tblLayout w:type="fixed"/>
        <w:tblLook w:val="04A0" w:firstRow="1" w:lastRow="0" w:firstColumn="1" w:lastColumn="0" w:noHBand="0" w:noVBand="1"/>
      </w:tblPr>
      <w:tblGrid>
        <w:gridCol w:w="846"/>
        <w:gridCol w:w="709"/>
        <w:gridCol w:w="2970"/>
        <w:gridCol w:w="1418"/>
        <w:gridCol w:w="1418"/>
      </w:tblGrid>
      <w:tr w:rsidR="00284D49" w:rsidRPr="00FC4465" w14:paraId="62195947" w14:textId="77777777" w:rsidTr="00C93947">
        <w:tc>
          <w:tcPr>
            <w:tcW w:w="846" w:type="dxa"/>
          </w:tcPr>
          <w:p w14:paraId="785A2042" w14:textId="77777777" w:rsidR="00284D49" w:rsidRPr="00FC4465" w:rsidRDefault="00284D49" w:rsidP="00FC4465">
            <w:pPr>
              <w:pStyle w:val="Bullet2G"/>
              <w:numPr>
                <w:ilvl w:val="0"/>
                <w:numId w:val="0"/>
              </w:numPr>
              <w:spacing w:before="20" w:after="20" w:line="240" w:lineRule="auto"/>
              <w:ind w:right="113"/>
              <w:jc w:val="left"/>
              <w:rPr>
                <w:rFonts w:asciiTheme="majorBidi" w:eastAsia="SimSun" w:hAnsiTheme="majorBidi" w:cstheme="majorBidi"/>
                <w:sz w:val="18"/>
                <w:szCs w:val="18"/>
                <w:lang w:eastAsia="zh-CN"/>
              </w:rPr>
            </w:pPr>
          </w:p>
        </w:tc>
        <w:tc>
          <w:tcPr>
            <w:tcW w:w="709" w:type="dxa"/>
          </w:tcPr>
          <w:p w14:paraId="34948EBF" w14:textId="77777777" w:rsidR="00284D49" w:rsidRPr="00FC4465" w:rsidRDefault="00284D49" w:rsidP="00FC4465">
            <w:pPr>
              <w:pStyle w:val="Bullet2G"/>
              <w:numPr>
                <w:ilvl w:val="0"/>
                <w:numId w:val="0"/>
              </w:numPr>
              <w:spacing w:before="20" w:after="20" w:line="240" w:lineRule="auto"/>
              <w:ind w:right="113"/>
              <w:jc w:val="left"/>
              <w:rPr>
                <w:rFonts w:asciiTheme="majorBidi" w:eastAsia="SimSun" w:hAnsiTheme="majorBidi" w:cstheme="majorBidi"/>
                <w:sz w:val="18"/>
                <w:szCs w:val="18"/>
                <w:lang w:eastAsia="zh-CN"/>
              </w:rPr>
            </w:pPr>
          </w:p>
        </w:tc>
        <w:tc>
          <w:tcPr>
            <w:tcW w:w="2970" w:type="dxa"/>
          </w:tcPr>
          <w:p w14:paraId="4234F826" w14:textId="77777777" w:rsidR="00284D49" w:rsidRPr="00FC4465" w:rsidRDefault="00284D49" w:rsidP="00FC4465">
            <w:pPr>
              <w:pStyle w:val="Bullet2G"/>
              <w:numPr>
                <w:ilvl w:val="0"/>
                <w:numId w:val="0"/>
              </w:numPr>
              <w:spacing w:before="20" w:after="20" w:line="240" w:lineRule="auto"/>
              <w:ind w:right="113"/>
              <w:jc w:val="left"/>
              <w:rPr>
                <w:rFonts w:asciiTheme="majorBidi" w:eastAsia="SimSun" w:hAnsiTheme="majorBidi" w:cstheme="majorBidi"/>
                <w:sz w:val="18"/>
                <w:szCs w:val="18"/>
              </w:rPr>
            </w:pPr>
            <w:r w:rsidRPr="00FC4465">
              <w:rPr>
                <w:rFonts w:asciiTheme="majorBidi" w:hAnsiTheme="majorBidi" w:cstheme="majorBidi"/>
                <w:sz w:val="18"/>
                <w:szCs w:val="18"/>
              </w:rPr>
              <w:t>Sensibilización respiratoria (capítulo 3.4)</w:t>
            </w:r>
          </w:p>
        </w:tc>
        <w:tc>
          <w:tcPr>
            <w:tcW w:w="1418" w:type="dxa"/>
          </w:tcPr>
          <w:p w14:paraId="05209D94" w14:textId="77777777" w:rsidR="00284D49" w:rsidRPr="00FC4465" w:rsidRDefault="00284D49" w:rsidP="00FC4465">
            <w:pPr>
              <w:pStyle w:val="Bullet2G"/>
              <w:numPr>
                <w:ilvl w:val="0"/>
                <w:numId w:val="0"/>
              </w:numPr>
              <w:spacing w:before="20" w:after="20" w:line="240" w:lineRule="auto"/>
              <w:ind w:right="113"/>
              <w:jc w:val="center"/>
              <w:rPr>
                <w:rFonts w:asciiTheme="majorBidi" w:eastAsia="SimSun" w:hAnsiTheme="majorBidi" w:cstheme="majorBidi"/>
                <w:sz w:val="18"/>
                <w:szCs w:val="18"/>
              </w:rPr>
            </w:pPr>
            <w:r w:rsidRPr="00FC4465">
              <w:rPr>
                <w:rFonts w:asciiTheme="majorBidi" w:hAnsiTheme="majorBidi" w:cstheme="majorBidi"/>
                <w:sz w:val="18"/>
                <w:szCs w:val="18"/>
              </w:rPr>
              <w:t>1, 1A, 1B</w:t>
            </w:r>
          </w:p>
        </w:tc>
        <w:tc>
          <w:tcPr>
            <w:tcW w:w="1418" w:type="dxa"/>
          </w:tcPr>
          <w:p w14:paraId="4F49ED17" w14:textId="77777777" w:rsidR="00284D49" w:rsidRPr="00FC4465" w:rsidRDefault="00284D49" w:rsidP="00FC4465">
            <w:pPr>
              <w:pStyle w:val="Bullet2G"/>
              <w:numPr>
                <w:ilvl w:val="0"/>
                <w:numId w:val="0"/>
              </w:numPr>
              <w:spacing w:before="20" w:after="20" w:line="240" w:lineRule="auto"/>
              <w:ind w:right="113"/>
              <w:jc w:val="left"/>
              <w:rPr>
                <w:rFonts w:asciiTheme="majorBidi" w:eastAsia="SimSun" w:hAnsiTheme="majorBidi" w:cstheme="majorBidi"/>
                <w:sz w:val="18"/>
                <w:szCs w:val="18"/>
                <w:lang w:eastAsia="zh-CN"/>
              </w:rPr>
            </w:pPr>
          </w:p>
        </w:tc>
      </w:tr>
    </w:tbl>
    <w:p w14:paraId="0182F567" w14:textId="09BCA728" w:rsidR="00284D49" w:rsidRPr="001B3DD9" w:rsidRDefault="00284D49" w:rsidP="00802EA2">
      <w:pPr>
        <w:pStyle w:val="FootnoteText"/>
        <w:tabs>
          <w:tab w:val="clear" w:pos="1021"/>
        </w:tabs>
        <w:spacing w:before="240" w:after="120" w:line="240" w:lineRule="atLeast"/>
        <w:ind w:firstLine="0"/>
        <w:jc w:val="both"/>
        <w:rPr>
          <w:rFonts w:asciiTheme="majorBidi" w:hAnsiTheme="majorBidi" w:cstheme="majorBidi"/>
          <w:sz w:val="20"/>
        </w:rPr>
      </w:pPr>
      <w:r w:rsidRPr="001B3DD9">
        <w:rPr>
          <w:rFonts w:asciiTheme="majorBidi" w:hAnsiTheme="majorBidi" w:cstheme="majorBidi"/>
          <w:sz w:val="20"/>
        </w:rPr>
        <w:t xml:space="preserve">En la columna (5), aplíquese la siguiente condición de uso a las clases de peligro </w:t>
      </w:r>
      <w:r w:rsidR="008C5013" w:rsidRPr="001B3DD9">
        <w:rPr>
          <w:rFonts w:asciiTheme="majorBidi" w:hAnsiTheme="majorBidi" w:cstheme="majorBidi"/>
          <w:sz w:val="20"/>
        </w:rPr>
        <w:t>“</w:t>
      </w:r>
      <w:r w:rsidRPr="001B3DD9">
        <w:rPr>
          <w:rFonts w:asciiTheme="majorBidi" w:hAnsiTheme="majorBidi" w:cstheme="majorBidi"/>
          <w:sz w:val="20"/>
        </w:rPr>
        <w:t>Toxicidad aguda por inhalación</w:t>
      </w:r>
      <w:r w:rsidR="008C5013" w:rsidRPr="001B3DD9">
        <w:rPr>
          <w:rFonts w:asciiTheme="majorBidi" w:hAnsiTheme="majorBidi" w:cstheme="majorBidi"/>
          <w:sz w:val="20"/>
        </w:rPr>
        <w:t>”</w:t>
      </w:r>
      <w:r w:rsidRPr="001B3DD9">
        <w:rPr>
          <w:rFonts w:asciiTheme="majorBidi" w:hAnsiTheme="majorBidi" w:cstheme="majorBidi"/>
          <w:sz w:val="20"/>
        </w:rPr>
        <w:t xml:space="preserve">; </w:t>
      </w:r>
      <w:r w:rsidR="008C5013" w:rsidRPr="001B3DD9">
        <w:rPr>
          <w:rFonts w:asciiTheme="majorBidi" w:hAnsiTheme="majorBidi" w:cstheme="majorBidi"/>
          <w:sz w:val="20"/>
        </w:rPr>
        <w:t>“</w:t>
      </w:r>
      <w:r w:rsidRPr="001B3DD9">
        <w:rPr>
          <w:rFonts w:asciiTheme="majorBidi" w:hAnsiTheme="majorBidi" w:cstheme="majorBidi"/>
          <w:sz w:val="20"/>
        </w:rPr>
        <w:t>Toxicidad específica de órganos diana (exposición única); irritación de las vías respiratorias</w:t>
      </w:r>
      <w:r w:rsidR="008C5013" w:rsidRPr="001B3DD9">
        <w:rPr>
          <w:rFonts w:asciiTheme="majorBidi" w:hAnsiTheme="majorBidi" w:cstheme="majorBidi"/>
          <w:sz w:val="20"/>
        </w:rPr>
        <w:t>”</w:t>
      </w:r>
      <w:r w:rsidRPr="001B3DD9">
        <w:rPr>
          <w:rFonts w:asciiTheme="majorBidi" w:hAnsiTheme="majorBidi" w:cstheme="majorBidi"/>
          <w:sz w:val="20"/>
        </w:rPr>
        <w:t xml:space="preserve"> y </w:t>
      </w:r>
      <w:r w:rsidR="008C5013" w:rsidRPr="001B3DD9">
        <w:rPr>
          <w:rFonts w:asciiTheme="majorBidi" w:hAnsiTheme="majorBidi" w:cstheme="majorBidi"/>
          <w:sz w:val="20"/>
        </w:rPr>
        <w:t>“</w:t>
      </w:r>
      <w:r w:rsidRPr="001B3DD9">
        <w:rPr>
          <w:rFonts w:asciiTheme="majorBidi" w:hAnsiTheme="majorBidi" w:cstheme="majorBidi"/>
          <w:sz w:val="20"/>
        </w:rPr>
        <w:t>Toxicidad específica de órganos diana (exposición única); efecto narcótico</w:t>
      </w:r>
      <w:r w:rsidR="008C5013" w:rsidRPr="001B3DD9">
        <w:rPr>
          <w:rFonts w:asciiTheme="majorBidi" w:hAnsiTheme="majorBidi" w:cstheme="majorBidi"/>
          <w:sz w:val="20"/>
        </w:rPr>
        <w:t>”</w:t>
      </w:r>
      <w:r w:rsidRPr="001B3DD9">
        <w:rPr>
          <w:rFonts w:asciiTheme="majorBidi" w:hAnsiTheme="majorBidi" w:cstheme="majorBidi"/>
          <w:sz w:val="20"/>
        </w:rPr>
        <w:t>:</w:t>
      </w:r>
    </w:p>
    <w:p w14:paraId="180D2685" w14:textId="450E189A" w:rsidR="00284D49" w:rsidRPr="008E74DD" w:rsidRDefault="008C5013" w:rsidP="00802EA2">
      <w:pPr>
        <w:pStyle w:val="FootnoteText"/>
        <w:tabs>
          <w:tab w:val="clear" w:pos="1021"/>
          <w:tab w:val="left" w:pos="1985"/>
        </w:tabs>
        <w:spacing w:after="120" w:line="240" w:lineRule="atLeast"/>
        <w:ind w:firstLine="567"/>
        <w:jc w:val="both"/>
        <w:rPr>
          <w:rFonts w:asciiTheme="majorBidi" w:hAnsiTheme="majorBidi" w:cstheme="majorBidi"/>
          <w:b/>
          <w:bCs/>
          <w:i/>
          <w:iCs/>
          <w:sz w:val="20"/>
        </w:rPr>
      </w:pPr>
      <w:r w:rsidRPr="001B3DD9">
        <w:rPr>
          <w:rFonts w:asciiTheme="majorBidi" w:hAnsiTheme="majorBidi" w:cstheme="majorBidi"/>
          <w:sz w:val="20"/>
        </w:rPr>
        <w:t>“</w:t>
      </w:r>
      <w:r w:rsidR="00284D49" w:rsidRPr="001B3DD9">
        <w:rPr>
          <w:rFonts w:asciiTheme="majorBidi" w:hAnsiTheme="majorBidi" w:cstheme="majorBidi"/>
          <w:sz w:val="20"/>
        </w:rPr>
        <w:tab/>
      </w:r>
      <w:r w:rsidR="00284D49" w:rsidRPr="001B3DD9">
        <w:rPr>
          <w:rFonts w:asciiTheme="majorBidi" w:hAnsiTheme="majorBidi" w:cstheme="majorBidi"/>
          <w:i/>
          <w:iCs/>
          <w:sz w:val="20"/>
        </w:rPr>
        <w:t>– si el producto químico es volátil y puede dar lugar a la formación de una atmósfera peligrosa.</w:t>
      </w:r>
      <w:r w:rsidRPr="002A21D5">
        <w:rPr>
          <w:rFonts w:asciiTheme="majorBidi" w:hAnsiTheme="majorBidi" w:cstheme="majorBidi"/>
          <w:iCs/>
          <w:sz w:val="20"/>
        </w:rPr>
        <w:t>”</w:t>
      </w:r>
      <w:r w:rsidR="00284D49" w:rsidRPr="002A21D5">
        <w:rPr>
          <w:rFonts w:asciiTheme="majorBidi" w:hAnsiTheme="majorBidi" w:cstheme="majorBidi"/>
          <w:iCs/>
          <w:sz w:val="20"/>
        </w:rPr>
        <w:t>.</w:t>
      </w:r>
    </w:p>
    <w:p w14:paraId="4B8B7556" w14:textId="77777777" w:rsidR="00284D49" w:rsidRPr="001B3DD9" w:rsidRDefault="00284D49" w:rsidP="00802EA2">
      <w:pPr>
        <w:pStyle w:val="H23G"/>
      </w:pPr>
      <w:r w:rsidRPr="001B3DD9">
        <w:lastRenderedPageBreak/>
        <w:tab/>
      </w:r>
      <w:r w:rsidRPr="001B3DD9">
        <w:tab/>
        <w:t>Sección 3</w:t>
      </w:r>
    </w:p>
    <w:p w14:paraId="4021525A" w14:textId="252F9E94" w:rsidR="00284D49" w:rsidRPr="001B3DD9" w:rsidRDefault="00802EA2" w:rsidP="00802EA2">
      <w:pPr>
        <w:pStyle w:val="H23G"/>
      </w:pPr>
      <w:r>
        <w:tab/>
      </w:r>
      <w:r>
        <w:tab/>
      </w:r>
      <w:r w:rsidR="00284D49" w:rsidRPr="001B3DD9">
        <w:t>Tablas relativas a los gases inflamables (capítulo 2.2)</w:t>
      </w:r>
    </w:p>
    <w:p w14:paraId="59610A48" w14:textId="77777777" w:rsidR="00284D49" w:rsidRPr="001B3DD9" w:rsidRDefault="00284D49" w:rsidP="00802EA2">
      <w:pPr>
        <w:pStyle w:val="Bullet1G"/>
        <w:numPr>
          <w:ilvl w:val="0"/>
          <w:numId w:val="0"/>
        </w:numPr>
        <w:suppressAutoHyphens/>
        <w:kinsoku w:val="0"/>
        <w:overflowPunct w:val="0"/>
        <w:autoSpaceDE w:val="0"/>
        <w:autoSpaceDN w:val="0"/>
        <w:adjustRightInd w:val="0"/>
        <w:snapToGrid w:val="0"/>
        <w:ind w:left="1134"/>
        <w:rPr>
          <w:rFonts w:asciiTheme="majorBidi" w:hAnsiTheme="majorBidi" w:cstheme="majorBidi"/>
        </w:rPr>
      </w:pPr>
      <w:r w:rsidRPr="001B3DD9">
        <w:rPr>
          <w:rFonts w:asciiTheme="majorBidi" w:hAnsiTheme="majorBidi" w:cstheme="majorBidi"/>
        </w:rPr>
        <w:t>Suprímase la nota relativa a los gases pirofóricos y los gases químicamente inestables que figura debajo de las tablas.</w:t>
      </w:r>
    </w:p>
    <w:p w14:paraId="7AD43FD9" w14:textId="52914708" w:rsidR="00284D49" w:rsidRPr="001B3DD9" w:rsidRDefault="00284D49" w:rsidP="00802EA2">
      <w:pPr>
        <w:pStyle w:val="SingleTxtG"/>
        <w:rPr>
          <w:rFonts w:asciiTheme="majorBidi" w:hAnsiTheme="majorBidi" w:cstheme="majorBidi"/>
          <w:b/>
        </w:rPr>
      </w:pPr>
      <w:r w:rsidRPr="001B3DD9">
        <w:rPr>
          <w:rFonts w:asciiTheme="majorBidi" w:hAnsiTheme="majorBidi" w:cstheme="majorBidi"/>
          <w:b/>
          <w:bCs/>
        </w:rPr>
        <w:t xml:space="preserve">Tabla relativa a los sólidos pirofóricos (capítulo 2.10), categoría de peligro 1, columna </w:t>
      </w:r>
      <w:r w:rsidR="008C5013" w:rsidRPr="001B3DD9">
        <w:rPr>
          <w:rFonts w:asciiTheme="majorBidi" w:hAnsiTheme="majorBidi" w:cstheme="majorBidi"/>
        </w:rPr>
        <w:t>“</w:t>
      </w:r>
      <w:r w:rsidRPr="001B3DD9">
        <w:rPr>
          <w:rFonts w:asciiTheme="majorBidi" w:hAnsiTheme="majorBidi" w:cstheme="majorBidi"/>
          <w:b/>
          <w:bCs/>
        </w:rPr>
        <w:t>Intervención</w:t>
      </w:r>
      <w:r w:rsidR="008C5013" w:rsidRPr="001B3DD9">
        <w:rPr>
          <w:rFonts w:asciiTheme="majorBidi" w:hAnsiTheme="majorBidi" w:cstheme="majorBidi"/>
        </w:rPr>
        <w:t>”</w:t>
      </w:r>
      <w:r w:rsidRPr="001B3DD9">
        <w:rPr>
          <w:rFonts w:asciiTheme="majorBidi" w:hAnsiTheme="majorBidi" w:cstheme="majorBidi"/>
          <w:b/>
          <w:bCs/>
        </w:rPr>
        <w:t>, consejo de prudencia P302 + P335 + P334</w:t>
      </w:r>
    </w:p>
    <w:p w14:paraId="3BA263EA" w14:textId="77777777" w:rsidR="00284D49" w:rsidRPr="001B3DD9" w:rsidRDefault="00284D49" w:rsidP="00802EA2">
      <w:pPr>
        <w:pStyle w:val="Bullet1G"/>
        <w:numPr>
          <w:ilvl w:val="0"/>
          <w:numId w:val="0"/>
        </w:numPr>
        <w:suppressAutoHyphens/>
        <w:kinsoku w:val="0"/>
        <w:overflowPunct w:val="0"/>
        <w:autoSpaceDE w:val="0"/>
        <w:autoSpaceDN w:val="0"/>
        <w:adjustRightInd w:val="0"/>
        <w:snapToGrid w:val="0"/>
        <w:ind w:left="1134"/>
        <w:rPr>
          <w:rFonts w:asciiTheme="majorBidi" w:hAnsiTheme="majorBidi" w:cstheme="majorBidi"/>
          <w:bCs/>
        </w:rPr>
      </w:pPr>
      <w:r w:rsidRPr="001B3DD9">
        <w:rPr>
          <w:rFonts w:asciiTheme="majorBidi" w:hAnsiTheme="majorBidi" w:cstheme="majorBidi"/>
        </w:rPr>
        <w:t>Modifíquese para que diga:</w:t>
      </w:r>
    </w:p>
    <w:p w14:paraId="5FDFDA0D" w14:textId="1616EE93" w:rsidR="00284D49" w:rsidRPr="001B3DD9" w:rsidRDefault="008C5013" w:rsidP="00802EA2">
      <w:pPr>
        <w:spacing w:after="120"/>
        <w:ind w:left="1701"/>
        <w:jc w:val="both"/>
        <w:rPr>
          <w:rFonts w:asciiTheme="majorBidi" w:hAnsiTheme="majorBidi" w:cstheme="majorBidi"/>
        </w:rPr>
      </w:pPr>
      <w:r w:rsidRPr="001B3DD9">
        <w:rPr>
          <w:rFonts w:asciiTheme="majorBidi" w:hAnsiTheme="majorBidi" w:cstheme="majorBidi"/>
        </w:rPr>
        <w:t>“</w:t>
      </w:r>
      <w:r w:rsidR="00284D49" w:rsidRPr="001B3DD9">
        <w:rPr>
          <w:rFonts w:asciiTheme="majorBidi" w:hAnsiTheme="majorBidi" w:cstheme="majorBidi"/>
        </w:rPr>
        <w:t>P302 + P335 + P334</w:t>
      </w:r>
    </w:p>
    <w:p w14:paraId="29BD20F5" w14:textId="78F9188F" w:rsidR="00284D49" w:rsidRPr="008E74DD" w:rsidRDefault="00284D49" w:rsidP="00802EA2">
      <w:pPr>
        <w:spacing w:after="120"/>
        <w:ind w:left="1701" w:right="1134"/>
        <w:jc w:val="both"/>
        <w:rPr>
          <w:rFonts w:asciiTheme="majorBidi" w:hAnsiTheme="majorBidi" w:cstheme="majorBidi"/>
        </w:rPr>
      </w:pPr>
      <w:r w:rsidRPr="001B3DD9">
        <w:rPr>
          <w:rFonts w:asciiTheme="majorBidi" w:hAnsiTheme="majorBidi" w:cstheme="majorBidi"/>
          <w:b/>
          <w:bCs/>
        </w:rPr>
        <w:t>EN CASO DE CONTACTO CON LA PIEL: Cepillar las partículas sueltas depositadas en la piel y sumergir en agua fría o envolver en vendas húmedas.</w:t>
      </w:r>
      <w:r w:rsidR="008C5013" w:rsidRPr="001B3DD9">
        <w:rPr>
          <w:rFonts w:asciiTheme="majorBidi" w:hAnsiTheme="majorBidi" w:cstheme="majorBidi"/>
          <w:b/>
          <w:bCs/>
        </w:rPr>
        <w:t>”</w:t>
      </w:r>
      <w:r w:rsidRPr="008E74DD">
        <w:rPr>
          <w:rFonts w:asciiTheme="majorBidi" w:hAnsiTheme="majorBidi" w:cstheme="majorBidi"/>
        </w:rPr>
        <w:t>.</w:t>
      </w:r>
    </w:p>
    <w:p w14:paraId="57A6109F" w14:textId="57083D6E" w:rsidR="00284D49" w:rsidRPr="001B3DD9" w:rsidRDefault="00284D49" w:rsidP="00802EA2">
      <w:pPr>
        <w:pStyle w:val="SingleTxtG"/>
        <w:rPr>
          <w:rFonts w:asciiTheme="majorBidi" w:hAnsiTheme="majorBidi" w:cstheme="majorBidi"/>
          <w:b/>
          <w:bCs/>
        </w:rPr>
      </w:pPr>
      <w:r w:rsidRPr="001B3DD9">
        <w:rPr>
          <w:rFonts w:asciiTheme="majorBidi" w:hAnsiTheme="majorBidi" w:cstheme="majorBidi"/>
          <w:b/>
          <w:bCs/>
        </w:rPr>
        <w:t xml:space="preserve">Tabla relativa a la toxicidad aguda por vía cutánea (capítulo 3.1), categoría 3, columna </w:t>
      </w:r>
      <w:r w:rsidR="008C5013" w:rsidRPr="001B3DD9">
        <w:rPr>
          <w:rFonts w:asciiTheme="majorBidi" w:hAnsiTheme="majorBidi" w:cstheme="majorBidi"/>
          <w:b/>
          <w:bCs/>
        </w:rPr>
        <w:t>“</w:t>
      </w:r>
      <w:r w:rsidRPr="001B3DD9">
        <w:rPr>
          <w:rFonts w:asciiTheme="majorBidi" w:hAnsiTheme="majorBidi" w:cstheme="majorBidi"/>
          <w:b/>
          <w:bCs/>
        </w:rPr>
        <w:t>Prevención</w:t>
      </w:r>
      <w:r w:rsidR="008C5013" w:rsidRPr="001B3DD9">
        <w:rPr>
          <w:rFonts w:asciiTheme="majorBidi" w:hAnsiTheme="majorBidi" w:cstheme="majorBidi"/>
          <w:b/>
          <w:bCs/>
        </w:rPr>
        <w:t>”</w:t>
      </w:r>
    </w:p>
    <w:p w14:paraId="18D897C1" w14:textId="77777777" w:rsidR="00284D49" w:rsidRPr="001B3DD9" w:rsidRDefault="00284D49" w:rsidP="00802EA2">
      <w:pPr>
        <w:pStyle w:val="Bullet1G"/>
        <w:numPr>
          <w:ilvl w:val="0"/>
          <w:numId w:val="0"/>
        </w:numPr>
        <w:tabs>
          <w:tab w:val="left" w:pos="1134"/>
        </w:tabs>
        <w:suppressAutoHyphens/>
        <w:kinsoku w:val="0"/>
        <w:overflowPunct w:val="0"/>
        <w:autoSpaceDE w:val="0"/>
        <w:autoSpaceDN w:val="0"/>
        <w:adjustRightInd w:val="0"/>
        <w:snapToGrid w:val="0"/>
        <w:rPr>
          <w:rFonts w:asciiTheme="majorBidi" w:hAnsiTheme="majorBidi" w:cstheme="majorBidi"/>
        </w:rPr>
      </w:pPr>
      <w:r w:rsidRPr="001B3DD9">
        <w:rPr>
          <w:rFonts w:asciiTheme="majorBidi" w:hAnsiTheme="majorBidi" w:cstheme="majorBidi"/>
        </w:rPr>
        <w:tab/>
        <w:t>Añádanse las siguientes entradas:</w:t>
      </w:r>
    </w:p>
    <w:p w14:paraId="4842817B" w14:textId="405F08B3" w:rsidR="00284D49" w:rsidRPr="001B3DD9" w:rsidRDefault="008C5013" w:rsidP="00802EA2">
      <w:pPr>
        <w:pStyle w:val="SingleTxtG"/>
        <w:ind w:left="1985" w:right="0" w:hanging="284"/>
        <w:rPr>
          <w:rFonts w:asciiTheme="majorBidi" w:hAnsiTheme="majorBidi" w:cstheme="majorBidi"/>
          <w:b/>
          <w:bCs/>
        </w:rPr>
      </w:pPr>
      <w:r w:rsidRPr="001B3DD9">
        <w:rPr>
          <w:rFonts w:asciiTheme="majorBidi" w:hAnsiTheme="majorBidi" w:cstheme="majorBidi"/>
        </w:rPr>
        <w:t>“</w:t>
      </w:r>
      <w:r w:rsidR="00284D49" w:rsidRPr="001B3DD9">
        <w:rPr>
          <w:rFonts w:asciiTheme="majorBidi" w:hAnsiTheme="majorBidi" w:cstheme="majorBidi"/>
        </w:rPr>
        <w:t>P262</w:t>
      </w:r>
    </w:p>
    <w:p w14:paraId="3A6E38A1" w14:textId="77777777" w:rsidR="00284D49" w:rsidRPr="001B3DD9" w:rsidRDefault="00284D49" w:rsidP="00802EA2">
      <w:pPr>
        <w:pStyle w:val="SingleTxtG"/>
        <w:ind w:left="1985" w:right="0" w:hanging="284"/>
        <w:rPr>
          <w:rStyle w:val="StyleBold"/>
          <w:rFonts w:asciiTheme="majorBidi" w:hAnsiTheme="majorBidi" w:cstheme="majorBidi"/>
        </w:rPr>
      </w:pPr>
      <w:r w:rsidRPr="001B3DD9">
        <w:rPr>
          <w:rFonts w:asciiTheme="majorBidi" w:hAnsiTheme="majorBidi" w:cstheme="majorBidi"/>
          <w:b/>
          <w:bCs/>
        </w:rPr>
        <w:t>Evitar todo contacto con los ojos, la piel o la ropa.</w:t>
      </w:r>
    </w:p>
    <w:p w14:paraId="317F5660" w14:textId="77777777" w:rsidR="00284D49" w:rsidRPr="001B3DD9" w:rsidRDefault="00284D49" w:rsidP="00802EA2">
      <w:pPr>
        <w:pStyle w:val="ListParagraph"/>
        <w:spacing w:after="120"/>
        <w:ind w:left="1701"/>
        <w:jc w:val="both"/>
        <w:rPr>
          <w:rFonts w:asciiTheme="majorBidi" w:hAnsiTheme="majorBidi" w:cstheme="majorBidi"/>
          <w:lang w:val="es-ES"/>
        </w:rPr>
      </w:pPr>
      <w:r w:rsidRPr="001B3DD9">
        <w:rPr>
          <w:rFonts w:asciiTheme="majorBidi" w:hAnsiTheme="majorBidi" w:cstheme="majorBidi"/>
          <w:lang w:val="es-ES"/>
        </w:rPr>
        <w:t>P264</w:t>
      </w:r>
    </w:p>
    <w:p w14:paraId="7D216B33" w14:textId="77777777" w:rsidR="00284D49" w:rsidRPr="001B3DD9" w:rsidRDefault="00284D49" w:rsidP="00802EA2">
      <w:pPr>
        <w:pStyle w:val="ListParagraph"/>
        <w:spacing w:after="120"/>
        <w:ind w:left="1701"/>
        <w:jc w:val="both"/>
        <w:rPr>
          <w:rStyle w:val="StyleBold"/>
          <w:rFonts w:asciiTheme="majorBidi" w:hAnsiTheme="majorBidi" w:cstheme="majorBidi"/>
          <w:lang w:val="es-ES"/>
        </w:rPr>
      </w:pPr>
      <w:r w:rsidRPr="001B3DD9">
        <w:rPr>
          <w:rFonts w:asciiTheme="majorBidi" w:hAnsiTheme="majorBidi" w:cstheme="majorBidi"/>
          <w:b/>
          <w:bCs/>
          <w:lang w:val="es-ES"/>
        </w:rPr>
        <w:t>Lavarse cuidadosamente las manos [y…] después de la manipulación.</w:t>
      </w:r>
    </w:p>
    <w:p w14:paraId="061A8AED" w14:textId="77777777" w:rsidR="00284D49" w:rsidRPr="001B3DD9" w:rsidRDefault="00284D49" w:rsidP="00802EA2">
      <w:pPr>
        <w:pStyle w:val="SingleTxtG"/>
        <w:ind w:left="1701"/>
        <w:rPr>
          <w:rFonts w:asciiTheme="majorBidi" w:hAnsiTheme="majorBidi" w:cstheme="majorBidi"/>
        </w:rPr>
      </w:pPr>
      <w:r w:rsidRPr="001B3DD9">
        <w:rPr>
          <w:rFonts w:asciiTheme="majorBidi" w:hAnsiTheme="majorBidi" w:cstheme="majorBidi"/>
        </w:rPr>
        <w:t>- texto entre corchetes para indicar otras partes del cuerpo que deben lavarse después de la manipulación, según lo especificado por el fabricante/proveedor o la autoridad competente.</w:t>
      </w:r>
    </w:p>
    <w:p w14:paraId="43506244" w14:textId="77777777" w:rsidR="00284D49" w:rsidRPr="001B3DD9" w:rsidRDefault="00284D49" w:rsidP="00802EA2">
      <w:pPr>
        <w:pStyle w:val="SingleTxtG"/>
        <w:ind w:left="1701" w:right="0"/>
        <w:rPr>
          <w:rFonts w:asciiTheme="majorBidi" w:hAnsiTheme="majorBidi" w:cstheme="majorBidi"/>
        </w:rPr>
      </w:pPr>
      <w:r w:rsidRPr="001B3DD9">
        <w:rPr>
          <w:rFonts w:asciiTheme="majorBidi" w:hAnsiTheme="majorBidi" w:cstheme="majorBidi"/>
        </w:rPr>
        <w:t>P270</w:t>
      </w:r>
    </w:p>
    <w:p w14:paraId="7DD69F12" w14:textId="08F24B52" w:rsidR="00284D49" w:rsidRPr="008E74DD" w:rsidRDefault="00284D49" w:rsidP="00802EA2">
      <w:pPr>
        <w:pStyle w:val="SingleTxtG"/>
        <w:ind w:left="1701" w:right="0"/>
        <w:rPr>
          <w:rFonts w:asciiTheme="majorBidi" w:hAnsiTheme="majorBidi" w:cstheme="majorBidi"/>
        </w:rPr>
      </w:pPr>
      <w:r w:rsidRPr="001B3DD9">
        <w:rPr>
          <w:rFonts w:asciiTheme="majorBidi" w:hAnsiTheme="majorBidi" w:cstheme="majorBidi"/>
          <w:b/>
          <w:bCs/>
        </w:rPr>
        <w:t>No comer, beber o fumar mientras se manipula este producto.</w:t>
      </w:r>
      <w:r w:rsidR="008C5013" w:rsidRPr="008E74DD">
        <w:rPr>
          <w:rFonts w:asciiTheme="majorBidi" w:hAnsiTheme="majorBidi" w:cstheme="majorBidi"/>
        </w:rPr>
        <w:t>”</w:t>
      </w:r>
      <w:r w:rsidRPr="008E74DD">
        <w:rPr>
          <w:rFonts w:asciiTheme="majorBidi" w:hAnsiTheme="majorBidi" w:cstheme="majorBidi"/>
        </w:rPr>
        <w:t>.</w:t>
      </w:r>
    </w:p>
    <w:p w14:paraId="2DA1639C" w14:textId="770C1FAC" w:rsidR="00284D49" w:rsidRPr="001B3DD9" w:rsidRDefault="00284D49" w:rsidP="00802EA2">
      <w:pPr>
        <w:pStyle w:val="SingleTxtG"/>
        <w:rPr>
          <w:rFonts w:asciiTheme="majorBidi" w:hAnsiTheme="majorBidi" w:cstheme="majorBidi"/>
          <w:b/>
          <w:bCs/>
        </w:rPr>
      </w:pPr>
      <w:r w:rsidRPr="001B3DD9">
        <w:rPr>
          <w:rFonts w:asciiTheme="majorBidi" w:hAnsiTheme="majorBidi" w:cstheme="majorBidi"/>
          <w:b/>
          <w:bCs/>
        </w:rPr>
        <w:t xml:space="preserve">Tabla relativa a la toxicidad aguda por inhalación (capítulo 3.1), categorías 1 y 2, columna </w:t>
      </w:r>
      <w:r w:rsidR="008C5013" w:rsidRPr="001B3DD9">
        <w:rPr>
          <w:rFonts w:asciiTheme="majorBidi" w:hAnsiTheme="majorBidi" w:cstheme="majorBidi"/>
          <w:b/>
          <w:bCs/>
        </w:rPr>
        <w:t>“</w:t>
      </w:r>
      <w:r w:rsidRPr="001B3DD9">
        <w:rPr>
          <w:rFonts w:asciiTheme="majorBidi" w:hAnsiTheme="majorBidi" w:cstheme="majorBidi"/>
          <w:b/>
          <w:bCs/>
        </w:rPr>
        <w:t>Prevención</w:t>
      </w:r>
      <w:r w:rsidR="008C5013" w:rsidRPr="001B3DD9">
        <w:rPr>
          <w:rFonts w:asciiTheme="majorBidi" w:hAnsiTheme="majorBidi" w:cstheme="majorBidi"/>
          <w:b/>
          <w:bCs/>
        </w:rPr>
        <w:t>”</w:t>
      </w:r>
    </w:p>
    <w:p w14:paraId="23772B12" w14:textId="77777777" w:rsidR="00284D49" w:rsidRPr="001B3DD9" w:rsidRDefault="00284D49" w:rsidP="00802EA2">
      <w:pPr>
        <w:tabs>
          <w:tab w:val="left" w:pos="1134"/>
        </w:tabs>
        <w:spacing w:after="120"/>
        <w:ind w:right="1134"/>
        <w:jc w:val="both"/>
        <w:rPr>
          <w:rFonts w:asciiTheme="majorBidi" w:hAnsiTheme="majorBidi" w:cstheme="majorBidi"/>
        </w:rPr>
      </w:pPr>
      <w:r w:rsidRPr="001B3DD9">
        <w:rPr>
          <w:rFonts w:asciiTheme="majorBidi" w:hAnsiTheme="majorBidi" w:cstheme="majorBidi"/>
        </w:rPr>
        <w:tab/>
        <w:t>Modifíquese para que diga:</w:t>
      </w:r>
    </w:p>
    <w:p w14:paraId="2DBC0B63" w14:textId="452E0083" w:rsidR="00284D49" w:rsidRPr="001B3DD9" w:rsidRDefault="008C5013" w:rsidP="00802EA2">
      <w:pPr>
        <w:pStyle w:val="BalloonText"/>
        <w:spacing w:after="120" w:line="240" w:lineRule="atLeast"/>
        <w:ind w:left="1701" w:right="1134"/>
        <w:rPr>
          <w:rFonts w:asciiTheme="majorBidi" w:hAnsiTheme="majorBidi" w:cstheme="majorBidi"/>
          <w:b/>
          <w:sz w:val="20"/>
          <w:szCs w:val="20"/>
        </w:rPr>
      </w:pPr>
      <w:r w:rsidRPr="001B3DD9">
        <w:rPr>
          <w:rFonts w:asciiTheme="majorBidi" w:hAnsiTheme="majorBidi" w:cstheme="majorBidi"/>
          <w:sz w:val="20"/>
          <w:szCs w:val="20"/>
        </w:rPr>
        <w:t>“</w:t>
      </w:r>
      <w:r w:rsidR="00284D49" w:rsidRPr="001B3DD9">
        <w:rPr>
          <w:rFonts w:asciiTheme="majorBidi" w:hAnsiTheme="majorBidi" w:cstheme="majorBidi"/>
          <w:sz w:val="20"/>
          <w:szCs w:val="20"/>
        </w:rPr>
        <w:t>P260</w:t>
      </w:r>
      <w:r w:rsidR="00284D49" w:rsidRPr="001B3DD9">
        <w:rPr>
          <w:rFonts w:asciiTheme="majorBidi" w:hAnsiTheme="majorBidi" w:cstheme="majorBidi"/>
          <w:sz w:val="20"/>
          <w:szCs w:val="20"/>
        </w:rPr>
        <w:br/>
      </w:r>
      <w:r w:rsidR="00284D49" w:rsidRPr="001B3DD9">
        <w:rPr>
          <w:rFonts w:asciiTheme="majorBidi" w:hAnsiTheme="majorBidi" w:cstheme="majorBidi"/>
          <w:b/>
          <w:bCs/>
          <w:sz w:val="20"/>
          <w:szCs w:val="20"/>
        </w:rPr>
        <w:t>No respirar polvos/humos/gases/nieblas/vapores/aerosoles.</w:t>
      </w:r>
    </w:p>
    <w:p w14:paraId="220D9122" w14:textId="77777777" w:rsidR="00284D49" w:rsidRPr="001B3DD9" w:rsidRDefault="00284D49" w:rsidP="00802EA2">
      <w:pPr>
        <w:pStyle w:val="BalloonText"/>
        <w:spacing w:after="120" w:line="240" w:lineRule="atLeast"/>
        <w:ind w:left="1701" w:right="1134"/>
        <w:jc w:val="both"/>
        <w:rPr>
          <w:rFonts w:asciiTheme="majorBidi" w:hAnsiTheme="majorBidi" w:cstheme="majorBidi"/>
          <w:bCs/>
          <w:sz w:val="20"/>
          <w:szCs w:val="20"/>
        </w:rPr>
      </w:pPr>
      <w:r w:rsidRPr="001B3DD9">
        <w:rPr>
          <w:rFonts w:asciiTheme="majorBidi" w:hAnsiTheme="majorBidi" w:cstheme="majorBidi"/>
          <w:sz w:val="20"/>
          <w:szCs w:val="20"/>
        </w:rPr>
        <w:t>El fabricante/proveedor o la autoridad competente especificarán el estado o estados físicos aplicables.</w:t>
      </w:r>
    </w:p>
    <w:p w14:paraId="7D8599B8" w14:textId="77777777" w:rsidR="00284D49" w:rsidRPr="001B3DD9" w:rsidRDefault="00284D49" w:rsidP="00802EA2">
      <w:pPr>
        <w:pStyle w:val="BalloonText"/>
        <w:spacing w:after="120" w:line="240" w:lineRule="atLeast"/>
        <w:ind w:left="1701" w:right="1134"/>
        <w:rPr>
          <w:rFonts w:asciiTheme="majorBidi" w:hAnsiTheme="majorBidi" w:cstheme="majorBidi"/>
          <w:b/>
          <w:sz w:val="20"/>
          <w:szCs w:val="20"/>
        </w:rPr>
      </w:pPr>
      <w:r w:rsidRPr="001B3DD9">
        <w:rPr>
          <w:rFonts w:asciiTheme="majorBidi" w:hAnsiTheme="majorBidi" w:cstheme="majorBidi"/>
          <w:sz w:val="20"/>
          <w:szCs w:val="20"/>
        </w:rPr>
        <w:t>P271</w:t>
      </w:r>
      <w:r w:rsidRPr="001B3DD9">
        <w:rPr>
          <w:rFonts w:asciiTheme="majorBidi" w:hAnsiTheme="majorBidi" w:cstheme="majorBidi"/>
          <w:sz w:val="20"/>
          <w:szCs w:val="20"/>
        </w:rPr>
        <w:br/>
      </w:r>
      <w:r w:rsidRPr="001B3DD9">
        <w:rPr>
          <w:rFonts w:asciiTheme="majorBidi" w:hAnsiTheme="majorBidi" w:cstheme="majorBidi"/>
          <w:b/>
          <w:bCs/>
          <w:sz w:val="20"/>
          <w:szCs w:val="20"/>
        </w:rPr>
        <w:t>Utilizar solo al aire libre o con una ventilación suficiente.</w:t>
      </w:r>
    </w:p>
    <w:p w14:paraId="096715EB" w14:textId="77777777" w:rsidR="00284D49" w:rsidRPr="001B3DD9" w:rsidRDefault="00284D49" w:rsidP="00802EA2">
      <w:pPr>
        <w:spacing w:after="120"/>
        <w:ind w:left="1701" w:right="1134"/>
        <w:jc w:val="both"/>
        <w:rPr>
          <w:rFonts w:asciiTheme="majorBidi" w:hAnsiTheme="majorBidi" w:cstheme="majorBidi"/>
        </w:rPr>
      </w:pPr>
      <w:r w:rsidRPr="001B3DD9">
        <w:rPr>
          <w:rFonts w:asciiTheme="majorBidi" w:hAnsiTheme="majorBidi" w:cstheme="majorBidi"/>
        </w:rPr>
        <w:t>El fabricante/proveedor especificará en la ficha de datos de seguridad y en todas las instrucciones de seguridad complementarias que se faciliten a los consumidores el tipo de ventilación que sería suficiente para un uso seguro.</w:t>
      </w:r>
    </w:p>
    <w:p w14:paraId="52C08567" w14:textId="77777777" w:rsidR="00284D49" w:rsidRPr="001B3DD9" w:rsidRDefault="00284D49" w:rsidP="00802EA2">
      <w:pPr>
        <w:pStyle w:val="BalloonText"/>
        <w:spacing w:after="120" w:line="240" w:lineRule="atLeast"/>
        <w:ind w:left="1701" w:right="1134"/>
        <w:rPr>
          <w:rFonts w:asciiTheme="majorBidi" w:hAnsiTheme="majorBidi" w:cstheme="majorBidi"/>
          <w:b/>
          <w:sz w:val="20"/>
          <w:szCs w:val="20"/>
        </w:rPr>
      </w:pPr>
      <w:r w:rsidRPr="001B3DD9">
        <w:rPr>
          <w:rFonts w:asciiTheme="majorBidi" w:hAnsiTheme="majorBidi" w:cstheme="majorBidi"/>
          <w:sz w:val="20"/>
          <w:szCs w:val="20"/>
        </w:rPr>
        <w:t>P284</w:t>
      </w:r>
      <w:r w:rsidRPr="001B3DD9">
        <w:rPr>
          <w:rFonts w:asciiTheme="majorBidi" w:hAnsiTheme="majorBidi" w:cstheme="majorBidi"/>
          <w:sz w:val="20"/>
          <w:szCs w:val="20"/>
        </w:rPr>
        <w:br/>
      </w:r>
      <w:r w:rsidRPr="001B3DD9">
        <w:rPr>
          <w:rFonts w:asciiTheme="majorBidi" w:hAnsiTheme="majorBidi" w:cstheme="majorBidi"/>
          <w:b/>
          <w:bCs/>
          <w:sz w:val="20"/>
          <w:szCs w:val="20"/>
        </w:rPr>
        <w:t>En caso de ventilación insuficiente, llevar equipo de protección respiratoria.</w:t>
      </w:r>
    </w:p>
    <w:p w14:paraId="3ECAA0A0" w14:textId="11358685" w:rsidR="00284D49" w:rsidRPr="001B3DD9" w:rsidRDefault="00284D49" w:rsidP="00802EA2">
      <w:pPr>
        <w:pStyle w:val="BalloonText"/>
        <w:spacing w:after="120" w:line="240" w:lineRule="atLeast"/>
        <w:ind w:left="1701" w:right="1134"/>
        <w:jc w:val="both"/>
        <w:rPr>
          <w:rFonts w:asciiTheme="majorBidi" w:hAnsiTheme="majorBidi" w:cstheme="majorBidi"/>
          <w:sz w:val="20"/>
          <w:szCs w:val="20"/>
        </w:rPr>
      </w:pPr>
      <w:r w:rsidRPr="001B3DD9">
        <w:rPr>
          <w:rFonts w:asciiTheme="majorBidi" w:hAnsiTheme="majorBidi" w:cstheme="majorBidi"/>
          <w:sz w:val="20"/>
          <w:szCs w:val="20"/>
        </w:rPr>
        <w:t>El fabricante/proveedor especificará en la ficha de datos de seguridad el tipo de ventilación que sería suficiente para un uso seguro y acompañará el producto químico en el punto de uso con información adicional en que se indique el tipo de equipo respiratorio que podría también ser necesario.</w:t>
      </w:r>
      <w:r w:rsidR="008C5013" w:rsidRPr="001B3DD9">
        <w:rPr>
          <w:rFonts w:asciiTheme="majorBidi" w:hAnsiTheme="majorBidi" w:cstheme="majorBidi"/>
          <w:sz w:val="20"/>
          <w:szCs w:val="20"/>
        </w:rPr>
        <w:t>”</w:t>
      </w:r>
      <w:r w:rsidRPr="001B3DD9">
        <w:rPr>
          <w:rFonts w:asciiTheme="majorBidi" w:hAnsiTheme="majorBidi" w:cstheme="majorBidi"/>
          <w:sz w:val="20"/>
          <w:szCs w:val="20"/>
        </w:rPr>
        <w:t>.</w:t>
      </w:r>
    </w:p>
    <w:p w14:paraId="7E80FCA7" w14:textId="25A3B2D8" w:rsidR="00284D49" w:rsidRPr="001B3DD9" w:rsidRDefault="00284D49" w:rsidP="00802EA2">
      <w:pPr>
        <w:pStyle w:val="SingleTxtG"/>
        <w:rPr>
          <w:rFonts w:asciiTheme="majorBidi" w:hAnsiTheme="majorBidi" w:cstheme="majorBidi"/>
          <w:b/>
          <w:bCs/>
        </w:rPr>
      </w:pPr>
      <w:r w:rsidRPr="001B3DD9">
        <w:rPr>
          <w:rFonts w:asciiTheme="majorBidi" w:hAnsiTheme="majorBidi" w:cstheme="majorBidi"/>
          <w:b/>
          <w:bCs/>
        </w:rPr>
        <w:t xml:space="preserve">Tablas relativas a la toxicidad aguda por inhalación (capítulo 3.1), categorías 3 y 4, columna </w:t>
      </w:r>
      <w:r w:rsidR="008C5013" w:rsidRPr="001B3DD9">
        <w:rPr>
          <w:rFonts w:asciiTheme="majorBidi" w:hAnsiTheme="majorBidi" w:cstheme="majorBidi"/>
        </w:rPr>
        <w:t>“</w:t>
      </w:r>
      <w:r w:rsidRPr="001B3DD9">
        <w:rPr>
          <w:rFonts w:asciiTheme="majorBidi" w:hAnsiTheme="majorBidi" w:cstheme="majorBidi"/>
          <w:b/>
          <w:bCs/>
        </w:rPr>
        <w:t>Prevención</w:t>
      </w:r>
      <w:r w:rsidR="008C5013" w:rsidRPr="001B3DD9">
        <w:rPr>
          <w:rFonts w:asciiTheme="majorBidi" w:hAnsiTheme="majorBidi" w:cstheme="majorBidi"/>
        </w:rPr>
        <w:t>”</w:t>
      </w:r>
      <w:r w:rsidRPr="001B3DD9">
        <w:rPr>
          <w:rFonts w:asciiTheme="majorBidi" w:hAnsiTheme="majorBidi" w:cstheme="majorBidi"/>
          <w:b/>
          <w:bCs/>
        </w:rPr>
        <w:t>, consejo de prudencia P271</w:t>
      </w:r>
    </w:p>
    <w:p w14:paraId="35698D67" w14:textId="77777777" w:rsidR="00284D49" w:rsidRPr="001B3DD9" w:rsidRDefault="00284D49" w:rsidP="002A21D5">
      <w:pPr>
        <w:pStyle w:val="SingleTxtG"/>
        <w:keepNext/>
        <w:keepLines/>
        <w:rPr>
          <w:rFonts w:asciiTheme="majorBidi" w:hAnsiTheme="majorBidi" w:cstheme="majorBidi"/>
        </w:rPr>
      </w:pPr>
      <w:r w:rsidRPr="001B3DD9">
        <w:rPr>
          <w:rFonts w:asciiTheme="majorBidi" w:hAnsiTheme="majorBidi" w:cstheme="majorBidi"/>
        </w:rPr>
        <w:lastRenderedPageBreak/>
        <w:t>Modifíquese para que diga:</w:t>
      </w:r>
    </w:p>
    <w:p w14:paraId="2D627047" w14:textId="6417C147" w:rsidR="00284D49" w:rsidRPr="001B3DD9" w:rsidRDefault="008C5013" w:rsidP="002A21D5">
      <w:pPr>
        <w:pStyle w:val="BalloonText"/>
        <w:keepNext/>
        <w:keepLines/>
        <w:spacing w:after="120" w:line="240" w:lineRule="atLeast"/>
        <w:ind w:left="1701" w:right="1134"/>
        <w:rPr>
          <w:rFonts w:asciiTheme="majorBidi" w:hAnsiTheme="majorBidi" w:cstheme="majorBidi"/>
          <w:b/>
          <w:sz w:val="20"/>
          <w:szCs w:val="20"/>
        </w:rPr>
      </w:pPr>
      <w:r w:rsidRPr="001B3DD9">
        <w:rPr>
          <w:rFonts w:asciiTheme="majorBidi" w:hAnsiTheme="majorBidi" w:cstheme="majorBidi"/>
          <w:sz w:val="20"/>
          <w:szCs w:val="20"/>
        </w:rPr>
        <w:t>“</w:t>
      </w:r>
      <w:r w:rsidR="00284D49" w:rsidRPr="001B3DD9">
        <w:rPr>
          <w:rFonts w:asciiTheme="majorBidi" w:hAnsiTheme="majorBidi" w:cstheme="majorBidi"/>
          <w:sz w:val="20"/>
          <w:szCs w:val="20"/>
        </w:rPr>
        <w:t>P271</w:t>
      </w:r>
      <w:r w:rsidR="00284D49" w:rsidRPr="001B3DD9">
        <w:rPr>
          <w:rFonts w:asciiTheme="majorBidi" w:hAnsiTheme="majorBidi" w:cstheme="majorBidi"/>
          <w:sz w:val="20"/>
          <w:szCs w:val="20"/>
        </w:rPr>
        <w:br/>
      </w:r>
      <w:r w:rsidR="00284D49" w:rsidRPr="001B3DD9">
        <w:rPr>
          <w:rFonts w:asciiTheme="majorBidi" w:hAnsiTheme="majorBidi" w:cstheme="majorBidi"/>
          <w:b/>
          <w:bCs/>
          <w:sz w:val="20"/>
          <w:szCs w:val="20"/>
        </w:rPr>
        <w:t>Utilizar solo al aire libre o con una ventilación suficiente.</w:t>
      </w:r>
    </w:p>
    <w:p w14:paraId="347A0EB0" w14:textId="122D7EAF" w:rsidR="00284D49" w:rsidRPr="001B3DD9" w:rsidRDefault="00284D49" w:rsidP="00802EA2">
      <w:pPr>
        <w:pStyle w:val="BalloonText"/>
        <w:spacing w:after="120" w:line="240" w:lineRule="atLeast"/>
        <w:ind w:left="1701" w:right="1134"/>
        <w:jc w:val="both"/>
        <w:rPr>
          <w:rFonts w:asciiTheme="majorBidi" w:hAnsiTheme="majorBidi" w:cstheme="majorBidi"/>
          <w:sz w:val="20"/>
          <w:szCs w:val="20"/>
        </w:rPr>
      </w:pPr>
      <w:r w:rsidRPr="001B3DD9">
        <w:rPr>
          <w:rFonts w:asciiTheme="majorBidi" w:hAnsiTheme="majorBidi" w:cstheme="majorBidi"/>
          <w:sz w:val="20"/>
          <w:szCs w:val="20"/>
        </w:rPr>
        <w:t>El fabricante/proveedor especificará en la ficha de datos de seguridad y en todas las instrucciones de seguridad complementarias que se faciliten a los consumidores el tipo de ventilación que sería suficiente para un uso seguro.</w:t>
      </w:r>
      <w:r w:rsidR="008C5013" w:rsidRPr="001B3DD9">
        <w:rPr>
          <w:rFonts w:asciiTheme="majorBidi" w:hAnsiTheme="majorBidi" w:cstheme="majorBidi"/>
          <w:sz w:val="20"/>
          <w:szCs w:val="20"/>
        </w:rPr>
        <w:t>”</w:t>
      </w:r>
      <w:r w:rsidRPr="001B3DD9">
        <w:rPr>
          <w:rFonts w:asciiTheme="majorBidi" w:hAnsiTheme="majorBidi" w:cstheme="majorBidi"/>
          <w:sz w:val="20"/>
          <w:szCs w:val="20"/>
        </w:rPr>
        <w:t>.</w:t>
      </w:r>
    </w:p>
    <w:p w14:paraId="499246EF" w14:textId="77777777" w:rsidR="00284D49" w:rsidRPr="001B3DD9" w:rsidRDefault="00284D49" w:rsidP="00802EA2">
      <w:pPr>
        <w:pStyle w:val="SingleTxtG"/>
        <w:rPr>
          <w:rFonts w:asciiTheme="majorBidi" w:hAnsiTheme="majorBidi" w:cstheme="majorBidi"/>
          <w:b/>
          <w:bCs/>
        </w:rPr>
      </w:pPr>
      <w:r w:rsidRPr="001B3DD9">
        <w:rPr>
          <w:rFonts w:asciiTheme="majorBidi" w:hAnsiTheme="majorBidi" w:cstheme="majorBidi"/>
          <w:b/>
          <w:bCs/>
        </w:rPr>
        <w:t>Tabla relativa a la sensibilización respiratoria (capítulo 3.4), encabezamiento</w:t>
      </w:r>
    </w:p>
    <w:p w14:paraId="0BB8263B" w14:textId="77777777" w:rsidR="00284D49" w:rsidRPr="001B3DD9" w:rsidRDefault="00284D49" w:rsidP="00802EA2">
      <w:pPr>
        <w:pStyle w:val="SingleTxtG"/>
        <w:rPr>
          <w:rFonts w:asciiTheme="majorBidi" w:hAnsiTheme="majorBidi" w:cstheme="majorBidi"/>
        </w:rPr>
      </w:pPr>
      <w:r w:rsidRPr="001B3DD9">
        <w:rPr>
          <w:rFonts w:asciiTheme="majorBidi" w:hAnsiTheme="majorBidi" w:cstheme="majorBidi"/>
        </w:rPr>
        <w:t>La modificación no se aplica al texto en español.</w:t>
      </w:r>
    </w:p>
    <w:p w14:paraId="329F4C06" w14:textId="77777777" w:rsidR="00284D49" w:rsidRPr="001B3DD9" w:rsidRDefault="00284D49" w:rsidP="00802EA2">
      <w:pPr>
        <w:pStyle w:val="SingleTxtG"/>
        <w:rPr>
          <w:rFonts w:asciiTheme="majorBidi" w:hAnsiTheme="majorBidi" w:cstheme="majorBidi"/>
          <w:b/>
          <w:bCs/>
        </w:rPr>
      </w:pPr>
      <w:r w:rsidRPr="001B3DD9">
        <w:rPr>
          <w:rFonts w:asciiTheme="majorBidi" w:hAnsiTheme="majorBidi" w:cstheme="majorBidi"/>
          <w:b/>
          <w:bCs/>
        </w:rPr>
        <w:t>Tabla relativa a la sensibilización respiratoria (capítulo 3.4), categorías 1, 1A, 1B</w:t>
      </w:r>
    </w:p>
    <w:p w14:paraId="24344A90" w14:textId="7352FE77" w:rsidR="00284D49" w:rsidRPr="001B3DD9" w:rsidRDefault="00284D49" w:rsidP="00802EA2">
      <w:pPr>
        <w:pStyle w:val="Bullet1G"/>
        <w:numPr>
          <w:ilvl w:val="0"/>
          <w:numId w:val="0"/>
        </w:numPr>
        <w:suppressAutoHyphens/>
        <w:kinsoku w:val="0"/>
        <w:overflowPunct w:val="0"/>
        <w:autoSpaceDE w:val="0"/>
        <w:autoSpaceDN w:val="0"/>
        <w:adjustRightInd w:val="0"/>
        <w:snapToGrid w:val="0"/>
        <w:ind w:left="1134"/>
        <w:rPr>
          <w:rFonts w:asciiTheme="majorBidi" w:hAnsiTheme="majorBidi" w:cstheme="majorBidi"/>
        </w:rPr>
      </w:pPr>
      <w:r w:rsidRPr="001B3DD9">
        <w:rPr>
          <w:rFonts w:asciiTheme="majorBidi" w:hAnsiTheme="majorBidi" w:cstheme="majorBidi"/>
        </w:rPr>
        <w:t xml:space="preserve">Modifíquese la columna </w:t>
      </w:r>
      <w:r w:rsidR="008C5013" w:rsidRPr="001B3DD9">
        <w:rPr>
          <w:rFonts w:asciiTheme="majorBidi" w:hAnsiTheme="majorBidi" w:cstheme="majorBidi"/>
        </w:rPr>
        <w:t>“</w:t>
      </w:r>
      <w:r w:rsidRPr="001B3DD9">
        <w:rPr>
          <w:rFonts w:asciiTheme="majorBidi" w:hAnsiTheme="majorBidi" w:cstheme="majorBidi"/>
        </w:rPr>
        <w:t>Prevención</w:t>
      </w:r>
      <w:r w:rsidR="008C5013" w:rsidRPr="001B3DD9">
        <w:rPr>
          <w:rFonts w:asciiTheme="majorBidi" w:hAnsiTheme="majorBidi" w:cstheme="majorBidi"/>
        </w:rPr>
        <w:t>”</w:t>
      </w:r>
      <w:r w:rsidRPr="001B3DD9">
        <w:rPr>
          <w:rFonts w:asciiTheme="majorBidi" w:hAnsiTheme="majorBidi" w:cstheme="majorBidi"/>
        </w:rPr>
        <w:t xml:space="preserve"> para que diga:</w:t>
      </w:r>
    </w:p>
    <w:p w14:paraId="051D3BA0" w14:textId="5A931A9B" w:rsidR="00284D49" w:rsidRPr="001B3DD9" w:rsidRDefault="008C5013" w:rsidP="00802EA2">
      <w:pPr>
        <w:pStyle w:val="BalloonText"/>
        <w:spacing w:after="120" w:line="240" w:lineRule="atLeast"/>
        <w:ind w:left="1985" w:right="1134"/>
        <w:rPr>
          <w:rFonts w:asciiTheme="majorBidi" w:hAnsiTheme="majorBidi" w:cstheme="majorBidi"/>
          <w:sz w:val="20"/>
          <w:szCs w:val="20"/>
        </w:rPr>
      </w:pPr>
      <w:r w:rsidRPr="001B3DD9">
        <w:rPr>
          <w:rFonts w:asciiTheme="majorBidi" w:hAnsiTheme="majorBidi" w:cstheme="majorBidi"/>
          <w:sz w:val="20"/>
          <w:szCs w:val="20"/>
        </w:rPr>
        <w:t>“</w:t>
      </w:r>
      <w:r w:rsidR="00284D49" w:rsidRPr="001B3DD9">
        <w:rPr>
          <w:rFonts w:asciiTheme="majorBidi" w:hAnsiTheme="majorBidi" w:cstheme="majorBidi"/>
          <w:sz w:val="20"/>
          <w:szCs w:val="20"/>
        </w:rPr>
        <w:t>P233</w:t>
      </w:r>
      <w:r w:rsidR="00284D49" w:rsidRPr="001B3DD9">
        <w:rPr>
          <w:rFonts w:asciiTheme="majorBidi" w:hAnsiTheme="majorBidi" w:cstheme="majorBidi"/>
          <w:sz w:val="20"/>
          <w:szCs w:val="20"/>
        </w:rPr>
        <w:br/>
      </w:r>
      <w:r w:rsidR="00284D49" w:rsidRPr="001B3DD9">
        <w:rPr>
          <w:rFonts w:asciiTheme="majorBidi" w:hAnsiTheme="majorBidi" w:cstheme="majorBidi"/>
          <w:b/>
          <w:bCs/>
          <w:sz w:val="20"/>
          <w:szCs w:val="20"/>
        </w:rPr>
        <w:t>Mantener el recipiente herméticamente cerrado.</w:t>
      </w:r>
    </w:p>
    <w:p w14:paraId="4D851D46" w14:textId="77777777" w:rsidR="00284D49" w:rsidRPr="001B3DD9" w:rsidRDefault="00284D49" w:rsidP="00802EA2">
      <w:pPr>
        <w:pStyle w:val="BalloonText"/>
        <w:spacing w:after="120" w:line="240" w:lineRule="atLeast"/>
        <w:ind w:left="1985" w:right="1134"/>
        <w:rPr>
          <w:rFonts w:asciiTheme="majorBidi" w:hAnsiTheme="majorBidi" w:cstheme="majorBidi"/>
          <w:b/>
          <w:sz w:val="20"/>
          <w:szCs w:val="20"/>
        </w:rPr>
      </w:pPr>
      <w:r w:rsidRPr="001B3DD9">
        <w:rPr>
          <w:rFonts w:asciiTheme="majorBidi" w:hAnsiTheme="majorBidi" w:cstheme="majorBidi"/>
          <w:sz w:val="20"/>
          <w:szCs w:val="20"/>
        </w:rPr>
        <w:t>P260</w:t>
      </w:r>
      <w:r w:rsidRPr="001B3DD9">
        <w:rPr>
          <w:rFonts w:asciiTheme="majorBidi" w:hAnsiTheme="majorBidi" w:cstheme="majorBidi"/>
          <w:sz w:val="20"/>
          <w:szCs w:val="20"/>
        </w:rPr>
        <w:br/>
      </w:r>
      <w:r w:rsidRPr="001B3DD9">
        <w:rPr>
          <w:rFonts w:asciiTheme="majorBidi" w:hAnsiTheme="majorBidi" w:cstheme="majorBidi"/>
          <w:b/>
          <w:bCs/>
          <w:sz w:val="20"/>
          <w:szCs w:val="20"/>
        </w:rPr>
        <w:t>No respirar polvos/humos/gases/nieblas/vapores/aerosoles.</w:t>
      </w:r>
      <w:r w:rsidRPr="001B3DD9">
        <w:rPr>
          <w:rFonts w:asciiTheme="majorBidi" w:hAnsiTheme="majorBidi" w:cstheme="majorBidi"/>
          <w:sz w:val="20"/>
          <w:szCs w:val="20"/>
        </w:rPr>
        <w:br/>
        <w:t>El fabricante/proveedor o la autoridad competente especificarán el estado o estados físicos aplicables.</w:t>
      </w:r>
    </w:p>
    <w:p w14:paraId="06C0F075" w14:textId="77777777" w:rsidR="00284D49" w:rsidRPr="001B3DD9" w:rsidRDefault="00284D49" w:rsidP="00802EA2">
      <w:pPr>
        <w:pStyle w:val="BalloonText"/>
        <w:spacing w:after="120" w:line="240" w:lineRule="atLeast"/>
        <w:ind w:left="1985" w:right="1134"/>
        <w:rPr>
          <w:rFonts w:asciiTheme="majorBidi" w:hAnsiTheme="majorBidi" w:cstheme="majorBidi"/>
          <w:b/>
          <w:sz w:val="20"/>
          <w:szCs w:val="20"/>
        </w:rPr>
      </w:pPr>
      <w:r w:rsidRPr="001B3DD9">
        <w:rPr>
          <w:rFonts w:asciiTheme="majorBidi" w:hAnsiTheme="majorBidi" w:cstheme="majorBidi"/>
          <w:sz w:val="20"/>
          <w:szCs w:val="20"/>
        </w:rPr>
        <w:t>P271</w:t>
      </w:r>
      <w:r w:rsidRPr="001B3DD9">
        <w:rPr>
          <w:rFonts w:asciiTheme="majorBidi" w:hAnsiTheme="majorBidi" w:cstheme="majorBidi"/>
          <w:sz w:val="20"/>
          <w:szCs w:val="20"/>
        </w:rPr>
        <w:br/>
      </w:r>
      <w:r w:rsidRPr="001B3DD9">
        <w:rPr>
          <w:rFonts w:asciiTheme="majorBidi" w:hAnsiTheme="majorBidi" w:cstheme="majorBidi"/>
          <w:b/>
          <w:bCs/>
          <w:sz w:val="20"/>
          <w:szCs w:val="20"/>
        </w:rPr>
        <w:t>Utilizar solo al aire libre o con una ventilación suficiente.</w:t>
      </w:r>
    </w:p>
    <w:p w14:paraId="32D56CCE" w14:textId="77777777" w:rsidR="00284D49" w:rsidRPr="001B3DD9" w:rsidRDefault="00284D49" w:rsidP="00802EA2">
      <w:pPr>
        <w:pStyle w:val="BalloonText"/>
        <w:spacing w:after="120" w:line="240" w:lineRule="atLeast"/>
        <w:ind w:left="1985" w:right="1134"/>
        <w:jc w:val="both"/>
        <w:rPr>
          <w:rFonts w:asciiTheme="majorBidi" w:hAnsiTheme="majorBidi" w:cstheme="majorBidi"/>
          <w:sz w:val="20"/>
          <w:szCs w:val="20"/>
        </w:rPr>
      </w:pPr>
      <w:r w:rsidRPr="001B3DD9">
        <w:rPr>
          <w:rFonts w:asciiTheme="majorBidi" w:hAnsiTheme="majorBidi" w:cstheme="majorBidi"/>
          <w:sz w:val="20"/>
          <w:szCs w:val="20"/>
        </w:rPr>
        <w:t>El fabricante/proveedor especificará en la ficha de datos de seguridad y en todas las instrucciones de seguridad complementarias que se faciliten a los consumidores el tipo de ventilación que sería suficiente para un uso seguro.</w:t>
      </w:r>
    </w:p>
    <w:p w14:paraId="40BBEC6F" w14:textId="77777777" w:rsidR="00284D49" w:rsidRPr="001B3DD9" w:rsidRDefault="00284D49" w:rsidP="00802EA2">
      <w:pPr>
        <w:pStyle w:val="BalloonText"/>
        <w:spacing w:after="120" w:line="240" w:lineRule="atLeast"/>
        <w:ind w:left="1985" w:right="1134"/>
        <w:rPr>
          <w:rFonts w:asciiTheme="majorBidi" w:hAnsiTheme="majorBidi" w:cstheme="majorBidi"/>
          <w:b/>
          <w:sz w:val="20"/>
          <w:szCs w:val="20"/>
        </w:rPr>
      </w:pPr>
      <w:r w:rsidRPr="001B3DD9">
        <w:rPr>
          <w:rFonts w:asciiTheme="majorBidi" w:hAnsiTheme="majorBidi" w:cstheme="majorBidi"/>
          <w:sz w:val="20"/>
          <w:szCs w:val="20"/>
        </w:rPr>
        <w:t>P280</w:t>
      </w:r>
      <w:r w:rsidRPr="001B3DD9">
        <w:rPr>
          <w:rFonts w:asciiTheme="majorBidi" w:hAnsiTheme="majorBidi" w:cstheme="majorBidi"/>
          <w:sz w:val="20"/>
          <w:szCs w:val="20"/>
        </w:rPr>
        <w:br/>
      </w:r>
      <w:r w:rsidRPr="001B3DD9">
        <w:rPr>
          <w:rFonts w:asciiTheme="majorBidi" w:hAnsiTheme="majorBidi" w:cstheme="majorBidi"/>
          <w:b/>
          <w:bCs/>
          <w:sz w:val="20"/>
          <w:szCs w:val="20"/>
        </w:rPr>
        <w:t>Usar guantes/ropa de protección.</w:t>
      </w:r>
    </w:p>
    <w:p w14:paraId="046A30C0" w14:textId="77777777" w:rsidR="00284D49" w:rsidRPr="001B3DD9" w:rsidRDefault="00284D49" w:rsidP="00802EA2">
      <w:pPr>
        <w:pStyle w:val="BalloonText"/>
        <w:spacing w:after="120" w:line="240" w:lineRule="atLeast"/>
        <w:ind w:left="1985" w:right="1134"/>
        <w:jc w:val="both"/>
        <w:rPr>
          <w:rFonts w:asciiTheme="majorBidi" w:hAnsiTheme="majorBidi" w:cstheme="majorBidi"/>
          <w:bCs/>
          <w:sz w:val="20"/>
          <w:szCs w:val="20"/>
        </w:rPr>
      </w:pPr>
      <w:r w:rsidRPr="001B3DD9">
        <w:rPr>
          <w:rFonts w:asciiTheme="majorBidi" w:hAnsiTheme="majorBidi" w:cstheme="majorBidi"/>
          <w:sz w:val="20"/>
          <w:szCs w:val="20"/>
        </w:rPr>
        <w:t>El fabricante/proveedor o la autoridad competente podrá especificar el tipo de equipo cuando corresponda.</w:t>
      </w:r>
    </w:p>
    <w:p w14:paraId="78DCE1BB" w14:textId="77777777" w:rsidR="00284D49" w:rsidRPr="001B3DD9" w:rsidRDefault="00284D49" w:rsidP="00802EA2">
      <w:pPr>
        <w:pStyle w:val="BalloonText"/>
        <w:spacing w:after="120" w:line="240" w:lineRule="atLeast"/>
        <w:ind w:left="1985" w:right="1134"/>
        <w:rPr>
          <w:rFonts w:asciiTheme="majorBidi" w:hAnsiTheme="majorBidi" w:cstheme="majorBidi"/>
          <w:b/>
          <w:sz w:val="20"/>
          <w:szCs w:val="20"/>
        </w:rPr>
      </w:pPr>
      <w:r w:rsidRPr="001B3DD9">
        <w:rPr>
          <w:rFonts w:asciiTheme="majorBidi" w:hAnsiTheme="majorBidi" w:cstheme="majorBidi"/>
          <w:sz w:val="20"/>
          <w:szCs w:val="20"/>
        </w:rPr>
        <w:t>P284</w:t>
      </w:r>
      <w:r w:rsidRPr="001B3DD9">
        <w:rPr>
          <w:rFonts w:asciiTheme="majorBidi" w:hAnsiTheme="majorBidi" w:cstheme="majorBidi"/>
          <w:sz w:val="20"/>
          <w:szCs w:val="20"/>
        </w:rPr>
        <w:br/>
      </w:r>
      <w:r w:rsidRPr="001B3DD9">
        <w:rPr>
          <w:rFonts w:asciiTheme="majorBidi" w:hAnsiTheme="majorBidi" w:cstheme="majorBidi"/>
          <w:b/>
          <w:bCs/>
          <w:sz w:val="20"/>
          <w:szCs w:val="20"/>
        </w:rPr>
        <w:t>En caso de ventilación insuficiente, llevar equipo de protección respiratoria.</w:t>
      </w:r>
    </w:p>
    <w:p w14:paraId="4CCCB4AD" w14:textId="73FBE1C1" w:rsidR="00284D49" w:rsidRPr="001B3DD9" w:rsidRDefault="00284D49" w:rsidP="00802EA2">
      <w:pPr>
        <w:pStyle w:val="BalloonText"/>
        <w:spacing w:after="120" w:line="240" w:lineRule="atLeast"/>
        <w:ind w:left="1985" w:right="1134"/>
        <w:jc w:val="both"/>
        <w:rPr>
          <w:rFonts w:asciiTheme="majorBidi" w:hAnsiTheme="majorBidi" w:cstheme="majorBidi"/>
          <w:sz w:val="20"/>
          <w:szCs w:val="20"/>
        </w:rPr>
      </w:pPr>
      <w:r w:rsidRPr="001B3DD9">
        <w:rPr>
          <w:rFonts w:asciiTheme="majorBidi" w:hAnsiTheme="majorBidi" w:cstheme="majorBidi"/>
          <w:sz w:val="20"/>
          <w:szCs w:val="20"/>
        </w:rPr>
        <w:t>El fabricante/proveedor especificará en la ficha de datos de seguridad el tipo de ventilación que sería suficiente para un uso seguro y acompañará el producto químico en el punto de uso con información adicional en que se indique el tipo de equipo respiratorio que podría también ser necesario.</w:t>
      </w:r>
      <w:r w:rsidR="008C5013" w:rsidRPr="001B3DD9">
        <w:rPr>
          <w:rFonts w:asciiTheme="majorBidi" w:hAnsiTheme="majorBidi" w:cstheme="majorBidi"/>
          <w:sz w:val="20"/>
          <w:szCs w:val="20"/>
        </w:rPr>
        <w:t>”</w:t>
      </w:r>
      <w:r w:rsidRPr="001B3DD9">
        <w:rPr>
          <w:rFonts w:asciiTheme="majorBidi" w:hAnsiTheme="majorBidi" w:cstheme="majorBidi"/>
          <w:sz w:val="20"/>
          <w:szCs w:val="20"/>
        </w:rPr>
        <w:t>.</w:t>
      </w:r>
    </w:p>
    <w:p w14:paraId="643C207F" w14:textId="6BD35271" w:rsidR="00284D49" w:rsidRPr="001B3DD9" w:rsidRDefault="00284D49" w:rsidP="00802EA2">
      <w:pPr>
        <w:pStyle w:val="Bullet1G"/>
        <w:numPr>
          <w:ilvl w:val="0"/>
          <w:numId w:val="0"/>
        </w:numPr>
        <w:suppressAutoHyphens/>
        <w:kinsoku w:val="0"/>
        <w:overflowPunct w:val="0"/>
        <w:autoSpaceDE w:val="0"/>
        <w:autoSpaceDN w:val="0"/>
        <w:adjustRightInd w:val="0"/>
        <w:snapToGrid w:val="0"/>
        <w:ind w:left="1134"/>
        <w:rPr>
          <w:rFonts w:asciiTheme="majorBidi" w:hAnsiTheme="majorBidi" w:cstheme="majorBidi"/>
        </w:rPr>
      </w:pPr>
      <w:r w:rsidRPr="001B3DD9">
        <w:rPr>
          <w:rFonts w:asciiTheme="majorBidi" w:hAnsiTheme="majorBidi" w:cstheme="majorBidi"/>
        </w:rPr>
        <w:t xml:space="preserve">En la columna </w:t>
      </w:r>
      <w:r w:rsidR="008C5013" w:rsidRPr="001B3DD9">
        <w:rPr>
          <w:rFonts w:asciiTheme="majorBidi" w:hAnsiTheme="majorBidi" w:cstheme="majorBidi"/>
        </w:rPr>
        <w:t>“</w:t>
      </w:r>
      <w:r w:rsidRPr="001B3DD9">
        <w:rPr>
          <w:rFonts w:asciiTheme="majorBidi" w:hAnsiTheme="majorBidi" w:cstheme="majorBidi"/>
        </w:rPr>
        <w:t>Almacenamiento</w:t>
      </w:r>
      <w:r w:rsidR="008C5013" w:rsidRPr="001B3DD9">
        <w:rPr>
          <w:rFonts w:asciiTheme="majorBidi" w:hAnsiTheme="majorBidi" w:cstheme="majorBidi"/>
        </w:rPr>
        <w:t>”</w:t>
      </w:r>
      <w:r w:rsidRPr="001B3DD9">
        <w:rPr>
          <w:rFonts w:asciiTheme="majorBidi" w:hAnsiTheme="majorBidi" w:cstheme="majorBidi"/>
        </w:rPr>
        <w:t>, añádase el consejo de prudencia siguiente:</w:t>
      </w:r>
    </w:p>
    <w:p w14:paraId="71B78532" w14:textId="28D3A0F8" w:rsidR="00284D49" w:rsidRPr="008E74DD" w:rsidRDefault="008C5013" w:rsidP="00802EA2">
      <w:pPr>
        <w:pStyle w:val="BalloonText"/>
        <w:spacing w:after="120" w:line="240" w:lineRule="atLeast"/>
        <w:ind w:left="1985"/>
        <w:rPr>
          <w:rFonts w:asciiTheme="majorBidi" w:hAnsiTheme="majorBidi" w:cstheme="majorBidi"/>
          <w:sz w:val="20"/>
          <w:szCs w:val="20"/>
        </w:rPr>
      </w:pPr>
      <w:r w:rsidRPr="001B3DD9">
        <w:rPr>
          <w:rFonts w:asciiTheme="majorBidi" w:hAnsiTheme="majorBidi" w:cstheme="majorBidi"/>
          <w:sz w:val="20"/>
          <w:szCs w:val="20"/>
        </w:rPr>
        <w:t>“</w:t>
      </w:r>
      <w:r w:rsidR="00284D49" w:rsidRPr="001B3DD9">
        <w:rPr>
          <w:rFonts w:asciiTheme="majorBidi" w:hAnsiTheme="majorBidi" w:cstheme="majorBidi"/>
          <w:sz w:val="20"/>
          <w:szCs w:val="20"/>
        </w:rPr>
        <w:t>P403</w:t>
      </w:r>
      <w:r w:rsidR="00284D49" w:rsidRPr="001B3DD9">
        <w:rPr>
          <w:rFonts w:asciiTheme="majorBidi" w:hAnsiTheme="majorBidi" w:cstheme="majorBidi"/>
          <w:sz w:val="20"/>
          <w:szCs w:val="20"/>
        </w:rPr>
        <w:br/>
      </w:r>
      <w:r w:rsidR="00284D49" w:rsidRPr="001B3DD9">
        <w:rPr>
          <w:rFonts w:asciiTheme="majorBidi" w:hAnsiTheme="majorBidi" w:cstheme="majorBidi"/>
          <w:b/>
          <w:bCs/>
          <w:sz w:val="20"/>
          <w:szCs w:val="20"/>
        </w:rPr>
        <w:t>Almacenar en un lugar bien ventilado.</w:t>
      </w:r>
      <w:r w:rsidRPr="008E74DD">
        <w:rPr>
          <w:rFonts w:asciiTheme="majorBidi" w:hAnsiTheme="majorBidi" w:cstheme="majorBidi"/>
          <w:sz w:val="20"/>
          <w:szCs w:val="20"/>
        </w:rPr>
        <w:t>”</w:t>
      </w:r>
      <w:r w:rsidR="00284D49" w:rsidRPr="008E74DD">
        <w:rPr>
          <w:rFonts w:asciiTheme="majorBidi" w:hAnsiTheme="majorBidi" w:cstheme="majorBidi"/>
          <w:sz w:val="20"/>
          <w:szCs w:val="20"/>
        </w:rPr>
        <w:t>.</w:t>
      </w:r>
    </w:p>
    <w:p w14:paraId="287DBFEF" w14:textId="77777777" w:rsidR="00284D49" w:rsidRPr="001B3DD9" w:rsidRDefault="00284D49" w:rsidP="00802EA2">
      <w:pPr>
        <w:pStyle w:val="SingleTxtG"/>
        <w:rPr>
          <w:rFonts w:asciiTheme="majorBidi" w:hAnsiTheme="majorBidi" w:cstheme="majorBidi"/>
          <w:b/>
          <w:bCs/>
        </w:rPr>
      </w:pPr>
      <w:r w:rsidRPr="001B3DD9">
        <w:rPr>
          <w:rFonts w:asciiTheme="majorBidi" w:hAnsiTheme="majorBidi" w:cstheme="majorBidi"/>
          <w:b/>
          <w:bCs/>
        </w:rPr>
        <w:t>Tabla relativa a la sensibilización cutánea (capítulo 3.4), encabezamiento</w:t>
      </w:r>
    </w:p>
    <w:p w14:paraId="7B38F588" w14:textId="77777777" w:rsidR="00284D49" w:rsidRPr="001B3DD9" w:rsidRDefault="00284D49" w:rsidP="00802EA2">
      <w:pPr>
        <w:pStyle w:val="SingleTxtG"/>
        <w:rPr>
          <w:rFonts w:asciiTheme="majorBidi" w:hAnsiTheme="majorBidi" w:cstheme="majorBidi"/>
        </w:rPr>
      </w:pPr>
      <w:r w:rsidRPr="001B3DD9">
        <w:rPr>
          <w:rFonts w:asciiTheme="majorBidi" w:hAnsiTheme="majorBidi" w:cstheme="majorBidi"/>
        </w:rPr>
        <w:t>La modificación no se aplica al texto en español.</w:t>
      </w:r>
    </w:p>
    <w:p w14:paraId="53306E12" w14:textId="229BDEEB" w:rsidR="00284D49" w:rsidRPr="001B3DD9" w:rsidRDefault="00284D49" w:rsidP="00802EA2">
      <w:pPr>
        <w:pStyle w:val="SingleTxtG"/>
        <w:rPr>
          <w:rFonts w:asciiTheme="majorBidi" w:hAnsiTheme="majorBidi" w:cstheme="majorBidi"/>
          <w:b/>
          <w:bCs/>
        </w:rPr>
      </w:pPr>
      <w:r w:rsidRPr="001B3DD9">
        <w:rPr>
          <w:rFonts w:asciiTheme="majorBidi" w:hAnsiTheme="majorBidi" w:cstheme="majorBidi"/>
          <w:b/>
          <w:bCs/>
        </w:rPr>
        <w:t>Tabla relativa a la toxicidad específica de órganos diana (exposición única) (capítulo</w:t>
      </w:r>
      <w:r w:rsidR="002A21D5">
        <w:rPr>
          <w:rFonts w:asciiTheme="majorBidi" w:hAnsiTheme="majorBidi" w:cstheme="majorBidi"/>
          <w:b/>
          <w:bCs/>
        </w:rPr>
        <w:t> </w:t>
      </w:r>
      <w:r w:rsidRPr="001B3DD9">
        <w:rPr>
          <w:rFonts w:asciiTheme="majorBidi" w:hAnsiTheme="majorBidi" w:cstheme="majorBidi"/>
          <w:b/>
          <w:bCs/>
        </w:rPr>
        <w:t xml:space="preserve">3.8), categorías 1 y 2, columna </w:t>
      </w:r>
      <w:r w:rsidR="008C5013" w:rsidRPr="001B3DD9">
        <w:rPr>
          <w:rFonts w:asciiTheme="majorBidi" w:hAnsiTheme="majorBidi" w:cstheme="majorBidi"/>
          <w:b/>
          <w:bCs/>
        </w:rPr>
        <w:t>“</w:t>
      </w:r>
      <w:r w:rsidRPr="001B3DD9">
        <w:rPr>
          <w:rFonts w:asciiTheme="majorBidi" w:hAnsiTheme="majorBidi" w:cstheme="majorBidi"/>
          <w:b/>
          <w:bCs/>
        </w:rPr>
        <w:t>Prevención</w:t>
      </w:r>
      <w:r w:rsidR="008C5013" w:rsidRPr="001B3DD9">
        <w:rPr>
          <w:rFonts w:asciiTheme="majorBidi" w:hAnsiTheme="majorBidi" w:cstheme="majorBidi"/>
          <w:b/>
          <w:bCs/>
        </w:rPr>
        <w:t>”</w:t>
      </w:r>
      <w:r w:rsidRPr="001B3DD9">
        <w:rPr>
          <w:rFonts w:asciiTheme="majorBidi" w:hAnsiTheme="majorBidi" w:cstheme="majorBidi"/>
          <w:b/>
          <w:bCs/>
        </w:rPr>
        <w:t>, consejo de prudencia P260</w:t>
      </w:r>
    </w:p>
    <w:p w14:paraId="03FB9890" w14:textId="249FEF75" w:rsidR="00284D49" w:rsidRPr="001B3DD9" w:rsidRDefault="00284D49" w:rsidP="00802EA2">
      <w:pPr>
        <w:spacing w:after="120"/>
        <w:ind w:left="1134" w:right="1134"/>
        <w:jc w:val="both"/>
        <w:rPr>
          <w:rFonts w:asciiTheme="majorBidi" w:hAnsiTheme="majorBidi" w:cstheme="majorBidi"/>
        </w:rPr>
      </w:pPr>
      <w:r w:rsidRPr="001B3DD9">
        <w:rPr>
          <w:rFonts w:asciiTheme="majorBidi" w:hAnsiTheme="majorBidi" w:cstheme="majorBidi"/>
        </w:rPr>
        <w:t xml:space="preserve">Sustitúyase </w:t>
      </w:r>
      <w:r w:rsidR="008C5013" w:rsidRPr="001B3DD9">
        <w:rPr>
          <w:rFonts w:asciiTheme="majorBidi" w:hAnsiTheme="majorBidi" w:cstheme="majorBidi"/>
        </w:rPr>
        <w:t>“</w:t>
      </w:r>
      <w:r w:rsidRPr="001B3DD9">
        <w:rPr>
          <w:rFonts w:asciiTheme="majorBidi" w:hAnsiTheme="majorBidi" w:cstheme="majorBidi"/>
        </w:rPr>
        <w:t>especificarán las condiciones aplicables</w:t>
      </w:r>
      <w:r w:rsidR="008C5013" w:rsidRPr="001B3DD9">
        <w:rPr>
          <w:rFonts w:asciiTheme="majorBidi" w:hAnsiTheme="majorBidi" w:cstheme="majorBidi"/>
        </w:rPr>
        <w:t>”</w:t>
      </w:r>
      <w:r w:rsidRPr="001B3DD9">
        <w:rPr>
          <w:rFonts w:asciiTheme="majorBidi" w:hAnsiTheme="majorBidi" w:cstheme="majorBidi"/>
        </w:rPr>
        <w:t xml:space="preserve"> por </w:t>
      </w:r>
      <w:r w:rsidR="008C5013" w:rsidRPr="001B3DD9">
        <w:rPr>
          <w:rFonts w:asciiTheme="majorBidi" w:hAnsiTheme="majorBidi" w:cstheme="majorBidi"/>
        </w:rPr>
        <w:t>“</w:t>
      </w:r>
      <w:r w:rsidRPr="001B3DD9">
        <w:rPr>
          <w:rFonts w:asciiTheme="majorBidi" w:hAnsiTheme="majorBidi" w:cstheme="majorBidi"/>
        </w:rPr>
        <w:t>especificarán el estado o estados físicos aplicables</w:t>
      </w:r>
      <w:r w:rsidR="008C5013" w:rsidRPr="001B3DD9">
        <w:rPr>
          <w:rFonts w:asciiTheme="majorBidi" w:hAnsiTheme="majorBidi" w:cstheme="majorBidi"/>
        </w:rPr>
        <w:t>”</w:t>
      </w:r>
      <w:r w:rsidRPr="001B3DD9">
        <w:rPr>
          <w:rFonts w:asciiTheme="majorBidi" w:hAnsiTheme="majorBidi" w:cstheme="majorBidi"/>
        </w:rPr>
        <w:t>.</w:t>
      </w:r>
    </w:p>
    <w:p w14:paraId="66186EA1" w14:textId="7E55AFED" w:rsidR="00284D49" w:rsidRPr="001B3DD9" w:rsidRDefault="00284D49" w:rsidP="00802EA2">
      <w:pPr>
        <w:pStyle w:val="SingleTxtG"/>
        <w:rPr>
          <w:rFonts w:asciiTheme="majorBidi" w:hAnsiTheme="majorBidi" w:cstheme="majorBidi"/>
          <w:b/>
          <w:bCs/>
        </w:rPr>
      </w:pPr>
      <w:r w:rsidRPr="001B3DD9">
        <w:rPr>
          <w:rFonts w:asciiTheme="majorBidi" w:hAnsiTheme="majorBidi" w:cstheme="majorBidi"/>
          <w:b/>
          <w:bCs/>
        </w:rPr>
        <w:t>Tabla relativa a la toxicidad específica de órganos diana (exposición única) (capítulo</w:t>
      </w:r>
      <w:r w:rsidR="002A21D5">
        <w:rPr>
          <w:rFonts w:asciiTheme="majorBidi" w:hAnsiTheme="majorBidi" w:cstheme="majorBidi"/>
          <w:b/>
          <w:bCs/>
        </w:rPr>
        <w:t> </w:t>
      </w:r>
      <w:r w:rsidRPr="001B3DD9">
        <w:rPr>
          <w:rFonts w:asciiTheme="majorBidi" w:hAnsiTheme="majorBidi" w:cstheme="majorBidi"/>
          <w:b/>
          <w:bCs/>
        </w:rPr>
        <w:t xml:space="preserve">3.8), categoría 3, columna </w:t>
      </w:r>
      <w:r w:rsidR="008C5013" w:rsidRPr="001B3DD9">
        <w:rPr>
          <w:rFonts w:asciiTheme="majorBidi" w:hAnsiTheme="majorBidi" w:cstheme="majorBidi"/>
          <w:b/>
          <w:bCs/>
        </w:rPr>
        <w:t>“</w:t>
      </w:r>
      <w:r w:rsidRPr="001B3DD9">
        <w:rPr>
          <w:rFonts w:asciiTheme="majorBidi" w:hAnsiTheme="majorBidi" w:cstheme="majorBidi"/>
          <w:b/>
          <w:bCs/>
        </w:rPr>
        <w:t>Prevención</w:t>
      </w:r>
      <w:r w:rsidR="008C5013" w:rsidRPr="001B3DD9">
        <w:rPr>
          <w:rFonts w:asciiTheme="majorBidi" w:hAnsiTheme="majorBidi" w:cstheme="majorBidi"/>
          <w:b/>
          <w:bCs/>
        </w:rPr>
        <w:t>”</w:t>
      </w:r>
      <w:r w:rsidRPr="001B3DD9">
        <w:rPr>
          <w:rFonts w:asciiTheme="majorBidi" w:hAnsiTheme="majorBidi" w:cstheme="majorBidi"/>
          <w:b/>
          <w:bCs/>
        </w:rPr>
        <w:t>, consejo de prudencia P271</w:t>
      </w:r>
    </w:p>
    <w:p w14:paraId="5258F7AB" w14:textId="77777777" w:rsidR="00284D49" w:rsidRPr="001B3DD9" w:rsidRDefault="00284D49" w:rsidP="002A21D5">
      <w:pPr>
        <w:pStyle w:val="SingleTxtG"/>
        <w:keepNext/>
        <w:keepLines/>
        <w:rPr>
          <w:rFonts w:asciiTheme="majorBidi" w:hAnsiTheme="majorBidi" w:cstheme="majorBidi"/>
        </w:rPr>
      </w:pPr>
      <w:r w:rsidRPr="001B3DD9">
        <w:rPr>
          <w:rFonts w:asciiTheme="majorBidi" w:hAnsiTheme="majorBidi" w:cstheme="majorBidi"/>
        </w:rPr>
        <w:lastRenderedPageBreak/>
        <w:t>Modifíquese para que diga:</w:t>
      </w:r>
    </w:p>
    <w:p w14:paraId="3A224B84" w14:textId="19E3DDF4" w:rsidR="00284D49" w:rsidRPr="001B3DD9" w:rsidRDefault="008C5013" w:rsidP="002A21D5">
      <w:pPr>
        <w:pStyle w:val="BalloonText"/>
        <w:keepNext/>
        <w:keepLines/>
        <w:spacing w:after="120" w:line="240" w:lineRule="atLeast"/>
        <w:ind w:left="1985" w:right="1134"/>
        <w:rPr>
          <w:rFonts w:asciiTheme="majorBidi" w:hAnsiTheme="majorBidi" w:cstheme="majorBidi"/>
          <w:b/>
          <w:sz w:val="20"/>
          <w:szCs w:val="20"/>
        </w:rPr>
      </w:pPr>
      <w:r w:rsidRPr="001B3DD9">
        <w:rPr>
          <w:rFonts w:asciiTheme="majorBidi" w:hAnsiTheme="majorBidi" w:cstheme="majorBidi"/>
          <w:sz w:val="20"/>
          <w:szCs w:val="20"/>
        </w:rPr>
        <w:t>“</w:t>
      </w:r>
      <w:r w:rsidR="00284D49" w:rsidRPr="001B3DD9">
        <w:rPr>
          <w:rFonts w:asciiTheme="majorBidi" w:hAnsiTheme="majorBidi" w:cstheme="majorBidi"/>
          <w:sz w:val="20"/>
          <w:szCs w:val="20"/>
        </w:rPr>
        <w:t>P271</w:t>
      </w:r>
      <w:r w:rsidR="00284D49" w:rsidRPr="001B3DD9">
        <w:rPr>
          <w:rFonts w:asciiTheme="majorBidi" w:hAnsiTheme="majorBidi" w:cstheme="majorBidi"/>
          <w:sz w:val="20"/>
          <w:szCs w:val="20"/>
        </w:rPr>
        <w:br/>
      </w:r>
      <w:r w:rsidR="00284D49" w:rsidRPr="001B3DD9">
        <w:rPr>
          <w:rFonts w:asciiTheme="majorBidi" w:hAnsiTheme="majorBidi" w:cstheme="majorBidi"/>
          <w:b/>
          <w:bCs/>
          <w:sz w:val="20"/>
          <w:szCs w:val="20"/>
        </w:rPr>
        <w:t>Utilizar solo al aire libre o con una ventilación suficiente.</w:t>
      </w:r>
    </w:p>
    <w:p w14:paraId="50B7CC1C" w14:textId="3CEFABC5" w:rsidR="00284D49" w:rsidRPr="001B3DD9" w:rsidRDefault="00284D49" w:rsidP="00802EA2">
      <w:pPr>
        <w:pStyle w:val="BalloonText"/>
        <w:spacing w:after="120" w:line="240" w:lineRule="atLeast"/>
        <w:ind w:left="1985" w:right="1134"/>
        <w:jc w:val="both"/>
        <w:rPr>
          <w:rFonts w:asciiTheme="majorBidi" w:hAnsiTheme="majorBidi" w:cstheme="majorBidi"/>
          <w:sz w:val="20"/>
          <w:szCs w:val="20"/>
        </w:rPr>
      </w:pPr>
      <w:r w:rsidRPr="001B3DD9">
        <w:rPr>
          <w:rFonts w:asciiTheme="majorBidi" w:hAnsiTheme="majorBidi" w:cstheme="majorBidi"/>
          <w:sz w:val="20"/>
          <w:szCs w:val="20"/>
        </w:rPr>
        <w:t>El fabricante/proveedor especificará en la ficha de datos de seguridad y en todas las instrucciones de seguridad complementarias que se faciliten a los consumidores el tipo de ventilación que sería suficiente para un uso seguro.</w:t>
      </w:r>
      <w:r w:rsidR="008C5013" w:rsidRPr="001B3DD9">
        <w:rPr>
          <w:rFonts w:asciiTheme="majorBidi" w:hAnsiTheme="majorBidi" w:cstheme="majorBidi"/>
          <w:sz w:val="20"/>
          <w:szCs w:val="20"/>
        </w:rPr>
        <w:t>”</w:t>
      </w:r>
      <w:r w:rsidRPr="001B3DD9">
        <w:rPr>
          <w:rFonts w:asciiTheme="majorBidi" w:hAnsiTheme="majorBidi" w:cstheme="majorBidi"/>
          <w:sz w:val="20"/>
          <w:szCs w:val="20"/>
        </w:rPr>
        <w:t>.</w:t>
      </w:r>
    </w:p>
    <w:p w14:paraId="361E411D" w14:textId="4F68305E" w:rsidR="00284D49" w:rsidRPr="001B3DD9" w:rsidRDefault="00284D49" w:rsidP="00802EA2">
      <w:pPr>
        <w:pStyle w:val="SingleTxtG"/>
        <w:rPr>
          <w:rFonts w:asciiTheme="majorBidi" w:hAnsiTheme="majorBidi" w:cstheme="majorBidi"/>
          <w:b/>
          <w:bCs/>
        </w:rPr>
      </w:pPr>
      <w:r w:rsidRPr="001B3DD9">
        <w:rPr>
          <w:rFonts w:asciiTheme="majorBidi" w:hAnsiTheme="majorBidi" w:cstheme="majorBidi"/>
          <w:b/>
          <w:bCs/>
        </w:rPr>
        <w:t xml:space="preserve">Tabla relativa a la toxicidad específica de órganos diana (exposiciones repetidas) (capítulo 3.9), categorías 1 y 2, columna </w:t>
      </w:r>
      <w:r w:rsidR="008C5013" w:rsidRPr="001B3DD9">
        <w:rPr>
          <w:rFonts w:asciiTheme="majorBidi" w:hAnsiTheme="majorBidi" w:cstheme="majorBidi"/>
          <w:b/>
          <w:bCs/>
        </w:rPr>
        <w:t>“</w:t>
      </w:r>
      <w:r w:rsidRPr="001B3DD9">
        <w:rPr>
          <w:rFonts w:asciiTheme="majorBidi" w:hAnsiTheme="majorBidi" w:cstheme="majorBidi"/>
          <w:b/>
          <w:bCs/>
        </w:rPr>
        <w:t>Prevención</w:t>
      </w:r>
      <w:r w:rsidR="008C5013" w:rsidRPr="001B3DD9">
        <w:rPr>
          <w:rFonts w:asciiTheme="majorBidi" w:hAnsiTheme="majorBidi" w:cstheme="majorBidi"/>
          <w:b/>
          <w:bCs/>
        </w:rPr>
        <w:t>”</w:t>
      </w:r>
      <w:r w:rsidRPr="001B3DD9">
        <w:rPr>
          <w:rFonts w:asciiTheme="majorBidi" w:hAnsiTheme="majorBidi" w:cstheme="majorBidi"/>
          <w:b/>
          <w:bCs/>
        </w:rPr>
        <w:t>, consejo de prudencia P260</w:t>
      </w:r>
    </w:p>
    <w:p w14:paraId="41B4C170" w14:textId="50CF468D" w:rsidR="00284D49" w:rsidRPr="001B3DD9" w:rsidRDefault="00284D49" w:rsidP="00802EA2">
      <w:pPr>
        <w:pStyle w:val="SingleTxtG"/>
        <w:rPr>
          <w:rFonts w:asciiTheme="majorBidi" w:hAnsiTheme="majorBidi" w:cstheme="majorBidi"/>
          <w:bCs/>
        </w:rPr>
      </w:pPr>
      <w:r w:rsidRPr="001B3DD9">
        <w:rPr>
          <w:rFonts w:asciiTheme="majorBidi" w:hAnsiTheme="majorBidi" w:cstheme="majorBidi"/>
        </w:rPr>
        <w:t xml:space="preserve">Sustitúyase </w:t>
      </w:r>
      <w:r w:rsidR="008C5013" w:rsidRPr="001B3DD9">
        <w:rPr>
          <w:rFonts w:asciiTheme="majorBidi" w:hAnsiTheme="majorBidi" w:cstheme="majorBidi"/>
        </w:rPr>
        <w:t>“</w:t>
      </w:r>
      <w:r w:rsidRPr="001B3DD9">
        <w:rPr>
          <w:rFonts w:asciiTheme="majorBidi" w:hAnsiTheme="majorBidi" w:cstheme="majorBidi"/>
        </w:rPr>
        <w:t>especificarán las condiciones aplicables</w:t>
      </w:r>
      <w:r w:rsidR="008C5013" w:rsidRPr="001B3DD9">
        <w:rPr>
          <w:rFonts w:asciiTheme="majorBidi" w:hAnsiTheme="majorBidi" w:cstheme="majorBidi"/>
        </w:rPr>
        <w:t>”</w:t>
      </w:r>
      <w:r w:rsidRPr="001B3DD9">
        <w:rPr>
          <w:rFonts w:asciiTheme="majorBidi" w:hAnsiTheme="majorBidi" w:cstheme="majorBidi"/>
        </w:rPr>
        <w:t xml:space="preserve"> por </w:t>
      </w:r>
      <w:r w:rsidR="008C5013" w:rsidRPr="001B3DD9">
        <w:rPr>
          <w:rFonts w:asciiTheme="majorBidi" w:hAnsiTheme="majorBidi" w:cstheme="majorBidi"/>
        </w:rPr>
        <w:t>“</w:t>
      </w:r>
      <w:r w:rsidRPr="001B3DD9">
        <w:rPr>
          <w:rFonts w:asciiTheme="majorBidi" w:hAnsiTheme="majorBidi" w:cstheme="majorBidi"/>
        </w:rPr>
        <w:t>especificarán el estado o estados físicos aplicables</w:t>
      </w:r>
      <w:r w:rsidR="008C5013" w:rsidRPr="001B3DD9">
        <w:rPr>
          <w:rFonts w:asciiTheme="majorBidi" w:hAnsiTheme="majorBidi" w:cstheme="majorBidi"/>
        </w:rPr>
        <w:t>”</w:t>
      </w:r>
      <w:r w:rsidRPr="001B3DD9">
        <w:rPr>
          <w:rFonts w:asciiTheme="majorBidi" w:hAnsiTheme="majorBidi" w:cstheme="majorBidi"/>
        </w:rPr>
        <w:t xml:space="preserve">. </w:t>
      </w:r>
    </w:p>
    <w:p w14:paraId="4E6DBF9A" w14:textId="77777777" w:rsidR="00284D49" w:rsidRPr="00FC4465" w:rsidRDefault="00284D49" w:rsidP="00802EA2">
      <w:pPr>
        <w:pStyle w:val="H1G"/>
      </w:pPr>
      <w:r w:rsidRPr="00FC4465">
        <w:tab/>
      </w:r>
      <w:r w:rsidRPr="00FC4465">
        <w:tab/>
        <w:t>Anexo 9</w:t>
      </w:r>
    </w:p>
    <w:p w14:paraId="635C4F95" w14:textId="60BF10D7" w:rsidR="00284D49" w:rsidRPr="00802EA2" w:rsidRDefault="00284D49" w:rsidP="00802EA2">
      <w:pPr>
        <w:pStyle w:val="SingleTxtG"/>
        <w:tabs>
          <w:tab w:val="clear" w:pos="1701"/>
        </w:tabs>
        <w:ind w:left="2268" w:hanging="1134"/>
        <w:rPr>
          <w:rFonts w:asciiTheme="majorBidi" w:hAnsiTheme="majorBidi" w:cstheme="majorBidi"/>
        </w:rPr>
      </w:pPr>
      <w:r w:rsidRPr="00802EA2">
        <w:rPr>
          <w:rFonts w:asciiTheme="majorBidi" w:hAnsiTheme="majorBidi" w:cstheme="majorBidi"/>
        </w:rPr>
        <w:t>A9.4.3.5.1</w:t>
      </w:r>
      <w:r w:rsidRPr="00802EA2">
        <w:rPr>
          <w:rFonts w:asciiTheme="majorBidi" w:hAnsiTheme="majorBidi" w:cstheme="majorBidi"/>
        </w:rPr>
        <w:tab/>
        <w:t xml:space="preserve">En la segunda oración, sustitúyase </w:t>
      </w:r>
      <w:r w:rsidR="008C5013" w:rsidRPr="00802EA2">
        <w:rPr>
          <w:rFonts w:asciiTheme="majorBidi" w:hAnsiTheme="majorBidi" w:cstheme="majorBidi"/>
        </w:rPr>
        <w:t>“</w:t>
      </w:r>
      <w:r w:rsidRPr="00802EA2">
        <w:rPr>
          <w:rFonts w:asciiTheme="majorBidi" w:hAnsiTheme="majorBidi" w:cstheme="majorBidi"/>
        </w:rPr>
        <w:t xml:space="preserve">recurriendo al </w:t>
      </w:r>
      <w:r w:rsidR="008C5013" w:rsidRPr="00802EA2">
        <w:rPr>
          <w:rFonts w:asciiTheme="majorBidi" w:hAnsiTheme="majorBidi" w:cstheme="majorBidi"/>
        </w:rPr>
        <w:t>“</w:t>
      </w:r>
      <w:r w:rsidRPr="00802EA2">
        <w:rPr>
          <w:rFonts w:asciiTheme="majorBidi" w:hAnsiTheme="majorBidi" w:cstheme="majorBidi"/>
        </w:rPr>
        <w:t>peso de la evidencia</w:t>
      </w:r>
      <w:r w:rsidR="008C5013" w:rsidRPr="00802EA2">
        <w:rPr>
          <w:rFonts w:asciiTheme="majorBidi" w:hAnsiTheme="majorBidi" w:cstheme="majorBidi"/>
        </w:rPr>
        <w:t>”</w:t>
      </w:r>
      <w:r w:rsidR="008E74DD" w:rsidRPr="00802EA2">
        <w:rPr>
          <w:rFonts w:asciiTheme="majorBidi" w:hAnsiTheme="majorBidi" w:cstheme="majorBidi"/>
        </w:rPr>
        <w:t>”</w:t>
      </w:r>
      <w:r w:rsidRPr="00802EA2">
        <w:rPr>
          <w:rFonts w:asciiTheme="majorBidi" w:hAnsiTheme="majorBidi" w:cstheme="majorBidi"/>
        </w:rPr>
        <w:t xml:space="preserve"> por </w:t>
      </w:r>
      <w:r w:rsidR="008C5013" w:rsidRPr="00802EA2">
        <w:rPr>
          <w:rFonts w:asciiTheme="majorBidi" w:hAnsiTheme="majorBidi" w:cstheme="majorBidi"/>
        </w:rPr>
        <w:t>“</w:t>
      </w:r>
      <w:r w:rsidRPr="00802EA2">
        <w:rPr>
          <w:rFonts w:asciiTheme="majorBidi" w:hAnsiTheme="majorBidi" w:cstheme="majorBidi"/>
        </w:rPr>
        <w:t>realizando una evaluación del peso de las pruebas</w:t>
      </w:r>
      <w:r w:rsidR="008C5013" w:rsidRPr="00802EA2">
        <w:rPr>
          <w:rFonts w:asciiTheme="majorBidi" w:hAnsiTheme="majorBidi" w:cstheme="majorBidi"/>
        </w:rPr>
        <w:t>”</w:t>
      </w:r>
      <w:r w:rsidRPr="00802EA2">
        <w:rPr>
          <w:rFonts w:asciiTheme="majorBidi" w:hAnsiTheme="majorBidi" w:cstheme="majorBidi"/>
        </w:rPr>
        <w:t>.</w:t>
      </w:r>
    </w:p>
    <w:p w14:paraId="676602C2" w14:textId="0F2FB369" w:rsidR="00284D49" w:rsidRPr="00802EA2" w:rsidRDefault="00284D49" w:rsidP="00802EA2">
      <w:pPr>
        <w:pStyle w:val="SingleTxtG"/>
        <w:tabs>
          <w:tab w:val="clear" w:pos="1701"/>
        </w:tabs>
        <w:ind w:left="2268" w:hanging="1134"/>
        <w:rPr>
          <w:rStyle w:val="SingleTxtGCar"/>
          <w:rFonts w:asciiTheme="majorBidi" w:hAnsiTheme="majorBidi" w:cstheme="majorBidi"/>
        </w:rPr>
      </w:pPr>
      <w:r w:rsidRPr="00802EA2">
        <w:rPr>
          <w:rFonts w:asciiTheme="majorBidi" w:hAnsiTheme="majorBidi" w:cstheme="majorBidi"/>
        </w:rPr>
        <w:t>A9.4.3.6</w:t>
      </w:r>
      <w:r w:rsidRPr="00802EA2">
        <w:rPr>
          <w:rFonts w:asciiTheme="majorBidi" w:hAnsiTheme="majorBidi" w:cstheme="majorBidi"/>
        </w:rPr>
        <w:tab/>
        <w:t xml:space="preserve">En la cuarta oración, sustitúyase </w:t>
      </w:r>
      <w:r w:rsidR="008C5013" w:rsidRPr="00802EA2">
        <w:rPr>
          <w:rFonts w:asciiTheme="majorBidi" w:hAnsiTheme="majorBidi" w:cstheme="majorBidi"/>
        </w:rPr>
        <w:t>“</w:t>
      </w:r>
      <w:r w:rsidRPr="00802EA2">
        <w:rPr>
          <w:rFonts w:asciiTheme="majorBidi" w:hAnsiTheme="majorBidi" w:cstheme="majorBidi"/>
        </w:rPr>
        <w:t>aplicando un proceder que se base en el peso de la evidencia</w:t>
      </w:r>
      <w:r w:rsidR="008C5013" w:rsidRPr="00802EA2">
        <w:rPr>
          <w:rFonts w:asciiTheme="majorBidi" w:hAnsiTheme="majorBidi" w:cstheme="majorBidi"/>
        </w:rPr>
        <w:t>”</w:t>
      </w:r>
      <w:r w:rsidRPr="00802EA2">
        <w:rPr>
          <w:rFonts w:asciiTheme="majorBidi" w:hAnsiTheme="majorBidi" w:cstheme="majorBidi"/>
        </w:rPr>
        <w:t xml:space="preserve"> por </w:t>
      </w:r>
      <w:r w:rsidR="008C5013" w:rsidRPr="00802EA2">
        <w:rPr>
          <w:rFonts w:asciiTheme="majorBidi" w:hAnsiTheme="majorBidi" w:cstheme="majorBidi"/>
        </w:rPr>
        <w:t>“</w:t>
      </w:r>
      <w:r w:rsidRPr="00802EA2">
        <w:rPr>
          <w:rFonts w:asciiTheme="majorBidi" w:hAnsiTheme="majorBidi" w:cstheme="majorBidi"/>
        </w:rPr>
        <w:t>realizando una evaluación del peso de las pruebas</w:t>
      </w:r>
      <w:r w:rsidR="008C5013" w:rsidRPr="00802EA2">
        <w:rPr>
          <w:rFonts w:asciiTheme="majorBidi" w:hAnsiTheme="majorBidi" w:cstheme="majorBidi"/>
        </w:rPr>
        <w:t>”</w:t>
      </w:r>
      <w:r w:rsidRPr="00802EA2">
        <w:rPr>
          <w:rFonts w:asciiTheme="majorBidi" w:hAnsiTheme="majorBidi" w:cstheme="majorBidi"/>
        </w:rPr>
        <w:t>.</w:t>
      </w:r>
      <w:r w:rsidR="008C5013" w:rsidRPr="00802EA2">
        <w:rPr>
          <w:rFonts w:asciiTheme="majorBidi" w:hAnsiTheme="majorBidi" w:cstheme="majorBidi"/>
        </w:rPr>
        <w:t xml:space="preserve"> </w:t>
      </w:r>
    </w:p>
    <w:p w14:paraId="4F84C170" w14:textId="78A86ADB" w:rsidR="00284D49" w:rsidRPr="00802EA2" w:rsidRDefault="00284D49" w:rsidP="00802EA2">
      <w:pPr>
        <w:pStyle w:val="SingleTxtG"/>
        <w:tabs>
          <w:tab w:val="clear" w:pos="1701"/>
        </w:tabs>
        <w:ind w:left="2268" w:hanging="1134"/>
        <w:rPr>
          <w:rStyle w:val="SingleTxtGCar"/>
          <w:rFonts w:asciiTheme="majorBidi" w:hAnsiTheme="majorBidi" w:cstheme="majorBidi"/>
        </w:rPr>
      </w:pPr>
      <w:r w:rsidRPr="00802EA2">
        <w:rPr>
          <w:rFonts w:asciiTheme="majorBidi" w:hAnsiTheme="majorBidi" w:cstheme="majorBidi"/>
        </w:rPr>
        <w:t>A9.5.4.1</w:t>
      </w:r>
      <w:r w:rsidRPr="00802EA2">
        <w:rPr>
          <w:rFonts w:asciiTheme="majorBidi" w:hAnsiTheme="majorBidi" w:cstheme="majorBidi"/>
        </w:rPr>
        <w:tab/>
        <w:t xml:space="preserve">En la segunda oración, sustitúyase </w:t>
      </w:r>
      <w:r w:rsidR="008C5013" w:rsidRPr="00802EA2">
        <w:rPr>
          <w:rFonts w:asciiTheme="majorBidi" w:hAnsiTheme="majorBidi" w:cstheme="majorBidi"/>
        </w:rPr>
        <w:t>“</w:t>
      </w:r>
      <w:r w:rsidRPr="00802EA2">
        <w:rPr>
          <w:rFonts w:asciiTheme="majorBidi" w:hAnsiTheme="majorBidi" w:cstheme="majorBidi"/>
        </w:rPr>
        <w:t xml:space="preserve">mediante el </w:t>
      </w:r>
      <w:r w:rsidR="008C5013" w:rsidRPr="00802EA2">
        <w:rPr>
          <w:rFonts w:asciiTheme="majorBidi" w:hAnsiTheme="majorBidi" w:cstheme="majorBidi"/>
        </w:rPr>
        <w:t>“</w:t>
      </w:r>
      <w:r w:rsidRPr="00802EA2">
        <w:rPr>
          <w:rFonts w:asciiTheme="majorBidi" w:hAnsiTheme="majorBidi" w:cstheme="majorBidi"/>
        </w:rPr>
        <w:t>peso de la evidencia</w:t>
      </w:r>
      <w:r w:rsidR="008C5013" w:rsidRPr="00802EA2">
        <w:rPr>
          <w:rFonts w:asciiTheme="majorBidi" w:hAnsiTheme="majorBidi" w:cstheme="majorBidi"/>
        </w:rPr>
        <w:t>”</w:t>
      </w:r>
      <w:r w:rsidR="008E74DD" w:rsidRPr="00802EA2">
        <w:rPr>
          <w:rFonts w:asciiTheme="majorBidi" w:hAnsiTheme="majorBidi" w:cstheme="majorBidi"/>
        </w:rPr>
        <w:t>”</w:t>
      </w:r>
      <w:r w:rsidRPr="00802EA2">
        <w:rPr>
          <w:rFonts w:asciiTheme="majorBidi" w:hAnsiTheme="majorBidi" w:cstheme="majorBidi"/>
        </w:rPr>
        <w:t xml:space="preserve"> por </w:t>
      </w:r>
      <w:r w:rsidR="008C5013" w:rsidRPr="00802EA2">
        <w:rPr>
          <w:rFonts w:asciiTheme="majorBidi" w:hAnsiTheme="majorBidi" w:cstheme="majorBidi"/>
        </w:rPr>
        <w:t>“</w:t>
      </w:r>
      <w:r w:rsidRPr="00802EA2">
        <w:rPr>
          <w:rFonts w:asciiTheme="majorBidi" w:hAnsiTheme="majorBidi" w:cstheme="majorBidi"/>
        </w:rPr>
        <w:t>mediante una evaluación del peso de las pruebas</w:t>
      </w:r>
      <w:r w:rsidR="008C5013" w:rsidRPr="00802EA2">
        <w:rPr>
          <w:rFonts w:asciiTheme="majorBidi" w:hAnsiTheme="majorBidi" w:cstheme="majorBidi"/>
        </w:rPr>
        <w:t>”</w:t>
      </w:r>
      <w:r w:rsidRPr="00802EA2">
        <w:rPr>
          <w:rFonts w:asciiTheme="majorBidi" w:hAnsiTheme="majorBidi" w:cstheme="majorBidi"/>
        </w:rPr>
        <w:t>.</w:t>
      </w:r>
    </w:p>
    <w:p w14:paraId="32FDD448" w14:textId="49C48BBF" w:rsidR="00284D49" w:rsidRPr="00802EA2" w:rsidRDefault="00284D49" w:rsidP="00802EA2">
      <w:pPr>
        <w:pStyle w:val="SingleTxtG"/>
        <w:tabs>
          <w:tab w:val="clear" w:pos="1701"/>
        </w:tabs>
        <w:ind w:left="2268" w:hanging="1134"/>
        <w:rPr>
          <w:rFonts w:asciiTheme="majorBidi" w:hAnsiTheme="majorBidi" w:cstheme="majorBidi"/>
        </w:rPr>
      </w:pPr>
      <w:r w:rsidRPr="00802EA2">
        <w:rPr>
          <w:rFonts w:asciiTheme="majorBidi" w:hAnsiTheme="majorBidi" w:cstheme="majorBidi"/>
        </w:rPr>
        <w:t>A9.7.1.1</w:t>
      </w:r>
      <w:r w:rsidRPr="00802EA2">
        <w:rPr>
          <w:rFonts w:asciiTheme="majorBidi" w:hAnsiTheme="majorBidi" w:cstheme="majorBidi"/>
        </w:rPr>
        <w:tab/>
        <w:t>Modifíquese la penúltima oración (</w:t>
      </w:r>
      <w:r w:rsidR="008C5013" w:rsidRPr="00802EA2">
        <w:rPr>
          <w:rFonts w:asciiTheme="majorBidi" w:hAnsiTheme="majorBidi" w:cstheme="majorBidi"/>
        </w:rPr>
        <w:t>“</w:t>
      </w:r>
      <w:r w:rsidRPr="00802EA2">
        <w:rPr>
          <w:rFonts w:asciiTheme="majorBidi" w:hAnsiTheme="majorBidi" w:cstheme="majorBidi"/>
        </w:rPr>
        <w:t>Este capítulo [...] o a la bioacumulación.</w:t>
      </w:r>
      <w:r w:rsidR="008C5013" w:rsidRPr="00802EA2">
        <w:rPr>
          <w:rFonts w:asciiTheme="majorBidi" w:hAnsiTheme="majorBidi" w:cstheme="majorBidi"/>
        </w:rPr>
        <w:t>”</w:t>
      </w:r>
      <w:r w:rsidRPr="00802EA2">
        <w:rPr>
          <w:rFonts w:asciiTheme="majorBidi" w:hAnsiTheme="majorBidi" w:cstheme="majorBidi"/>
        </w:rPr>
        <w:t xml:space="preserve">) para que diga: </w:t>
      </w:r>
      <w:r w:rsidR="008C5013" w:rsidRPr="00802EA2">
        <w:rPr>
          <w:rFonts w:asciiTheme="majorBidi" w:hAnsiTheme="majorBidi" w:cstheme="majorBidi"/>
        </w:rPr>
        <w:t>“</w:t>
      </w:r>
      <w:r w:rsidRPr="00802EA2">
        <w:rPr>
          <w:rFonts w:asciiTheme="majorBidi" w:hAnsiTheme="majorBidi" w:cstheme="majorBidi"/>
        </w:rPr>
        <w:t>Este capítulo no tiene en cuenta el anión asociado (por ejemplo, CN</w:t>
      </w:r>
      <w:r w:rsidRPr="00802EA2">
        <w:rPr>
          <w:rFonts w:asciiTheme="majorBidi" w:hAnsiTheme="majorBidi" w:cstheme="majorBidi"/>
          <w:vertAlign w:val="superscript"/>
        </w:rPr>
        <w:t>-</w:t>
      </w:r>
      <w:r w:rsidRPr="00802EA2">
        <w:rPr>
          <w:rFonts w:asciiTheme="majorBidi" w:hAnsiTheme="majorBidi" w:cstheme="majorBidi"/>
        </w:rPr>
        <w:t>) al compuesto metálico, que puede ser tóxico.</w:t>
      </w:r>
      <w:r w:rsidR="008C5013" w:rsidRPr="00802EA2">
        <w:rPr>
          <w:rFonts w:asciiTheme="majorBidi" w:hAnsiTheme="majorBidi" w:cstheme="majorBidi"/>
        </w:rPr>
        <w:t>”</w:t>
      </w:r>
      <w:r w:rsidRPr="00802EA2">
        <w:rPr>
          <w:rFonts w:asciiTheme="majorBidi" w:hAnsiTheme="majorBidi" w:cstheme="majorBidi"/>
        </w:rPr>
        <w:t>.</w:t>
      </w:r>
    </w:p>
    <w:p w14:paraId="4EC5ABE4" w14:textId="77777777" w:rsidR="00284D49" w:rsidRPr="00802EA2" w:rsidRDefault="00284D49" w:rsidP="00802EA2">
      <w:pPr>
        <w:pStyle w:val="SingleTxtG"/>
        <w:tabs>
          <w:tab w:val="clear" w:pos="1701"/>
        </w:tabs>
        <w:rPr>
          <w:rFonts w:asciiTheme="majorBidi" w:eastAsiaTheme="minorHAnsi" w:hAnsiTheme="majorBidi" w:cstheme="majorBidi"/>
        </w:rPr>
      </w:pPr>
      <w:r w:rsidRPr="00802EA2">
        <w:rPr>
          <w:rFonts w:asciiTheme="majorBidi" w:hAnsiTheme="majorBidi" w:cstheme="majorBidi"/>
        </w:rPr>
        <w:t>A9.7.1.1.1 (nuevo)</w:t>
      </w:r>
      <w:r w:rsidRPr="00802EA2">
        <w:rPr>
          <w:rFonts w:asciiTheme="majorBidi" w:hAnsiTheme="majorBidi" w:cstheme="majorBidi"/>
        </w:rPr>
        <w:tab/>
        <w:t xml:space="preserve">Añádase un nuevo párrafo que diga: </w:t>
      </w:r>
    </w:p>
    <w:p w14:paraId="10602C96" w14:textId="2F701F05" w:rsidR="00284D49" w:rsidRPr="00802EA2" w:rsidRDefault="008C5013" w:rsidP="00802EA2">
      <w:pPr>
        <w:pStyle w:val="SingleTxtG"/>
        <w:tabs>
          <w:tab w:val="clear" w:pos="1701"/>
        </w:tabs>
        <w:ind w:left="2268"/>
        <w:rPr>
          <w:rFonts w:asciiTheme="majorBidi" w:hAnsiTheme="majorBidi" w:cstheme="majorBidi"/>
        </w:rPr>
      </w:pPr>
      <w:r w:rsidRPr="00802EA2">
        <w:rPr>
          <w:rFonts w:asciiTheme="majorBidi" w:hAnsiTheme="majorBidi" w:cstheme="majorBidi"/>
        </w:rPr>
        <w:t>“</w:t>
      </w:r>
      <w:r w:rsidR="00284D49" w:rsidRPr="00802EA2">
        <w:rPr>
          <w:rFonts w:asciiTheme="majorBidi" w:hAnsiTheme="majorBidi" w:cstheme="majorBidi"/>
        </w:rPr>
        <w:t xml:space="preserve">A9.7.1.1.1 </w:t>
      </w:r>
      <w:r w:rsidR="00284D49" w:rsidRPr="00802EA2">
        <w:rPr>
          <w:rFonts w:asciiTheme="majorBidi" w:hAnsiTheme="majorBidi" w:cstheme="majorBidi"/>
        </w:rPr>
        <w:tab/>
        <w:t>Los compuestos organometálicos (por ejemplo, el metilmercurio o el tributilestaño) y las sales organometálicas también pueden ser motivo de preocupación, dado que pueden comportar peligros asociados a la persistencia o la bioacumulación en caso de que no se disocien o disuelvan rápidamente en agua. A menos que sean una fuente importante del ion metálico (por procesos de disociación o degradación), los restos orgánicos y los componentes inorgánicos deberían evaluarse por separado (OCDE 2015). Por consiguiente, quedan excluidos de las orientaciones que figuran en esta sección y deberían clasificarse de conformidad con las orientaciones generales que figuran en la sección 4. En cambio, los compuestos metálicos que presentan un componente orgánico pero se disocian o disuelven fácilmente en agua, liberando el ion metálico, deberían tratarse del mismo modo que los compuestos metálicos y clasificarse de conformidad con lo dispuesto en este anexo (por ejemplo, el acetato de zinc).</w:t>
      </w:r>
      <w:r w:rsidRPr="00802EA2">
        <w:rPr>
          <w:rFonts w:asciiTheme="majorBidi" w:hAnsiTheme="majorBidi" w:cstheme="majorBidi"/>
        </w:rPr>
        <w:t>”</w:t>
      </w:r>
      <w:r w:rsidR="00284D49" w:rsidRPr="00802EA2">
        <w:rPr>
          <w:rFonts w:asciiTheme="majorBidi" w:hAnsiTheme="majorBidi" w:cstheme="majorBidi"/>
        </w:rPr>
        <w:t>.</w:t>
      </w:r>
    </w:p>
    <w:p w14:paraId="549B3967" w14:textId="4B3FCC77" w:rsidR="00284D49" w:rsidRPr="00802EA2" w:rsidRDefault="00284D49" w:rsidP="00802EA2">
      <w:pPr>
        <w:pStyle w:val="SingleTxtG"/>
        <w:tabs>
          <w:tab w:val="clear" w:pos="1701"/>
        </w:tabs>
        <w:ind w:left="2268" w:hanging="1134"/>
        <w:rPr>
          <w:rFonts w:asciiTheme="majorBidi" w:eastAsiaTheme="minorHAnsi" w:hAnsiTheme="majorBidi" w:cstheme="majorBidi"/>
        </w:rPr>
      </w:pPr>
      <w:r w:rsidRPr="00802EA2">
        <w:rPr>
          <w:rFonts w:asciiTheme="majorBidi" w:hAnsiTheme="majorBidi" w:cstheme="majorBidi"/>
        </w:rPr>
        <w:t>A9.7.1.6</w:t>
      </w:r>
      <w:r w:rsidRPr="00802EA2">
        <w:rPr>
          <w:rFonts w:asciiTheme="majorBidi" w:hAnsiTheme="majorBidi" w:cstheme="majorBidi"/>
        </w:rPr>
        <w:tab/>
        <w:t xml:space="preserve">En la segunda oración, sustitúyase el texto entre paréntesis por el siguiente: </w:t>
      </w:r>
      <w:r w:rsidR="008C5013" w:rsidRPr="00802EA2">
        <w:rPr>
          <w:rFonts w:asciiTheme="majorBidi" w:hAnsiTheme="majorBidi" w:cstheme="majorBidi"/>
        </w:rPr>
        <w:t>“</w:t>
      </w:r>
      <w:r w:rsidRPr="00802EA2">
        <w:rPr>
          <w:rFonts w:asciiTheme="majorBidi" w:hAnsiTheme="majorBidi" w:cstheme="majorBidi"/>
        </w:rPr>
        <w:t>(por ejemplo, por migración/disipación o especiación química que dé lugar a una forma insoluble y, por lo tanto, no biodisponible)</w:t>
      </w:r>
      <w:r w:rsidR="008C5013" w:rsidRPr="00802EA2">
        <w:rPr>
          <w:rFonts w:asciiTheme="majorBidi" w:hAnsiTheme="majorBidi" w:cstheme="majorBidi"/>
        </w:rPr>
        <w:t>”</w:t>
      </w:r>
      <w:r w:rsidRPr="00802EA2">
        <w:rPr>
          <w:rFonts w:asciiTheme="majorBidi" w:hAnsiTheme="majorBidi" w:cstheme="majorBidi"/>
        </w:rPr>
        <w:t xml:space="preserve">. </w:t>
      </w:r>
    </w:p>
    <w:p w14:paraId="61F6061F" w14:textId="6007369A" w:rsidR="00284D49" w:rsidRPr="00802EA2" w:rsidRDefault="00284D49" w:rsidP="00802EA2">
      <w:pPr>
        <w:pStyle w:val="SingleTxtG"/>
        <w:tabs>
          <w:tab w:val="clear" w:pos="1701"/>
        </w:tabs>
        <w:ind w:left="2268"/>
        <w:rPr>
          <w:rFonts w:asciiTheme="majorBidi" w:eastAsiaTheme="minorHAnsi" w:hAnsiTheme="majorBidi" w:cstheme="majorBidi"/>
        </w:rPr>
      </w:pPr>
      <w:r w:rsidRPr="00802EA2">
        <w:rPr>
          <w:rFonts w:asciiTheme="majorBidi" w:hAnsiTheme="majorBidi" w:cstheme="majorBidi"/>
        </w:rPr>
        <w:t xml:space="preserve">En la tercera oración, sustitúyase </w:t>
      </w:r>
      <w:r w:rsidR="008C5013" w:rsidRPr="00802EA2">
        <w:rPr>
          <w:rFonts w:asciiTheme="majorBidi" w:hAnsiTheme="majorBidi" w:cstheme="majorBidi"/>
        </w:rPr>
        <w:t>“</w:t>
      </w:r>
      <w:r w:rsidRPr="00802EA2">
        <w:rPr>
          <w:rFonts w:asciiTheme="majorBidi" w:hAnsiTheme="majorBidi" w:cstheme="majorBidi"/>
        </w:rPr>
        <w:t>al evaluar la clasificación crónica</w:t>
      </w:r>
      <w:r w:rsidR="008C5013" w:rsidRPr="00802EA2">
        <w:rPr>
          <w:rFonts w:asciiTheme="majorBidi" w:hAnsiTheme="majorBidi" w:cstheme="majorBidi"/>
        </w:rPr>
        <w:t>”</w:t>
      </w:r>
      <w:r w:rsidRPr="00802EA2">
        <w:rPr>
          <w:rFonts w:asciiTheme="majorBidi" w:hAnsiTheme="majorBidi" w:cstheme="majorBidi"/>
        </w:rPr>
        <w:t xml:space="preserve"> por </w:t>
      </w:r>
      <w:r w:rsidR="008C5013" w:rsidRPr="00802EA2">
        <w:rPr>
          <w:rFonts w:asciiTheme="majorBidi" w:hAnsiTheme="majorBidi" w:cstheme="majorBidi"/>
        </w:rPr>
        <w:t>“</w:t>
      </w:r>
      <w:r w:rsidRPr="00802EA2">
        <w:rPr>
          <w:rFonts w:asciiTheme="majorBidi" w:hAnsiTheme="majorBidi" w:cstheme="majorBidi"/>
        </w:rPr>
        <w:t>al</w:t>
      </w:r>
      <w:r w:rsidR="002A21D5">
        <w:rPr>
          <w:rFonts w:asciiTheme="majorBidi" w:hAnsiTheme="majorBidi" w:cstheme="majorBidi"/>
        </w:rPr>
        <w:t> </w:t>
      </w:r>
      <w:r w:rsidRPr="00802EA2">
        <w:rPr>
          <w:rFonts w:asciiTheme="majorBidi" w:hAnsiTheme="majorBidi" w:cstheme="majorBidi"/>
        </w:rPr>
        <w:t>evaluar la clasificación a largo plazo (crónica)</w:t>
      </w:r>
      <w:r w:rsidR="008C5013" w:rsidRPr="00802EA2">
        <w:rPr>
          <w:rFonts w:asciiTheme="majorBidi" w:hAnsiTheme="majorBidi" w:cstheme="majorBidi"/>
        </w:rPr>
        <w:t>”</w:t>
      </w:r>
      <w:r w:rsidRPr="00802EA2">
        <w:rPr>
          <w:rFonts w:asciiTheme="majorBidi" w:hAnsiTheme="majorBidi" w:cstheme="majorBidi"/>
        </w:rPr>
        <w:t>.</w:t>
      </w:r>
    </w:p>
    <w:p w14:paraId="3655CE12" w14:textId="0D03AAF0" w:rsidR="00284D49" w:rsidRPr="00802EA2" w:rsidRDefault="00284D49" w:rsidP="00802EA2">
      <w:pPr>
        <w:pStyle w:val="SingleTxtG"/>
        <w:tabs>
          <w:tab w:val="clear" w:pos="1701"/>
        </w:tabs>
        <w:ind w:left="2268" w:hanging="1134"/>
        <w:rPr>
          <w:rFonts w:asciiTheme="majorBidi" w:eastAsiaTheme="minorHAnsi" w:hAnsiTheme="majorBidi" w:cstheme="majorBidi"/>
        </w:rPr>
      </w:pPr>
      <w:r w:rsidRPr="00802EA2">
        <w:rPr>
          <w:rFonts w:asciiTheme="majorBidi" w:hAnsiTheme="majorBidi" w:cstheme="majorBidi"/>
        </w:rPr>
        <w:t>A9.7.1.8</w:t>
      </w:r>
      <w:r w:rsidRPr="00802EA2">
        <w:rPr>
          <w:rFonts w:asciiTheme="majorBidi" w:hAnsiTheme="majorBidi" w:cstheme="majorBidi"/>
        </w:rPr>
        <w:tab/>
        <w:t xml:space="preserve">En la primera oración, sustitúyase </w:t>
      </w:r>
      <w:r w:rsidR="008C5013" w:rsidRPr="00802EA2">
        <w:rPr>
          <w:rFonts w:asciiTheme="majorBidi" w:hAnsiTheme="majorBidi" w:cstheme="majorBidi"/>
        </w:rPr>
        <w:t>“</w:t>
      </w:r>
      <w:r w:rsidRPr="00802EA2">
        <w:rPr>
          <w:rFonts w:asciiTheme="majorBidi" w:hAnsiTheme="majorBidi" w:cstheme="majorBidi"/>
        </w:rPr>
        <w:t>causar toxicidad al nivel de la C(E)L</w:t>
      </w:r>
      <w:r w:rsidRPr="00802EA2">
        <w:rPr>
          <w:rFonts w:asciiTheme="majorBidi" w:hAnsiTheme="majorBidi" w:cstheme="majorBidi"/>
          <w:vertAlign w:val="subscript"/>
        </w:rPr>
        <w:t>50</w:t>
      </w:r>
      <w:r w:rsidRPr="00802EA2">
        <w:rPr>
          <w:rFonts w:asciiTheme="majorBidi" w:hAnsiTheme="majorBidi" w:cstheme="majorBidi"/>
        </w:rPr>
        <w:t>,</w:t>
      </w:r>
      <w:r w:rsidR="008C5013" w:rsidRPr="00802EA2">
        <w:rPr>
          <w:rFonts w:asciiTheme="majorBidi" w:hAnsiTheme="majorBidi" w:cstheme="majorBidi"/>
        </w:rPr>
        <w:t>”</w:t>
      </w:r>
      <w:r w:rsidRPr="00802EA2">
        <w:rPr>
          <w:rFonts w:asciiTheme="majorBidi" w:hAnsiTheme="majorBidi" w:cstheme="majorBidi"/>
        </w:rPr>
        <w:t xml:space="preserve"> por </w:t>
      </w:r>
      <w:r w:rsidR="008C5013" w:rsidRPr="00802EA2">
        <w:rPr>
          <w:rFonts w:asciiTheme="majorBidi" w:hAnsiTheme="majorBidi" w:cstheme="majorBidi"/>
        </w:rPr>
        <w:t>“</w:t>
      </w:r>
      <w:r w:rsidRPr="00802EA2">
        <w:rPr>
          <w:rFonts w:asciiTheme="majorBidi" w:hAnsiTheme="majorBidi" w:cstheme="majorBidi"/>
        </w:rPr>
        <w:t>causar toxicidad al nivel del valor de referencia de ecotoxicidad (VRE), que será el VRE de toxicidad aguda (expresado como C(E)L</w:t>
      </w:r>
      <w:r w:rsidRPr="00802EA2">
        <w:rPr>
          <w:rFonts w:asciiTheme="majorBidi" w:hAnsiTheme="majorBidi" w:cstheme="majorBidi"/>
          <w:vertAlign w:val="subscript"/>
        </w:rPr>
        <w:t>50</w:t>
      </w:r>
      <w:r w:rsidRPr="00802EA2">
        <w:rPr>
          <w:rFonts w:asciiTheme="majorBidi" w:hAnsiTheme="majorBidi" w:cstheme="majorBidi"/>
        </w:rPr>
        <w:t>) y/o el VRE de toxicidad crónica (expresado como CSEO/CEx),</w:t>
      </w:r>
      <w:r w:rsidR="008C5013" w:rsidRPr="00802EA2">
        <w:rPr>
          <w:rFonts w:asciiTheme="majorBidi" w:hAnsiTheme="majorBidi" w:cstheme="majorBidi"/>
        </w:rPr>
        <w:t>”</w:t>
      </w:r>
      <w:r w:rsidRPr="00802EA2">
        <w:rPr>
          <w:rFonts w:asciiTheme="majorBidi" w:hAnsiTheme="majorBidi" w:cstheme="majorBidi"/>
        </w:rPr>
        <w:t>.</w:t>
      </w:r>
    </w:p>
    <w:p w14:paraId="14CF5737" w14:textId="77777777" w:rsidR="00284D49" w:rsidRPr="00802EA2" w:rsidRDefault="00284D49" w:rsidP="00802EA2">
      <w:pPr>
        <w:pStyle w:val="SingleTxtG"/>
        <w:ind w:left="2268" w:hanging="1134"/>
        <w:rPr>
          <w:rFonts w:asciiTheme="majorBidi" w:eastAsiaTheme="minorHAnsi" w:hAnsiTheme="majorBidi" w:cstheme="majorBidi"/>
        </w:rPr>
      </w:pPr>
      <w:r w:rsidRPr="00802EA2">
        <w:rPr>
          <w:rFonts w:asciiTheme="majorBidi" w:hAnsiTheme="majorBidi" w:cstheme="majorBidi"/>
        </w:rPr>
        <w:t>A9.7.1.9</w:t>
      </w:r>
      <w:r w:rsidRPr="00802EA2">
        <w:rPr>
          <w:rFonts w:asciiTheme="majorBidi" w:hAnsiTheme="majorBidi" w:cstheme="majorBidi"/>
        </w:rPr>
        <w:tab/>
        <w:t xml:space="preserve">Modifíquese el párrafo introductorio para que diga: </w:t>
      </w:r>
    </w:p>
    <w:p w14:paraId="7151A82D" w14:textId="70183CAE" w:rsidR="00284D49" w:rsidRPr="00802EA2" w:rsidRDefault="008C5013" w:rsidP="00802EA2">
      <w:pPr>
        <w:pStyle w:val="SingleTxtG"/>
        <w:ind w:left="2268"/>
        <w:rPr>
          <w:rFonts w:asciiTheme="majorBidi" w:eastAsiaTheme="minorHAnsi" w:hAnsiTheme="majorBidi" w:cstheme="majorBidi"/>
        </w:rPr>
      </w:pPr>
      <w:r w:rsidRPr="00802EA2">
        <w:rPr>
          <w:rFonts w:asciiTheme="majorBidi" w:hAnsiTheme="majorBidi" w:cstheme="majorBidi"/>
        </w:rPr>
        <w:t>“</w:t>
      </w:r>
      <w:r w:rsidR="00284D49" w:rsidRPr="00802EA2">
        <w:rPr>
          <w:rFonts w:asciiTheme="majorBidi" w:hAnsiTheme="majorBidi" w:cstheme="majorBidi"/>
        </w:rPr>
        <w:t>El presente capítulo se ocupa de los metales y los compuestos metálicos. Para conocer de qué modo estas orientaciones se aplican a los compuestos y sales organometálicos, véase A9.7.1.1.1. En el contexto de este documento guía, los metales y los compuestos metálicos se caracterizan como sigue:</w:t>
      </w:r>
      <w:r w:rsidRPr="00802EA2">
        <w:rPr>
          <w:rFonts w:asciiTheme="majorBidi" w:hAnsiTheme="majorBidi" w:cstheme="majorBidi"/>
        </w:rPr>
        <w:t>”</w:t>
      </w:r>
      <w:r w:rsidR="008E74DD" w:rsidRPr="00802EA2">
        <w:rPr>
          <w:rFonts w:asciiTheme="majorBidi" w:hAnsiTheme="majorBidi" w:cstheme="majorBidi"/>
        </w:rPr>
        <w:t>.</w:t>
      </w:r>
    </w:p>
    <w:p w14:paraId="64ADC653" w14:textId="77777777" w:rsidR="00284D49" w:rsidRPr="00802EA2" w:rsidRDefault="00284D49" w:rsidP="00802EA2">
      <w:pPr>
        <w:pStyle w:val="SingleTxtG"/>
        <w:ind w:left="2268" w:hanging="1134"/>
        <w:rPr>
          <w:rFonts w:asciiTheme="majorBidi" w:eastAsiaTheme="minorHAnsi" w:hAnsiTheme="majorBidi" w:cstheme="majorBidi"/>
        </w:rPr>
      </w:pPr>
      <w:r w:rsidRPr="00802EA2">
        <w:rPr>
          <w:rFonts w:asciiTheme="majorBidi" w:hAnsiTheme="majorBidi" w:cstheme="majorBidi"/>
        </w:rPr>
        <w:lastRenderedPageBreak/>
        <w:t>A9.7.2.1.1</w:t>
      </w:r>
      <w:r w:rsidRPr="00802EA2">
        <w:rPr>
          <w:rFonts w:asciiTheme="majorBidi" w:hAnsiTheme="majorBidi" w:cstheme="majorBidi"/>
        </w:rPr>
        <w:tab/>
        <w:t>Añádanse los nuevos párrafos siguientes:</w:t>
      </w:r>
    </w:p>
    <w:p w14:paraId="799E4147" w14:textId="731223F2" w:rsidR="00284D49" w:rsidRPr="00802EA2" w:rsidRDefault="008C5013" w:rsidP="00802EA2">
      <w:pPr>
        <w:pStyle w:val="SingleTxtG"/>
        <w:tabs>
          <w:tab w:val="left" w:pos="3686"/>
        </w:tabs>
        <w:ind w:left="2268"/>
        <w:rPr>
          <w:rFonts w:asciiTheme="majorBidi" w:eastAsiaTheme="minorHAnsi" w:hAnsiTheme="majorBidi" w:cstheme="majorBidi"/>
        </w:rPr>
      </w:pPr>
      <w:r w:rsidRPr="00802EA2">
        <w:rPr>
          <w:rFonts w:asciiTheme="majorBidi" w:hAnsiTheme="majorBidi" w:cstheme="majorBidi"/>
        </w:rPr>
        <w:t>“</w:t>
      </w:r>
      <w:r w:rsidR="00284D49" w:rsidRPr="00802EA2">
        <w:rPr>
          <w:rFonts w:asciiTheme="majorBidi" w:hAnsiTheme="majorBidi" w:cstheme="majorBidi"/>
        </w:rPr>
        <w:t>A9.7.2.1.1.1</w:t>
      </w:r>
      <w:r w:rsidR="00284D49" w:rsidRPr="00802EA2">
        <w:rPr>
          <w:rFonts w:asciiTheme="majorBidi" w:hAnsiTheme="majorBidi" w:cstheme="majorBidi"/>
        </w:rPr>
        <w:tab/>
        <w:t>Los datos de ecotoxicidad de los compuestos inorgánicos solubles se utilizan y combinan para obtener el valor de referencia de ecotoxicidad aguda y crónica del ion metálico disuelto (VRE o VRE</w:t>
      </w:r>
      <w:r w:rsidR="00284D49" w:rsidRPr="00802EA2">
        <w:rPr>
          <w:rFonts w:asciiTheme="majorBidi" w:hAnsiTheme="majorBidi" w:cstheme="majorBidi"/>
          <w:vertAlign w:val="subscript"/>
        </w:rPr>
        <w:t>ion</w:t>
      </w:r>
      <w:r w:rsidR="00284D49" w:rsidRPr="00802EA2">
        <w:rPr>
          <w:rFonts w:asciiTheme="majorBidi" w:hAnsiTheme="majorBidi" w:cstheme="majorBidi"/>
        </w:rPr>
        <w:t xml:space="preserve">). La ecotoxicidad de los compuestos metálicos inorgánicos solubles depende de las propiedades fisicoquímicas del medio, con independencia de la especie metálica original liberada al medio ambiente. </w:t>
      </w:r>
    </w:p>
    <w:p w14:paraId="473B4CE9" w14:textId="7EEAF388" w:rsidR="00284D49" w:rsidRPr="00802EA2" w:rsidRDefault="00284D49" w:rsidP="00802EA2">
      <w:pPr>
        <w:pStyle w:val="SingleTxtG"/>
        <w:tabs>
          <w:tab w:val="left" w:pos="3686"/>
        </w:tabs>
        <w:ind w:left="2268"/>
        <w:rPr>
          <w:rFonts w:asciiTheme="majorBidi" w:eastAsiaTheme="minorHAnsi" w:hAnsiTheme="majorBidi" w:cstheme="majorBidi"/>
        </w:rPr>
      </w:pPr>
      <w:r w:rsidRPr="00802EA2">
        <w:rPr>
          <w:rFonts w:asciiTheme="majorBidi" w:hAnsiTheme="majorBidi" w:cstheme="majorBidi"/>
        </w:rPr>
        <w:t>A9.7.2.1.1.2</w:t>
      </w:r>
      <w:r w:rsidRPr="00802EA2">
        <w:rPr>
          <w:rFonts w:asciiTheme="majorBidi" w:hAnsiTheme="majorBidi" w:cstheme="majorBidi"/>
        </w:rPr>
        <w:tab/>
        <w:t xml:space="preserve">Al evaluar los datos de ecotoxicidad y extraer de ellos los VRE, el principio general del </w:t>
      </w:r>
      <w:r w:rsidR="008C5013" w:rsidRPr="00802EA2">
        <w:rPr>
          <w:rFonts w:asciiTheme="majorBidi" w:hAnsiTheme="majorBidi" w:cstheme="majorBidi"/>
        </w:rPr>
        <w:t>“</w:t>
      </w:r>
      <w:r w:rsidRPr="00802EA2">
        <w:rPr>
          <w:rFonts w:asciiTheme="majorBidi" w:hAnsiTheme="majorBidi" w:cstheme="majorBidi"/>
        </w:rPr>
        <w:t>peso de las pruebas</w:t>
      </w:r>
      <w:r w:rsidR="008C5013" w:rsidRPr="00802EA2">
        <w:rPr>
          <w:rFonts w:asciiTheme="majorBidi" w:hAnsiTheme="majorBidi" w:cstheme="majorBidi"/>
        </w:rPr>
        <w:t>”</w:t>
      </w:r>
      <w:r w:rsidRPr="00802EA2">
        <w:rPr>
          <w:rFonts w:asciiTheme="majorBidi" w:hAnsiTheme="majorBidi" w:cstheme="majorBidi"/>
        </w:rPr>
        <w:t xml:space="preserve"> también es aplicable a los metales (véase la sección A9.3.4).</w:t>
      </w:r>
    </w:p>
    <w:p w14:paraId="490253E5" w14:textId="4A5BB6F2" w:rsidR="00284D49" w:rsidRPr="00802EA2" w:rsidRDefault="00284D49" w:rsidP="00802EA2">
      <w:pPr>
        <w:pStyle w:val="SingleTxtG"/>
        <w:tabs>
          <w:tab w:val="left" w:pos="3686"/>
        </w:tabs>
        <w:ind w:left="2268"/>
        <w:rPr>
          <w:rFonts w:asciiTheme="majorBidi" w:eastAsiaTheme="minorHAnsi" w:hAnsiTheme="majorBidi" w:cstheme="majorBidi"/>
        </w:rPr>
      </w:pPr>
      <w:r w:rsidRPr="00802EA2">
        <w:rPr>
          <w:rFonts w:asciiTheme="majorBidi" w:hAnsiTheme="majorBidi" w:cstheme="majorBidi"/>
        </w:rPr>
        <w:t>A9.7.2.1.1.3</w:t>
      </w:r>
      <w:r w:rsidRPr="00802EA2">
        <w:rPr>
          <w:rFonts w:asciiTheme="majorBidi" w:hAnsiTheme="majorBidi" w:cstheme="majorBidi"/>
        </w:rPr>
        <w:tab/>
        <w:t xml:space="preserve">Debería evaluarse la idoneidad de los datos de ecotoxicidad seleccionados. En este contexto, el término </w:t>
      </w:r>
      <w:r w:rsidR="008C5013" w:rsidRPr="00802EA2">
        <w:rPr>
          <w:rFonts w:asciiTheme="majorBidi" w:hAnsiTheme="majorBidi" w:cstheme="majorBidi"/>
        </w:rPr>
        <w:t>“</w:t>
      </w:r>
      <w:r w:rsidRPr="00802EA2">
        <w:rPr>
          <w:rFonts w:asciiTheme="majorBidi" w:hAnsiTheme="majorBidi" w:cstheme="majorBidi"/>
        </w:rPr>
        <w:t>idoneidad</w:t>
      </w:r>
      <w:r w:rsidR="008C5013" w:rsidRPr="00802EA2">
        <w:rPr>
          <w:rFonts w:asciiTheme="majorBidi" w:hAnsiTheme="majorBidi" w:cstheme="majorBidi"/>
        </w:rPr>
        <w:t>”</w:t>
      </w:r>
      <w:r w:rsidRPr="00802EA2">
        <w:rPr>
          <w:rFonts w:asciiTheme="majorBidi" w:hAnsiTheme="majorBidi" w:cstheme="majorBidi"/>
        </w:rPr>
        <w:t xml:space="preserve"> abarca tanto la fiabilidad (calidad inherente de un ensayo que se deriva de la metodología empleada y de la forma en que se describen su realización y los resultados obtenidos) como la pertinencia (en qué medida el ensayo es adecuado para obtener un valor de referencia de ecotoxicidad) de los datos de ecotoxicidad disponibles (véanse las secciones A9.2.6 y A9.3.6). </w:t>
      </w:r>
    </w:p>
    <w:p w14:paraId="79595C71" w14:textId="77777777" w:rsidR="00284D49" w:rsidRPr="00802EA2" w:rsidRDefault="00284D49" w:rsidP="00802EA2">
      <w:pPr>
        <w:pStyle w:val="SingleTxtG"/>
        <w:ind w:left="2835" w:hanging="567"/>
        <w:rPr>
          <w:rFonts w:asciiTheme="majorBidi" w:eastAsiaTheme="minorHAnsi" w:hAnsiTheme="majorBidi" w:cstheme="majorBidi"/>
        </w:rPr>
      </w:pPr>
      <w:r w:rsidRPr="00802EA2">
        <w:rPr>
          <w:rFonts w:asciiTheme="majorBidi" w:hAnsiTheme="majorBidi" w:cstheme="majorBidi"/>
        </w:rPr>
        <w:t>a)</w:t>
      </w:r>
      <w:r w:rsidRPr="00802EA2">
        <w:rPr>
          <w:rFonts w:asciiTheme="majorBidi" w:hAnsiTheme="majorBidi" w:cstheme="majorBidi"/>
        </w:rPr>
        <w:tab/>
        <w:t>En lo que respecta a los criterios de fiabilidad, para los metales se tendrán en cuenta aspectos específicos, como la descripción de algunos parámetros abióticos en las condiciones de ensayo, para que puedan tenerse en cuenta la concentración de metal biodisponible y la concentración de iones metálicos libres:</w:t>
      </w:r>
    </w:p>
    <w:p w14:paraId="743C5C99" w14:textId="7B0A1FF3" w:rsidR="00284D49" w:rsidRPr="00802EA2" w:rsidRDefault="00284D49" w:rsidP="00802EA2">
      <w:pPr>
        <w:pStyle w:val="SingleTxtG"/>
        <w:ind w:left="3261" w:hanging="426"/>
        <w:rPr>
          <w:rFonts w:asciiTheme="majorBidi" w:eastAsiaTheme="minorHAnsi" w:hAnsiTheme="majorBidi" w:cstheme="majorBidi"/>
        </w:rPr>
      </w:pPr>
      <w:r w:rsidRPr="00802EA2">
        <w:rPr>
          <w:rFonts w:asciiTheme="majorBidi" w:hAnsiTheme="majorBidi" w:cstheme="majorBidi"/>
        </w:rPr>
        <w:t>i)</w:t>
      </w:r>
      <w:r w:rsidRPr="00802EA2">
        <w:rPr>
          <w:rFonts w:asciiTheme="majorBidi" w:hAnsiTheme="majorBidi" w:cstheme="majorBidi"/>
        </w:rPr>
        <w:tab/>
        <w:t>Descripción de las condiciones físicas de ensayo: además de los parámetros generales (O</w:t>
      </w:r>
      <w:r w:rsidRPr="00802EA2">
        <w:rPr>
          <w:rFonts w:asciiTheme="majorBidi" w:hAnsiTheme="majorBidi" w:cstheme="majorBidi"/>
          <w:vertAlign w:val="subscript"/>
        </w:rPr>
        <w:t>2</w:t>
      </w:r>
      <w:r w:rsidRPr="00802EA2">
        <w:rPr>
          <w:rFonts w:asciiTheme="majorBidi" w:hAnsiTheme="majorBidi" w:cstheme="majorBidi"/>
        </w:rPr>
        <w:t>, T</w:t>
      </w:r>
      <w:r w:rsidR="003307B1" w:rsidRPr="00802EA2">
        <w:rPr>
          <w:rFonts w:asciiTheme="majorBidi" w:hAnsiTheme="majorBidi" w:cstheme="majorBidi"/>
        </w:rPr>
        <w:t>º</w:t>
      </w:r>
      <w:r w:rsidRPr="00802EA2">
        <w:rPr>
          <w:rFonts w:asciiTheme="majorBidi" w:hAnsiTheme="majorBidi" w:cstheme="majorBidi"/>
        </w:rPr>
        <w:t>, pH, etc.), se recomienda medir parámetros abióticos como el carbono orgánico disuelto (COD) y la dureza y alcalinidad del agua, que determinan la especiación y, por consiguiente, la biodisponibilidad del metal;</w:t>
      </w:r>
    </w:p>
    <w:p w14:paraId="4AB95C08" w14:textId="77777777" w:rsidR="00284D49" w:rsidRPr="00802EA2" w:rsidRDefault="00284D49" w:rsidP="00802EA2">
      <w:pPr>
        <w:pStyle w:val="SingleTxtG"/>
        <w:ind w:left="3261" w:hanging="426"/>
        <w:rPr>
          <w:rFonts w:asciiTheme="majorBidi" w:eastAsiaTheme="minorHAnsi" w:hAnsiTheme="majorBidi" w:cstheme="majorBidi"/>
        </w:rPr>
      </w:pPr>
      <w:r w:rsidRPr="00802EA2">
        <w:rPr>
          <w:rFonts w:asciiTheme="majorBidi" w:hAnsiTheme="majorBidi" w:cstheme="majorBidi"/>
        </w:rPr>
        <w:t>ii)</w:t>
      </w:r>
      <w:r w:rsidRPr="00802EA2">
        <w:rPr>
          <w:rFonts w:asciiTheme="majorBidi" w:hAnsiTheme="majorBidi" w:cstheme="majorBidi"/>
        </w:rPr>
        <w:tab/>
        <w:t>Descripción de los materiales y métodos de ensayo: para calcular la concentración de iones metálicos libres mediante modelos de especiación, se recomienda utilizar las concentraciones de los principales iones y cationes disueltos (como aluminio, hierro, magnesio y calcio);</w:t>
      </w:r>
    </w:p>
    <w:p w14:paraId="440C81E3" w14:textId="4D9530C9" w:rsidR="00284D49" w:rsidRPr="00802EA2" w:rsidRDefault="00284D49" w:rsidP="00802EA2">
      <w:pPr>
        <w:pStyle w:val="SingleTxtG"/>
        <w:ind w:left="3261" w:hanging="426"/>
        <w:rPr>
          <w:rFonts w:asciiTheme="majorBidi" w:eastAsiaTheme="minorHAnsi" w:hAnsiTheme="majorBidi" w:cstheme="majorBidi"/>
        </w:rPr>
      </w:pPr>
      <w:r w:rsidRPr="00802EA2">
        <w:rPr>
          <w:rFonts w:asciiTheme="majorBidi" w:hAnsiTheme="majorBidi" w:cstheme="majorBidi"/>
        </w:rPr>
        <w:t>iii)</w:t>
      </w:r>
      <w:r w:rsidRPr="00802EA2">
        <w:rPr>
          <w:rFonts w:asciiTheme="majorBidi" w:hAnsiTheme="majorBidi" w:cstheme="majorBidi"/>
        </w:rPr>
        <w:tab/>
        <w:t xml:space="preserve">Relación concentración-efecto; hormesis: en ocasiones se observa un aumento de los resultados de crecimiento o reproducción a dosis bajas del metal superiores a los valores de control, fenómeno que se designa con el término </w:t>
      </w:r>
      <w:r w:rsidR="008C5013" w:rsidRPr="00802EA2">
        <w:rPr>
          <w:rFonts w:asciiTheme="majorBidi" w:hAnsiTheme="majorBidi" w:cstheme="majorBidi"/>
        </w:rPr>
        <w:t>“</w:t>
      </w:r>
      <w:r w:rsidRPr="00802EA2">
        <w:rPr>
          <w:rFonts w:asciiTheme="majorBidi" w:hAnsiTheme="majorBidi" w:cstheme="majorBidi"/>
        </w:rPr>
        <w:t>hormesis</w:t>
      </w:r>
      <w:r w:rsidR="008C5013" w:rsidRPr="00802EA2">
        <w:rPr>
          <w:rFonts w:asciiTheme="majorBidi" w:hAnsiTheme="majorBidi" w:cstheme="majorBidi"/>
        </w:rPr>
        <w:t>”</w:t>
      </w:r>
      <w:r w:rsidRPr="00802EA2">
        <w:rPr>
          <w:rFonts w:asciiTheme="majorBidi" w:hAnsiTheme="majorBidi" w:cstheme="majorBidi"/>
        </w:rPr>
        <w:t>. Este efecto es especialmente habitual en los principales oligoelementos, como el hierro, el zinc y el cobre, pero también en una amplia variedad de sustancias no esenciales. En esos casos, los efectos positivos no deberían tenerse en cuenta en la obtención de los VRE de toxicidad aguda ni, más particularmente si cabe, de los VRE de toxicidad crónica. Para ajustar la curva dosis-respuesta deberían utilizarse modelos distintos del modelo log-logístico convencional y tenerse en cuenta la idoneidad del régimen/exposición de control. Teniendo presentes las necesidades nutricionales esenciales, deberá extremarse la prudencia al extrapolar la curva dosis-respuesta (por ejemplo, para obtener el VRE de toxicidad aguda o crónica) para valores inferiores a la concentración más baja utilizada en el ensayo;</w:t>
      </w:r>
    </w:p>
    <w:p w14:paraId="2EDFB948" w14:textId="77777777" w:rsidR="00284D49" w:rsidRPr="00802EA2" w:rsidRDefault="00284D49" w:rsidP="00802EA2">
      <w:pPr>
        <w:pStyle w:val="SingleTxtG"/>
        <w:ind w:left="2835" w:hanging="567"/>
        <w:rPr>
          <w:rFonts w:asciiTheme="majorBidi" w:eastAsiaTheme="minorHAnsi" w:hAnsiTheme="majorBidi" w:cstheme="majorBidi"/>
        </w:rPr>
      </w:pPr>
      <w:r w:rsidRPr="00802EA2">
        <w:rPr>
          <w:rFonts w:asciiTheme="majorBidi" w:hAnsiTheme="majorBidi" w:cstheme="majorBidi"/>
        </w:rPr>
        <w:t>b)</w:t>
      </w:r>
      <w:r w:rsidRPr="00802EA2">
        <w:rPr>
          <w:rFonts w:asciiTheme="majorBidi" w:hAnsiTheme="majorBidi" w:cstheme="majorBidi"/>
        </w:rPr>
        <w:tab/>
        <w:t>En lo que respecta a los criterios de pertinencia, deberán tenerse en cuenta algunos aspectos relacionados con la pertinencia de la sustancia de ensayo y con la aclimatación/adaptación:</w:t>
      </w:r>
    </w:p>
    <w:p w14:paraId="57D3D480" w14:textId="77777777" w:rsidR="00284D49" w:rsidRPr="00802EA2" w:rsidRDefault="00284D49" w:rsidP="00802EA2">
      <w:pPr>
        <w:pStyle w:val="SingleTxtG"/>
        <w:ind w:left="3261" w:hanging="426"/>
        <w:rPr>
          <w:rFonts w:asciiTheme="majorBidi" w:eastAsiaTheme="minorHAnsi" w:hAnsiTheme="majorBidi" w:cstheme="majorBidi"/>
        </w:rPr>
      </w:pPr>
      <w:r w:rsidRPr="00802EA2">
        <w:rPr>
          <w:rFonts w:asciiTheme="majorBidi" w:hAnsiTheme="majorBidi" w:cstheme="majorBidi"/>
        </w:rPr>
        <w:t>i)</w:t>
      </w:r>
      <w:r w:rsidRPr="00802EA2">
        <w:rPr>
          <w:rFonts w:asciiTheme="majorBidi" w:hAnsiTheme="majorBidi" w:cstheme="majorBidi"/>
        </w:rPr>
        <w:tab/>
        <w:t xml:space="preserve">Pertinencia de la sustancia de ensayo: deberían utilizarse los ensayos realizados con sales metálicas solubles para obtener los VRE de toxicidad aguda y crónica. No debería utilizarse la </w:t>
      </w:r>
      <w:r w:rsidRPr="00802EA2">
        <w:rPr>
          <w:rFonts w:asciiTheme="majorBidi" w:hAnsiTheme="majorBidi" w:cstheme="majorBidi"/>
        </w:rPr>
        <w:lastRenderedPageBreak/>
        <w:t>ecotoxicidad adaptada a partir de la exposición a compuestos metálicos orgánicos;</w:t>
      </w:r>
    </w:p>
    <w:p w14:paraId="748C0811" w14:textId="37ED7FF3" w:rsidR="00284D49" w:rsidRPr="00802EA2" w:rsidRDefault="00284D49" w:rsidP="00802EA2">
      <w:pPr>
        <w:pStyle w:val="SingleTxtG"/>
        <w:ind w:left="3261" w:hanging="426"/>
        <w:rPr>
          <w:rFonts w:asciiTheme="majorBidi" w:hAnsiTheme="majorBidi" w:cstheme="majorBidi"/>
        </w:rPr>
      </w:pPr>
      <w:r w:rsidRPr="00802EA2">
        <w:rPr>
          <w:rFonts w:asciiTheme="majorBidi" w:hAnsiTheme="majorBidi" w:cstheme="majorBidi"/>
        </w:rPr>
        <w:t>ii)</w:t>
      </w:r>
      <w:r w:rsidRPr="00802EA2">
        <w:rPr>
          <w:rFonts w:asciiTheme="majorBidi" w:hAnsiTheme="majorBidi" w:cstheme="majorBidi"/>
        </w:rPr>
        <w:tab/>
        <w:t>Aclimatación/adaptación: en el caso de los metales esenciales, deberían estar presentes en el medio de cultivo en una concentración mínima que no cause deficiencia en la especie de ensayo. Esto es particularmente importante en el caso de los organismos utilizados en los ensayos de toxicidad crónica, en los que el margen entre la esencialidad y la toxicidad puede ser pequeño. Por consiguiente, es necesario indicar con precisión las condiciones de cultivo en relación con la concentración de metales esenciales.</w:t>
      </w:r>
      <w:r w:rsidR="008C5013" w:rsidRPr="00802EA2">
        <w:rPr>
          <w:rFonts w:asciiTheme="majorBidi" w:hAnsiTheme="majorBidi" w:cstheme="majorBidi"/>
        </w:rPr>
        <w:t>”</w:t>
      </w:r>
      <w:r w:rsidRPr="00802EA2">
        <w:rPr>
          <w:rFonts w:asciiTheme="majorBidi" w:hAnsiTheme="majorBidi" w:cstheme="majorBidi"/>
        </w:rPr>
        <w:t>.</w:t>
      </w:r>
    </w:p>
    <w:p w14:paraId="325E5AF8" w14:textId="77777777" w:rsidR="00BD0CAD" w:rsidRPr="00802EA2" w:rsidRDefault="00BD0CAD" w:rsidP="00802EA2">
      <w:pPr>
        <w:pStyle w:val="SingleTxtG"/>
        <w:rPr>
          <w:rFonts w:asciiTheme="majorBidi" w:eastAsiaTheme="minorHAnsi" w:hAnsiTheme="majorBidi" w:cstheme="majorBidi"/>
        </w:rPr>
      </w:pPr>
      <w:r w:rsidRPr="00802EA2">
        <w:rPr>
          <w:rFonts w:asciiTheme="majorBidi" w:hAnsiTheme="majorBidi" w:cstheme="majorBidi"/>
        </w:rPr>
        <w:t xml:space="preserve">A9.7.2.1.2.1 </w:t>
      </w:r>
      <w:r w:rsidRPr="00802EA2">
        <w:rPr>
          <w:rFonts w:asciiTheme="majorBidi" w:hAnsiTheme="majorBidi" w:cstheme="majorBidi"/>
        </w:rPr>
        <w:tab/>
        <w:t xml:space="preserve">Al final del párrafo, añádase el siguiente texto: </w:t>
      </w:r>
    </w:p>
    <w:p w14:paraId="68D4AFDD" w14:textId="4EBF71C3" w:rsidR="00BD0CAD" w:rsidRPr="00802EA2" w:rsidRDefault="008C5013" w:rsidP="00802EA2">
      <w:pPr>
        <w:pStyle w:val="SingleTxtG"/>
        <w:ind w:left="2268"/>
        <w:rPr>
          <w:rFonts w:asciiTheme="majorBidi" w:eastAsiaTheme="minorHAnsi" w:hAnsiTheme="majorBidi" w:cstheme="majorBidi"/>
        </w:rPr>
      </w:pPr>
      <w:r w:rsidRPr="00802EA2">
        <w:rPr>
          <w:rFonts w:asciiTheme="majorBidi" w:hAnsiTheme="majorBidi" w:cstheme="majorBidi"/>
        </w:rPr>
        <w:t>“</w:t>
      </w:r>
      <w:r w:rsidR="00BD0CAD" w:rsidRPr="00802EA2">
        <w:rPr>
          <w:rFonts w:asciiTheme="majorBidi" w:hAnsiTheme="majorBidi" w:cstheme="majorBidi"/>
        </w:rPr>
        <w:t>Para la clasificación de metales y compuestos metálicos, los ensayos de transformación/disolución se llevan a cabo en un rango de pH (véase</w:t>
      </w:r>
      <w:r w:rsidR="002A21D5">
        <w:rPr>
          <w:rFonts w:asciiTheme="majorBidi" w:hAnsiTheme="majorBidi" w:cstheme="majorBidi"/>
        </w:rPr>
        <w:t> </w:t>
      </w:r>
      <w:r w:rsidR="00BD0CAD" w:rsidRPr="00802EA2">
        <w:rPr>
          <w:rFonts w:asciiTheme="majorBidi" w:hAnsiTheme="majorBidi" w:cstheme="majorBidi"/>
        </w:rPr>
        <w:t>A10.2.3.2). Si se dispone de pruebas de que la toxicidad en el medio acuático del metal disuelto depende del pH, se comparan los datos de transformación/disolución y la toxicidad acuática con un pH similar. Si no se dispone de tales pruebas, la toxicidad acuática no puede agruparse en función del pH. La mayor toxicidad acuática observada se compara entonces con los datos de transformación/disolución obtenidos al pH que provoca la máxima transformación y disolución.</w:t>
      </w:r>
      <w:r w:rsidRPr="00802EA2">
        <w:rPr>
          <w:rFonts w:asciiTheme="majorBidi" w:hAnsiTheme="majorBidi" w:cstheme="majorBidi"/>
        </w:rPr>
        <w:t>”</w:t>
      </w:r>
      <w:r w:rsidR="00BD0CAD" w:rsidRPr="00802EA2">
        <w:rPr>
          <w:rFonts w:asciiTheme="majorBidi" w:hAnsiTheme="majorBidi" w:cstheme="majorBidi"/>
        </w:rPr>
        <w:t>.</w:t>
      </w:r>
    </w:p>
    <w:p w14:paraId="426B8DF9" w14:textId="64199624" w:rsidR="00BD0CAD" w:rsidRPr="00802EA2" w:rsidRDefault="00BD0CAD" w:rsidP="00802EA2">
      <w:pPr>
        <w:pStyle w:val="SingleTxtG"/>
        <w:ind w:left="2268" w:hanging="1134"/>
        <w:rPr>
          <w:rFonts w:asciiTheme="majorBidi" w:hAnsiTheme="majorBidi" w:cstheme="majorBidi"/>
        </w:rPr>
      </w:pPr>
      <w:r w:rsidRPr="00802EA2">
        <w:rPr>
          <w:rFonts w:asciiTheme="majorBidi" w:hAnsiTheme="majorBidi" w:cstheme="majorBidi"/>
        </w:rPr>
        <w:t>A9.7.2.1.2.2</w:t>
      </w:r>
      <w:r w:rsidRPr="00802EA2">
        <w:rPr>
          <w:rFonts w:asciiTheme="majorBidi" w:hAnsiTheme="majorBidi" w:cstheme="majorBidi"/>
        </w:rPr>
        <w:tab/>
        <w:t xml:space="preserve">Al final del párrafo, suprímase </w:t>
      </w:r>
      <w:r w:rsidR="008C5013" w:rsidRPr="00802EA2">
        <w:rPr>
          <w:rFonts w:asciiTheme="majorBidi" w:hAnsiTheme="majorBidi" w:cstheme="majorBidi"/>
        </w:rPr>
        <w:t>“</w:t>
      </w:r>
      <w:r w:rsidRPr="00802EA2">
        <w:rPr>
          <w:rFonts w:asciiTheme="majorBidi" w:hAnsiTheme="majorBidi" w:cstheme="majorBidi"/>
        </w:rPr>
        <w:t>o no resultar económicos</w:t>
      </w:r>
      <w:r w:rsidR="008C5013" w:rsidRPr="00802EA2">
        <w:rPr>
          <w:rFonts w:asciiTheme="majorBidi" w:hAnsiTheme="majorBidi" w:cstheme="majorBidi"/>
        </w:rPr>
        <w:t>”</w:t>
      </w:r>
      <w:r w:rsidRPr="00802EA2">
        <w:rPr>
          <w:rFonts w:asciiTheme="majorBidi" w:hAnsiTheme="majorBidi" w:cstheme="majorBidi"/>
        </w:rPr>
        <w:t>.</w:t>
      </w:r>
    </w:p>
    <w:p w14:paraId="33325762" w14:textId="2A067C26" w:rsidR="00BD0CAD" w:rsidRPr="00802EA2" w:rsidRDefault="00BD0CAD" w:rsidP="00802EA2">
      <w:pPr>
        <w:pStyle w:val="SingleTxtG"/>
        <w:ind w:left="2268" w:hanging="1134"/>
        <w:rPr>
          <w:rFonts w:asciiTheme="majorBidi" w:eastAsiaTheme="minorHAnsi" w:hAnsiTheme="majorBidi" w:cstheme="majorBidi"/>
        </w:rPr>
      </w:pPr>
      <w:r w:rsidRPr="00802EA2">
        <w:rPr>
          <w:rFonts w:asciiTheme="majorBidi" w:hAnsiTheme="majorBidi" w:cstheme="majorBidi"/>
        </w:rPr>
        <w:t>A9.7.2.1.2.3</w:t>
      </w:r>
      <w:r w:rsidRPr="00802EA2">
        <w:rPr>
          <w:rFonts w:asciiTheme="majorBidi" w:hAnsiTheme="majorBidi" w:cstheme="majorBidi"/>
        </w:rPr>
        <w:tab/>
        <w:t xml:space="preserve">En la segunda oración, sustitúyase </w:t>
      </w:r>
      <w:r w:rsidR="008C5013" w:rsidRPr="00802EA2">
        <w:rPr>
          <w:rFonts w:asciiTheme="majorBidi" w:hAnsiTheme="majorBidi" w:cstheme="majorBidi"/>
        </w:rPr>
        <w:t>“</w:t>
      </w:r>
      <w:r w:rsidRPr="00802EA2">
        <w:rPr>
          <w:rFonts w:asciiTheme="majorBidi" w:hAnsiTheme="majorBidi" w:cstheme="majorBidi"/>
        </w:rPr>
        <w:t>(Tipping, 1994)</w:t>
      </w:r>
      <w:r w:rsidR="008C5013" w:rsidRPr="00802EA2">
        <w:rPr>
          <w:rFonts w:asciiTheme="majorBidi" w:hAnsiTheme="majorBidi" w:cstheme="majorBidi"/>
        </w:rPr>
        <w:t>”</w:t>
      </w:r>
      <w:r w:rsidRPr="00802EA2">
        <w:rPr>
          <w:rFonts w:asciiTheme="majorBidi" w:hAnsiTheme="majorBidi" w:cstheme="majorBidi"/>
        </w:rPr>
        <w:t xml:space="preserve"> por </w:t>
      </w:r>
      <w:r w:rsidR="008C5013" w:rsidRPr="00802EA2">
        <w:rPr>
          <w:rFonts w:asciiTheme="majorBidi" w:hAnsiTheme="majorBidi" w:cstheme="majorBidi"/>
        </w:rPr>
        <w:t>“</w:t>
      </w:r>
      <w:r w:rsidRPr="00802EA2">
        <w:rPr>
          <w:rFonts w:asciiTheme="majorBidi" w:hAnsiTheme="majorBidi" w:cstheme="majorBidi"/>
        </w:rPr>
        <w:t xml:space="preserve">(Tipping, 1994; Tipping </w:t>
      </w:r>
      <w:r w:rsidRPr="00802EA2">
        <w:rPr>
          <w:rFonts w:asciiTheme="majorBidi" w:hAnsiTheme="majorBidi" w:cstheme="majorBidi"/>
          <w:i/>
          <w:iCs/>
        </w:rPr>
        <w:t>et al</w:t>
      </w:r>
      <w:r w:rsidRPr="00802EA2">
        <w:rPr>
          <w:rFonts w:asciiTheme="majorBidi" w:hAnsiTheme="majorBidi" w:cstheme="majorBidi"/>
        </w:rPr>
        <w:t>., 2011)</w:t>
      </w:r>
      <w:r w:rsidR="008C5013" w:rsidRPr="00802EA2">
        <w:rPr>
          <w:rFonts w:asciiTheme="majorBidi" w:hAnsiTheme="majorBidi" w:cstheme="majorBidi"/>
        </w:rPr>
        <w:t>”</w:t>
      </w:r>
      <w:r w:rsidRPr="00802EA2">
        <w:rPr>
          <w:rFonts w:asciiTheme="majorBidi" w:hAnsiTheme="majorBidi" w:cstheme="majorBidi"/>
        </w:rPr>
        <w:t>.</w:t>
      </w:r>
    </w:p>
    <w:p w14:paraId="2D4F20D8" w14:textId="3028FB48" w:rsidR="00BD0CAD" w:rsidRPr="00802EA2" w:rsidRDefault="00BD0CAD" w:rsidP="00802EA2">
      <w:pPr>
        <w:pStyle w:val="SingleTxtG"/>
        <w:ind w:left="2268"/>
        <w:rPr>
          <w:rFonts w:asciiTheme="majorBidi" w:eastAsiaTheme="minorHAnsi" w:hAnsiTheme="majorBidi" w:cstheme="majorBidi"/>
        </w:rPr>
      </w:pPr>
      <w:r w:rsidRPr="00802EA2">
        <w:rPr>
          <w:rFonts w:asciiTheme="majorBidi" w:hAnsiTheme="majorBidi" w:cstheme="majorBidi"/>
        </w:rPr>
        <w:t xml:space="preserve">Modifíquense la tercera y cuarta oraciones para que digan: </w:t>
      </w:r>
      <w:r w:rsidR="008C5013" w:rsidRPr="00802EA2">
        <w:rPr>
          <w:rFonts w:asciiTheme="majorBidi" w:hAnsiTheme="majorBidi" w:cstheme="majorBidi"/>
        </w:rPr>
        <w:t>“</w:t>
      </w:r>
      <w:r w:rsidRPr="00802EA2">
        <w:rPr>
          <w:rFonts w:asciiTheme="majorBidi" w:hAnsiTheme="majorBidi" w:cstheme="majorBidi"/>
        </w:rPr>
        <w:t>Alternativamente, también el Biotic Ligand Model (BLM) permite calcular la concentración de iones metálicos responsable del efecto tóxico a nivel del organismo, que puede verse afectado por la concentración de COD, el pH y las concentraciones de iones competidores como el calcio y el magnesio. Esos modelos pueden investigarse para comprender mejor el efecto de la composición del medio de ensayo sobre la toxicidad de los metales. El modelo BLM ha sido validado hasta ahora para metales, organismos y efectos específicos (Santore y Di Toro,</w:t>
      </w:r>
      <w:r w:rsidR="002A21D5">
        <w:rPr>
          <w:rFonts w:asciiTheme="majorBidi" w:hAnsiTheme="majorBidi" w:cstheme="majorBidi"/>
        </w:rPr>
        <w:t> </w:t>
      </w:r>
      <w:r w:rsidRPr="00802EA2">
        <w:rPr>
          <w:rFonts w:asciiTheme="majorBidi" w:hAnsiTheme="majorBidi" w:cstheme="majorBidi"/>
        </w:rPr>
        <w:t xml:space="preserve">1999; Garman </w:t>
      </w:r>
      <w:r w:rsidRPr="00802EA2">
        <w:rPr>
          <w:rFonts w:asciiTheme="majorBidi" w:hAnsiTheme="majorBidi" w:cstheme="majorBidi"/>
          <w:i/>
          <w:iCs/>
        </w:rPr>
        <w:t>et al</w:t>
      </w:r>
      <w:r w:rsidRPr="00802EA2">
        <w:rPr>
          <w:rFonts w:asciiTheme="majorBidi" w:hAnsiTheme="majorBidi" w:cstheme="majorBidi"/>
        </w:rPr>
        <w:t>., 2020).</w:t>
      </w:r>
      <w:r w:rsidR="008C5013" w:rsidRPr="00802EA2">
        <w:rPr>
          <w:rFonts w:asciiTheme="majorBidi" w:hAnsiTheme="majorBidi" w:cstheme="majorBidi"/>
        </w:rPr>
        <w:t>”</w:t>
      </w:r>
      <w:r w:rsidRPr="00802EA2">
        <w:rPr>
          <w:rFonts w:asciiTheme="majorBidi" w:hAnsiTheme="majorBidi" w:cstheme="majorBidi"/>
        </w:rPr>
        <w:t>.</w:t>
      </w:r>
    </w:p>
    <w:p w14:paraId="4FABDAEE" w14:textId="270CE984" w:rsidR="00BD0CAD" w:rsidRPr="00802EA2" w:rsidRDefault="00BD0CAD" w:rsidP="00802EA2">
      <w:pPr>
        <w:pStyle w:val="SingleTxtG"/>
        <w:ind w:left="2268"/>
        <w:rPr>
          <w:rFonts w:asciiTheme="majorBidi" w:eastAsiaTheme="minorHAnsi" w:hAnsiTheme="majorBidi" w:cstheme="majorBidi"/>
        </w:rPr>
      </w:pPr>
      <w:r w:rsidRPr="00802EA2">
        <w:rPr>
          <w:rFonts w:asciiTheme="majorBidi" w:hAnsiTheme="majorBidi" w:cstheme="majorBidi"/>
        </w:rPr>
        <w:t xml:space="preserve">Añádase al final del actual párrafo la siguiente oración: </w:t>
      </w:r>
      <w:r w:rsidR="008C5013" w:rsidRPr="00802EA2">
        <w:rPr>
          <w:rFonts w:asciiTheme="majorBidi" w:hAnsiTheme="majorBidi" w:cstheme="majorBidi"/>
        </w:rPr>
        <w:t>“</w:t>
      </w:r>
      <w:r w:rsidRPr="00802EA2">
        <w:rPr>
          <w:rFonts w:asciiTheme="majorBidi" w:hAnsiTheme="majorBidi" w:cstheme="majorBidi"/>
        </w:rPr>
        <w:t>En caso de que se disponga de un modelo BLM específico para el metal que cubra un rango de pH adecuado, puede realizarse una comparación de los datos sobre toxicidad para el medio acuático utilizando toda la base de datos de efectos para diferentes valores de pH de referencia pertinentes para los datos de transformación/disolución.</w:t>
      </w:r>
      <w:r w:rsidR="008C5013" w:rsidRPr="00802EA2">
        <w:rPr>
          <w:rFonts w:asciiTheme="majorBidi" w:hAnsiTheme="majorBidi" w:cstheme="majorBidi"/>
        </w:rPr>
        <w:t>”</w:t>
      </w:r>
      <w:r w:rsidRPr="00802EA2">
        <w:rPr>
          <w:rFonts w:asciiTheme="majorBidi" w:hAnsiTheme="majorBidi" w:cstheme="majorBidi"/>
        </w:rPr>
        <w:t>.</w:t>
      </w:r>
    </w:p>
    <w:p w14:paraId="0EFABBD9" w14:textId="3F049AD2" w:rsidR="00BD0CAD" w:rsidRPr="00802EA2" w:rsidRDefault="00BD0CAD" w:rsidP="00802EA2">
      <w:pPr>
        <w:pStyle w:val="SingleTxtG"/>
        <w:ind w:left="2268" w:hanging="1134"/>
        <w:rPr>
          <w:rFonts w:asciiTheme="majorBidi" w:hAnsiTheme="majorBidi" w:cstheme="majorBidi"/>
        </w:rPr>
      </w:pPr>
      <w:r w:rsidRPr="00802EA2">
        <w:rPr>
          <w:rFonts w:asciiTheme="majorBidi" w:hAnsiTheme="majorBidi" w:cstheme="majorBidi"/>
        </w:rPr>
        <w:t>A9.7.2.2.2</w:t>
      </w:r>
      <w:r w:rsidRPr="00802EA2">
        <w:rPr>
          <w:rFonts w:asciiTheme="majorBidi" w:hAnsiTheme="majorBidi" w:cstheme="majorBidi"/>
        </w:rPr>
        <w:tab/>
        <w:t xml:space="preserve">Sustitúyase la última oración por la siguiente: </w:t>
      </w:r>
      <w:r w:rsidR="008C5013" w:rsidRPr="00802EA2">
        <w:rPr>
          <w:rFonts w:asciiTheme="majorBidi" w:hAnsiTheme="majorBidi" w:cstheme="majorBidi"/>
        </w:rPr>
        <w:t>“</w:t>
      </w:r>
      <w:r w:rsidRPr="00802EA2">
        <w:rPr>
          <w:rFonts w:asciiTheme="majorBidi" w:hAnsiTheme="majorBidi" w:cstheme="majorBidi"/>
        </w:rPr>
        <w:t>Cuando únicamente se disponga de ese tipo de información y los datos de solubilidad no puedan proporcionar una respuesta clara sobre el grado de solubilidad y el equilibrio, es especialmente recomendable obtener los datos de solubilidad aplicando el protocolo de transformación/disolución (anexo 10).</w:t>
      </w:r>
      <w:r w:rsidR="008C5013" w:rsidRPr="00802EA2">
        <w:rPr>
          <w:rFonts w:asciiTheme="majorBidi" w:hAnsiTheme="majorBidi" w:cstheme="majorBidi"/>
        </w:rPr>
        <w:t>”</w:t>
      </w:r>
      <w:r w:rsidRPr="00802EA2">
        <w:rPr>
          <w:rFonts w:asciiTheme="majorBidi" w:hAnsiTheme="majorBidi" w:cstheme="majorBidi"/>
        </w:rPr>
        <w:t>.</w:t>
      </w:r>
    </w:p>
    <w:p w14:paraId="44053013" w14:textId="77777777" w:rsidR="00BD0CAD" w:rsidRPr="00802EA2" w:rsidRDefault="00BD0CAD" w:rsidP="00802EA2">
      <w:pPr>
        <w:pStyle w:val="SingleTxtG"/>
        <w:keepNext/>
        <w:keepLines/>
        <w:rPr>
          <w:rFonts w:asciiTheme="majorBidi" w:hAnsiTheme="majorBidi" w:cstheme="majorBidi"/>
          <w:bCs/>
        </w:rPr>
      </w:pPr>
      <w:r w:rsidRPr="00802EA2">
        <w:rPr>
          <w:rFonts w:asciiTheme="majorBidi" w:hAnsiTheme="majorBidi" w:cstheme="majorBidi"/>
        </w:rPr>
        <w:t>A9.7.2.2.3 y A9.7.2.2.4</w:t>
      </w:r>
      <w:r w:rsidRPr="00802EA2">
        <w:rPr>
          <w:rFonts w:asciiTheme="majorBidi" w:hAnsiTheme="majorBidi" w:cstheme="majorBidi"/>
        </w:rPr>
        <w:tab/>
        <w:t>Sustitúyanse por:</w:t>
      </w:r>
    </w:p>
    <w:p w14:paraId="1612243E" w14:textId="51C698C4" w:rsidR="00BD0CAD" w:rsidRPr="00802EA2" w:rsidRDefault="008C5013" w:rsidP="00802EA2">
      <w:pPr>
        <w:pStyle w:val="SingleTxtG"/>
        <w:keepNext/>
        <w:keepLines/>
        <w:ind w:left="2268"/>
        <w:rPr>
          <w:rFonts w:asciiTheme="majorBidi" w:hAnsiTheme="majorBidi" w:cstheme="majorBidi"/>
          <w:bCs/>
        </w:rPr>
      </w:pPr>
      <w:r w:rsidRPr="00802EA2">
        <w:rPr>
          <w:rFonts w:asciiTheme="majorBidi" w:hAnsiTheme="majorBidi" w:cstheme="majorBidi"/>
        </w:rPr>
        <w:t>“</w:t>
      </w:r>
      <w:r w:rsidR="00BD0CAD" w:rsidRPr="00802EA2">
        <w:rPr>
          <w:rFonts w:asciiTheme="majorBidi" w:hAnsiTheme="majorBidi" w:cstheme="majorBidi"/>
        </w:rPr>
        <w:t>A9.7.2.2.3</w:t>
      </w:r>
      <w:r w:rsidR="00BD0CAD" w:rsidRPr="00802EA2">
        <w:rPr>
          <w:rFonts w:asciiTheme="majorBidi" w:hAnsiTheme="majorBidi" w:cstheme="majorBidi"/>
        </w:rPr>
        <w:tab/>
        <w:t xml:space="preserve">Ensayo preliminar de evaluación de la solubilidad de compuestos metálicos </w:t>
      </w:r>
    </w:p>
    <w:p w14:paraId="5105221C" w14:textId="4C0CCB95" w:rsidR="00BD0CAD" w:rsidRPr="00802EA2" w:rsidRDefault="00BD0CAD" w:rsidP="00802EA2">
      <w:pPr>
        <w:pStyle w:val="SingleTxtG"/>
        <w:ind w:left="2268"/>
        <w:rPr>
          <w:rFonts w:asciiTheme="majorBidi" w:hAnsiTheme="majorBidi" w:cstheme="majorBidi"/>
          <w:bCs/>
        </w:rPr>
      </w:pPr>
      <w:r w:rsidRPr="00802EA2">
        <w:rPr>
          <w:rFonts w:asciiTheme="majorBidi" w:hAnsiTheme="majorBidi" w:cstheme="majorBidi"/>
        </w:rPr>
        <w:t>A falta de datos sobre la solubilidad de los compuestos metálicos, deberá realizarse un ensayo preliminar para evaluar la solubilidad, tal como se describe en el protocolo de transformación/disolución (anexo 10). El ensayo preliminar se realiza con un nivel alto de cantidad añadida de producto (100</w:t>
      </w:r>
      <w:r w:rsidR="002A21D5">
        <w:rPr>
          <w:rFonts w:asciiTheme="majorBidi" w:hAnsiTheme="majorBidi" w:cstheme="majorBidi"/>
        </w:rPr>
        <w:t> </w:t>
      </w:r>
      <w:r w:rsidRPr="00802EA2">
        <w:rPr>
          <w:rFonts w:asciiTheme="majorBidi" w:hAnsiTheme="majorBidi" w:cstheme="majorBidi"/>
        </w:rPr>
        <w:t>mg/l) y agitando con rapidez y enérgicamente durante 24 h. La función del ensayo preliminar es la siguiente:</w:t>
      </w:r>
    </w:p>
    <w:p w14:paraId="4CFA5FDE" w14:textId="77777777" w:rsidR="00BD0CAD" w:rsidRPr="00802EA2" w:rsidRDefault="00BD0CAD" w:rsidP="00802EA2">
      <w:pPr>
        <w:pStyle w:val="SingleTxtG"/>
        <w:ind w:left="2835" w:hanging="567"/>
        <w:rPr>
          <w:rFonts w:asciiTheme="majorBidi" w:hAnsiTheme="majorBidi" w:cstheme="majorBidi"/>
          <w:bCs/>
        </w:rPr>
      </w:pPr>
      <w:r w:rsidRPr="00802EA2">
        <w:rPr>
          <w:rFonts w:asciiTheme="majorBidi" w:hAnsiTheme="majorBidi" w:cstheme="majorBidi"/>
        </w:rPr>
        <w:lastRenderedPageBreak/>
        <w:t>a)</w:t>
      </w:r>
      <w:r w:rsidRPr="00802EA2">
        <w:rPr>
          <w:rFonts w:asciiTheme="majorBidi" w:hAnsiTheme="majorBidi" w:cstheme="majorBidi"/>
        </w:rPr>
        <w:tab/>
      </w:r>
      <w:r w:rsidRPr="00802EA2">
        <w:rPr>
          <w:rFonts w:asciiTheme="majorBidi" w:hAnsiTheme="majorBidi" w:cstheme="majorBidi"/>
        </w:rPr>
        <w:tab/>
        <w:t xml:space="preserve">Identificar los compuestos metálicos que presentan una disolución o una transformación rápida, de tal modo que su potencial de ecotoxicidad es indistinguible de las formas solubles, de manera que pueden clasificarse basándose en la concentración de iones disueltos. </w:t>
      </w:r>
    </w:p>
    <w:p w14:paraId="3C3C9D5E" w14:textId="4EE1DD20" w:rsidR="00BD0CAD" w:rsidRPr="00802EA2" w:rsidRDefault="00BD0CAD" w:rsidP="00802EA2">
      <w:pPr>
        <w:pStyle w:val="SingleTxtG"/>
        <w:ind w:left="2835" w:hanging="567"/>
        <w:rPr>
          <w:rFonts w:asciiTheme="majorBidi" w:hAnsiTheme="majorBidi" w:cstheme="majorBidi"/>
          <w:bCs/>
        </w:rPr>
      </w:pPr>
      <w:r w:rsidRPr="00802EA2">
        <w:rPr>
          <w:rFonts w:asciiTheme="majorBidi" w:hAnsiTheme="majorBidi" w:cstheme="majorBidi"/>
        </w:rPr>
        <w:t>b)</w:t>
      </w:r>
      <w:r w:rsidRPr="00802EA2">
        <w:rPr>
          <w:rFonts w:asciiTheme="majorBidi" w:hAnsiTheme="majorBidi" w:cstheme="majorBidi"/>
        </w:rPr>
        <w:tab/>
      </w:r>
      <w:r w:rsidRPr="00802EA2">
        <w:rPr>
          <w:rFonts w:asciiTheme="majorBidi" w:hAnsiTheme="majorBidi" w:cstheme="majorBidi"/>
        </w:rPr>
        <w:tab/>
        <w:t>Verificar la dependencia del pH de la disolución al preparar el ensayo principal de transformación/disolución. Cuando se disponga de datos del ensayo preliminar con pH diferentes, el ensayo principal deberá realizarse como mínimo con el pH que maximice la solubilidad. Cuando no se disponga de esos datos, debería comprobarse que esta solubilidad máxima se ha obtenido con referencia a modelos termodinámicos de especiación adecuados o con otros métodos apropiados (véase</w:t>
      </w:r>
      <w:r w:rsidR="002A21D5">
        <w:rPr>
          <w:rFonts w:asciiTheme="majorBidi" w:hAnsiTheme="majorBidi" w:cstheme="majorBidi"/>
        </w:rPr>
        <w:t> </w:t>
      </w:r>
      <w:r w:rsidRPr="00802EA2">
        <w:rPr>
          <w:rFonts w:asciiTheme="majorBidi" w:hAnsiTheme="majorBidi" w:cstheme="majorBidi"/>
        </w:rPr>
        <w:t>A9.7.2.1.2.3). En ausencia de datos o modelos adecuados, es especialmente recomendable generar datos de solubilidad que abarquen todo el rango de pH. Nótese que este ensayo preliminar solo sirve para compuestos metálicos. Los metales deben evaluarse en el nivel del ensayo principal (véase A9.7.2.2.4).</w:t>
      </w:r>
    </w:p>
    <w:p w14:paraId="7C6DF131" w14:textId="77777777" w:rsidR="00BD0CAD" w:rsidRPr="00802EA2" w:rsidRDefault="00BD0CAD" w:rsidP="00802EA2">
      <w:pPr>
        <w:pStyle w:val="SingleTxtG"/>
        <w:ind w:left="2268"/>
        <w:rPr>
          <w:rFonts w:asciiTheme="majorBidi" w:hAnsiTheme="majorBidi" w:cstheme="majorBidi"/>
          <w:bCs/>
        </w:rPr>
      </w:pPr>
      <w:r w:rsidRPr="00802EA2">
        <w:rPr>
          <w:rFonts w:asciiTheme="majorBidi" w:hAnsiTheme="majorBidi" w:cstheme="majorBidi"/>
        </w:rPr>
        <w:t>A9.7.2.2.4</w:t>
      </w:r>
      <w:r w:rsidRPr="00802EA2">
        <w:rPr>
          <w:rFonts w:asciiTheme="majorBidi" w:hAnsiTheme="majorBidi" w:cstheme="majorBidi"/>
        </w:rPr>
        <w:tab/>
        <w:t xml:space="preserve">Ensayo principal para evaluar la solubilidad de metales y compuestos metálicos </w:t>
      </w:r>
    </w:p>
    <w:p w14:paraId="20CAE109" w14:textId="381D9E17" w:rsidR="00BD0CAD" w:rsidRPr="00802EA2" w:rsidRDefault="00BD0CAD" w:rsidP="00802EA2">
      <w:pPr>
        <w:pStyle w:val="SingleTxtG"/>
        <w:ind w:left="2268"/>
        <w:rPr>
          <w:rFonts w:asciiTheme="majorBidi" w:hAnsiTheme="majorBidi" w:cstheme="majorBidi"/>
        </w:rPr>
      </w:pPr>
      <w:r w:rsidRPr="00802EA2">
        <w:rPr>
          <w:rFonts w:asciiTheme="majorBidi" w:hAnsiTheme="majorBidi" w:cstheme="majorBidi"/>
        </w:rPr>
        <w:t>A9.7.2.2.4.1</w:t>
      </w:r>
      <w:r w:rsidRPr="00802EA2">
        <w:rPr>
          <w:rFonts w:asciiTheme="majorBidi" w:hAnsiTheme="majorBidi" w:cstheme="majorBidi"/>
        </w:rPr>
        <w:tab/>
        <w:t>El ensayo principal deberá realizarse como mínimo con el pH</w:t>
      </w:r>
      <w:r w:rsidRPr="00802EA2">
        <w:rPr>
          <w:rFonts w:asciiTheme="majorBidi" w:hAnsiTheme="majorBidi" w:cstheme="majorBidi"/>
          <w:vertAlign w:val="superscript"/>
        </w:rPr>
        <w:t>6</w:t>
      </w:r>
      <w:r w:rsidRPr="00802EA2">
        <w:rPr>
          <w:rFonts w:asciiTheme="majorBidi" w:hAnsiTheme="majorBidi" w:cstheme="majorBidi"/>
        </w:rPr>
        <w:t xml:space="preserve"> que maximice la concentración de iones metálicos disueltos en la solución. El pH podrá elegirse del modo indicado para el ensayo preliminar.</w:t>
      </w:r>
      <w:r w:rsidR="008C5013" w:rsidRPr="00802EA2">
        <w:rPr>
          <w:rFonts w:asciiTheme="majorBidi" w:hAnsiTheme="majorBidi" w:cstheme="majorBidi"/>
        </w:rPr>
        <w:t xml:space="preserve"> </w:t>
      </w:r>
    </w:p>
    <w:p w14:paraId="2227D00B" w14:textId="6F8DC199" w:rsidR="00BD0CAD" w:rsidRPr="00802EA2" w:rsidRDefault="00BD0CAD" w:rsidP="00802EA2">
      <w:pPr>
        <w:pStyle w:val="SingleTxtG"/>
        <w:ind w:left="2268"/>
        <w:rPr>
          <w:rFonts w:asciiTheme="majorBidi" w:hAnsiTheme="majorBidi" w:cstheme="majorBidi"/>
        </w:rPr>
      </w:pPr>
      <w:r w:rsidRPr="00802EA2">
        <w:rPr>
          <w:rFonts w:asciiTheme="majorBidi" w:hAnsiTheme="majorBidi" w:cstheme="majorBidi"/>
        </w:rPr>
        <w:t>A9.7.2.2.4.2</w:t>
      </w:r>
      <w:r w:rsidRPr="00802EA2">
        <w:rPr>
          <w:rFonts w:asciiTheme="majorBidi" w:hAnsiTheme="majorBidi" w:cstheme="majorBidi"/>
        </w:rPr>
        <w:tab/>
        <w:t xml:space="preserve"> Basándose en los datos del ensayo principal, es posible generar una concentración de los iones metálicos en la disolución al cabo de 7 días para cada uno de los tres niveles de cantidad añadida del producto (es decir, 1 mg/l para el nivel </w:t>
      </w:r>
      <w:r w:rsidR="008C5013" w:rsidRPr="00802EA2">
        <w:rPr>
          <w:rFonts w:asciiTheme="majorBidi" w:hAnsiTheme="majorBidi" w:cstheme="majorBidi"/>
        </w:rPr>
        <w:t>“</w:t>
      </w:r>
      <w:r w:rsidRPr="00802EA2">
        <w:rPr>
          <w:rFonts w:asciiTheme="majorBidi" w:hAnsiTheme="majorBidi" w:cstheme="majorBidi"/>
        </w:rPr>
        <w:t>bajo</w:t>
      </w:r>
      <w:r w:rsidR="008C5013" w:rsidRPr="00802EA2">
        <w:rPr>
          <w:rFonts w:asciiTheme="majorBidi" w:hAnsiTheme="majorBidi" w:cstheme="majorBidi"/>
        </w:rPr>
        <w:t>”</w:t>
      </w:r>
      <w:r w:rsidRPr="00802EA2">
        <w:rPr>
          <w:rFonts w:asciiTheme="majorBidi" w:hAnsiTheme="majorBidi" w:cstheme="majorBidi"/>
        </w:rPr>
        <w:t xml:space="preserve">, 10 mg/l para el nivel </w:t>
      </w:r>
      <w:r w:rsidR="008C5013" w:rsidRPr="00802EA2">
        <w:rPr>
          <w:rFonts w:asciiTheme="majorBidi" w:hAnsiTheme="majorBidi" w:cstheme="majorBidi"/>
        </w:rPr>
        <w:t>“</w:t>
      </w:r>
      <w:r w:rsidRPr="00802EA2">
        <w:rPr>
          <w:rFonts w:asciiTheme="majorBidi" w:hAnsiTheme="majorBidi" w:cstheme="majorBidi"/>
        </w:rPr>
        <w:t>medio</w:t>
      </w:r>
      <w:r w:rsidR="008C5013" w:rsidRPr="00802EA2">
        <w:rPr>
          <w:rFonts w:asciiTheme="majorBidi" w:hAnsiTheme="majorBidi" w:cstheme="majorBidi"/>
        </w:rPr>
        <w:t>”</w:t>
      </w:r>
      <w:r w:rsidRPr="00802EA2">
        <w:rPr>
          <w:rFonts w:asciiTheme="majorBidi" w:hAnsiTheme="majorBidi" w:cstheme="majorBidi"/>
        </w:rPr>
        <w:t xml:space="preserve"> y 100 mg/l para el nivel </w:t>
      </w:r>
      <w:r w:rsidR="008C5013" w:rsidRPr="00802EA2">
        <w:rPr>
          <w:rFonts w:asciiTheme="majorBidi" w:hAnsiTheme="majorBidi" w:cstheme="majorBidi"/>
        </w:rPr>
        <w:t>“</w:t>
      </w:r>
      <w:r w:rsidRPr="00802EA2">
        <w:rPr>
          <w:rFonts w:asciiTheme="majorBidi" w:hAnsiTheme="majorBidi" w:cstheme="majorBidi"/>
        </w:rPr>
        <w:t>alto</w:t>
      </w:r>
      <w:r w:rsidR="008C5013" w:rsidRPr="00802EA2">
        <w:rPr>
          <w:rFonts w:asciiTheme="majorBidi" w:hAnsiTheme="majorBidi" w:cstheme="majorBidi"/>
        </w:rPr>
        <w:t>”</w:t>
      </w:r>
      <w:r w:rsidRPr="00802EA2">
        <w:rPr>
          <w:rFonts w:asciiTheme="majorBidi" w:hAnsiTheme="majorBidi" w:cstheme="majorBidi"/>
        </w:rPr>
        <w:t>) utilizados en el ensayo. Si el propósito de este es evaluar el peligro de la sustancia a largo plazo (crónico), las cantidades</w:t>
      </w:r>
      <w:r w:rsidRPr="00802EA2">
        <w:rPr>
          <w:rFonts w:asciiTheme="majorBidi" w:hAnsiTheme="majorBidi" w:cstheme="majorBidi"/>
          <w:vertAlign w:val="superscript"/>
        </w:rPr>
        <w:t>7</w:t>
      </w:r>
      <w:r w:rsidRPr="00802EA2">
        <w:rPr>
          <w:rFonts w:asciiTheme="majorBidi" w:hAnsiTheme="majorBidi" w:cstheme="majorBidi"/>
        </w:rPr>
        <w:t xml:space="preserve"> deben ser de 0,01 mg/l, 0,1</w:t>
      </w:r>
      <w:r w:rsidR="008E74DD" w:rsidRPr="00802EA2">
        <w:rPr>
          <w:rFonts w:asciiTheme="majorBidi" w:hAnsiTheme="majorBidi" w:cstheme="majorBidi"/>
        </w:rPr>
        <w:t> </w:t>
      </w:r>
      <w:r w:rsidRPr="00802EA2">
        <w:rPr>
          <w:rFonts w:asciiTheme="majorBidi" w:hAnsiTheme="majorBidi" w:cstheme="majorBidi"/>
        </w:rPr>
        <w:t>mg/l o 1 mg/l, en función de la velocidad de transformación, y la duración del ensayo debe ampliarse a 28 días.</w:t>
      </w:r>
      <w:r w:rsidR="008C5013" w:rsidRPr="00802EA2">
        <w:rPr>
          <w:rFonts w:asciiTheme="majorBidi" w:hAnsiTheme="majorBidi" w:cstheme="majorBidi"/>
        </w:rPr>
        <w:t>”</w:t>
      </w:r>
      <w:r w:rsidRPr="00802EA2">
        <w:rPr>
          <w:rFonts w:asciiTheme="majorBidi" w:hAnsiTheme="majorBidi" w:cstheme="majorBidi"/>
        </w:rPr>
        <w:t>.</w:t>
      </w:r>
    </w:p>
    <w:p w14:paraId="6C64EB31" w14:textId="4D2B6777" w:rsidR="00BD0CAD" w:rsidRPr="00802EA2" w:rsidRDefault="00BD0CAD" w:rsidP="00802EA2">
      <w:pPr>
        <w:pStyle w:val="SingleTxtG"/>
        <w:rPr>
          <w:rFonts w:asciiTheme="majorBidi" w:eastAsiaTheme="minorHAnsi" w:hAnsiTheme="majorBidi" w:cstheme="majorBidi"/>
        </w:rPr>
      </w:pPr>
      <w:r w:rsidRPr="00802EA2">
        <w:rPr>
          <w:rFonts w:asciiTheme="majorBidi" w:hAnsiTheme="majorBidi" w:cstheme="majorBidi"/>
        </w:rPr>
        <w:t xml:space="preserve">Añádanse las siguientes nuevas notas a pie de página </w:t>
      </w:r>
      <w:r w:rsidR="008C5013" w:rsidRPr="00802EA2">
        <w:rPr>
          <w:rFonts w:asciiTheme="majorBidi" w:hAnsiTheme="majorBidi" w:cstheme="majorBidi"/>
        </w:rPr>
        <w:t>“</w:t>
      </w:r>
      <w:r w:rsidRPr="00802EA2">
        <w:rPr>
          <w:rFonts w:asciiTheme="majorBidi" w:hAnsiTheme="majorBidi" w:cstheme="majorBidi"/>
        </w:rPr>
        <w:t>6</w:t>
      </w:r>
      <w:r w:rsidR="008C5013" w:rsidRPr="00802EA2">
        <w:rPr>
          <w:rFonts w:asciiTheme="majorBidi" w:hAnsiTheme="majorBidi" w:cstheme="majorBidi"/>
        </w:rPr>
        <w:t>”</w:t>
      </w:r>
      <w:r w:rsidRPr="00802EA2">
        <w:rPr>
          <w:rFonts w:asciiTheme="majorBidi" w:hAnsiTheme="majorBidi" w:cstheme="majorBidi"/>
        </w:rPr>
        <w:t xml:space="preserve"> y </w:t>
      </w:r>
      <w:r w:rsidR="008C5013" w:rsidRPr="00802EA2">
        <w:rPr>
          <w:rFonts w:asciiTheme="majorBidi" w:hAnsiTheme="majorBidi" w:cstheme="majorBidi"/>
        </w:rPr>
        <w:t>“</w:t>
      </w:r>
      <w:r w:rsidRPr="00802EA2">
        <w:rPr>
          <w:rFonts w:asciiTheme="majorBidi" w:hAnsiTheme="majorBidi" w:cstheme="majorBidi"/>
        </w:rPr>
        <w:t>7</w:t>
      </w:r>
      <w:r w:rsidR="008C5013" w:rsidRPr="00802EA2">
        <w:rPr>
          <w:rFonts w:asciiTheme="majorBidi" w:hAnsiTheme="majorBidi" w:cstheme="majorBidi"/>
        </w:rPr>
        <w:t>”</w:t>
      </w:r>
      <w:r w:rsidRPr="00802EA2">
        <w:rPr>
          <w:rFonts w:asciiTheme="majorBidi" w:hAnsiTheme="majorBidi" w:cstheme="majorBidi"/>
        </w:rPr>
        <w:t>:</w:t>
      </w:r>
    </w:p>
    <w:p w14:paraId="769FB5A7" w14:textId="7D316303" w:rsidR="00BD0CAD" w:rsidRPr="00802EA2" w:rsidRDefault="008C5013" w:rsidP="00802EA2">
      <w:pPr>
        <w:pStyle w:val="SingleTxtG"/>
        <w:ind w:left="2268"/>
        <w:rPr>
          <w:rFonts w:asciiTheme="majorBidi" w:eastAsiaTheme="minorHAnsi" w:hAnsiTheme="majorBidi" w:cstheme="majorBidi"/>
          <w:i/>
          <w:iCs/>
        </w:rPr>
      </w:pPr>
      <w:r w:rsidRPr="00802EA2">
        <w:rPr>
          <w:rFonts w:asciiTheme="majorBidi" w:hAnsiTheme="majorBidi" w:cstheme="majorBidi"/>
        </w:rPr>
        <w:t>“</w:t>
      </w:r>
      <w:r w:rsidR="00BD0CAD" w:rsidRPr="00802EA2">
        <w:rPr>
          <w:rFonts w:asciiTheme="majorBidi" w:hAnsiTheme="majorBidi" w:cstheme="majorBidi"/>
          <w:vertAlign w:val="superscript"/>
        </w:rPr>
        <w:t>6</w:t>
      </w:r>
      <w:r w:rsidR="00BD0CAD" w:rsidRPr="00802EA2">
        <w:rPr>
          <w:rFonts w:asciiTheme="majorBidi" w:hAnsiTheme="majorBidi" w:cstheme="majorBidi"/>
        </w:rPr>
        <w:tab/>
      </w:r>
      <w:r w:rsidR="00BD0CAD" w:rsidRPr="00802EA2">
        <w:rPr>
          <w:rFonts w:asciiTheme="majorBidi" w:hAnsiTheme="majorBidi" w:cstheme="majorBidi"/>
          <w:i/>
          <w:iCs/>
        </w:rPr>
        <w:t>El protocolo de transformación/disolución especifica un rango de pH de 6 a 8,5 para el ensayo de 7 días y de 5,5 a 8,5 para el ensayo de 28 días.</w:t>
      </w:r>
      <w:r w:rsidR="00BD0CAD" w:rsidRPr="00802EA2">
        <w:rPr>
          <w:rFonts w:asciiTheme="majorBidi" w:hAnsiTheme="majorBidi" w:cstheme="majorBidi"/>
        </w:rPr>
        <w:t xml:space="preserve"> </w:t>
      </w:r>
      <w:r w:rsidR="00BD0CAD" w:rsidRPr="00802EA2">
        <w:rPr>
          <w:rFonts w:asciiTheme="majorBidi" w:hAnsiTheme="majorBidi" w:cstheme="majorBidi"/>
          <w:i/>
          <w:iCs/>
        </w:rPr>
        <w:t>Habida cuenta de la dificultad de realizar ensayos de transformación/disolución a pH 5,5, la OCDE solo validó el ensayo en el rango de pH de 6 a 8.</w:t>
      </w:r>
    </w:p>
    <w:p w14:paraId="6808B570" w14:textId="35349F99" w:rsidR="00BD0CAD" w:rsidRPr="00802EA2" w:rsidRDefault="00BD0CAD" w:rsidP="00802EA2">
      <w:pPr>
        <w:pStyle w:val="SingleTxtG"/>
        <w:ind w:left="2268"/>
        <w:rPr>
          <w:rFonts w:asciiTheme="majorBidi" w:eastAsiaTheme="minorHAnsi" w:hAnsiTheme="majorBidi" w:cstheme="majorBidi"/>
          <w:i/>
          <w:iCs/>
        </w:rPr>
      </w:pPr>
      <w:r w:rsidRPr="00802EA2">
        <w:rPr>
          <w:rFonts w:asciiTheme="majorBidi" w:hAnsiTheme="majorBidi" w:cstheme="majorBidi"/>
          <w:vertAlign w:val="superscript"/>
        </w:rPr>
        <w:t>7</w:t>
      </w:r>
      <w:r w:rsidRPr="00802EA2">
        <w:rPr>
          <w:rFonts w:asciiTheme="majorBidi" w:hAnsiTheme="majorBidi" w:cstheme="majorBidi"/>
        </w:rPr>
        <w:tab/>
      </w:r>
      <w:r w:rsidRPr="00802EA2">
        <w:rPr>
          <w:rFonts w:asciiTheme="majorBidi" w:hAnsiTheme="majorBidi" w:cstheme="majorBidi"/>
          <w:i/>
          <w:iCs/>
        </w:rPr>
        <w:t>Las cantidades de producto añadido inferiores a 1 mg/l pueden no ser viables en la práctica para cada caso.</w:t>
      </w:r>
      <w:r w:rsidRPr="00802EA2">
        <w:rPr>
          <w:rFonts w:asciiTheme="majorBidi" w:hAnsiTheme="majorBidi" w:cstheme="majorBidi"/>
        </w:rPr>
        <w:t xml:space="preserve"> </w:t>
      </w:r>
      <w:r w:rsidRPr="00802EA2">
        <w:rPr>
          <w:rFonts w:asciiTheme="majorBidi" w:hAnsiTheme="majorBidi" w:cstheme="majorBidi"/>
          <w:i/>
          <w:iCs/>
        </w:rPr>
        <w:t>Aunque los ensayos de transformación/disolución con cantidades de producto inferiores representan, en principio, la mejor manera de proceder, a menudo no son factibles técnicamente.</w:t>
      </w:r>
      <w:r w:rsidRPr="00802EA2">
        <w:rPr>
          <w:rFonts w:asciiTheme="majorBidi" w:hAnsiTheme="majorBidi" w:cstheme="majorBidi"/>
        </w:rPr>
        <w:t xml:space="preserve"> </w:t>
      </w:r>
      <w:r w:rsidRPr="00802EA2">
        <w:rPr>
          <w:rFonts w:asciiTheme="majorBidi" w:hAnsiTheme="majorBidi" w:cstheme="majorBidi"/>
          <w:i/>
          <w:iCs/>
        </w:rPr>
        <w:t>Una dilatada experiencia con el protocolo de transformación/disolución ha demostrado que pueden hacerse predicciones fiables para otras cantidades de producto.</w:t>
      </w:r>
      <w:r w:rsidRPr="00802EA2">
        <w:rPr>
          <w:rFonts w:asciiTheme="majorBidi" w:hAnsiTheme="majorBidi" w:cstheme="majorBidi"/>
        </w:rPr>
        <w:t xml:space="preserve"> </w:t>
      </w:r>
      <w:r w:rsidRPr="00802EA2">
        <w:rPr>
          <w:rFonts w:asciiTheme="majorBidi" w:hAnsiTheme="majorBidi" w:cstheme="majorBidi"/>
          <w:i/>
          <w:iCs/>
        </w:rPr>
        <w:t>A fin de aprovechar al máximo los datos de transformación/disolución existentes, los resultados a 28 días para las cantidades de producto añadido inferiores (0,1 y 0,01 mg/l) podrán obtenerse a menudo por extrapolación de los datos relativos a otros niveles de producto.</w:t>
      </w:r>
      <w:r w:rsidRPr="00802EA2">
        <w:rPr>
          <w:rFonts w:asciiTheme="majorBidi" w:hAnsiTheme="majorBidi" w:cstheme="majorBidi"/>
        </w:rPr>
        <w:t xml:space="preserve"> </w:t>
      </w:r>
      <w:r w:rsidRPr="00802EA2">
        <w:rPr>
          <w:rFonts w:asciiTheme="majorBidi" w:hAnsiTheme="majorBidi" w:cstheme="majorBidi"/>
          <w:i/>
          <w:iCs/>
        </w:rPr>
        <w:t>Este enfoque debe justificarse caso por caso y apoyarse en información fiable sobre la transformación/disolución con diferentes cantidades de producto.</w:t>
      </w:r>
      <w:r w:rsidRPr="00802EA2">
        <w:rPr>
          <w:rFonts w:asciiTheme="majorBidi" w:hAnsiTheme="majorBidi" w:cstheme="majorBidi"/>
        </w:rPr>
        <w:t xml:space="preserve"> </w:t>
      </w:r>
      <w:r w:rsidRPr="00802EA2">
        <w:rPr>
          <w:rFonts w:asciiTheme="majorBidi" w:hAnsiTheme="majorBidi" w:cstheme="majorBidi"/>
          <w:i/>
          <w:iCs/>
        </w:rPr>
        <w:t>Cabe señalar además que la relación entre la cantidad de producto y la concentración de metal disuelto puede no ser lineal.</w:t>
      </w:r>
      <w:r w:rsidRPr="00802EA2">
        <w:rPr>
          <w:rFonts w:asciiTheme="majorBidi" w:hAnsiTheme="majorBidi" w:cstheme="majorBidi"/>
        </w:rPr>
        <w:t xml:space="preserve"> </w:t>
      </w:r>
      <w:r w:rsidRPr="00802EA2">
        <w:rPr>
          <w:rFonts w:asciiTheme="majorBidi" w:hAnsiTheme="majorBidi" w:cstheme="majorBidi"/>
          <w:i/>
          <w:iCs/>
        </w:rPr>
        <w:t>Por lo tanto, es preferible que la extrapolación de datos de transformación/disolución con cantidades de producto inferiores se lleve a cabo utilizando las ecuaciones de la sección A10.6.1 o, alternativamente, que se proceda con precaución.</w:t>
      </w:r>
      <w:r w:rsidR="008C5013" w:rsidRPr="00802EA2">
        <w:rPr>
          <w:rFonts w:asciiTheme="majorBidi" w:hAnsiTheme="majorBidi" w:cstheme="majorBidi"/>
          <w:iCs/>
        </w:rPr>
        <w:t>”</w:t>
      </w:r>
      <w:r w:rsidRPr="00802EA2">
        <w:rPr>
          <w:rFonts w:asciiTheme="majorBidi" w:hAnsiTheme="majorBidi" w:cstheme="majorBidi"/>
          <w:iCs/>
        </w:rPr>
        <w:t>.</w:t>
      </w:r>
    </w:p>
    <w:p w14:paraId="31256793" w14:textId="77777777" w:rsidR="00BD0CAD" w:rsidRPr="00802EA2" w:rsidRDefault="00BD0CAD" w:rsidP="00802EA2">
      <w:pPr>
        <w:pStyle w:val="SingleTxtG"/>
        <w:tabs>
          <w:tab w:val="clear" w:pos="2268"/>
          <w:tab w:val="left" w:pos="2127"/>
        </w:tabs>
        <w:rPr>
          <w:rFonts w:asciiTheme="majorBidi" w:hAnsiTheme="majorBidi" w:cstheme="majorBidi"/>
        </w:rPr>
      </w:pPr>
      <w:r w:rsidRPr="00802EA2">
        <w:rPr>
          <w:rFonts w:asciiTheme="majorBidi" w:hAnsiTheme="majorBidi" w:cstheme="majorBidi"/>
        </w:rPr>
        <w:t xml:space="preserve">A9.7.2.3 </w:t>
      </w:r>
      <w:r w:rsidRPr="00802EA2">
        <w:rPr>
          <w:rFonts w:asciiTheme="majorBidi" w:hAnsiTheme="majorBidi" w:cstheme="majorBidi"/>
        </w:rPr>
        <w:tab/>
        <w:t>Modifíquese para que diga:</w:t>
      </w:r>
    </w:p>
    <w:p w14:paraId="03033CBC" w14:textId="3E7F43B6" w:rsidR="00BD0CAD" w:rsidRPr="00802EA2" w:rsidRDefault="008C5013" w:rsidP="00802EA2">
      <w:pPr>
        <w:pStyle w:val="SingleTxtG"/>
        <w:tabs>
          <w:tab w:val="clear" w:pos="2835"/>
          <w:tab w:val="left" w:pos="3402"/>
        </w:tabs>
        <w:ind w:left="2268"/>
        <w:rPr>
          <w:rFonts w:asciiTheme="majorBidi" w:hAnsiTheme="majorBidi" w:cstheme="majorBidi"/>
        </w:rPr>
      </w:pPr>
      <w:r w:rsidRPr="00802EA2">
        <w:rPr>
          <w:rFonts w:asciiTheme="majorBidi" w:hAnsiTheme="majorBidi" w:cstheme="majorBidi"/>
        </w:rPr>
        <w:t>“</w:t>
      </w:r>
      <w:r w:rsidR="00BD0CAD" w:rsidRPr="00802EA2">
        <w:rPr>
          <w:rFonts w:asciiTheme="majorBidi" w:hAnsiTheme="majorBidi" w:cstheme="majorBidi"/>
        </w:rPr>
        <w:t>A9.7.2.3</w:t>
      </w:r>
      <w:r w:rsidR="00BD0CAD" w:rsidRPr="00802EA2">
        <w:rPr>
          <w:rFonts w:asciiTheme="majorBidi" w:hAnsiTheme="majorBidi" w:cstheme="majorBidi"/>
        </w:rPr>
        <w:tab/>
        <w:t xml:space="preserve">Comparación de los datos de toxicidad acuática y solubilidad </w:t>
      </w:r>
    </w:p>
    <w:p w14:paraId="2E3DB2F8" w14:textId="77777777" w:rsidR="00BD0CAD" w:rsidRPr="00802EA2" w:rsidRDefault="00BD0CAD" w:rsidP="00802EA2">
      <w:pPr>
        <w:pStyle w:val="SingleTxtG"/>
        <w:tabs>
          <w:tab w:val="clear" w:pos="2835"/>
          <w:tab w:val="left" w:pos="3402"/>
        </w:tabs>
        <w:ind w:left="2268"/>
        <w:rPr>
          <w:rFonts w:asciiTheme="majorBidi" w:hAnsiTheme="majorBidi" w:cstheme="majorBidi"/>
        </w:rPr>
      </w:pPr>
      <w:r w:rsidRPr="00802EA2">
        <w:rPr>
          <w:rFonts w:asciiTheme="majorBidi" w:hAnsiTheme="majorBidi" w:cstheme="majorBidi"/>
        </w:rPr>
        <w:lastRenderedPageBreak/>
        <w:tab/>
        <w:t xml:space="preserve">La decisión acerca de cómo clasificar la sustancia podrá hacerse comparando los datos de toxicidad acuática con los de solubilidad. Se pueden seguir dos métodos, en función de los datos disponibles: </w:t>
      </w:r>
    </w:p>
    <w:p w14:paraId="10079031" w14:textId="77777777" w:rsidR="00BD0CAD" w:rsidRPr="00802EA2" w:rsidRDefault="00BD0CAD" w:rsidP="00802EA2">
      <w:pPr>
        <w:pStyle w:val="SingleTxtG"/>
        <w:tabs>
          <w:tab w:val="clear" w:pos="1701"/>
          <w:tab w:val="clear" w:pos="2268"/>
          <w:tab w:val="clear" w:pos="2835"/>
        </w:tabs>
        <w:ind w:left="2835" w:hanging="567"/>
        <w:rPr>
          <w:rFonts w:asciiTheme="majorBidi" w:hAnsiTheme="majorBidi" w:cstheme="majorBidi"/>
          <w:bCs/>
        </w:rPr>
      </w:pPr>
      <w:r w:rsidRPr="00802EA2">
        <w:rPr>
          <w:rFonts w:asciiTheme="majorBidi" w:hAnsiTheme="majorBidi" w:cstheme="majorBidi"/>
        </w:rPr>
        <w:t>a)</w:t>
      </w:r>
      <w:r w:rsidRPr="00802EA2">
        <w:rPr>
          <w:rFonts w:asciiTheme="majorBidi" w:hAnsiTheme="majorBidi" w:cstheme="majorBidi"/>
        </w:rPr>
        <w:tab/>
        <w:t xml:space="preserve">Si se dispone de información limitada sobre la transformación/disolución a diferentes niveles de pH o si la toxicidad acuática del metal disuelto no depende del pH, entonces el VRE más bajo y el resultado de transformación/disolución más alto, cada uno de los cuales podría obtenerse a diferentes niveles de pH, deben servir de base para la clasificación (este debería ser el método por defecto). </w:t>
      </w:r>
    </w:p>
    <w:p w14:paraId="0D3365D8" w14:textId="72E38E1A" w:rsidR="00BD0CAD" w:rsidRPr="00802EA2" w:rsidRDefault="00BD0CAD" w:rsidP="00802EA2">
      <w:pPr>
        <w:pStyle w:val="SingleTxtG"/>
        <w:tabs>
          <w:tab w:val="clear" w:pos="1701"/>
          <w:tab w:val="clear" w:pos="2268"/>
        </w:tabs>
        <w:ind w:left="2835" w:hanging="567"/>
        <w:rPr>
          <w:rFonts w:asciiTheme="majorBidi" w:hAnsiTheme="majorBidi" w:cstheme="majorBidi"/>
          <w:bCs/>
        </w:rPr>
      </w:pPr>
      <w:r w:rsidRPr="00802EA2">
        <w:rPr>
          <w:rFonts w:asciiTheme="majorBidi" w:hAnsiTheme="majorBidi" w:cstheme="majorBidi"/>
        </w:rPr>
        <w:t>b)</w:t>
      </w:r>
      <w:r w:rsidRPr="00802EA2">
        <w:rPr>
          <w:rFonts w:asciiTheme="majorBidi" w:hAnsiTheme="majorBidi" w:cstheme="majorBidi"/>
        </w:rPr>
        <w:tab/>
        <w:t>Si existen pruebas de que la toxicidad acuática del metal disuelto depende del pH y se dispone de suficientes datos de toxicidad a distintos niveles de pH, se puede realizar una distribución de los valores de referencia de toxicidad aguda y crónica en función del rango de pH. Si además se dispone de datos de transformación/disolución a diferentes niveles de pH, la clasificación puede basarse en la comparación de los datos de transformación/disolución con el VRE a los niveles de pH correspondientes, lo que significa que los datos de toxicidad y los datos de transformación/disolución se comparan en este caso siempre en el mismo rango de pH. Esta distribución de los datos sobre los efectos en rangos de pH se aplicaría por igual a los conjuntos de datos de efectos agudos y crónicos. Debe utilizarse el resultado de clasificación más estricto en todas las franjas de pH.</w:t>
      </w:r>
      <w:r w:rsidR="008C5013" w:rsidRPr="00802EA2">
        <w:rPr>
          <w:rFonts w:asciiTheme="majorBidi" w:hAnsiTheme="majorBidi" w:cstheme="majorBidi"/>
        </w:rPr>
        <w:t>”</w:t>
      </w:r>
      <w:r w:rsidRPr="00802EA2">
        <w:rPr>
          <w:rFonts w:asciiTheme="majorBidi" w:hAnsiTheme="majorBidi" w:cstheme="majorBidi"/>
        </w:rPr>
        <w:t>.</w:t>
      </w:r>
    </w:p>
    <w:p w14:paraId="07D6D23C" w14:textId="77777777" w:rsidR="00BD0CAD" w:rsidRPr="00802EA2" w:rsidRDefault="00BD0CAD" w:rsidP="00802EA2">
      <w:pPr>
        <w:pStyle w:val="SingleTxtG"/>
        <w:tabs>
          <w:tab w:val="clear" w:pos="1701"/>
        </w:tabs>
        <w:ind w:left="2268" w:hanging="1134"/>
        <w:rPr>
          <w:rFonts w:asciiTheme="majorBidi" w:hAnsiTheme="majorBidi" w:cstheme="majorBidi"/>
        </w:rPr>
      </w:pPr>
      <w:r w:rsidRPr="00802EA2">
        <w:rPr>
          <w:rFonts w:asciiTheme="majorBidi" w:hAnsiTheme="majorBidi" w:cstheme="majorBidi"/>
        </w:rPr>
        <w:t>A9.7.4.1</w:t>
      </w:r>
      <w:r w:rsidRPr="00802EA2">
        <w:rPr>
          <w:rFonts w:asciiTheme="majorBidi" w:hAnsiTheme="majorBidi" w:cstheme="majorBidi"/>
        </w:rPr>
        <w:tab/>
        <w:t>Modifíquese para que diga:</w:t>
      </w:r>
    </w:p>
    <w:p w14:paraId="574BF534" w14:textId="608913EF" w:rsidR="00BD0CAD" w:rsidRPr="00802EA2" w:rsidRDefault="008C5013" w:rsidP="00802EA2">
      <w:pPr>
        <w:pStyle w:val="SingleTxtG"/>
        <w:tabs>
          <w:tab w:val="clear" w:pos="1701"/>
        </w:tabs>
        <w:ind w:left="2268"/>
        <w:rPr>
          <w:rFonts w:asciiTheme="majorBidi" w:eastAsiaTheme="minorHAnsi" w:hAnsiTheme="majorBidi" w:cstheme="majorBidi"/>
        </w:rPr>
      </w:pPr>
      <w:r w:rsidRPr="00802EA2">
        <w:rPr>
          <w:rFonts w:asciiTheme="majorBidi" w:hAnsiTheme="majorBidi" w:cstheme="majorBidi"/>
        </w:rPr>
        <w:t>“</w:t>
      </w:r>
      <w:r w:rsidR="00BD0CAD" w:rsidRPr="00802EA2">
        <w:rPr>
          <w:rFonts w:asciiTheme="majorBidi" w:hAnsiTheme="majorBidi" w:cstheme="majorBidi"/>
        </w:rPr>
        <w:t>A9.7.4.1</w:t>
      </w:r>
      <w:r w:rsidR="00BD0CAD" w:rsidRPr="00802EA2">
        <w:rPr>
          <w:rFonts w:asciiTheme="majorBidi" w:hAnsiTheme="majorBidi" w:cstheme="majorBidi"/>
        </w:rPr>
        <w:tab/>
        <w:t>Aunque el log K</w:t>
      </w:r>
      <w:r w:rsidR="00BD0CAD" w:rsidRPr="00802EA2">
        <w:rPr>
          <w:rFonts w:asciiTheme="majorBidi" w:hAnsiTheme="majorBidi" w:cstheme="majorBidi"/>
          <w:vertAlign w:val="subscript"/>
        </w:rPr>
        <w:t>ow</w:t>
      </w:r>
      <w:r w:rsidR="00BD0CAD" w:rsidRPr="00802EA2">
        <w:rPr>
          <w:rFonts w:asciiTheme="majorBidi" w:hAnsiTheme="majorBidi" w:cstheme="majorBidi"/>
        </w:rPr>
        <w:t xml:space="preserve"> permite predecir bien el FBC de ciertos tipos de compuestos orgánicos, tales como las sustancias orgánicas no polares, es irrelevante para sustancias inorgánicas como los compuestos metálicos inorgánicos, porque los metales, a diferencia de las sustancias orgánicas, no son lipofílicos y generalmente no se transportan a través de las membranas celulares por procesos pasivos. La absorción de iones metálicos suele producirse mediante procesos activos.</w:t>
      </w:r>
      <w:r w:rsidRPr="00802EA2">
        <w:rPr>
          <w:rFonts w:asciiTheme="majorBidi" w:hAnsiTheme="majorBidi" w:cstheme="majorBidi"/>
        </w:rPr>
        <w:t>”</w:t>
      </w:r>
      <w:r w:rsidR="00BD0CAD" w:rsidRPr="00802EA2">
        <w:rPr>
          <w:rFonts w:asciiTheme="majorBidi" w:hAnsiTheme="majorBidi" w:cstheme="majorBidi"/>
        </w:rPr>
        <w:t>.</w:t>
      </w:r>
    </w:p>
    <w:p w14:paraId="180AA894" w14:textId="76F864C9" w:rsidR="00BD0CAD" w:rsidRPr="00802EA2" w:rsidRDefault="00BD0CAD" w:rsidP="00802EA2">
      <w:pPr>
        <w:pStyle w:val="SingleTxtG"/>
        <w:tabs>
          <w:tab w:val="clear" w:pos="2268"/>
        </w:tabs>
        <w:ind w:left="2268" w:hanging="1134"/>
        <w:rPr>
          <w:rFonts w:asciiTheme="majorBidi" w:hAnsiTheme="majorBidi" w:cstheme="majorBidi"/>
        </w:rPr>
      </w:pPr>
      <w:r w:rsidRPr="00802EA2">
        <w:rPr>
          <w:rFonts w:asciiTheme="majorBidi" w:hAnsiTheme="majorBidi" w:cstheme="majorBidi"/>
        </w:rPr>
        <w:t xml:space="preserve">A9.7.4.3 </w:t>
      </w:r>
      <w:r w:rsidRPr="00802EA2">
        <w:rPr>
          <w:rFonts w:asciiTheme="majorBidi" w:hAnsiTheme="majorBidi" w:cstheme="majorBidi"/>
        </w:rPr>
        <w:tab/>
        <w:t xml:space="preserve">Modifíquese el final de la cuarta oración y añádase una nueva quinta oración que diga lo siguiente: </w:t>
      </w:r>
      <w:r w:rsidR="008C5013" w:rsidRPr="00802EA2">
        <w:rPr>
          <w:rFonts w:asciiTheme="majorBidi" w:hAnsiTheme="majorBidi" w:cstheme="majorBidi"/>
        </w:rPr>
        <w:t>“</w:t>
      </w:r>
      <w:r w:rsidRPr="00802EA2">
        <w:rPr>
          <w:rFonts w:asciiTheme="majorBidi" w:hAnsiTheme="majorBidi" w:cstheme="majorBidi"/>
        </w:rPr>
        <w:t>... están activamente regulados en los organismos para los que son esenciales (homeostasis). Los procesos de eliminación y secuestro que reducen al mínimo la toxicidad se complementan con la capacidad de regular al alza las concentraciones para las necesidades esenciales.</w:t>
      </w:r>
      <w:r w:rsidR="008C5013" w:rsidRPr="00802EA2">
        <w:rPr>
          <w:rFonts w:asciiTheme="majorBidi" w:hAnsiTheme="majorBidi" w:cstheme="majorBidi"/>
        </w:rPr>
        <w:t>”</w:t>
      </w:r>
      <w:r w:rsidRPr="00802EA2">
        <w:rPr>
          <w:rFonts w:asciiTheme="majorBidi" w:hAnsiTheme="majorBidi" w:cstheme="majorBidi"/>
        </w:rPr>
        <w:t xml:space="preserve">. </w:t>
      </w:r>
    </w:p>
    <w:p w14:paraId="6BF203B0" w14:textId="4B9760D2" w:rsidR="00BD0CAD" w:rsidRPr="00802EA2" w:rsidRDefault="00BD0CAD" w:rsidP="00802EA2">
      <w:pPr>
        <w:pStyle w:val="SingleTxtG"/>
        <w:ind w:left="2268"/>
        <w:rPr>
          <w:rFonts w:asciiTheme="majorBidi" w:hAnsiTheme="majorBidi" w:cstheme="majorBidi"/>
          <w:bCs/>
        </w:rPr>
      </w:pPr>
      <w:r w:rsidRPr="00802EA2">
        <w:rPr>
          <w:rFonts w:asciiTheme="majorBidi" w:hAnsiTheme="majorBidi" w:cstheme="majorBidi"/>
        </w:rPr>
        <w:t>El resto del párrafo se mantiene sin cambios (</w:t>
      </w:r>
      <w:r w:rsidR="008C5013" w:rsidRPr="00802EA2">
        <w:rPr>
          <w:rFonts w:asciiTheme="majorBidi" w:hAnsiTheme="majorBidi" w:cstheme="majorBidi"/>
        </w:rPr>
        <w:t>“</w:t>
      </w:r>
      <w:r w:rsidRPr="00802EA2">
        <w:rPr>
          <w:rFonts w:asciiTheme="majorBidi" w:hAnsiTheme="majorBidi" w:cstheme="majorBidi"/>
        </w:rPr>
        <w:t>Como las necesidades nutricionales del organismo... bioconcentración y a los problemas ambientales.</w:t>
      </w:r>
      <w:r w:rsidR="008C5013" w:rsidRPr="00802EA2">
        <w:rPr>
          <w:rFonts w:asciiTheme="majorBidi" w:hAnsiTheme="majorBidi" w:cstheme="majorBidi"/>
        </w:rPr>
        <w:t>”</w:t>
      </w:r>
      <w:r w:rsidRPr="00802EA2">
        <w:rPr>
          <w:rFonts w:asciiTheme="majorBidi" w:hAnsiTheme="majorBidi" w:cstheme="majorBidi"/>
        </w:rPr>
        <w:t>).</w:t>
      </w:r>
    </w:p>
    <w:p w14:paraId="3E84738B" w14:textId="77777777" w:rsidR="00BD0CAD" w:rsidRPr="00802EA2" w:rsidRDefault="00BD0CAD" w:rsidP="00802EA2">
      <w:pPr>
        <w:pStyle w:val="SingleTxtG"/>
        <w:rPr>
          <w:rFonts w:asciiTheme="majorBidi" w:hAnsiTheme="majorBidi" w:cstheme="majorBidi"/>
          <w:bCs/>
        </w:rPr>
      </w:pPr>
      <w:r w:rsidRPr="00802EA2">
        <w:rPr>
          <w:rFonts w:asciiTheme="majorBidi" w:hAnsiTheme="majorBidi" w:cstheme="majorBidi"/>
        </w:rPr>
        <w:t>A9.7.4.4 (nuevo)</w:t>
      </w:r>
      <w:r w:rsidRPr="00802EA2">
        <w:rPr>
          <w:rFonts w:asciiTheme="majorBidi" w:hAnsiTheme="majorBidi" w:cstheme="majorBidi"/>
        </w:rPr>
        <w:tab/>
        <w:t>Añádase un nuevo apartado A9.7.4.4 que diga lo siguiente:</w:t>
      </w:r>
    </w:p>
    <w:p w14:paraId="7A517808" w14:textId="4831E342" w:rsidR="00BD0CAD" w:rsidRPr="00802EA2" w:rsidRDefault="008C5013" w:rsidP="00802EA2">
      <w:pPr>
        <w:pStyle w:val="SingleTxtG"/>
        <w:tabs>
          <w:tab w:val="clear" w:pos="1701"/>
          <w:tab w:val="clear" w:pos="2835"/>
          <w:tab w:val="left" w:pos="3402"/>
        </w:tabs>
        <w:ind w:left="2268"/>
        <w:rPr>
          <w:rFonts w:asciiTheme="majorBidi" w:hAnsiTheme="majorBidi" w:cstheme="majorBidi"/>
          <w:bCs/>
        </w:rPr>
      </w:pPr>
      <w:r w:rsidRPr="00802EA2">
        <w:rPr>
          <w:rFonts w:asciiTheme="majorBidi" w:hAnsiTheme="majorBidi" w:cstheme="majorBidi"/>
        </w:rPr>
        <w:t>“</w:t>
      </w:r>
      <w:r w:rsidR="00BD0CAD" w:rsidRPr="00802EA2">
        <w:rPr>
          <w:rFonts w:asciiTheme="majorBidi" w:hAnsiTheme="majorBidi" w:cstheme="majorBidi"/>
        </w:rPr>
        <w:t>A9.7.4.4</w:t>
      </w:r>
      <w:r w:rsidR="00BD0CAD" w:rsidRPr="00802EA2">
        <w:rPr>
          <w:rFonts w:asciiTheme="majorBidi" w:hAnsiTheme="majorBidi" w:cstheme="majorBidi"/>
        </w:rPr>
        <w:tab/>
        <w:t xml:space="preserve">En relación con los elementos esenciales, los FBC medidos disminuyen a medida que aumentan las concentraciones externas porque las concentraciones internas las regula el organismo. Los metales no esenciales también se regulan activamente hasta cierto punto y, por lo tanto, también en ese caso puede observarse una relación inversa entre la concentración de metal y la concentración externa (McGeer </w:t>
      </w:r>
      <w:r w:rsidR="00BD0CAD" w:rsidRPr="00802EA2">
        <w:rPr>
          <w:rFonts w:asciiTheme="majorBidi" w:hAnsiTheme="majorBidi" w:cstheme="majorBidi"/>
          <w:i/>
          <w:iCs/>
        </w:rPr>
        <w:t>et al</w:t>
      </w:r>
      <w:r w:rsidR="00BD0CAD" w:rsidRPr="00802EA2">
        <w:rPr>
          <w:rFonts w:asciiTheme="majorBidi" w:hAnsiTheme="majorBidi" w:cstheme="majorBidi"/>
        </w:rPr>
        <w:t>., 2003). Cuando esta última es tan elevada que supera un nivel umbral o la capacidad del mecanismo de regulación, puede resultar nociva para el organismo. El FBC y el factor de bioacumulación pueden utilizarse para estimar la acumulación de metales por los siguientes medios:</w:t>
      </w:r>
    </w:p>
    <w:p w14:paraId="2276B143" w14:textId="4A34F42E" w:rsidR="00BD0CAD" w:rsidRPr="00802EA2" w:rsidRDefault="00BD0CAD" w:rsidP="00802EA2">
      <w:pPr>
        <w:pStyle w:val="SingleTxtG"/>
        <w:tabs>
          <w:tab w:val="clear" w:pos="2268"/>
          <w:tab w:val="clear" w:pos="2835"/>
        </w:tabs>
        <w:ind w:left="2835" w:hanging="567"/>
        <w:rPr>
          <w:rFonts w:asciiTheme="majorBidi" w:hAnsiTheme="majorBidi" w:cstheme="majorBidi"/>
          <w:bCs/>
        </w:rPr>
      </w:pPr>
      <w:r w:rsidRPr="00802EA2">
        <w:rPr>
          <w:rFonts w:asciiTheme="majorBidi" w:hAnsiTheme="majorBidi" w:cstheme="majorBidi"/>
        </w:rPr>
        <w:t>a)</w:t>
      </w:r>
      <w:r w:rsidRPr="00802EA2">
        <w:rPr>
          <w:rFonts w:asciiTheme="majorBidi" w:hAnsiTheme="majorBidi" w:cstheme="majorBidi"/>
        </w:rPr>
        <w:tab/>
        <w:t xml:space="preserve">Teniendo en cuenta la información sobre las necesidades esenciales y la homeostasis de los metales/compuestos metálicos. Como consecuencia de esa regulación, el criterio de </w:t>
      </w:r>
      <w:r w:rsidR="008C5013" w:rsidRPr="00802EA2">
        <w:rPr>
          <w:rFonts w:asciiTheme="majorBidi" w:hAnsiTheme="majorBidi" w:cstheme="majorBidi"/>
        </w:rPr>
        <w:t>“</w:t>
      </w:r>
      <w:r w:rsidRPr="00802EA2">
        <w:rPr>
          <w:rFonts w:asciiTheme="majorBidi" w:hAnsiTheme="majorBidi" w:cstheme="majorBidi"/>
        </w:rPr>
        <w:t>bioacumulación</w:t>
      </w:r>
      <w:r w:rsidR="008C5013" w:rsidRPr="00802EA2">
        <w:rPr>
          <w:rFonts w:asciiTheme="majorBidi" w:hAnsiTheme="majorBidi" w:cstheme="majorBidi"/>
        </w:rPr>
        <w:t>”</w:t>
      </w:r>
      <w:r w:rsidRPr="00802EA2">
        <w:rPr>
          <w:rFonts w:asciiTheme="majorBidi" w:hAnsiTheme="majorBidi" w:cstheme="majorBidi"/>
        </w:rPr>
        <w:t xml:space="preserve"> no es aplicable a los metales.</w:t>
      </w:r>
    </w:p>
    <w:p w14:paraId="3E7B0F9D" w14:textId="4764AAF4" w:rsidR="00BD0CAD" w:rsidRPr="00802EA2" w:rsidRDefault="00BD0CAD" w:rsidP="00802EA2">
      <w:pPr>
        <w:pStyle w:val="SingleTxtG"/>
        <w:tabs>
          <w:tab w:val="clear" w:pos="2268"/>
          <w:tab w:val="clear" w:pos="2835"/>
        </w:tabs>
        <w:ind w:left="2835" w:hanging="567"/>
        <w:rPr>
          <w:rFonts w:asciiTheme="majorBidi" w:hAnsiTheme="majorBidi" w:cstheme="majorBidi"/>
          <w:bCs/>
        </w:rPr>
      </w:pPr>
      <w:r w:rsidRPr="00802EA2">
        <w:rPr>
          <w:rFonts w:asciiTheme="majorBidi" w:hAnsiTheme="majorBidi" w:cstheme="majorBidi"/>
        </w:rPr>
        <w:lastRenderedPageBreak/>
        <w:t>b)</w:t>
      </w:r>
      <w:r w:rsidRPr="00802EA2">
        <w:rPr>
          <w:rFonts w:asciiTheme="majorBidi" w:hAnsiTheme="majorBidi" w:cstheme="majorBidi"/>
        </w:rPr>
        <w:tab/>
        <w:t>Evaluando los factores de bioconcentración de metales no esenciales, que debe realizarse preferentemente a partir de estudios de FBC utilizando concentraciones ambientalmente relevantes en los medios de ensayo.</w:t>
      </w:r>
      <w:r w:rsidR="008C5013" w:rsidRPr="00802EA2">
        <w:rPr>
          <w:rFonts w:asciiTheme="majorBidi" w:hAnsiTheme="majorBidi" w:cstheme="majorBidi"/>
        </w:rPr>
        <w:t>”</w:t>
      </w:r>
      <w:r w:rsidRPr="00802EA2">
        <w:rPr>
          <w:rFonts w:asciiTheme="majorBidi" w:hAnsiTheme="majorBidi" w:cstheme="majorBidi"/>
        </w:rPr>
        <w:t>.</w:t>
      </w:r>
    </w:p>
    <w:p w14:paraId="1212BD53" w14:textId="77777777" w:rsidR="00BD0CAD" w:rsidRPr="00802EA2" w:rsidRDefault="00BD0CAD" w:rsidP="00802EA2">
      <w:pPr>
        <w:pStyle w:val="SingleTxtG"/>
        <w:tabs>
          <w:tab w:val="clear" w:pos="1701"/>
        </w:tabs>
        <w:ind w:left="2268" w:hanging="1134"/>
        <w:rPr>
          <w:rFonts w:asciiTheme="majorBidi" w:hAnsiTheme="majorBidi" w:cstheme="majorBidi"/>
        </w:rPr>
      </w:pPr>
      <w:r w:rsidRPr="00802EA2">
        <w:rPr>
          <w:rFonts w:asciiTheme="majorBidi" w:hAnsiTheme="majorBidi" w:cstheme="majorBidi"/>
        </w:rPr>
        <w:t xml:space="preserve">A9.7.5.1.1 </w:t>
      </w:r>
      <w:r w:rsidRPr="00802EA2">
        <w:rPr>
          <w:rFonts w:asciiTheme="majorBidi" w:hAnsiTheme="majorBidi" w:cstheme="majorBidi"/>
        </w:rPr>
        <w:tab/>
        <w:t>Modifíquese para que diga:</w:t>
      </w:r>
    </w:p>
    <w:p w14:paraId="73F5D0F9" w14:textId="0987E345" w:rsidR="00BD0CAD" w:rsidRPr="00802EA2" w:rsidRDefault="008C5013" w:rsidP="00802EA2">
      <w:pPr>
        <w:pStyle w:val="SingleTxtG"/>
        <w:tabs>
          <w:tab w:val="clear" w:pos="1701"/>
        </w:tabs>
        <w:ind w:left="2268"/>
        <w:rPr>
          <w:rFonts w:asciiTheme="majorBidi" w:eastAsiaTheme="minorHAnsi" w:hAnsiTheme="majorBidi" w:cstheme="majorBidi"/>
        </w:rPr>
      </w:pPr>
      <w:r w:rsidRPr="00802EA2">
        <w:rPr>
          <w:rFonts w:asciiTheme="majorBidi" w:hAnsiTheme="majorBidi" w:cstheme="majorBidi"/>
        </w:rPr>
        <w:t>“</w:t>
      </w:r>
      <w:r w:rsidR="00BD0CAD" w:rsidRPr="00802EA2">
        <w:rPr>
          <w:rFonts w:asciiTheme="majorBidi" w:hAnsiTheme="majorBidi" w:cstheme="majorBidi"/>
        </w:rPr>
        <w:t>A9.7.5.1.1</w:t>
      </w:r>
      <w:r w:rsidR="00BD0CAD" w:rsidRPr="00802EA2">
        <w:rPr>
          <w:rFonts w:asciiTheme="majorBidi" w:hAnsiTheme="majorBidi" w:cstheme="majorBidi"/>
        </w:rPr>
        <w:tab/>
        <w:t>Los peligros a corto plazo (agudos) y a largo plazo (crónicos) se evalúan individualmente en el caso de los metales y los compuestos metálicos. Para los peligros a largo plazo, debe darse preferencia a la aplicación del método basado en datos de toxicidad crónica. Estas pruebas suelen estar disponibles para las sales metálicas fácilmente solubles. Seguidamente se describen los procedimientos para la determinación de los peligros a corto y largo plazo de metales y compuestos metálicos para el medio acuático que se resumen en las figuras:</w:t>
      </w:r>
    </w:p>
    <w:p w14:paraId="385EC6A9" w14:textId="77777777" w:rsidR="00BD0CAD" w:rsidRPr="00802EA2" w:rsidRDefault="00BD0CAD" w:rsidP="00802EA2">
      <w:pPr>
        <w:pStyle w:val="SingleTxtG"/>
        <w:tabs>
          <w:tab w:val="clear" w:pos="2268"/>
        </w:tabs>
        <w:ind w:left="2835" w:hanging="567"/>
        <w:rPr>
          <w:rFonts w:asciiTheme="majorBidi" w:eastAsiaTheme="minorHAnsi" w:hAnsiTheme="majorBidi" w:cstheme="majorBidi"/>
        </w:rPr>
      </w:pPr>
      <w:r w:rsidRPr="00802EA2">
        <w:rPr>
          <w:rFonts w:asciiTheme="majorBidi" w:hAnsiTheme="majorBidi" w:cstheme="majorBidi"/>
        </w:rPr>
        <w:t>a)</w:t>
      </w:r>
      <w:r w:rsidRPr="00802EA2">
        <w:rPr>
          <w:rFonts w:asciiTheme="majorBidi" w:hAnsiTheme="majorBidi" w:cstheme="majorBidi"/>
        </w:rPr>
        <w:tab/>
        <w:t>A9.7.1 (clasificación de peligrosidad a corto plazo de los metales);</w:t>
      </w:r>
    </w:p>
    <w:p w14:paraId="26F811F2" w14:textId="77777777" w:rsidR="00BD0CAD" w:rsidRPr="00802EA2" w:rsidRDefault="00BD0CAD" w:rsidP="00802EA2">
      <w:pPr>
        <w:pStyle w:val="SingleTxtG"/>
        <w:tabs>
          <w:tab w:val="clear" w:pos="2268"/>
        </w:tabs>
        <w:ind w:left="2835" w:hanging="567"/>
        <w:rPr>
          <w:rFonts w:asciiTheme="majorBidi" w:eastAsiaTheme="minorHAnsi" w:hAnsiTheme="majorBidi" w:cstheme="majorBidi"/>
        </w:rPr>
      </w:pPr>
      <w:r w:rsidRPr="00802EA2">
        <w:rPr>
          <w:rFonts w:asciiTheme="majorBidi" w:hAnsiTheme="majorBidi" w:cstheme="majorBidi"/>
        </w:rPr>
        <w:t>b)</w:t>
      </w:r>
      <w:r w:rsidRPr="00802EA2">
        <w:rPr>
          <w:rFonts w:asciiTheme="majorBidi" w:hAnsiTheme="majorBidi" w:cstheme="majorBidi"/>
        </w:rPr>
        <w:tab/>
        <w:t>A9.7.2 y A9.7.3 (clasificación de peligrosidad a largo plazo de los metales);</w:t>
      </w:r>
    </w:p>
    <w:p w14:paraId="15D52E82" w14:textId="77777777" w:rsidR="00BD0CAD" w:rsidRPr="00802EA2" w:rsidRDefault="00BD0CAD" w:rsidP="00802EA2">
      <w:pPr>
        <w:pStyle w:val="SingleTxtG"/>
        <w:tabs>
          <w:tab w:val="clear" w:pos="2268"/>
        </w:tabs>
        <w:ind w:left="2835" w:hanging="567"/>
        <w:rPr>
          <w:rFonts w:asciiTheme="majorBidi" w:eastAsiaTheme="minorHAnsi" w:hAnsiTheme="majorBidi" w:cstheme="majorBidi"/>
        </w:rPr>
      </w:pPr>
      <w:r w:rsidRPr="00802EA2">
        <w:rPr>
          <w:rFonts w:asciiTheme="majorBidi" w:hAnsiTheme="majorBidi" w:cstheme="majorBidi"/>
        </w:rPr>
        <w:t>c)</w:t>
      </w:r>
      <w:r w:rsidRPr="00802EA2">
        <w:rPr>
          <w:rFonts w:asciiTheme="majorBidi" w:hAnsiTheme="majorBidi" w:cstheme="majorBidi"/>
        </w:rPr>
        <w:tab/>
        <w:t>A9.7.4 (clasificación de peligrosidad a corto plazo de los compuestos metálicos);</w:t>
      </w:r>
    </w:p>
    <w:p w14:paraId="2E65F08B" w14:textId="77777777" w:rsidR="00BD0CAD" w:rsidRPr="00802EA2" w:rsidRDefault="00BD0CAD" w:rsidP="00802EA2">
      <w:pPr>
        <w:pStyle w:val="SingleTxtG"/>
        <w:tabs>
          <w:tab w:val="clear" w:pos="2268"/>
        </w:tabs>
        <w:ind w:left="2835" w:hanging="567"/>
        <w:rPr>
          <w:rFonts w:asciiTheme="majorBidi" w:eastAsiaTheme="minorHAnsi" w:hAnsiTheme="majorBidi" w:cstheme="majorBidi"/>
        </w:rPr>
      </w:pPr>
      <w:r w:rsidRPr="00802EA2">
        <w:rPr>
          <w:rFonts w:asciiTheme="majorBidi" w:hAnsiTheme="majorBidi" w:cstheme="majorBidi"/>
        </w:rPr>
        <w:t>d)</w:t>
      </w:r>
      <w:r w:rsidRPr="00802EA2">
        <w:rPr>
          <w:rFonts w:asciiTheme="majorBidi" w:hAnsiTheme="majorBidi" w:cstheme="majorBidi"/>
        </w:rPr>
        <w:tab/>
        <w:t xml:space="preserve">A9.7.5 (clasificación de peligrosidad a largo plazo de los compuestos metálicos). </w:t>
      </w:r>
    </w:p>
    <w:p w14:paraId="17C9CAA2" w14:textId="77777777" w:rsidR="00BD0CAD" w:rsidRPr="00802EA2" w:rsidRDefault="00BD0CAD" w:rsidP="00802EA2">
      <w:pPr>
        <w:pStyle w:val="SingleTxtG"/>
        <w:ind w:left="2268"/>
        <w:rPr>
          <w:rFonts w:asciiTheme="majorBidi" w:eastAsiaTheme="minorHAnsi" w:hAnsiTheme="majorBidi" w:cstheme="majorBidi"/>
        </w:rPr>
      </w:pPr>
      <w:r w:rsidRPr="00802EA2">
        <w:rPr>
          <w:rFonts w:asciiTheme="majorBidi" w:hAnsiTheme="majorBidi" w:cstheme="majorBidi"/>
        </w:rPr>
        <w:t>A9.7.5.1.1.1</w:t>
      </w:r>
      <w:r w:rsidRPr="00802EA2">
        <w:rPr>
          <w:rFonts w:asciiTheme="majorBidi" w:hAnsiTheme="majorBidi" w:cstheme="majorBidi"/>
        </w:rPr>
        <w:tab/>
        <w:t xml:space="preserve">Esos procedimientos comprenden varias etapas, en las que los datos se utilizan para tomar decisiones. El objetivo de los procedimientos de clasificación no es generar datos nuevos. A falta de información válida, será necesario usar todos los datos disponibles y recurrir a la opinión de los expertos. </w:t>
      </w:r>
    </w:p>
    <w:p w14:paraId="336F5CEE" w14:textId="0A1EF958" w:rsidR="00BD0CAD" w:rsidRPr="00802EA2" w:rsidRDefault="00BD0CAD" w:rsidP="00802EA2">
      <w:pPr>
        <w:pStyle w:val="SingleTxtG"/>
        <w:ind w:left="2268"/>
        <w:rPr>
          <w:rFonts w:asciiTheme="majorBidi" w:eastAsiaTheme="minorHAnsi" w:hAnsiTheme="majorBidi" w:cstheme="majorBidi"/>
        </w:rPr>
      </w:pPr>
      <w:r w:rsidRPr="00802EA2">
        <w:rPr>
          <w:rFonts w:asciiTheme="majorBidi" w:hAnsiTheme="majorBidi" w:cstheme="majorBidi"/>
        </w:rPr>
        <w:t>A9.7.5.1.1.2</w:t>
      </w:r>
      <w:r w:rsidRPr="00802EA2">
        <w:rPr>
          <w:rFonts w:asciiTheme="majorBidi" w:hAnsiTheme="majorBidi" w:cstheme="majorBidi"/>
        </w:rPr>
        <w:tab/>
        <w:t>En las secciones siguientes, la referencia a los VRE de toxicidad aguda y crónica remite a la información de los datos que se usarán para seleccionar las categorías de peligro del metal o compuesto metálico.</w:t>
      </w:r>
      <w:r w:rsidR="008C5013" w:rsidRPr="00802EA2">
        <w:rPr>
          <w:rFonts w:asciiTheme="majorBidi" w:hAnsiTheme="majorBidi" w:cstheme="majorBidi"/>
        </w:rPr>
        <w:t>”</w:t>
      </w:r>
      <w:r w:rsidRPr="00802EA2">
        <w:rPr>
          <w:rFonts w:asciiTheme="majorBidi" w:hAnsiTheme="majorBidi" w:cstheme="majorBidi"/>
        </w:rPr>
        <w:t>.</w:t>
      </w:r>
    </w:p>
    <w:p w14:paraId="524CD327" w14:textId="77777777" w:rsidR="00BD0CAD" w:rsidRPr="00802EA2" w:rsidRDefault="00BD0CAD" w:rsidP="00802EA2">
      <w:pPr>
        <w:pStyle w:val="SingleTxtG"/>
        <w:tabs>
          <w:tab w:val="clear" w:pos="1701"/>
        </w:tabs>
        <w:rPr>
          <w:rFonts w:asciiTheme="majorBidi" w:eastAsiaTheme="minorHAnsi" w:hAnsiTheme="majorBidi" w:cstheme="majorBidi"/>
        </w:rPr>
      </w:pPr>
      <w:r w:rsidRPr="00802EA2">
        <w:rPr>
          <w:rFonts w:asciiTheme="majorBidi" w:hAnsiTheme="majorBidi" w:cstheme="majorBidi"/>
        </w:rPr>
        <w:t>A9.7.5.1.2</w:t>
      </w:r>
      <w:r w:rsidRPr="00802EA2">
        <w:rPr>
          <w:rFonts w:asciiTheme="majorBidi" w:hAnsiTheme="majorBidi" w:cstheme="majorBidi"/>
        </w:rPr>
        <w:tab/>
        <w:t>Modifíquese para que diga:</w:t>
      </w:r>
    </w:p>
    <w:p w14:paraId="684D5DF3" w14:textId="615B2AB9" w:rsidR="00BD0CAD" w:rsidRPr="00802EA2" w:rsidRDefault="008C5013" w:rsidP="00802EA2">
      <w:pPr>
        <w:pStyle w:val="SingleTxtG"/>
        <w:tabs>
          <w:tab w:val="clear" w:pos="1701"/>
        </w:tabs>
        <w:ind w:left="2268"/>
        <w:rPr>
          <w:rFonts w:asciiTheme="majorBidi" w:eastAsiaTheme="minorHAnsi" w:hAnsiTheme="majorBidi" w:cstheme="majorBidi"/>
        </w:rPr>
      </w:pPr>
      <w:r w:rsidRPr="00802EA2">
        <w:rPr>
          <w:rFonts w:asciiTheme="majorBidi" w:hAnsiTheme="majorBidi" w:cstheme="majorBidi"/>
        </w:rPr>
        <w:t>“</w:t>
      </w:r>
      <w:r w:rsidR="00BD0CAD" w:rsidRPr="00802EA2">
        <w:rPr>
          <w:rFonts w:asciiTheme="majorBidi" w:hAnsiTheme="majorBidi" w:cstheme="majorBidi"/>
        </w:rPr>
        <w:t>A9.7.5.1.2</w:t>
      </w:r>
      <w:r w:rsidR="00BD0CAD" w:rsidRPr="00802EA2">
        <w:rPr>
          <w:rFonts w:asciiTheme="majorBidi" w:hAnsiTheme="majorBidi" w:cstheme="majorBidi"/>
        </w:rPr>
        <w:tab/>
        <w:t>Al considerar los VRE de toxicidad aguda y crónica de compuestos metálicos (VRE</w:t>
      </w:r>
      <w:r w:rsidR="00BD0CAD" w:rsidRPr="00802EA2">
        <w:rPr>
          <w:rFonts w:asciiTheme="majorBidi" w:hAnsiTheme="majorBidi" w:cstheme="majorBidi"/>
          <w:vertAlign w:val="subscript"/>
        </w:rPr>
        <w:t>compuesto</w:t>
      </w:r>
      <w:r w:rsidR="00BD0CAD" w:rsidRPr="00802EA2">
        <w:rPr>
          <w:rFonts w:asciiTheme="majorBidi" w:hAnsiTheme="majorBidi" w:cstheme="majorBidi"/>
        </w:rPr>
        <w:t>), es importante asegurarse de que los datos que se usen para justificar la clasificación se expresen mediante el peso de la molécula del compuesto metálico que hay que clasificar. Esto se conoce con el nombre de corrección en función del peso molecular. Así, si bien casi todos los datos de los metales se expresan, por ejemplo, en mg de ion metálico disuelto por litro (abreviado como VRE</w:t>
      </w:r>
      <w:r w:rsidR="00BD0CAD" w:rsidRPr="00802EA2">
        <w:rPr>
          <w:rFonts w:asciiTheme="majorBidi" w:hAnsiTheme="majorBidi" w:cstheme="majorBidi"/>
          <w:vertAlign w:val="subscript"/>
        </w:rPr>
        <w:t>ion</w:t>
      </w:r>
      <w:r w:rsidR="00BD0CAD" w:rsidRPr="00802EA2">
        <w:rPr>
          <w:rFonts w:asciiTheme="majorBidi" w:hAnsiTheme="majorBidi" w:cstheme="majorBidi"/>
        </w:rPr>
        <w:t>), ese valor tendrá que ajustarse al peso correspondiente del compuesto metálico. Por tanto:</w:t>
      </w:r>
    </w:p>
    <w:p w14:paraId="7B1A2ADC" w14:textId="77777777" w:rsidR="00BD0CAD" w:rsidRPr="00802EA2" w:rsidRDefault="00BD0CAD" w:rsidP="00802EA2">
      <w:pPr>
        <w:pStyle w:val="SingleTxtG"/>
        <w:ind w:left="2835" w:firstLine="567"/>
        <w:rPr>
          <w:rFonts w:asciiTheme="majorBidi" w:eastAsiaTheme="minorHAnsi" w:hAnsiTheme="majorBidi" w:cstheme="majorBidi"/>
        </w:rPr>
      </w:pPr>
      <w:r w:rsidRPr="00802EA2">
        <w:rPr>
          <w:rFonts w:asciiTheme="majorBidi" w:hAnsiTheme="majorBidi" w:cstheme="majorBidi"/>
        </w:rPr>
        <w:t>VRE</w:t>
      </w:r>
      <w:r w:rsidRPr="00802EA2">
        <w:rPr>
          <w:rFonts w:asciiTheme="majorBidi" w:hAnsiTheme="majorBidi" w:cstheme="majorBidi"/>
          <w:vertAlign w:val="subscript"/>
        </w:rPr>
        <w:t>compuesto</w:t>
      </w:r>
      <w:r w:rsidRPr="00802EA2">
        <w:rPr>
          <w:rFonts w:asciiTheme="majorBidi" w:hAnsiTheme="majorBidi" w:cstheme="majorBidi"/>
        </w:rPr>
        <w:t xml:space="preserve"> = VRE</w:t>
      </w:r>
      <w:r w:rsidRPr="00802EA2">
        <w:rPr>
          <w:rFonts w:asciiTheme="majorBidi" w:hAnsiTheme="majorBidi" w:cstheme="majorBidi"/>
          <w:vertAlign w:val="subscript"/>
        </w:rPr>
        <w:t>ion</w:t>
      </w:r>
      <w:r w:rsidRPr="00802EA2">
        <w:rPr>
          <w:rFonts w:asciiTheme="majorBidi" w:hAnsiTheme="majorBidi" w:cstheme="majorBidi"/>
        </w:rPr>
        <w:t xml:space="preserve"> x </w:t>
      </w:r>
    </w:p>
    <w:p w14:paraId="35EB363B" w14:textId="77777777" w:rsidR="00BD0CAD" w:rsidRPr="00802EA2" w:rsidRDefault="00BD0CAD" w:rsidP="00802EA2">
      <w:pPr>
        <w:pStyle w:val="SingleTxtG"/>
        <w:ind w:left="2268"/>
        <w:rPr>
          <w:rFonts w:asciiTheme="majorBidi" w:eastAsiaTheme="minorHAnsi" w:hAnsiTheme="majorBidi" w:cstheme="majorBidi"/>
        </w:rPr>
      </w:pPr>
      <w:r w:rsidRPr="00802EA2">
        <w:rPr>
          <w:rFonts w:asciiTheme="majorBidi" w:hAnsiTheme="majorBidi" w:cstheme="majorBidi"/>
        </w:rPr>
        <w:t>(Peso molecular del compuesto metálico / Σ peso atómico del átomo o los átomos del metal en el compuesto)</w:t>
      </w:r>
    </w:p>
    <w:p w14:paraId="1B8C3619" w14:textId="77777777" w:rsidR="00BD0CAD" w:rsidRPr="00802EA2" w:rsidRDefault="00BD0CAD" w:rsidP="00802EA2">
      <w:pPr>
        <w:pStyle w:val="SingleTxtG"/>
        <w:ind w:left="2268"/>
        <w:rPr>
          <w:rFonts w:asciiTheme="majorBidi" w:eastAsiaTheme="minorHAnsi" w:hAnsiTheme="majorBidi" w:cstheme="majorBidi"/>
        </w:rPr>
      </w:pPr>
      <w:r w:rsidRPr="00802EA2">
        <w:rPr>
          <w:rFonts w:asciiTheme="majorBidi" w:hAnsiTheme="majorBidi" w:cstheme="majorBidi"/>
        </w:rPr>
        <w:t>donde:</w:t>
      </w:r>
    </w:p>
    <w:p w14:paraId="6D042D8D" w14:textId="77777777" w:rsidR="00BD0CAD" w:rsidRPr="00802EA2" w:rsidRDefault="00BD0CAD" w:rsidP="00802EA2">
      <w:pPr>
        <w:pStyle w:val="SingleTxtG"/>
        <w:ind w:left="2835"/>
        <w:rPr>
          <w:rFonts w:asciiTheme="majorBidi" w:eastAsiaTheme="minorHAnsi" w:hAnsiTheme="majorBidi" w:cstheme="majorBidi"/>
        </w:rPr>
      </w:pPr>
      <w:r w:rsidRPr="00802EA2">
        <w:rPr>
          <w:rFonts w:asciiTheme="majorBidi" w:hAnsiTheme="majorBidi" w:cstheme="majorBidi"/>
        </w:rPr>
        <w:t>VRE</w:t>
      </w:r>
      <w:r w:rsidRPr="00802EA2">
        <w:rPr>
          <w:rFonts w:asciiTheme="majorBidi" w:hAnsiTheme="majorBidi" w:cstheme="majorBidi"/>
          <w:vertAlign w:val="subscript"/>
        </w:rPr>
        <w:t>compuesto</w:t>
      </w:r>
      <w:r w:rsidRPr="00802EA2">
        <w:rPr>
          <w:rFonts w:asciiTheme="majorBidi" w:hAnsiTheme="majorBidi" w:cstheme="majorBidi"/>
        </w:rPr>
        <w:t xml:space="preserve"> = VRE del compuesto metálico</w:t>
      </w:r>
    </w:p>
    <w:p w14:paraId="54547D92" w14:textId="16F9D395" w:rsidR="00BD0CAD" w:rsidRPr="00802EA2" w:rsidRDefault="00BD0CAD" w:rsidP="00802EA2">
      <w:pPr>
        <w:pStyle w:val="SingleTxtG"/>
        <w:ind w:left="2835"/>
        <w:rPr>
          <w:rFonts w:asciiTheme="majorBidi" w:eastAsiaTheme="minorHAnsi" w:hAnsiTheme="majorBidi" w:cstheme="majorBidi"/>
        </w:rPr>
      </w:pPr>
      <w:r w:rsidRPr="00802EA2">
        <w:rPr>
          <w:rFonts w:asciiTheme="majorBidi" w:hAnsiTheme="majorBidi" w:cstheme="majorBidi"/>
        </w:rPr>
        <w:t>VRE</w:t>
      </w:r>
      <w:r w:rsidRPr="00802EA2">
        <w:rPr>
          <w:rFonts w:asciiTheme="majorBidi" w:hAnsiTheme="majorBidi" w:cstheme="majorBidi"/>
          <w:vertAlign w:val="subscript"/>
        </w:rPr>
        <w:t>ion</w:t>
      </w:r>
      <w:r w:rsidRPr="00802EA2">
        <w:rPr>
          <w:rFonts w:asciiTheme="majorBidi" w:hAnsiTheme="majorBidi" w:cstheme="majorBidi"/>
        </w:rPr>
        <w:t xml:space="preserve"> = VRE del ion metálico disuelto</w:t>
      </w:r>
      <w:r w:rsidR="008C5013" w:rsidRPr="00802EA2">
        <w:rPr>
          <w:rFonts w:asciiTheme="majorBidi" w:hAnsiTheme="majorBidi" w:cstheme="majorBidi"/>
        </w:rPr>
        <w:t>”</w:t>
      </w:r>
    </w:p>
    <w:p w14:paraId="486233EA" w14:textId="27DDFDA8" w:rsidR="00BD0CAD" w:rsidRPr="00802EA2" w:rsidRDefault="00BD0CAD" w:rsidP="00802EA2">
      <w:pPr>
        <w:pStyle w:val="SingleTxtG"/>
        <w:tabs>
          <w:tab w:val="left" w:pos="1985"/>
        </w:tabs>
        <w:rPr>
          <w:rFonts w:asciiTheme="majorBidi" w:eastAsiaTheme="minorHAnsi" w:hAnsiTheme="majorBidi" w:cstheme="majorBidi"/>
        </w:rPr>
      </w:pPr>
      <w:r w:rsidRPr="00802EA2">
        <w:rPr>
          <w:rFonts w:asciiTheme="majorBidi" w:hAnsiTheme="majorBidi" w:cstheme="majorBidi"/>
        </w:rPr>
        <w:t>A9.7.5.2 a A9.7.5.2.4.2</w:t>
      </w:r>
      <w:r w:rsidR="008C5013" w:rsidRPr="00802EA2">
        <w:rPr>
          <w:rFonts w:asciiTheme="majorBidi" w:hAnsiTheme="majorBidi" w:cstheme="majorBidi"/>
        </w:rPr>
        <w:t xml:space="preserve"> </w:t>
      </w:r>
      <w:r w:rsidRPr="00802EA2">
        <w:rPr>
          <w:rFonts w:asciiTheme="majorBidi" w:hAnsiTheme="majorBidi" w:cstheme="majorBidi"/>
        </w:rPr>
        <w:tab/>
        <w:t>Sustitúyase por:</w:t>
      </w:r>
    </w:p>
    <w:p w14:paraId="7A6E64BB" w14:textId="113A1478" w:rsidR="00BD0CAD" w:rsidRPr="00802EA2" w:rsidRDefault="008C5013" w:rsidP="00802EA2">
      <w:pPr>
        <w:pStyle w:val="SingleTxtG"/>
        <w:ind w:left="2268"/>
        <w:rPr>
          <w:rFonts w:asciiTheme="majorBidi" w:eastAsiaTheme="minorHAnsi" w:hAnsiTheme="majorBidi" w:cstheme="majorBidi"/>
          <w:i/>
          <w:iCs/>
        </w:rPr>
      </w:pPr>
      <w:r w:rsidRPr="00802EA2">
        <w:rPr>
          <w:rFonts w:asciiTheme="majorBidi" w:hAnsiTheme="majorBidi" w:cstheme="majorBidi"/>
        </w:rPr>
        <w:t>“</w:t>
      </w:r>
      <w:r w:rsidR="00BD0CAD" w:rsidRPr="00802EA2">
        <w:rPr>
          <w:rFonts w:asciiTheme="majorBidi" w:hAnsiTheme="majorBidi" w:cstheme="majorBidi"/>
        </w:rPr>
        <w:t>A9.7.5.2</w:t>
      </w:r>
      <w:r w:rsidR="00BD0CAD" w:rsidRPr="00802EA2">
        <w:rPr>
          <w:rFonts w:asciiTheme="majorBidi" w:hAnsiTheme="majorBidi" w:cstheme="majorBidi"/>
        </w:rPr>
        <w:tab/>
      </w:r>
      <w:r w:rsidR="00BD0CAD" w:rsidRPr="00802EA2">
        <w:rPr>
          <w:rFonts w:asciiTheme="majorBidi" w:hAnsiTheme="majorBidi" w:cstheme="majorBidi"/>
          <w:i/>
          <w:iCs/>
        </w:rPr>
        <w:t>Estrategia de clasificación de los metales</w:t>
      </w:r>
    </w:p>
    <w:p w14:paraId="781B5A22" w14:textId="77777777" w:rsidR="00BD0CAD" w:rsidRPr="00802EA2" w:rsidRDefault="00BD0CAD" w:rsidP="00802EA2">
      <w:pPr>
        <w:pStyle w:val="SingleTxtG"/>
        <w:ind w:left="2268"/>
        <w:rPr>
          <w:rFonts w:asciiTheme="majorBidi" w:eastAsiaTheme="minorHAnsi" w:hAnsiTheme="majorBidi" w:cstheme="majorBidi"/>
          <w:i/>
          <w:iCs/>
        </w:rPr>
      </w:pPr>
      <w:r w:rsidRPr="00802EA2">
        <w:rPr>
          <w:rFonts w:asciiTheme="majorBidi" w:hAnsiTheme="majorBidi" w:cstheme="majorBidi"/>
        </w:rPr>
        <w:t>A9.7.5.2.1</w:t>
      </w:r>
      <w:r w:rsidRPr="00802EA2">
        <w:rPr>
          <w:rFonts w:asciiTheme="majorBidi" w:hAnsiTheme="majorBidi" w:cstheme="majorBidi"/>
        </w:rPr>
        <w:tab/>
      </w:r>
      <w:r w:rsidRPr="00802EA2">
        <w:rPr>
          <w:rFonts w:asciiTheme="majorBidi" w:hAnsiTheme="majorBidi" w:cstheme="majorBidi"/>
          <w:i/>
          <w:iCs/>
        </w:rPr>
        <w:t>Peligro a corto plazo (agudo) de los metales para el medio acuático</w:t>
      </w:r>
    </w:p>
    <w:p w14:paraId="4C5DC276" w14:textId="77777777" w:rsidR="00BD0CAD" w:rsidRPr="00802EA2" w:rsidRDefault="00BD0CAD" w:rsidP="00802EA2">
      <w:pPr>
        <w:pStyle w:val="SingleTxtG"/>
        <w:ind w:left="2268"/>
        <w:rPr>
          <w:rFonts w:asciiTheme="majorBidi" w:eastAsiaTheme="minorHAnsi" w:hAnsiTheme="majorBidi" w:cstheme="majorBidi"/>
        </w:rPr>
      </w:pPr>
      <w:r w:rsidRPr="00802EA2">
        <w:rPr>
          <w:rFonts w:asciiTheme="majorBidi" w:hAnsiTheme="majorBidi" w:cstheme="majorBidi"/>
        </w:rPr>
        <w:t>A9.7.5.2.1.1</w:t>
      </w:r>
      <w:r w:rsidRPr="00802EA2">
        <w:rPr>
          <w:rFonts w:asciiTheme="majorBidi" w:hAnsiTheme="majorBidi" w:cstheme="majorBidi"/>
        </w:rPr>
        <w:tab/>
        <w:t>El procedimiento para determinar el peligro a corto plazo (agudo) de los metales para el medio acuático se describe en esta sección y se resume en la figura A9.7.1.</w:t>
      </w:r>
    </w:p>
    <w:p w14:paraId="43FA094D" w14:textId="77777777" w:rsidR="00BD0CAD" w:rsidRPr="00802EA2" w:rsidRDefault="00BD0CAD" w:rsidP="00802EA2">
      <w:pPr>
        <w:pStyle w:val="SingleTxtG"/>
        <w:ind w:left="2268"/>
        <w:rPr>
          <w:rFonts w:asciiTheme="majorBidi" w:eastAsiaTheme="minorHAnsi" w:hAnsiTheme="majorBidi" w:cstheme="majorBidi"/>
        </w:rPr>
      </w:pPr>
      <w:r w:rsidRPr="00802EA2">
        <w:rPr>
          <w:rFonts w:asciiTheme="majorBidi" w:hAnsiTheme="majorBidi" w:cstheme="majorBidi"/>
        </w:rPr>
        <w:lastRenderedPageBreak/>
        <w:t>A9.7.5.2.1.2</w:t>
      </w:r>
      <w:r w:rsidRPr="00802EA2">
        <w:rPr>
          <w:rFonts w:asciiTheme="majorBidi" w:hAnsiTheme="majorBidi" w:cstheme="majorBidi"/>
        </w:rPr>
        <w:tab/>
        <w:t>Cuando el VRE de toxicidad aguda de los iones metálicos disueltos considerado sea superior a 100 mg/l, no habrá que seguir con el procedimiento de clasificación para los metales de que se trate.</w:t>
      </w:r>
    </w:p>
    <w:p w14:paraId="6A43A00B" w14:textId="77777777" w:rsidR="00BD0CAD" w:rsidRPr="00802EA2" w:rsidRDefault="00BD0CAD" w:rsidP="00802EA2">
      <w:pPr>
        <w:pStyle w:val="SingleTxtG"/>
        <w:ind w:left="2268"/>
        <w:rPr>
          <w:rFonts w:asciiTheme="majorBidi" w:eastAsiaTheme="minorHAnsi" w:hAnsiTheme="majorBidi" w:cstheme="majorBidi"/>
        </w:rPr>
      </w:pPr>
      <w:r w:rsidRPr="00802EA2">
        <w:rPr>
          <w:rFonts w:asciiTheme="majorBidi" w:hAnsiTheme="majorBidi" w:cstheme="majorBidi"/>
        </w:rPr>
        <w:t>A9.7.5.2.1.3</w:t>
      </w:r>
      <w:r w:rsidRPr="00802EA2">
        <w:rPr>
          <w:rFonts w:asciiTheme="majorBidi" w:hAnsiTheme="majorBidi" w:cstheme="majorBidi"/>
        </w:rPr>
        <w:tab/>
        <w:t xml:space="preserve">Cuando el VRE de toxicidad aguda de los iones metálicos disueltos sea igual o inferior a 100 mg/l, habrá que examinar los datos disponibles sobre la velocidad y la extensión de la producción de iones a partir del metal. Para que sean válidos y puedan utilizarse, estos datos deberán haberse obtenido con el protocolo de transformación/disolución (anexo 10). </w:t>
      </w:r>
    </w:p>
    <w:p w14:paraId="3F5FB45E" w14:textId="77777777" w:rsidR="00BD0CAD" w:rsidRPr="00802EA2" w:rsidRDefault="00BD0CAD" w:rsidP="00802EA2">
      <w:pPr>
        <w:pStyle w:val="SingleTxtG"/>
        <w:ind w:left="2268"/>
        <w:rPr>
          <w:rFonts w:asciiTheme="majorBidi" w:eastAsiaTheme="minorHAnsi" w:hAnsiTheme="majorBidi" w:cstheme="majorBidi"/>
        </w:rPr>
      </w:pPr>
      <w:r w:rsidRPr="00802EA2">
        <w:rPr>
          <w:rFonts w:asciiTheme="majorBidi" w:hAnsiTheme="majorBidi" w:cstheme="majorBidi"/>
        </w:rPr>
        <w:t>A9.7.5.2.1.4</w:t>
      </w:r>
      <w:r w:rsidRPr="00802EA2">
        <w:rPr>
          <w:rFonts w:asciiTheme="majorBidi" w:hAnsiTheme="majorBidi" w:cstheme="majorBidi"/>
        </w:rPr>
        <w:tab/>
        <w:t>Cuando se disponga de datos de 7 días procedentes del protocolo de transformación/disolución, los resultados deberían usarse para facilitar la clasificación con arreglo a las normas que figuran a continuación. Clasifíquese el metal como:</w:t>
      </w:r>
    </w:p>
    <w:p w14:paraId="559742FA" w14:textId="77777777" w:rsidR="00BD0CAD" w:rsidRPr="00802EA2" w:rsidRDefault="00BD0CAD" w:rsidP="00802EA2">
      <w:pPr>
        <w:pStyle w:val="SingleTxtG"/>
        <w:ind w:left="2694" w:hanging="426"/>
        <w:rPr>
          <w:rFonts w:asciiTheme="majorBidi" w:eastAsiaTheme="minorHAnsi" w:hAnsiTheme="majorBidi" w:cstheme="majorBidi"/>
        </w:rPr>
      </w:pPr>
      <w:r w:rsidRPr="00802EA2">
        <w:rPr>
          <w:rFonts w:asciiTheme="majorBidi" w:hAnsiTheme="majorBidi" w:cstheme="majorBidi"/>
        </w:rPr>
        <w:t>a)</w:t>
      </w:r>
      <w:r w:rsidRPr="00802EA2">
        <w:rPr>
          <w:rFonts w:asciiTheme="majorBidi" w:hAnsiTheme="majorBidi" w:cstheme="majorBidi"/>
        </w:rPr>
        <w:tab/>
        <w:t xml:space="preserve">Categoría Aguda 1 si la concentración de iones metálicos disueltos para bajas cantidades del producto es superior o igual al VRE de toxicidad aguda. Asígnese un factor M Agudo según la tabla A9.7.1; </w:t>
      </w:r>
    </w:p>
    <w:p w14:paraId="26F15FF1" w14:textId="77777777" w:rsidR="00BD0CAD" w:rsidRPr="00802EA2" w:rsidRDefault="00BD0CAD" w:rsidP="00802EA2">
      <w:pPr>
        <w:pStyle w:val="SingleTxtG"/>
        <w:ind w:left="2694" w:hanging="426"/>
        <w:rPr>
          <w:rFonts w:asciiTheme="majorBidi" w:eastAsiaTheme="minorHAnsi" w:hAnsiTheme="majorBidi" w:cstheme="majorBidi"/>
        </w:rPr>
      </w:pPr>
      <w:r w:rsidRPr="00802EA2">
        <w:rPr>
          <w:rFonts w:asciiTheme="majorBidi" w:hAnsiTheme="majorBidi" w:cstheme="majorBidi"/>
        </w:rPr>
        <w:t>b)</w:t>
      </w:r>
      <w:r w:rsidRPr="00802EA2">
        <w:rPr>
          <w:rFonts w:asciiTheme="majorBidi" w:hAnsiTheme="majorBidi" w:cstheme="majorBidi"/>
        </w:rPr>
        <w:tab/>
        <w:t xml:space="preserve">Categoría Aguda 2 si la concentración de iones metálicos disueltos para bajas cantidades del producto es inferior al VRE de toxicidad aguda, pero para el nivel medio de cantidad añadida del producto es superior o igual al VRE de toxicidad aguda; </w:t>
      </w:r>
    </w:p>
    <w:p w14:paraId="14FA6257" w14:textId="77777777" w:rsidR="00BD0CAD" w:rsidRPr="00802EA2" w:rsidRDefault="00BD0CAD" w:rsidP="00802EA2">
      <w:pPr>
        <w:pStyle w:val="SingleTxtG"/>
        <w:ind w:left="2694" w:hanging="426"/>
        <w:rPr>
          <w:rFonts w:asciiTheme="majorBidi" w:eastAsiaTheme="minorHAnsi" w:hAnsiTheme="majorBidi" w:cstheme="majorBidi"/>
        </w:rPr>
      </w:pPr>
      <w:r w:rsidRPr="00802EA2">
        <w:rPr>
          <w:rFonts w:asciiTheme="majorBidi" w:hAnsiTheme="majorBidi" w:cstheme="majorBidi"/>
        </w:rPr>
        <w:t>c)</w:t>
      </w:r>
      <w:r w:rsidRPr="00802EA2">
        <w:rPr>
          <w:rFonts w:asciiTheme="majorBidi" w:hAnsiTheme="majorBidi" w:cstheme="majorBidi"/>
        </w:rPr>
        <w:tab/>
        <w:t xml:space="preserve">Categoría Aguda 3 si la concentración de iones metálicos disueltos para cantidades de producto bajas y medias es inferior al VRE de toxicidad aguda, pero con un nivel bajo de cantidad añadida es superior o igual al VRE de toxicidad aguda. </w:t>
      </w:r>
    </w:p>
    <w:p w14:paraId="649B6983" w14:textId="77777777" w:rsidR="00BD0CAD" w:rsidRPr="00802EA2" w:rsidRDefault="00BD0CAD" w:rsidP="00802EA2">
      <w:pPr>
        <w:pStyle w:val="SingleTxtG"/>
        <w:ind w:left="2268"/>
        <w:rPr>
          <w:rFonts w:asciiTheme="majorBidi" w:eastAsiaTheme="minorHAnsi" w:hAnsiTheme="majorBidi" w:cstheme="majorBidi"/>
        </w:rPr>
      </w:pPr>
      <w:r w:rsidRPr="00802EA2">
        <w:rPr>
          <w:rFonts w:asciiTheme="majorBidi" w:hAnsiTheme="majorBidi" w:cstheme="majorBidi"/>
        </w:rPr>
        <w:t>No debe clasificarse el metal en función del peligro a corto plazo para el medio acuático si la concentración de metales disueltos con todas las cantidades de producto añadido es inferior al VRE de toxicidad aguda.</w:t>
      </w:r>
    </w:p>
    <w:p w14:paraId="392BB27D" w14:textId="77777777" w:rsidR="00BD0CAD" w:rsidRPr="00FC4465" w:rsidRDefault="00BD0CAD" w:rsidP="00F3101D">
      <w:pPr>
        <w:pStyle w:val="SingleTxtG"/>
        <w:keepNext/>
        <w:keepLines/>
        <w:tabs>
          <w:tab w:val="clear" w:pos="1701"/>
          <w:tab w:val="clear" w:pos="2268"/>
          <w:tab w:val="clear" w:pos="2835"/>
        </w:tabs>
        <w:ind w:left="1778" w:right="651"/>
        <w:jc w:val="center"/>
        <w:rPr>
          <w:rFonts w:asciiTheme="majorBidi" w:eastAsiaTheme="minorHAnsi" w:hAnsiTheme="majorBidi" w:cstheme="majorBidi"/>
          <w:b/>
          <w:bCs/>
        </w:rPr>
      </w:pPr>
      <w:r w:rsidRPr="00FC4465">
        <w:rPr>
          <w:rFonts w:asciiTheme="majorBidi" w:hAnsiTheme="majorBidi" w:cstheme="majorBidi"/>
          <w:b/>
          <w:bCs/>
        </w:rPr>
        <w:t>Figura A9.7.1: Estrategia de clasificación para determinar el peligro a corto plazo (agudo) de los metales para el medio acuático</w:t>
      </w:r>
    </w:p>
    <w:p w14:paraId="5C6B2E77" w14:textId="4D08C9D3" w:rsidR="00BD0CAD" w:rsidRPr="00FC4465" w:rsidRDefault="00F3101D" w:rsidP="00BD0CAD">
      <w:pPr>
        <w:ind w:left="1134"/>
        <w:jc w:val="center"/>
        <w:rPr>
          <w:rFonts w:asciiTheme="majorBidi" w:hAnsiTheme="majorBidi" w:cstheme="majorBidi"/>
        </w:rPr>
      </w:pPr>
      <w:r>
        <w:object w:dxaOrig="7245" w:dyaOrig="5415" w14:anchorId="398F6454">
          <v:shape id="_x0000_i1034" type="#_x0000_t75" style="width:362.25pt;height:270.75pt" o:ole="">
            <v:imagedata r:id="rId49" o:title=""/>
          </v:shape>
          <o:OLEObject Type="Embed" ProgID="Visio.Drawing.15" ShapeID="_x0000_i1034" DrawAspect="Content" ObjectID="_1754120341" r:id="rId50"/>
        </w:object>
      </w:r>
    </w:p>
    <w:p w14:paraId="7CD9A462" w14:textId="77777777" w:rsidR="00BD0CAD" w:rsidRPr="00FC4465" w:rsidRDefault="00BD0CAD" w:rsidP="002A21D5">
      <w:pPr>
        <w:pStyle w:val="SingleTxtG"/>
        <w:keepNext/>
        <w:keepLines/>
        <w:spacing w:before="240"/>
        <w:ind w:left="2268"/>
        <w:rPr>
          <w:rFonts w:asciiTheme="majorBidi" w:hAnsiTheme="majorBidi" w:cstheme="majorBidi"/>
          <w:bCs/>
          <w:i/>
          <w:iCs/>
        </w:rPr>
      </w:pPr>
      <w:r w:rsidRPr="00FC4465">
        <w:rPr>
          <w:rFonts w:asciiTheme="majorBidi" w:hAnsiTheme="majorBidi" w:cstheme="majorBidi"/>
        </w:rPr>
        <w:lastRenderedPageBreak/>
        <w:t>A9.7.5.2.2</w:t>
      </w:r>
      <w:r w:rsidRPr="00FC4465">
        <w:rPr>
          <w:rFonts w:asciiTheme="majorBidi" w:hAnsiTheme="majorBidi" w:cstheme="majorBidi"/>
        </w:rPr>
        <w:tab/>
      </w:r>
      <w:r w:rsidRPr="00FC4465">
        <w:rPr>
          <w:rFonts w:asciiTheme="majorBidi" w:hAnsiTheme="majorBidi" w:cstheme="majorBidi"/>
          <w:i/>
          <w:iCs/>
        </w:rPr>
        <w:t>Peligro a largo plazo (crónico) de los metales para el medio acuático</w:t>
      </w:r>
      <w:r w:rsidRPr="00FC4465">
        <w:rPr>
          <w:rFonts w:asciiTheme="majorBidi" w:hAnsiTheme="majorBidi" w:cstheme="majorBidi"/>
        </w:rPr>
        <w:t xml:space="preserve"> </w:t>
      </w:r>
    </w:p>
    <w:p w14:paraId="448440A8" w14:textId="77777777" w:rsidR="00BD0CAD" w:rsidRPr="00FC4465" w:rsidRDefault="00BD0CAD" w:rsidP="00802EA2">
      <w:pPr>
        <w:pStyle w:val="SingleTxtG"/>
        <w:ind w:left="2268"/>
        <w:rPr>
          <w:rFonts w:asciiTheme="majorBidi" w:hAnsiTheme="majorBidi" w:cstheme="majorBidi"/>
        </w:rPr>
      </w:pPr>
      <w:r w:rsidRPr="00FC4465">
        <w:rPr>
          <w:rFonts w:asciiTheme="majorBidi" w:hAnsiTheme="majorBidi" w:cstheme="majorBidi"/>
        </w:rPr>
        <w:t>El procedimiento para determinar el peligro a largo plazo (crónico) de los metales para el medio acuático se describe en esta sección y se resume en las figuras A9.7.2 y A9.7.3. Los metales pueden clasificarse en función de su peligro a largo plazo para el medio acuático utilizando datos de toxicidad crónica cuando se disponga de ellos o siguiendo el método de sustitución en ausencia de datos adecuados sobre la toxicidad crónica.</w:t>
      </w:r>
    </w:p>
    <w:p w14:paraId="20B1588E" w14:textId="77777777" w:rsidR="00BD0CAD" w:rsidRPr="00FC4465" w:rsidRDefault="00BD0CAD" w:rsidP="00802EA2">
      <w:pPr>
        <w:pStyle w:val="SingleTxtG"/>
        <w:ind w:left="2268"/>
        <w:rPr>
          <w:rFonts w:asciiTheme="majorBidi" w:hAnsiTheme="majorBidi" w:cstheme="majorBidi"/>
        </w:rPr>
      </w:pPr>
      <w:r w:rsidRPr="00FC4465">
        <w:rPr>
          <w:rFonts w:asciiTheme="majorBidi" w:hAnsiTheme="majorBidi" w:cstheme="majorBidi"/>
        </w:rPr>
        <w:t xml:space="preserve">A9.7.5.2.2.1 </w:t>
      </w:r>
      <w:r w:rsidRPr="00FC4465">
        <w:rPr>
          <w:rFonts w:asciiTheme="majorBidi" w:hAnsiTheme="majorBidi" w:cstheme="majorBidi"/>
        </w:rPr>
        <w:tab/>
      </w:r>
      <w:r w:rsidRPr="00FC4465">
        <w:rPr>
          <w:rFonts w:asciiTheme="majorBidi" w:hAnsiTheme="majorBidi" w:cstheme="majorBidi"/>
        </w:rPr>
        <w:tab/>
        <w:t>Método basado en los datos disponibles sobre toxicidad crónica</w:t>
      </w:r>
    </w:p>
    <w:p w14:paraId="4E9F0C29" w14:textId="77777777" w:rsidR="00BD0CAD" w:rsidRPr="00FC4465" w:rsidRDefault="00BD0CAD" w:rsidP="00802EA2">
      <w:pPr>
        <w:pStyle w:val="SingleTxtG"/>
        <w:ind w:left="2268"/>
        <w:rPr>
          <w:rFonts w:asciiTheme="majorBidi" w:hAnsiTheme="majorBidi" w:cstheme="majorBidi"/>
        </w:rPr>
      </w:pPr>
      <w:r w:rsidRPr="00FC4465">
        <w:rPr>
          <w:rFonts w:asciiTheme="majorBidi" w:hAnsiTheme="majorBidi" w:cstheme="majorBidi"/>
        </w:rPr>
        <w:t>A9.7.5.2.2.1.1</w:t>
      </w:r>
      <w:r w:rsidRPr="00FC4465">
        <w:rPr>
          <w:rFonts w:asciiTheme="majorBidi" w:hAnsiTheme="majorBidi" w:cstheme="majorBidi"/>
        </w:rPr>
        <w:tab/>
        <w:t xml:space="preserve">Cuando el VRE de toxicidad crónica de los iones metálicos disueltos considerado sea superior a 1 mg/l, no habrá que seguir con el sistema de clasificación para el metal de que se trate. </w:t>
      </w:r>
    </w:p>
    <w:p w14:paraId="46A27329" w14:textId="68AA76ED" w:rsidR="00BD0CAD" w:rsidRPr="00FC4465" w:rsidRDefault="00BD0CAD" w:rsidP="00802EA2">
      <w:pPr>
        <w:pStyle w:val="SingleTxtG"/>
        <w:ind w:left="2268"/>
        <w:rPr>
          <w:rFonts w:asciiTheme="majorBidi" w:hAnsiTheme="majorBidi" w:cstheme="majorBidi"/>
        </w:rPr>
      </w:pPr>
      <w:r w:rsidRPr="00FC4465">
        <w:rPr>
          <w:rFonts w:asciiTheme="majorBidi" w:hAnsiTheme="majorBidi" w:cstheme="majorBidi"/>
        </w:rPr>
        <w:t>A9.7.5.2.2.1.2</w:t>
      </w:r>
      <w:r w:rsidRPr="00FC4465">
        <w:rPr>
          <w:rFonts w:asciiTheme="majorBidi" w:hAnsiTheme="majorBidi" w:cstheme="majorBidi"/>
        </w:rPr>
        <w:tab/>
        <w:t>Cuando el VRE de toxicidad crónica de los iones metálicos disueltos sea igual o inferior a 1 mg/l, habrá que examinar los datos disponibles sobre la velocidad y la extensión de la producción de iones a partir del metal. Para que sean válidos y puedan utilizarse, estos datos deberán haberse obtenido o calculado utilizando el protocolo de transformación/disolución (anexo 10) durante 28 días (véase A9.7.2.2.4). Si no se dispone de esos datos, deberá seguirse el método de sustitución (véase</w:t>
      </w:r>
      <w:r w:rsidR="002A21D5">
        <w:rPr>
          <w:rFonts w:asciiTheme="majorBidi" w:hAnsiTheme="majorBidi" w:cstheme="majorBidi"/>
        </w:rPr>
        <w:t> </w:t>
      </w:r>
      <w:r w:rsidRPr="00FC4465">
        <w:rPr>
          <w:rFonts w:asciiTheme="majorBidi" w:hAnsiTheme="majorBidi" w:cstheme="majorBidi"/>
        </w:rPr>
        <w:t>A9.7.5.2.2.2). Cuando se disponga de datos de transformación/disolución de 28 días, el metal deberá clasificarse según se indica a continuación:</w:t>
      </w:r>
    </w:p>
    <w:p w14:paraId="6128C5CF" w14:textId="77777777" w:rsidR="00BD0CAD" w:rsidRPr="00FC4465" w:rsidRDefault="00BD0CAD" w:rsidP="00802EA2">
      <w:pPr>
        <w:pStyle w:val="SingleTxtG"/>
        <w:ind w:left="2835" w:hanging="567"/>
        <w:rPr>
          <w:rFonts w:asciiTheme="majorBidi" w:hAnsiTheme="majorBidi" w:cstheme="majorBidi"/>
          <w:bCs/>
        </w:rPr>
      </w:pPr>
      <w:r w:rsidRPr="00FC4465">
        <w:rPr>
          <w:rFonts w:asciiTheme="majorBidi" w:hAnsiTheme="majorBidi" w:cstheme="majorBidi"/>
        </w:rPr>
        <w:t>a)</w:t>
      </w:r>
      <w:r w:rsidRPr="00FC4465">
        <w:rPr>
          <w:rFonts w:asciiTheme="majorBidi" w:hAnsiTheme="majorBidi" w:cstheme="majorBidi"/>
        </w:rPr>
        <w:tab/>
        <w:t>Categoría Crónica 1 si la concentración de iones metálicos disueltos obtenida para una cantidad de producto añadido de 0,1 mg/l (0,01 mg/l si existen pruebas de una rápida transformación ambiental) es superior o igual al VRE de toxicidad crónica. Asígnese un factor M Crónico según la tabla A9.7.1;</w:t>
      </w:r>
    </w:p>
    <w:p w14:paraId="74396ED6" w14:textId="77777777" w:rsidR="00BD0CAD" w:rsidRPr="00FC4465" w:rsidRDefault="00BD0CAD" w:rsidP="00802EA2">
      <w:pPr>
        <w:pStyle w:val="SingleTxtG"/>
        <w:ind w:left="2835" w:hanging="567"/>
        <w:rPr>
          <w:rFonts w:asciiTheme="majorBidi" w:hAnsiTheme="majorBidi" w:cstheme="majorBidi"/>
          <w:bCs/>
        </w:rPr>
      </w:pPr>
      <w:r w:rsidRPr="00FC4465">
        <w:rPr>
          <w:rFonts w:asciiTheme="majorBidi" w:hAnsiTheme="majorBidi" w:cstheme="majorBidi"/>
        </w:rPr>
        <w:t>b)</w:t>
      </w:r>
      <w:r w:rsidRPr="00FC4465">
        <w:rPr>
          <w:rFonts w:asciiTheme="majorBidi" w:hAnsiTheme="majorBidi" w:cstheme="majorBidi"/>
        </w:rPr>
        <w:tab/>
        <w:t>Categoría Crónica 2 si la concentración de iones metálicos disueltos obtenida para una cantidad de producto añadido de 1 mg/l (0,1 mg/l si existen pruebas de una rápida transformación ambiental) es superior o igual al VRE de toxicidad crónica;</w:t>
      </w:r>
    </w:p>
    <w:p w14:paraId="5A5E035F" w14:textId="77777777" w:rsidR="00BD0CAD" w:rsidRPr="00FC4465" w:rsidRDefault="00BD0CAD" w:rsidP="00802EA2">
      <w:pPr>
        <w:pStyle w:val="SingleTxtG"/>
        <w:ind w:left="2835" w:hanging="567"/>
        <w:rPr>
          <w:rFonts w:asciiTheme="majorBidi" w:hAnsiTheme="majorBidi" w:cstheme="majorBidi"/>
          <w:bCs/>
        </w:rPr>
      </w:pPr>
      <w:r w:rsidRPr="00FC4465">
        <w:rPr>
          <w:rFonts w:asciiTheme="majorBidi" w:hAnsiTheme="majorBidi" w:cstheme="majorBidi"/>
        </w:rPr>
        <w:t>c)</w:t>
      </w:r>
      <w:r w:rsidRPr="00FC4465">
        <w:rPr>
          <w:rFonts w:asciiTheme="majorBidi" w:hAnsiTheme="majorBidi" w:cstheme="majorBidi"/>
        </w:rPr>
        <w:tab/>
        <w:t xml:space="preserve">Categoría Crónica 3 si la concentración de iones metálicos disueltos obtenida para una cantidad de producto añadido de 1 mg/l es superior al VRE de toxicidad crónica y existen pruebas de una rápida transformación ambiental. </w:t>
      </w:r>
    </w:p>
    <w:p w14:paraId="63B4489F" w14:textId="77777777" w:rsidR="00BD0CAD" w:rsidRPr="00FC4465" w:rsidRDefault="00BD0CAD" w:rsidP="00802EA2">
      <w:pPr>
        <w:pStyle w:val="SingleTxtG"/>
        <w:ind w:left="2268"/>
        <w:rPr>
          <w:rFonts w:asciiTheme="majorBidi" w:hAnsiTheme="majorBidi" w:cstheme="majorBidi"/>
          <w:bCs/>
        </w:rPr>
      </w:pPr>
      <w:r w:rsidRPr="00FC4465">
        <w:rPr>
          <w:rFonts w:asciiTheme="majorBidi" w:hAnsiTheme="majorBidi" w:cstheme="majorBidi"/>
        </w:rPr>
        <w:t>A9.7.5.2.2.1.3</w:t>
      </w:r>
      <w:r w:rsidRPr="00FC4465">
        <w:rPr>
          <w:rFonts w:asciiTheme="majorBidi" w:hAnsiTheme="majorBidi" w:cstheme="majorBidi"/>
        </w:rPr>
        <w:tab/>
        <w:t>Clasifíquese el metal como de categoría Crónica 4 si los datos disponibles no permiten una clasificación con los criterios establecidos pero suscitan preocupación (véase 4.1.2.2).</w:t>
      </w:r>
    </w:p>
    <w:p w14:paraId="1652F84C" w14:textId="77777777" w:rsidR="00BD0CAD" w:rsidRPr="00FC4465" w:rsidRDefault="00BD0CAD" w:rsidP="00802EA2">
      <w:pPr>
        <w:pStyle w:val="SingleTxtG"/>
        <w:ind w:left="2268"/>
        <w:rPr>
          <w:rFonts w:asciiTheme="majorBidi" w:hAnsiTheme="majorBidi" w:cstheme="majorBidi"/>
          <w:bCs/>
        </w:rPr>
      </w:pPr>
      <w:r w:rsidRPr="00FC4465">
        <w:rPr>
          <w:rFonts w:asciiTheme="majorBidi" w:hAnsiTheme="majorBidi" w:cstheme="majorBidi"/>
        </w:rPr>
        <w:t>A9.7.5.2.2.1.4</w:t>
      </w:r>
      <w:r w:rsidRPr="00FC4465">
        <w:rPr>
          <w:rFonts w:asciiTheme="majorBidi" w:hAnsiTheme="majorBidi" w:cstheme="majorBidi"/>
        </w:rPr>
        <w:tab/>
        <w:t>No debe clasificarse el metal en función de su peligro a largo plazo para el medio acuático si la concentración de iones metálicos disueltos obtenida en el ensayo de transformación/disolución de 28 días con una cantidad de producto añadido de 1 mg/l es inferior al VRE de toxicidad crónica del ion metálico disuelto.</w:t>
      </w:r>
    </w:p>
    <w:p w14:paraId="080C2ABE" w14:textId="77777777" w:rsidR="00BD0CAD" w:rsidRPr="00FC4465" w:rsidRDefault="00BD0CAD" w:rsidP="00BD0CAD">
      <w:pPr>
        <w:pStyle w:val="SingleTxtG"/>
        <w:keepNext/>
        <w:keepLines/>
        <w:jc w:val="center"/>
        <w:rPr>
          <w:rFonts w:asciiTheme="majorBidi" w:eastAsiaTheme="minorHAnsi" w:hAnsiTheme="majorBidi" w:cstheme="majorBidi"/>
          <w:b/>
          <w:bCs/>
        </w:rPr>
      </w:pPr>
      <w:r w:rsidRPr="00FC4465">
        <w:rPr>
          <w:rFonts w:asciiTheme="majorBidi" w:hAnsiTheme="majorBidi" w:cstheme="majorBidi"/>
          <w:b/>
          <w:bCs/>
        </w:rPr>
        <w:lastRenderedPageBreak/>
        <w:t>Figura A9.7.2: Estrategia de clasificación para determinar el peligro a largo plazo de los metales para el medio acuático a partir de datos sobre la toxicidad crónica</w:t>
      </w:r>
    </w:p>
    <w:p w14:paraId="55D0782A" w14:textId="1C3B0ED4" w:rsidR="00BD0CAD" w:rsidRPr="00FC4465" w:rsidRDefault="001D6240" w:rsidP="00BD0CAD">
      <w:pPr>
        <w:ind w:left="284"/>
        <w:rPr>
          <w:rFonts w:asciiTheme="majorBidi" w:hAnsiTheme="majorBidi" w:cstheme="majorBidi"/>
        </w:rPr>
      </w:pPr>
      <w:r>
        <w:object w:dxaOrig="9151" w:dyaOrig="7921" w14:anchorId="46F8AEDC">
          <v:shape id="_x0000_i1035" type="#_x0000_t75" style="width:457.5pt;height:396.75pt" o:ole="">
            <v:imagedata r:id="rId51" o:title=""/>
          </v:shape>
          <o:OLEObject Type="Embed" ProgID="Visio.Drawing.15" ShapeID="_x0000_i1035" DrawAspect="Content" ObjectID="_1754120342" r:id="rId52"/>
        </w:object>
      </w:r>
    </w:p>
    <w:p w14:paraId="37636E35" w14:textId="77777777" w:rsidR="00BD0CAD" w:rsidRPr="00FC4465" w:rsidRDefault="00BD0CAD" w:rsidP="00802EA2">
      <w:pPr>
        <w:pStyle w:val="SingleTxtG"/>
        <w:keepNext/>
        <w:keepLines/>
        <w:tabs>
          <w:tab w:val="clear" w:pos="2268"/>
          <w:tab w:val="clear" w:pos="2835"/>
          <w:tab w:val="left" w:pos="3402"/>
        </w:tabs>
        <w:spacing w:before="240"/>
        <w:ind w:left="2268"/>
        <w:jc w:val="left"/>
        <w:rPr>
          <w:rFonts w:asciiTheme="majorBidi" w:eastAsiaTheme="minorHAnsi" w:hAnsiTheme="majorBidi" w:cstheme="majorBidi"/>
        </w:rPr>
      </w:pPr>
      <w:r w:rsidRPr="00FC4465">
        <w:rPr>
          <w:rFonts w:asciiTheme="majorBidi" w:hAnsiTheme="majorBidi" w:cstheme="majorBidi"/>
        </w:rPr>
        <w:t xml:space="preserve">A9.7.5.2.2.2 </w:t>
      </w:r>
      <w:r w:rsidRPr="00FC4465">
        <w:rPr>
          <w:rFonts w:asciiTheme="majorBidi" w:hAnsiTheme="majorBidi" w:cstheme="majorBidi"/>
        </w:rPr>
        <w:tab/>
      </w:r>
      <w:r w:rsidRPr="00FC4465">
        <w:rPr>
          <w:rFonts w:asciiTheme="majorBidi" w:hAnsiTheme="majorBidi" w:cstheme="majorBidi"/>
        </w:rPr>
        <w:tab/>
      </w:r>
      <w:r w:rsidRPr="00FC4465">
        <w:rPr>
          <w:rFonts w:asciiTheme="majorBidi" w:hAnsiTheme="majorBidi" w:cstheme="majorBidi"/>
        </w:rPr>
        <w:tab/>
        <w:t>El método de sustitución</w:t>
      </w:r>
    </w:p>
    <w:p w14:paraId="7C87CA4E" w14:textId="77777777" w:rsidR="00BD0CAD" w:rsidRPr="00FC4465" w:rsidRDefault="00BD0CAD" w:rsidP="00802EA2">
      <w:pPr>
        <w:pStyle w:val="SingleTxtG"/>
        <w:keepNext/>
        <w:keepLines/>
        <w:tabs>
          <w:tab w:val="left" w:pos="2552"/>
        </w:tabs>
        <w:ind w:left="2268"/>
        <w:rPr>
          <w:rFonts w:asciiTheme="majorBidi" w:eastAsiaTheme="minorHAnsi" w:hAnsiTheme="majorBidi" w:cstheme="majorBidi"/>
        </w:rPr>
      </w:pPr>
      <w:r w:rsidRPr="00FC4465">
        <w:rPr>
          <w:rFonts w:asciiTheme="majorBidi" w:hAnsiTheme="majorBidi" w:cstheme="majorBidi"/>
        </w:rPr>
        <w:t>A9.7.5.2.2.2.1</w:t>
      </w:r>
      <w:r w:rsidRPr="00FC4465">
        <w:rPr>
          <w:rFonts w:asciiTheme="majorBidi" w:hAnsiTheme="majorBidi" w:cstheme="majorBidi"/>
        </w:rPr>
        <w:tab/>
        <w:t>Cuando no se disponga de datos apropiados sobre toxicidad crónica o datos de transformación/disolución, pero el metal esté clasificado por presentar peligro a corto plazo (agudo) para el medio acuático, debe clasificarse (a menos que existan pruebas de una rápida transformación ambiental y no haya bioacumulación) del modo siguiente:</w:t>
      </w:r>
    </w:p>
    <w:p w14:paraId="0069177D" w14:textId="77777777" w:rsidR="00BD0CAD" w:rsidRPr="00FC4465" w:rsidRDefault="00BD0CAD" w:rsidP="00802EA2">
      <w:pPr>
        <w:pStyle w:val="SingleTxtG"/>
        <w:tabs>
          <w:tab w:val="clear" w:pos="2268"/>
          <w:tab w:val="clear" w:pos="2835"/>
        </w:tabs>
        <w:ind w:left="2835" w:hanging="567"/>
        <w:rPr>
          <w:rFonts w:asciiTheme="majorBidi" w:eastAsiaTheme="minorHAnsi" w:hAnsiTheme="majorBidi" w:cstheme="majorBidi"/>
        </w:rPr>
      </w:pPr>
      <w:r w:rsidRPr="00FC4465">
        <w:rPr>
          <w:rFonts w:asciiTheme="majorBidi" w:hAnsiTheme="majorBidi" w:cstheme="majorBidi"/>
        </w:rPr>
        <w:t>a)</w:t>
      </w:r>
      <w:r w:rsidRPr="00FC4465">
        <w:rPr>
          <w:rFonts w:asciiTheme="majorBidi" w:hAnsiTheme="majorBidi" w:cstheme="majorBidi"/>
        </w:rPr>
        <w:tab/>
        <w:t>Categoría Crónica 1 si el metal está clasificado en función del peligro a corto plazo (agudo) para el medio acuático en la categoría Aguda 1. Asígnese el mismo factor M que para la categoría Aguda 1.</w:t>
      </w:r>
    </w:p>
    <w:p w14:paraId="5AB6C158" w14:textId="77777777" w:rsidR="00BD0CAD" w:rsidRPr="00FC4465" w:rsidRDefault="00BD0CAD" w:rsidP="00802EA2">
      <w:pPr>
        <w:pStyle w:val="SingleTxtG"/>
        <w:tabs>
          <w:tab w:val="clear" w:pos="2268"/>
          <w:tab w:val="clear" w:pos="2835"/>
        </w:tabs>
        <w:ind w:left="2835" w:hanging="567"/>
        <w:rPr>
          <w:rFonts w:asciiTheme="majorBidi" w:eastAsiaTheme="minorHAnsi" w:hAnsiTheme="majorBidi" w:cstheme="majorBidi"/>
        </w:rPr>
      </w:pPr>
      <w:r w:rsidRPr="00FC4465">
        <w:rPr>
          <w:rFonts w:asciiTheme="majorBidi" w:hAnsiTheme="majorBidi" w:cstheme="majorBidi"/>
        </w:rPr>
        <w:t>b)</w:t>
      </w:r>
      <w:r w:rsidRPr="00FC4465">
        <w:rPr>
          <w:rFonts w:asciiTheme="majorBidi" w:hAnsiTheme="majorBidi" w:cstheme="majorBidi"/>
        </w:rPr>
        <w:tab/>
        <w:t>Categoría Crónica 2 si el metal está clasificado en función del peligro a corto plazo (agudo) para el medio acuático en la categoría Aguda 2.</w:t>
      </w:r>
    </w:p>
    <w:p w14:paraId="302429E2" w14:textId="77777777" w:rsidR="00BD0CAD" w:rsidRPr="00FC4465" w:rsidRDefault="00BD0CAD" w:rsidP="00802EA2">
      <w:pPr>
        <w:pStyle w:val="SingleTxtG"/>
        <w:tabs>
          <w:tab w:val="clear" w:pos="2268"/>
          <w:tab w:val="clear" w:pos="2835"/>
        </w:tabs>
        <w:ind w:left="2835" w:hanging="567"/>
        <w:rPr>
          <w:rFonts w:asciiTheme="majorBidi" w:eastAsiaTheme="minorHAnsi" w:hAnsiTheme="majorBidi" w:cstheme="majorBidi"/>
        </w:rPr>
      </w:pPr>
      <w:r w:rsidRPr="00FC4465">
        <w:rPr>
          <w:rFonts w:asciiTheme="majorBidi" w:hAnsiTheme="majorBidi" w:cstheme="majorBidi"/>
        </w:rPr>
        <w:t>c)</w:t>
      </w:r>
      <w:r w:rsidRPr="00FC4465">
        <w:rPr>
          <w:rFonts w:asciiTheme="majorBidi" w:hAnsiTheme="majorBidi" w:cstheme="majorBidi"/>
        </w:rPr>
        <w:tab/>
        <w:t>Categoría Crónica 3 si el metal está clasificado en función del peligro a corto plazo (agudo) para el medio acuático en la categoría Aguda 3.</w:t>
      </w:r>
    </w:p>
    <w:p w14:paraId="76678DF4" w14:textId="77777777" w:rsidR="00BD0CAD" w:rsidRPr="00FC4465" w:rsidRDefault="00BD0CAD" w:rsidP="00802EA2">
      <w:pPr>
        <w:pStyle w:val="SingleTxtG"/>
        <w:tabs>
          <w:tab w:val="left" w:pos="1985"/>
        </w:tabs>
        <w:ind w:left="2268"/>
        <w:rPr>
          <w:rFonts w:asciiTheme="majorBidi" w:eastAsiaTheme="minorHAnsi" w:hAnsiTheme="majorBidi" w:cstheme="majorBidi"/>
        </w:rPr>
      </w:pPr>
      <w:r w:rsidRPr="00FC4465">
        <w:rPr>
          <w:rFonts w:asciiTheme="majorBidi" w:hAnsiTheme="majorBidi" w:cstheme="majorBidi"/>
        </w:rPr>
        <w:t>A9.7.5.2.2.2.2</w:t>
      </w:r>
      <w:r w:rsidRPr="00FC4465">
        <w:rPr>
          <w:rFonts w:asciiTheme="majorBidi" w:hAnsiTheme="majorBidi" w:cstheme="majorBidi"/>
        </w:rPr>
        <w:tab/>
        <w:t>A falta de una clasificación de peligro a corto plazo para el medio acuático debido a la ausencia de datos de transformación/disolución, y de no tener información clara suficientemente fiable que muestre que no habrá una transformación de iones metálicos, debería aplicarse la clasificación de seguridad (Crónica 4) cuando se considere que la toxicidad de esas formas solubles es un motivo suficientemente preocupante. Así ocurre, por ejemplo, cuando el VRE</w:t>
      </w:r>
      <w:r w:rsidRPr="00FC4465">
        <w:rPr>
          <w:rFonts w:asciiTheme="majorBidi" w:hAnsiTheme="majorBidi" w:cstheme="majorBidi"/>
          <w:vertAlign w:val="subscript"/>
        </w:rPr>
        <w:t>ion</w:t>
      </w:r>
      <w:r w:rsidRPr="00FC4465">
        <w:rPr>
          <w:rFonts w:asciiTheme="majorBidi" w:hAnsiTheme="majorBidi" w:cstheme="majorBidi"/>
        </w:rPr>
        <w:t xml:space="preserve"> de toxicidad aguda es igual o inferior a 100 mg/l, o si el </w:t>
      </w:r>
      <w:r w:rsidRPr="00FC4465">
        <w:rPr>
          <w:rFonts w:asciiTheme="majorBidi" w:hAnsiTheme="majorBidi" w:cstheme="majorBidi"/>
        </w:rPr>
        <w:lastRenderedPageBreak/>
        <w:t>VRE</w:t>
      </w:r>
      <w:r w:rsidRPr="00FC4465">
        <w:rPr>
          <w:rFonts w:asciiTheme="majorBidi" w:hAnsiTheme="majorBidi" w:cstheme="majorBidi"/>
          <w:vertAlign w:val="subscript"/>
        </w:rPr>
        <w:t>ion</w:t>
      </w:r>
      <w:r w:rsidRPr="00FC4465">
        <w:rPr>
          <w:rFonts w:asciiTheme="majorBidi" w:hAnsiTheme="majorBidi" w:cstheme="majorBidi"/>
        </w:rPr>
        <w:t xml:space="preserve"> de toxicidad crónica es igual o inferior a 1 mg/l. En estos casos, puede considerarse la posibilidad de realizar ensayos con arreglo al protocolo de transformación/disolución.</w:t>
      </w:r>
    </w:p>
    <w:p w14:paraId="7DBDB516" w14:textId="77777777" w:rsidR="00BD0CAD" w:rsidRPr="00FC4465" w:rsidRDefault="00BD0CAD" w:rsidP="00802EA2">
      <w:pPr>
        <w:pStyle w:val="SingleTxtG"/>
        <w:tabs>
          <w:tab w:val="clear" w:pos="1701"/>
          <w:tab w:val="clear" w:pos="2268"/>
          <w:tab w:val="clear" w:pos="2835"/>
          <w:tab w:val="left" w:pos="3686"/>
        </w:tabs>
        <w:ind w:left="2268"/>
        <w:rPr>
          <w:rFonts w:asciiTheme="majorBidi" w:eastAsiaTheme="minorHAnsi" w:hAnsiTheme="majorBidi" w:cstheme="majorBidi"/>
        </w:rPr>
      </w:pPr>
      <w:r w:rsidRPr="00FC4465">
        <w:rPr>
          <w:rFonts w:asciiTheme="majorBidi" w:hAnsiTheme="majorBidi" w:cstheme="majorBidi"/>
        </w:rPr>
        <w:t>A9.7.5.2.2.2.3</w:t>
      </w:r>
      <w:r w:rsidRPr="00FC4465">
        <w:rPr>
          <w:rFonts w:asciiTheme="majorBidi" w:hAnsiTheme="majorBidi" w:cstheme="majorBidi"/>
        </w:rPr>
        <w:tab/>
        <w:t>No debe clasificarse el metal en función de su peligro a largo plazo para el medio acuático si el metal no está clasificado en función del peligro a corto plazo para el medio acuático y si no hay motivos de preocupación.</w:t>
      </w:r>
    </w:p>
    <w:p w14:paraId="71D8F91C" w14:textId="77777777" w:rsidR="00BD0CAD" w:rsidRPr="00FC4465" w:rsidRDefault="00BD0CAD" w:rsidP="00BD0CAD">
      <w:pPr>
        <w:pStyle w:val="SingleTxtG"/>
        <w:keepNext/>
        <w:keepLines/>
        <w:jc w:val="center"/>
        <w:rPr>
          <w:rFonts w:asciiTheme="majorBidi" w:eastAsiaTheme="minorHAnsi" w:hAnsiTheme="majorBidi" w:cstheme="majorBidi"/>
          <w:b/>
          <w:bCs/>
        </w:rPr>
      </w:pPr>
      <w:r w:rsidRPr="00FC4465">
        <w:rPr>
          <w:rFonts w:asciiTheme="majorBidi" w:hAnsiTheme="majorBidi" w:cstheme="majorBidi"/>
          <w:b/>
          <w:bCs/>
        </w:rPr>
        <w:t>Figura A9.7.3: Estrategia de clasificación para determinar el peligro a largo plazo de los metales para el medio acuático en ausencia de datos de referencia de toxicidad crónica adecuados y/o datos de transformación/disolución de 28 días</w:t>
      </w:r>
    </w:p>
    <w:p w14:paraId="2BD9AB92" w14:textId="7ECC2854" w:rsidR="00BD0CAD" w:rsidRPr="00FC4465" w:rsidRDefault="00CA79D1" w:rsidP="00BD0CAD">
      <w:pPr>
        <w:pStyle w:val="SingleTxtG"/>
        <w:keepNext/>
        <w:keepLines/>
        <w:jc w:val="center"/>
        <w:rPr>
          <w:rFonts w:asciiTheme="majorBidi" w:hAnsiTheme="majorBidi" w:cstheme="majorBidi"/>
        </w:rPr>
      </w:pPr>
      <w:r>
        <w:object w:dxaOrig="7006" w:dyaOrig="4606" w14:anchorId="13C4C527">
          <v:shape id="_x0000_i1036" type="#_x0000_t75" style="width:351pt;height:231pt" o:ole="">
            <v:imagedata r:id="rId53" o:title=""/>
          </v:shape>
          <o:OLEObject Type="Embed" ProgID="Visio.Drawing.15" ShapeID="_x0000_i1036" DrawAspect="Content" ObjectID="_1754120343" r:id="rId54"/>
        </w:object>
      </w:r>
    </w:p>
    <w:p w14:paraId="5897D861" w14:textId="5DA5AD11" w:rsidR="00BD0CAD" w:rsidRPr="00FC4465" w:rsidRDefault="008E74DD" w:rsidP="00BD0CAD">
      <w:pPr>
        <w:pStyle w:val="SingleTxtG"/>
        <w:jc w:val="right"/>
        <w:rPr>
          <w:rFonts w:asciiTheme="majorBidi" w:hAnsiTheme="majorBidi" w:cstheme="majorBidi"/>
        </w:rPr>
      </w:pPr>
      <w:r>
        <w:rPr>
          <w:rFonts w:asciiTheme="majorBidi" w:hAnsiTheme="majorBidi" w:cstheme="majorBidi"/>
        </w:rPr>
        <w:t>”</w:t>
      </w:r>
    </w:p>
    <w:p w14:paraId="7D57CA04" w14:textId="77777777" w:rsidR="00BD0CAD" w:rsidRPr="00FC4465" w:rsidRDefault="00BD0CAD" w:rsidP="00BD0CAD">
      <w:pPr>
        <w:pStyle w:val="SingleTxtG"/>
        <w:rPr>
          <w:rFonts w:asciiTheme="majorBidi" w:eastAsiaTheme="minorHAnsi" w:hAnsiTheme="majorBidi" w:cstheme="majorBidi"/>
        </w:rPr>
      </w:pPr>
      <w:r w:rsidRPr="00FC4465">
        <w:rPr>
          <w:rFonts w:asciiTheme="majorBidi" w:hAnsiTheme="majorBidi" w:cstheme="majorBidi"/>
        </w:rPr>
        <w:t>A9.7.5.3 a A9.7.5.3.3.3</w:t>
      </w:r>
      <w:r w:rsidRPr="00FC4465">
        <w:rPr>
          <w:rFonts w:asciiTheme="majorBidi" w:hAnsiTheme="majorBidi" w:cstheme="majorBidi"/>
        </w:rPr>
        <w:tab/>
        <w:t>Sustitúyase el texto por:</w:t>
      </w:r>
    </w:p>
    <w:p w14:paraId="2BEE0818" w14:textId="57884FE5" w:rsidR="00BD0CAD" w:rsidRPr="00FC4465" w:rsidRDefault="008C5013" w:rsidP="00BD0CAD">
      <w:pPr>
        <w:pStyle w:val="SingleTxtG"/>
        <w:ind w:left="2268"/>
        <w:rPr>
          <w:rFonts w:asciiTheme="majorBidi" w:eastAsiaTheme="minorHAnsi" w:hAnsiTheme="majorBidi" w:cstheme="majorBidi"/>
        </w:rPr>
      </w:pPr>
      <w:r w:rsidRPr="00CA79D1">
        <w:rPr>
          <w:rFonts w:asciiTheme="majorBidi" w:hAnsiTheme="majorBidi" w:cstheme="majorBidi"/>
        </w:rPr>
        <w:t>“</w:t>
      </w:r>
      <w:r w:rsidR="00BD0CAD" w:rsidRPr="00FC4465">
        <w:rPr>
          <w:rFonts w:asciiTheme="majorBidi" w:hAnsiTheme="majorBidi" w:cstheme="majorBidi"/>
          <w:b/>
          <w:bCs/>
        </w:rPr>
        <w:t>A9.7.5.3</w:t>
      </w:r>
      <w:r w:rsidR="00BD0CAD" w:rsidRPr="00FC4465">
        <w:rPr>
          <w:rFonts w:asciiTheme="majorBidi" w:hAnsiTheme="majorBidi" w:cstheme="majorBidi"/>
        </w:rPr>
        <w:tab/>
      </w:r>
      <w:r w:rsidR="00BD0CAD" w:rsidRPr="00FC4465">
        <w:rPr>
          <w:rFonts w:asciiTheme="majorBidi" w:hAnsiTheme="majorBidi" w:cstheme="majorBidi"/>
          <w:b/>
          <w:bCs/>
          <w:i/>
          <w:iCs/>
        </w:rPr>
        <w:t>Estrategia de clasificación de los compuestos metálicos</w:t>
      </w:r>
    </w:p>
    <w:p w14:paraId="65B9584F" w14:textId="77777777" w:rsidR="00BD0CAD" w:rsidRPr="00FC4465" w:rsidRDefault="00BD0CAD" w:rsidP="00BD0CAD">
      <w:pPr>
        <w:pStyle w:val="SingleTxtG"/>
        <w:tabs>
          <w:tab w:val="clear" w:pos="2268"/>
          <w:tab w:val="clear" w:pos="2835"/>
          <w:tab w:val="left" w:pos="3402"/>
        </w:tabs>
        <w:ind w:left="2268"/>
        <w:rPr>
          <w:rFonts w:asciiTheme="majorBidi" w:eastAsiaTheme="minorHAnsi" w:hAnsiTheme="majorBidi" w:cstheme="majorBidi"/>
        </w:rPr>
      </w:pPr>
      <w:r w:rsidRPr="00FC4465">
        <w:rPr>
          <w:rFonts w:asciiTheme="majorBidi" w:hAnsiTheme="majorBidi" w:cstheme="majorBidi"/>
        </w:rPr>
        <w:t>Los compuestos metálicos se considerarán fácilmente solubles si la solubilidad en agua (medida, por ejemplo, con un ensayo preliminar realizado de conformidad con el protocolo de transformación/disolución, o estimada, por ejemplo, a partir del producto de solubilidad), expresada como la concentración de iones metálicos disueltos, es superior o igual al VRE</w:t>
      </w:r>
      <w:r w:rsidRPr="00FC4465">
        <w:rPr>
          <w:rFonts w:asciiTheme="majorBidi" w:hAnsiTheme="majorBidi" w:cstheme="majorBidi"/>
          <w:vertAlign w:val="subscript"/>
        </w:rPr>
        <w:t>ion</w:t>
      </w:r>
      <w:r w:rsidRPr="00FC4465">
        <w:rPr>
          <w:rFonts w:asciiTheme="majorBidi" w:hAnsiTheme="majorBidi" w:cstheme="majorBidi"/>
        </w:rPr>
        <w:t xml:space="preserve"> de toxicidad aguda. En el contexto de los criterios de clasificación, los compuestos metálicos también se considerarán fácilmente solubles si no se dispone de esos datos, es decir, no se tiene información clara suficientemente fiable que muestre que no habrá una transformación en iones metálicos. Conviene ser prudentes cuando la solubilidad se acerque al VRE de toxicidad aguda, pues las condiciones en las que se mide la solubilidad pueden diferir sensiblemente de las del ensayo de toxicidad aguda. En estos casos, será preferible utilizar los resultados del ensayo preliminar. Los compuestos metálicos se considerarán poco solubles si la solubilidad en agua (medida, por ejemplo, con un ensayo preliminar, o estimada, por ejemplo, a partir del producto de solubilidad), expresada como la concentración de iones metálicos disueltos, es inferior al VRE</w:t>
      </w:r>
      <w:r w:rsidRPr="00FC4465">
        <w:rPr>
          <w:rFonts w:asciiTheme="majorBidi" w:hAnsiTheme="majorBidi" w:cstheme="majorBidi"/>
          <w:vertAlign w:val="subscript"/>
        </w:rPr>
        <w:t>ion</w:t>
      </w:r>
      <w:r w:rsidRPr="00FC4465">
        <w:rPr>
          <w:rFonts w:asciiTheme="majorBidi" w:hAnsiTheme="majorBidi" w:cstheme="majorBidi"/>
        </w:rPr>
        <w:t xml:space="preserve"> de toxicidad aguda.</w:t>
      </w:r>
    </w:p>
    <w:p w14:paraId="127DB581" w14:textId="77777777" w:rsidR="00BD0CAD" w:rsidRPr="00FC4465" w:rsidRDefault="00BD0CAD" w:rsidP="00BD0CAD">
      <w:pPr>
        <w:pStyle w:val="SingleTxtG"/>
        <w:ind w:left="2268"/>
        <w:rPr>
          <w:rFonts w:asciiTheme="majorBidi" w:eastAsiaTheme="minorHAnsi" w:hAnsiTheme="majorBidi" w:cstheme="majorBidi"/>
        </w:rPr>
      </w:pPr>
      <w:r w:rsidRPr="00FC4465">
        <w:rPr>
          <w:rFonts w:asciiTheme="majorBidi" w:hAnsiTheme="majorBidi" w:cstheme="majorBidi"/>
        </w:rPr>
        <w:t xml:space="preserve">A9.7.5.3.1 </w:t>
      </w:r>
      <w:r w:rsidRPr="00FC4465">
        <w:rPr>
          <w:rFonts w:asciiTheme="majorBidi" w:hAnsiTheme="majorBidi" w:cstheme="majorBidi"/>
        </w:rPr>
        <w:tab/>
      </w:r>
      <w:r w:rsidRPr="00FC4465">
        <w:rPr>
          <w:rFonts w:asciiTheme="majorBidi" w:hAnsiTheme="majorBidi" w:cstheme="majorBidi"/>
        </w:rPr>
        <w:tab/>
      </w:r>
      <w:r w:rsidRPr="00FC4465">
        <w:rPr>
          <w:rFonts w:asciiTheme="majorBidi" w:hAnsiTheme="majorBidi" w:cstheme="majorBidi"/>
          <w:i/>
          <w:iCs/>
        </w:rPr>
        <w:t>Peligro a corto plazo (agudo) de los compuestos metálicos para el medio acuático</w:t>
      </w:r>
    </w:p>
    <w:p w14:paraId="7BA8D16E" w14:textId="77777777" w:rsidR="00BD0CAD" w:rsidRPr="00FC4465" w:rsidRDefault="00BD0CAD" w:rsidP="00A70FE7">
      <w:pPr>
        <w:pStyle w:val="SingleTxtG"/>
        <w:keepNext/>
        <w:keepLines/>
        <w:ind w:left="2268"/>
        <w:rPr>
          <w:rFonts w:asciiTheme="majorBidi" w:hAnsiTheme="majorBidi" w:cstheme="majorBidi"/>
        </w:rPr>
      </w:pPr>
      <w:r w:rsidRPr="00FC4465">
        <w:rPr>
          <w:rFonts w:asciiTheme="majorBidi" w:hAnsiTheme="majorBidi" w:cstheme="majorBidi"/>
        </w:rPr>
        <w:lastRenderedPageBreak/>
        <w:t>A9.7.5.3.1.1</w:t>
      </w:r>
      <w:r w:rsidRPr="00FC4465">
        <w:rPr>
          <w:rFonts w:asciiTheme="majorBidi" w:hAnsiTheme="majorBidi" w:cstheme="majorBidi"/>
        </w:rPr>
        <w:tab/>
      </w:r>
      <w:r w:rsidRPr="00FC4465">
        <w:rPr>
          <w:rFonts w:asciiTheme="majorBidi" w:hAnsiTheme="majorBidi" w:cstheme="majorBidi"/>
        </w:rPr>
        <w:tab/>
        <w:t>Los compuestos metálicos fácilmente solubles se clasificarán basándose en el VRE</w:t>
      </w:r>
      <w:r w:rsidRPr="00FC4465">
        <w:rPr>
          <w:rFonts w:asciiTheme="majorBidi" w:hAnsiTheme="majorBidi" w:cstheme="majorBidi"/>
          <w:vertAlign w:val="subscript"/>
        </w:rPr>
        <w:t>compuesto</w:t>
      </w:r>
      <w:r w:rsidRPr="00FC4465">
        <w:rPr>
          <w:rFonts w:asciiTheme="majorBidi" w:hAnsiTheme="majorBidi" w:cstheme="majorBidi"/>
        </w:rPr>
        <w:t xml:space="preserve"> de toxicidad aguda. Clasifíquese el compuesto metálico fácilmente soluble según se indica a continuación:</w:t>
      </w:r>
    </w:p>
    <w:p w14:paraId="16775250" w14:textId="73EC4C79" w:rsidR="00BD0CAD" w:rsidRPr="00FC4465" w:rsidRDefault="00BD0CAD" w:rsidP="00BD0CAD">
      <w:pPr>
        <w:pStyle w:val="SingleTxtG"/>
        <w:ind w:left="2835" w:hanging="567"/>
        <w:rPr>
          <w:rFonts w:asciiTheme="majorBidi" w:eastAsiaTheme="minorHAnsi" w:hAnsiTheme="majorBidi" w:cstheme="majorBidi"/>
        </w:rPr>
      </w:pPr>
      <w:r w:rsidRPr="00FC4465">
        <w:rPr>
          <w:rFonts w:asciiTheme="majorBidi" w:hAnsiTheme="majorBidi" w:cstheme="majorBidi"/>
        </w:rPr>
        <w:t>a)</w:t>
      </w:r>
      <w:r w:rsidRPr="00FC4465">
        <w:rPr>
          <w:rFonts w:asciiTheme="majorBidi" w:hAnsiTheme="majorBidi" w:cstheme="majorBidi"/>
        </w:rPr>
        <w:tab/>
        <w:t>Categoría Aguda 1 si el VRE</w:t>
      </w:r>
      <w:r w:rsidRPr="00FC4465">
        <w:rPr>
          <w:rFonts w:asciiTheme="majorBidi" w:hAnsiTheme="majorBidi" w:cstheme="majorBidi"/>
          <w:vertAlign w:val="subscript"/>
        </w:rPr>
        <w:t>compuesto</w:t>
      </w:r>
      <w:r w:rsidRPr="00FC4465">
        <w:rPr>
          <w:rFonts w:asciiTheme="majorBidi" w:hAnsiTheme="majorBidi" w:cstheme="majorBidi"/>
        </w:rPr>
        <w:t xml:space="preserve"> de toxicidad aguda es igual o inferior a 1 mg/l. Asígnese un factor M Agudo según la tabla A9.7.1;</w:t>
      </w:r>
    </w:p>
    <w:p w14:paraId="7A9D8985" w14:textId="77777777" w:rsidR="00BD0CAD" w:rsidRPr="00FC4465" w:rsidRDefault="00BD0CAD" w:rsidP="00BD0CAD">
      <w:pPr>
        <w:pStyle w:val="SingleTxtG"/>
        <w:ind w:left="2835" w:hanging="567"/>
        <w:rPr>
          <w:rFonts w:asciiTheme="majorBidi" w:eastAsiaTheme="minorHAnsi" w:hAnsiTheme="majorBidi" w:cstheme="majorBidi"/>
        </w:rPr>
      </w:pPr>
      <w:r w:rsidRPr="00FC4465">
        <w:rPr>
          <w:rFonts w:asciiTheme="majorBidi" w:hAnsiTheme="majorBidi" w:cstheme="majorBidi"/>
        </w:rPr>
        <w:t>b)</w:t>
      </w:r>
      <w:r w:rsidRPr="00FC4465">
        <w:rPr>
          <w:rFonts w:asciiTheme="majorBidi" w:hAnsiTheme="majorBidi" w:cstheme="majorBidi"/>
        </w:rPr>
        <w:tab/>
        <w:t>Categoría Aguda 2 si el VRE</w:t>
      </w:r>
      <w:r w:rsidRPr="00FC4465">
        <w:rPr>
          <w:rFonts w:asciiTheme="majorBidi" w:hAnsiTheme="majorBidi" w:cstheme="majorBidi"/>
          <w:vertAlign w:val="subscript"/>
        </w:rPr>
        <w:t>compuesto</w:t>
      </w:r>
      <w:r w:rsidRPr="00FC4465">
        <w:rPr>
          <w:rFonts w:asciiTheme="majorBidi" w:hAnsiTheme="majorBidi" w:cstheme="majorBidi"/>
        </w:rPr>
        <w:t xml:space="preserve"> de toxicidad aguda es superior a 1 mg/1 pero inferior o igual a 10 mg/l; </w:t>
      </w:r>
    </w:p>
    <w:p w14:paraId="08B1B7F1" w14:textId="77777777" w:rsidR="00BD0CAD" w:rsidRPr="00FC4465" w:rsidRDefault="00BD0CAD" w:rsidP="00BD0CAD">
      <w:pPr>
        <w:pStyle w:val="SingleTxtG"/>
        <w:ind w:left="2835" w:hanging="567"/>
        <w:rPr>
          <w:rFonts w:asciiTheme="majorBidi" w:eastAsiaTheme="minorHAnsi" w:hAnsiTheme="majorBidi" w:cstheme="majorBidi"/>
        </w:rPr>
      </w:pPr>
      <w:r w:rsidRPr="00FC4465">
        <w:rPr>
          <w:rFonts w:asciiTheme="majorBidi" w:hAnsiTheme="majorBidi" w:cstheme="majorBidi"/>
        </w:rPr>
        <w:t>c)</w:t>
      </w:r>
      <w:r w:rsidRPr="00FC4465">
        <w:rPr>
          <w:rFonts w:asciiTheme="majorBidi" w:hAnsiTheme="majorBidi" w:cstheme="majorBidi"/>
        </w:rPr>
        <w:tab/>
        <w:t>Categoría Aguda 3 si el VRE</w:t>
      </w:r>
      <w:r w:rsidRPr="00FC4465">
        <w:rPr>
          <w:rFonts w:asciiTheme="majorBidi" w:hAnsiTheme="majorBidi" w:cstheme="majorBidi"/>
          <w:vertAlign w:val="subscript"/>
        </w:rPr>
        <w:t>compuesto</w:t>
      </w:r>
      <w:r w:rsidRPr="00FC4465">
        <w:rPr>
          <w:rFonts w:asciiTheme="majorBidi" w:hAnsiTheme="majorBidi" w:cstheme="majorBidi"/>
        </w:rPr>
        <w:t xml:space="preserve"> de toxicidad aguda es superior a 10 mg/1 pero inferior o igual a 100 mg/l.</w:t>
      </w:r>
    </w:p>
    <w:p w14:paraId="24EA5F83" w14:textId="77777777" w:rsidR="00BD0CAD" w:rsidRPr="00FC4465" w:rsidRDefault="00BD0CAD" w:rsidP="00BD0CAD">
      <w:pPr>
        <w:pStyle w:val="SingleTxtG"/>
        <w:ind w:left="2268"/>
        <w:rPr>
          <w:rFonts w:asciiTheme="majorBidi" w:eastAsiaTheme="minorHAnsi" w:hAnsiTheme="majorBidi" w:cstheme="majorBidi"/>
        </w:rPr>
      </w:pPr>
      <w:r w:rsidRPr="00FC4465">
        <w:rPr>
          <w:rFonts w:asciiTheme="majorBidi" w:hAnsiTheme="majorBidi" w:cstheme="majorBidi"/>
        </w:rPr>
        <w:tab/>
      </w:r>
      <w:r w:rsidRPr="00FC4465">
        <w:rPr>
          <w:rFonts w:asciiTheme="majorBidi" w:hAnsiTheme="majorBidi" w:cstheme="majorBidi"/>
        </w:rPr>
        <w:tab/>
        <w:t>No debe clasificarse el compuesto metálico fácilmente soluble en función del peligro a corto plazo para el medio acuático si el VRE</w:t>
      </w:r>
      <w:r w:rsidRPr="00FC4465">
        <w:rPr>
          <w:rFonts w:asciiTheme="majorBidi" w:hAnsiTheme="majorBidi" w:cstheme="majorBidi"/>
          <w:vertAlign w:val="subscript"/>
        </w:rPr>
        <w:t>compuesto</w:t>
      </w:r>
      <w:r w:rsidRPr="00FC4465">
        <w:rPr>
          <w:rFonts w:asciiTheme="majorBidi" w:hAnsiTheme="majorBidi" w:cstheme="majorBidi"/>
        </w:rPr>
        <w:t xml:space="preserve"> de toxicidad aguda es superior a 100 mg/l.</w:t>
      </w:r>
    </w:p>
    <w:p w14:paraId="4E5ED897" w14:textId="77777777" w:rsidR="00BD0CAD" w:rsidRPr="00FC4465" w:rsidRDefault="00BD0CAD" w:rsidP="00BD0CAD">
      <w:pPr>
        <w:pStyle w:val="SingleTxtG"/>
        <w:tabs>
          <w:tab w:val="left" w:pos="3402"/>
        </w:tabs>
        <w:ind w:left="2268"/>
        <w:rPr>
          <w:rFonts w:asciiTheme="majorBidi" w:eastAsiaTheme="minorHAnsi" w:hAnsiTheme="majorBidi" w:cstheme="majorBidi"/>
        </w:rPr>
      </w:pPr>
      <w:r w:rsidRPr="00FC4465">
        <w:rPr>
          <w:rFonts w:asciiTheme="majorBidi" w:hAnsiTheme="majorBidi" w:cstheme="majorBidi"/>
        </w:rPr>
        <w:t>A9.7.5.3.1.2</w:t>
      </w:r>
      <w:r w:rsidRPr="00FC4465">
        <w:rPr>
          <w:rFonts w:asciiTheme="majorBidi" w:hAnsiTheme="majorBidi" w:cstheme="majorBidi"/>
        </w:rPr>
        <w:tab/>
      </w:r>
      <w:r w:rsidRPr="00FC4465">
        <w:rPr>
          <w:rFonts w:asciiTheme="majorBidi" w:hAnsiTheme="majorBidi" w:cstheme="majorBidi"/>
        </w:rPr>
        <w:tab/>
        <w:t>Los compuestos metálicos poco solubles se clasifican en función del VRE de toxicidad aguda del ion metálico disuelto y de los datos de transformación/disolución de 7 días. Clasifíquese el compuesto metálico poco soluble según se indica a continuación:</w:t>
      </w:r>
    </w:p>
    <w:p w14:paraId="27A7F4F2" w14:textId="77777777" w:rsidR="00BD0CAD" w:rsidRPr="00FC4465" w:rsidRDefault="00BD0CAD" w:rsidP="00BD0CAD">
      <w:pPr>
        <w:pStyle w:val="SingleTxtG"/>
        <w:tabs>
          <w:tab w:val="clear" w:pos="2268"/>
          <w:tab w:val="clear" w:pos="2835"/>
        </w:tabs>
        <w:ind w:left="2835" w:hanging="567"/>
        <w:rPr>
          <w:rFonts w:asciiTheme="majorBidi" w:eastAsiaTheme="minorHAnsi" w:hAnsiTheme="majorBidi" w:cstheme="majorBidi"/>
        </w:rPr>
      </w:pPr>
      <w:r w:rsidRPr="00FC4465">
        <w:rPr>
          <w:rFonts w:asciiTheme="majorBidi" w:hAnsiTheme="majorBidi" w:cstheme="majorBidi"/>
        </w:rPr>
        <w:t>a)</w:t>
      </w:r>
      <w:r w:rsidRPr="00FC4465">
        <w:rPr>
          <w:rFonts w:asciiTheme="majorBidi" w:hAnsiTheme="majorBidi" w:cstheme="majorBidi"/>
        </w:rPr>
        <w:tab/>
        <w:t>Categoría Aguda 1 si la concentración de iones metálicos disueltos para bajas cantidades del producto es igual o superior al VRE</w:t>
      </w:r>
      <w:r w:rsidRPr="00FC4465">
        <w:rPr>
          <w:rFonts w:asciiTheme="majorBidi" w:hAnsiTheme="majorBidi" w:cstheme="majorBidi"/>
          <w:vertAlign w:val="subscript"/>
        </w:rPr>
        <w:t>ion</w:t>
      </w:r>
      <w:r w:rsidRPr="00FC4465">
        <w:rPr>
          <w:rFonts w:asciiTheme="majorBidi" w:hAnsiTheme="majorBidi" w:cstheme="majorBidi"/>
        </w:rPr>
        <w:t xml:space="preserve"> de toxicidad aguda, y asígnese el factor M agudo de acuerdo con la tabla A9.7.1; </w:t>
      </w:r>
    </w:p>
    <w:p w14:paraId="716CA474" w14:textId="77777777" w:rsidR="00BD0CAD" w:rsidRPr="00FC4465" w:rsidRDefault="00BD0CAD" w:rsidP="00BD0CAD">
      <w:pPr>
        <w:pStyle w:val="SingleTxtG"/>
        <w:tabs>
          <w:tab w:val="clear" w:pos="2268"/>
          <w:tab w:val="clear" w:pos="2835"/>
        </w:tabs>
        <w:ind w:left="2835" w:hanging="567"/>
        <w:rPr>
          <w:rFonts w:asciiTheme="majorBidi" w:eastAsiaTheme="minorHAnsi" w:hAnsiTheme="majorBidi" w:cstheme="majorBidi"/>
        </w:rPr>
      </w:pPr>
      <w:r w:rsidRPr="00FC4465">
        <w:rPr>
          <w:rFonts w:asciiTheme="majorBidi" w:hAnsiTheme="majorBidi" w:cstheme="majorBidi"/>
        </w:rPr>
        <w:t>b)</w:t>
      </w:r>
      <w:r w:rsidRPr="00FC4465">
        <w:rPr>
          <w:rFonts w:asciiTheme="majorBidi" w:hAnsiTheme="majorBidi" w:cstheme="majorBidi"/>
        </w:rPr>
        <w:tab/>
        <w:t>Categoría Aguda 2 si la concentración de iones metálicos disueltos para el nivel medio de cantidad añadida del producto del ensayo es igual o superior al VRE</w:t>
      </w:r>
      <w:r w:rsidRPr="00FC4465">
        <w:rPr>
          <w:rFonts w:asciiTheme="majorBidi" w:hAnsiTheme="majorBidi" w:cstheme="majorBidi"/>
          <w:vertAlign w:val="subscript"/>
        </w:rPr>
        <w:t>ion</w:t>
      </w:r>
      <w:r w:rsidRPr="00FC4465">
        <w:rPr>
          <w:rFonts w:asciiTheme="majorBidi" w:hAnsiTheme="majorBidi" w:cstheme="majorBidi"/>
        </w:rPr>
        <w:t xml:space="preserve"> de toxicidad aguda.</w:t>
      </w:r>
    </w:p>
    <w:p w14:paraId="6FEDED59" w14:textId="77777777" w:rsidR="00BD0CAD" w:rsidRPr="00FC4465" w:rsidRDefault="00BD0CAD" w:rsidP="00BD0CAD">
      <w:pPr>
        <w:pStyle w:val="SingleTxtG"/>
        <w:tabs>
          <w:tab w:val="clear" w:pos="2268"/>
          <w:tab w:val="clear" w:pos="2835"/>
        </w:tabs>
        <w:ind w:left="2835" w:hanging="567"/>
        <w:rPr>
          <w:rFonts w:asciiTheme="majorBidi" w:eastAsiaTheme="minorHAnsi" w:hAnsiTheme="majorBidi" w:cstheme="majorBidi"/>
        </w:rPr>
      </w:pPr>
      <w:r w:rsidRPr="00FC4465">
        <w:rPr>
          <w:rFonts w:asciiTheme="majorBidi" w:hAnsiTheme="majorBidi" w:cstheme="majorBidi"/>
        </w:rPr>
        <w:t>c)</w:t>
      </w:r>
      <w:r w:rsidRPr="00FC4465">
        <w:rPr>
          <w:rFonts w:asciiTheme="majorBidi" w:hAnsiTheme="majorBidi" w:cstheme="majorBidi"/>
        </w:rPr>
        <w:tab/>
        <w:t>Categoría Aguda 3 si la concentración de iones metálicos disueltos para el nivel alto de cantidad añadida del producto del ensayo es igual o superior al VRE</w:t>
      </w:r>
      <w:r w:rsidRPr="00FC4465">
        <w:rPr>
          <w:rFonts w:asciiTheme="majorBidi" w:hAnsiTheme="majorBidi" w:cstheme="majorBidi"/>
          <w:vertAlign w:val="subscript"/>
        </w:rPr>
        <w:t>ion</w:t>
      </w:r>
      <w:r w:rsidRPr="00FC4465">
        <w:rPr>
          <w:rFonts w:asciiTheme="majorBidi" w:hAnsiTheme="majorBidi" w:cstheme="majorBidi"/>
        </w:rPr>
        <w:t xml:space="preserve"> de toxicidad aguda.</w:t>
      </w:r>
    </w:p>
    <w:p w14:paraId="15B76F3D" w14:textId="77777777" w:rsidR="00BD0CAD" w:rsidRPr="00FC4465" w:rsidRDefault="00BD0CAD" w:rsidP="00BD0CAD">
      <w:pPr>
        <w:pStyle w:val="SingleTxtG"/>
        <w:ind w:left="2268"/>
        <w:rPr>
          <w:rFonts w:asciiTheme="majorBidi" w:eastAsiaTheme="minorHAnsi" w:hAnsiTheme="majorBidi" w:cstheme="majorBidi"/>
        </w:rPr>
      </w:pPr>
      <w:r w:rsidRPr="00FC4465">
        <w:rPr>
          <w:rFonts w:asciiTheme="majorBidi" w:hAnsiTheme="majorBidi" w:cstheme="majorBidi"/>
        </w:rPr>
        <w:tab/>
        <w:t>No debe clasificarse el compuesto metálico poco soluble en función del peligro a corto plazo (agudo) si la concentración de iones metálicos disueltos está por debajo del VRE de toxicidad aguda de los iones metálicos disueltos con todas las cantidades de producto añadido.</w:t>
      </w:r>
    </w:p>
    <w:p w14:paraId="39332D09" w14:textId="77777777" w:rsidR="00BD0CAD" w:rsidRPr="00FC4465" w:rsidRDefault="00BD0CAD" w:rsidP="00BD0CAD">
      <w:pPr>
        <w:pStyle w:val="SingleTxtG"/>
        <w:keepNext/>
        <w:keepLines/>
        <w:jc w:val="center"/>
        <w:rPr>
          <w:rFonts w:asciiTheme="majorBidi" w:eastAsiaTheme="minorHAnsi" w:hAnsiTheme="majorBidi" w:cstheme="majorBidi"/>
          <w:b/>
          <w:bCs/>
        </w:rPr>
      </w:pPr>
      <w:r w:rsidRPr="00FC4465">
        <w:rPr>
          <w:rFonts w:asciiTheme="majorBidi" w:hAnsiTheme="majorBidi" w:cstheme="majorBidi"/>
          <w:b/>
          <w:bCs/>
        </w:rPr>
        <w:lastRenderedPageBreak/>
        <w:t>Figura A9.7.4: Estrategia de clasificación para determinar el peligro a corto plazo (agudo) de los compuestos metálicos para el medio acuático</w:t>
      </w:r>
    </w:p>
    <w:p w14:paraId="7B537CBF" w14:textId="77777777" w:rsidR="00BD0CAD" w:rsidRPr="00FC4465" w:rsidRDefault="00BD0CAD" w:rsidP="00BD0CAD">
      <w:pPr>
        <w:pStyle w:val="SingleTxtG"/>
        <w:keepNext/>
        <w:keepLines/>
        <w:jc w:val="center"/>
        <w:rPr>
          <w:rFonts w:asciiTheme="majorBidi" w:eastAsiaTheme="minorHAnsi" w:hAnsiTheme="majorBidi" w:cstheme="majorBidi"/>
          <w:b/>
          <w:bCs/>
        </w:rPr>
      </w:pPr>
    </w:p>
    <w:p w14:paraId="4CE59A5B" w14:textId="291C844E" w:rsidR="00BD0CAD" w:rsidRPr="00FC4465" w:rsidRDefault="009958AB" w:rsidP="00BD0CAD">
      <w:pPr>
        <w:jc w:val="center"/>
        <w:rPr>
          <w:rFonts w:asciiTheme="majorBidi" w:eastAsiaTheme="minorHAnsi" w:hAnsiTheme="majorBidi" w:cstheme="majorBidi"/>
          <w:b/>
          <w:bCs/>
        </w:rPr>
      </w:pPr>
      <w:r>
        <w:object w:dxaOrig="8235" w:dyaOrig="8266" w14:anchorId="4C3BB1B0">
          <v:shape id="_x0000_i1037" type="#_x0000_t75" style="width:411.75pt;height:413.25pt" o:ole="">
            <v:imagedata r:id="rId55" o:title=""/>
          </v:shape>
          <o:OLEObject Type="Embed" ProgID="Visio.Drawing.15" ShapeID="_x0000_i1037" DrawAspect="Content" ObjectID="_1754120344" r:id="rId56"/>
        </w:object>
      </w:r>
    </w:p>
    <w:p w14:paraId="1F5F6F59" w14:textId="77777777" w:rsidR="00BD0CAD" w:rsidRPr="00FC4465" w:rsidRDefault="00BD0CAD" w:rsidP="00BD0CAD">
      <w:pPr>
        <w:pStyle w:val="SingleTxtG"/>
        <w:keepNext/>
        <w:keepLines/>
        <w:rPr>
          <w:rFonts w:asciiTheme="majorBidi" w:eastAsiaTheme="minorHAnsi" w:hAnsiTheme="majorBidi" w:cstheme="majorBidi"/>
        </w:rPr>
      </w:pPr>
    </w:p>
    <w:p w14:paraId="6C53AF21" w14:textId="77777777" w:rsidR="00BD0CAD" w:rsidRPr="00FC4465" w:rsidRDefault="00BD0CAD" w:rsidP="00BD0CAD">
      <w:pPr>
        <w:pStyle w:val="SingleTxtG"/>
        <w:keepNext/>
        <w:keepLines/>
        <w:tabs>
          <w:tab w:val="left" w:pos="3686"/>
        </w:tabs>
        <w:ind w:left="2268"/>
        <w:rPr>
          <w:rFonts w:asciiTheme="majorBidi" w:eastAsiaTheme="minorHAnsi" w:hAnsiTheme="majorBidi" w:cstheme="majorBidi"/>
          <w:i/>
          <w:iCs/>
        </w:rPr>
      </w:pPr>
      <w:r w:rsidRPr="00FC4465">
        <w:rPr>
          <w:rFonts w:asciiTheme="majorBidi" w:hAnsiTheme="majorBidi" w:cstheme="majorBidi"/>
        </w:rPr>
        <w:t xml:space="preserve">A9.7.5.3.2 </w:t>
      </w:r>
      <w:r w:rsidRPr="00FC4465">
        <w:rPr>
          <w:rFonts w:asciiTheme="majorBidi" w:hAnsiTheme="majorBidi" w:cstheme="majorBidi"/>
        </w:rPr>
        <w:tab/>
      </w:r>
      <w:r w:rsidRPr="00FC4465">
        <w:rPr>
          <w:rFonts w:asciiTheme="majorBidi" w:hAnsiTheme="majorBidi" w:cstheme="majorBidi"/>
          <w:i/>
          <w:iCs/>
        </w:rPr>
        <w:t>Peligro a largo plazo (crónico) de los compuestos metálicos para el medio acuático</w:t>
      </w:r>
    </w:p>
    <w:p w14:paraId="61727022" w14:textId="77777777" w:rsidR="00BD0CAD" w:rsidRPr="00FC4465" w:rsidRDefault="00BD0CAD" w:rsidP="00BD0CAD">
      <w:pPr>
        <w:pStyle w:val="SingleTxtG"/>
        <w:tabs>
          <w:tab w:val="clear" w:pos="2835"/>
          <w:tab w:val="left" w:pos="3686"/>
        </w:tabs>
        <w:ind w:left="2268"/>
        <w:rPr>
          <w:rFonts w:asciiTheme="majorBidi" w:eastAsiaTheme="minorHAnsi" w:hAnsiTheme="majorBidi" w:cstheme="majorBidi"/>
        </w:rPr>
      </w:pPr>
      <w:r w:rsidRPr="00FC4465">
        <w:rPr>
          <w:rFonts w:asciiTheme="majorBidi" w:hAnsiTheme="majorBidi" w:cstheme="majorBidi"/>
        </w:rPr>
        <w:tab/>
        <w:t>El sistema para determinar el peligro a largo plazo (crónico) de los compuestos metálicos para el medio acuático se describe en esta sección y se resume en la figura A9.7.5. Los compuestos metálicos pueden clasificarse en función de su peligro a largo plazo para el medio acuático utilizando datos de toxicidad crónica cuando se disponga de ellos o siguiendo el método de sustitución en ausencia de datos adecuados sobre la toxicidad crónica.</w:t>
      </w:r>
    </w:p>
    <w:p w14:paraId="7E44BEF6" w14:textId="77777777" w:rsidR="00BD0CAD" w:rsidRPr="00FC4465" w:rsidRDefault="00BD0CAD" w:rsidP="00BD0CAD">
      <w:pPr>
        <w:pStyle w:val="SingleTxtG"/>
        <w:tabs>
          <w:tab w:val="left" w:pos="3686"/>
        </w:tabs>
        <w:ind w:left="2268"/>
        <w:rPr>
          <w:rFonts w:asciiTheme="majorBidi" w:eastAsiaTheme="minorHAnsi" w:hAnsiTheme="majorBidi" w:cstheme="majorBidi"/>
        </w:rPr>
      </w:pPr>
      <w:r w:rsidRPr="00FC4465">
        <w:rPr>
          <w:rFonts w:asciiTheme="majorBidi" w:hAnsiTheme="majorBidi" w:cstheme="majorBidi"/>
        </w:rPr>
        <w:t xml:space="preserve">A9.7.5.3.2.1 </w:t>
      </w:r>
      <w:r w:rsidRPr="00FC4465">
        <w:rPr>
          <w:rFonts w:asciiTheme="majorBidi" w:hAnsiTheme="majorBidi" w:cstheme="majorBidi"/>
        </w:rPr>
        <w:tab/>
        <w:t>Enfoque basado en los datos disponibles sobre toxicidad crónica</w:t>
      </w:r>
    </w:p>
    <w:p w14:paraId="2E5ED1D0" w14:textId="77777777" w:rsidR="00BD0CAD" w:rsidRPr="00FC4465" w:rsidRDefault="00BD0CAD" w:rsidP="00BD0CAD">
      <w:pPr>
        <w:pStyle w:val="SingleTxtG"/>
        <w:tabs>
          <w:tab w:val="left" w:pos="2410"/>
          <w:tab w:val="left" w:pos="3686"/>
        </w:tabs>
        <w:ind w:left="2268"/>
        <w:rPr>
          <w:rFonts w:asciiTheme="majorBidi" w:eastAsiaTheme="minorHAnsi" w:hAnsiTheme="majorBidi" w:cstheme="majorBidi"/>
        </w:rPr>
      </w:pPr>
      <w:r w:rsidRPr="00FC4465">
        <w:rPr>
          <w:rFonts w:asciiTheme="majorBidi" w:hAnsiTheme="majorBidi" w:cstheme="majorBidi"/>
        </w:rPr>
        <w:t>A9.7.5.3.2.1.1</w:t>
      </w:r>
      <w:r w:rsidRPr="00FC4465">
        <w:rPr>
          <w:rFonts w:asciiTheme="majorBidi" w:hAnsiTheme="majorBidi" w:cstheme="majorBidi"/>
        </w:rPr>
        <w:tab/>
        <w:t>Cuando el VRE</w:t>
      </w:r>
      <w:r w:rsidRPr="00FC4465">
        <w:rPr>
          <w:rFonts w:asciiTheme="majorBidi" w:hAnsiTheme="majorBidi" w:cstheme="majorBidi"/>
          <w:vertAlign w:val="subscript"/>
        </w:rPr>
        <w:t>compuesto</w:t>
      </w:r>
      <w:r w:rsidRPr="00FC4465">
        <w:rPr>
          <w:rFonts w:asciiTheme="majorBidi" w:hAnsiTheme="majorBidi" w:cstheme="majorBidi"/>
        </w:rPr>
        <w:t xml:space="preserve"> crónico es superior a 1 mg/l, no habrá que seguir con el procedimiento de clasificación en función del peligro a largo plazo de los compuestos metálicos.</w:t>
      </w:r>
    </w:p>
    <w:p w14:paraId="06A3E884" w14:textId="77777777" w:rsidR="00BD0CAD" w:rsidRPr="00FC4465" w:rsidRDefault="00BD0CAD" w:rsidP="00BD0CAD">
      <w:pPr>
        <w:pStyle w:val="SingleTxtG"/>
        <w:tabs>
          <w:tab w:val="left" w:pos="2410"/>
          <w:tab w:val="left" w:pos="3686"/>
        </w:tabs>
        <w:ind w:left="2268"/>
        <w:rPr>
          <w:rFonts w:asciiTheme="majorBidi" w:eastAsiaTheme="minorHAnsi" w:hAnsiTheme="majorBidi" w:cstheme="majorBidi"/>
        </w:rPr>
      </w:pPr>
      <w:r w:rsidRPr="00FC4465">
        <w:rPr>
          <w:rFonts w:asciiTheme="majorBidi" w:hAnsiTheme="majorBidi" w:cstheme="majorBidi"/>
        </w:rPr>
        <w:t>A9.7.5.3.2.1.2</w:t>
      </w:r>
      <w:r w:rsidRPr="00FC4465">
        <w:rPr>
          <w:rFonts w:asciiTheme="majorBidi" w:hAnsiTheme="majorBidi" w:cstheme="majorBidi"/>
        </w:rPr>
        <w:tab/>
        <w:t>Los compuestos metálicos fácilmente solubles se clasificarán basándose en el VRE</w:t>
      </w:r>
      <w:r w:rsidRPr="00FC4465">
        <w:rPr>
          <w:rFonts w:asciiTheme="majorBidi" w:hAnsiTheme="majorBidi" w:cstheme="majorBidi"/>
          <w:vertAlign w:val="subscript"/>
        </w:rPr>
        <w:t>compuesto</w:t>
      </w:r>
      <w:r w:rsidRPr="00FC4465">
        <w:rPr>
          <w:rFonts w:asciiTheme="majorBidi" w:hAnsiTheme="majorBidi" w:cstheme="majorBidi"/>
        </w:rPr>
        <w:t xml:space="preserve"> de toxicidad crónica. Si no hay pruebas de una rápida transformación ambiental, el compuesto metálico fácilmente soluble se clasificará según se indica a continuación:</w:t>
      </w:r>
    </w:p>
    <w:p w14:paraId="591BBC29" w14:textId="4B3EC2BB" w:rsidR="00BD0CAD" w:rsidRPr="00FC4465" w:rsidRDefault="00BD0CAD" w:rsidP="00BD0CAD">
      <w:pPr>
        <w:pStyle w:val="SingleTxtG"/>
        <w:ind w:left="2835" w:hanging="567"/>
        <w:rPr>
          <w:rFonts w:asciiTheme="majorBidi" w:eastAsiaTheme="minorHAnsi" w:hAnsiTheme="majorBidi" w:cstheme="majorBidi"/>
        </w:rPr>
      </w:pPr>
      <w:r w:rsidRPr="00FC4465">
        <w:rPr>
          <w:rFonts w:asciiTheme="majorBidi" w:hAnsiTheme="majorBidi" w:cstheme="majorBidi"/>
        </w:rPr>
        <w:lastRenderedPageBreak/>
        <w:t>a)</w:t>
      </w:r>
      <w:r w:rsidRPr="00FC4465">
        <w:rPr>
          <w:rFonts w:asciiTheme="majorBidi" w:hAnsiTheme="majorBidi" w:cstheme="majorBidi"/>
        </w:rPr>
        <w:tab/>
        <w:t>Categoría Crónica 1 si el VRE</w:t>
      </w:r>
      <w:r w:rsidRPr="00FC4465">
        <w:rPr>
          <w:rFonts w:asciiTheme="majorBidi" w:hAnsiTheme="majorBidi" w:cstheme="majorBidi"/>
          <w:vertAlign w:val="subscript"/>
        </w:rPr>
        <w:t>compuesto</w:t>
      </w:r>
      <w:r w:rsidRPr="00FC4465">
        <w:rPr>
          <w:rFonts w:asciiTheme="majorBidi" w:hAnsiTheme="majorBidi" w:cstheme="majorBidi"/>
        </w:rPr>
        <w:t xml:space="preserve"> de toxicidad crónica es igual o inferior a 0,1 mg/l (0,01 mg/l si existen pruebas de una rápida transformación ambiental). Asígnese un factor M Crónico según la tabla A9.7.1;</w:t>
      </w:r>
    </w:p>
    <w:p w14:paraId="180E512E" w14:textId="77777777" w:rsidR="00BD0CAD" w:rsidRPr="00FC4465" w:rsidRDefault="00BD0CAD" w:rsidP="00BD0CAD">
      <w:pPr>
        <w:pStyle w:val="SingleTxtG"/>
        <w:tabs>
          <w:tab w:val="clear" w:pos="2268"/>
        </w:tabs>
        <w:ind w:left="2835" w:hanging="567"/>
        <w:rPr>
          <w:rFonts w:asciiTheme="majorBidi" w:eastAsiaTheme="minorHAnsi" w:hAnsiTheme="majorBidi" w:cstheme="majorBidi"/>
        </w:rPr>
      </w:pPr>
      <w:r w:rsidRPr="00FC4465">
        <w:rPr>
          <w:rFonts w:asciiTheme="majorBidi" w:hAnsiTheme="majorBidi" w:cstheme="majorBidi"/>
        </w:rPr>
        <w:t>b)</w:t>
      </w:r>
      <w:r w:rsidRPr="00FC4465">
        <w:rPr>
          <w:rFonts w:asciiTheme="majorBidi" w:hAnsiTheme="majorBidi" w:cstheme="majorBidi"/>
        </w:rPr>
        <w:tab/>
        <w:t>Categoría Crónica 2 si el VRE</w:t>
      </w:r>
      <w:r w:rsidRPr="00FC4465">
        <w:rPr>
          <w:rFonts w:asciiTheme="majorBidi" w:hAnsiTheme="majorBidi" w:cstheme="majorBidi"/>
          <w:vertAlign w:val="subscript"/>
        </w:rPr>
        <w:t>compuesto</w:t>
      </w:r>
      <w:r w:rsidRPr="00FC4465">
        <w:rPr>
          <w:rFonts w:asciiTheme="majorBidi" w:hAnsiTheme="majorBidi" w:cstheme="majorBidi"/>
        </w:rPr>
        <w:t xml:space="preserve"> de toxicidad crónica es igual o inferior a 1 mg/l (0,1 mg/l si existen pruebas de una rápida transformación ambiental);</w:t>
      </w:r>
    </w:p>
    <w:p w14:paraId="784D14D8" w14:textId="77777777" w:rsidR="00BD0CAD" w:rsidRPr="00FC4465" w:rsidRDefault="00BD0CAD" w:rsidP="00BD0CAD">
      <w:pPr>
        <w:pStyle w:val="SingleTxtG"/>
        <w:tabs>
          <w:tab w:val="clear" w:pos="2268"/>
        </w:tabs>
        <w:ind w:left="2835" w:hanging="567"/>
        <w:rPr>
          <w:rFonts w:asciiTheme="majorBidi" w:eastAsiaTheme="minorHAnsi" w:hAnsiTheme="majorBidi" w:cstheme="majorBidi"/>
        </w:rPr>
      </w:pPr>
      <w:r w:rsidRPr="00FC4465">
        <w:rPr>
          <w:rFonts w:asciiTheme="majorBidi" w:hAnsiTheme="majorBidi" w:cstheme="majorBidi"/>
        </w:rPr>
        <w:t>c)</w:t>
      </w:r>
      <w:r w:rsidRPr="00FC4465">
        <w:rPr>
          <w:rFonts w:asciiTheme="majorBidi" w:hAnsiTheme="majorBidi" w:cstheme="majorBidi"/>
        </w:rPr>
        <w:tab/>
        <w:t>Categoría Crónica 3 si el VRE</w:t>
      </w:r>
      <w:r w:rsidRPr="00FC4465">
        <w:rPr>
          <w:rFonts w:asciiTheme="majorBidi" w:hAnsiTheme="majorBidi" w:cstheme="majorBidi"/>
          <w:vertAlign w:val="subscript"/>
        </w:rPr>
        <w:t>compuesto</w:t>
      </w:r>
      <w:r w:rsidRPr="00FC4465">
        <w:rPr>
          <w:rFonts w:asciiTheme="majorBidi" w:hAnsiTheme="majorBidi" w:cstheme="majorBidi"/>
        </w:rPr>
        <w:t xml:space="preserve"> de toxicidad crónica es igual o inferior a 1 mg/l y existen pruebas de una rápida transformación ambiental; </w:t>
      </w:r>
    </w:p>
    <w:p w14:paraId="40259915" w14:textId="77777777" w:rsidR="00BD0CAD" w:rsidRPr="00FC4465" w:rsidRDefault="00BD0CAD" w:rsidP="00BD0CAD">
      <w:pPr>
        <w:pStyle w:val="SingleTxtG"/>
        <w:tabs>
          <w:tab w:val="clear" w:pos="2268"/>
        </w:tabs>
        <w:ind w:left="2835" w:hanging="567"/>
        <w:rPr>
          <w:rFonts w:asciiTheme="majorBidi" w:eastAsiaTheme="minorHAnsi" w:hAnsiTheme="majorBidi" w:cstheme="majorBidi"/>
        </w:rPr>
      </w:pPr>
      <w:r w:rsidRPr="00FC4465">
        <w:rPr>
          <w:rFonts w:asciiTheme="majorBidi" w:hAnsiTheme="majorBidi" w:cstheme="majorBidi"/>
        </w:rPr>
        <w:t>d)</w:t>
      </w:r>
      <w:r w:rsidRPr="00FC4465">
        <w:rPr>
          <w:rFonts w:asciiTheme="majorBidi" w:hAnsiTheme="majorBidi" w:cstheme="majorBidi"/>
        </w:rPr>
        <w:tab/>
        <w:t>Categoría Crónica 4 si los datos disponibles no permiten una clasificación con los criterios establecidos pero suscitan preocupación (véase 4.1.2.2).</w:t>
      </w:r>
    </w:p>
    <w:p w14:paraId="7D6E82C8" w14:textId="77777777" w:rsidR="00BD0CAD" w:rsidRPr="00FC4465" w:rsidRDefault="00BD0CAD" w:rsidP="00BD0CAD">
      <w:pPr>
        <w:pStyle w:val="SingleTxtG"/>
        <w:tabs>
          <w:tab w:val="left" w:pos="2410"/>
        </w:tabs>
        <w:ind w:left="2268"/>
        <w:rPr>
          <w:rFonts w:asciiTheme="majorBidi" w:eastAsiaTheme="minorHAnsi" w:hAnsiTheme="majorBidi" w:cstheme="majorBidi"/>
        </w:rPr>
      </w:pPr>
      <w:r w:rsidRPr="00FC4465">
        <w:rPr>
          <w:rFonts w:asciiTheme="majorBidi" w:hAnsiTheme="majorBidi" w:cstheme="majorBidi"/>
        </w:rPr>
        <w:t>A9.7.5.3.2.1.3</w:t>
      </w:r>
      <w:r w:rsidRPr="00FC4465">
        <w:rPr>
          <w:rFonts w:asciiTheme="majorBidi" w:hAnsiTheme="majorBidi" w:cstheme="majorBidi"/>
        </w:rPr>
        <w:tab/>
        <w:t>Compuestos metálicos poco solubles: habrá que examinar los datos disponibles en relación con la velocidad y la extensión de la producción de iones a partir del compuesto metálico. Para esa velocidad y extensión, los datos deberán haberse obtenido con el protocolo de transformación/disolución para un período de 28 días a fin de que sean válidos y puedan utilizarse. Si no se dispone de esos datos de transformación/disolución para 28 días, deberá seguirse el método de sustitución (véase A9.7.5.3.2.2). Cuando se disponga de datos de transformación/disolución de 28 días, el compuesto metálico poco soluble deberá clasificarse según se indica a continuación:</w:t>
      </w:r>
    </w:p>
    <w:p w14:paraId="139C2FCA" w14:textId="0F14256A" w:rsidR="00BD0CAD" w:rsidRPr="00FC4465" w:rsidRDefault="00BD0CAD" w:rsidP="00BD0CAD">
      <w:pPr>
        <w:pStyle w:val="SingleTxtG"/>
        <w:tabs>
          <w:tab w:val="clear" w:pos="1701"/>
          <w:tab w:val="clear" w:pos="2268"/>
          <w:tab w:val="clear" w:pos="2835"/>
        </w:tabs>
        <w:suppressAutoHyphens/>
        <w:ind w:left="2693" w:hanging="425"/>
        <w:rPr>
          <w:rFonts w:asciiTheme="majorBidi" w:eastAsiaTheme="minorHAnsi" w:hAnsiTheme="majorBidi" w:cstheme="majorBidi"/>
        </w:rPr>
      </w:pPr>
      <w:r w:rsidRPr="00FC4465">
        <w:rPr>
          <w:rFonts w:asciiTheme="majorBidi" w:hAnsiTheme="majorBidi" w:cstheme="majorBidi"/>
        </w:rPr>
        <w:t>a)</w:t>
      </w:r>
      <w:r w:rsidRPr="00FC4465">
        <w:rPr>
          <w:rFonts w:asciiTheme="majorBidi" w:hAnsiTheme="majorBidi" w:cstheme="majorBidi"/>
        </w:rPr>
        <w:tab/>
        <w:t>Categoría Crónica 1 si la concentración de iones metálicos disueltos obtenida para una cantidad de producto añadido de 0,1 mg/l (0,01 mg/l si existen pruebas de una rápida transformación ambiental) es superior o igual al VRE de toxicidad crónica de los iones metálicos disueltos. Asígnese un factor M Crónico según la tabla A9.7.1;</w:t>
      </w:r>
      <w:r w:rsidR="008C5013" w:rsidRPr="00FC4465">
        <w:rPr>
          <w:rFonts w:asciiTheme="majorBidi" w:hAnsiTheme="majorBidi" w:cstheme="majorBidi"/>
        </w:rPr>
        <w:t xml:space="preserve"> </w:t>
      </w:r>
    </w:p>
    <w:p w14:paraId="69E2190B" w14:textId="040880E5" w:rsidR="00BD0CAD" w:rsidRPr="00FC4465" w:rsidRDefault="00BD0CAD" w:rsidP="00BD0CAD">
      <w:pPr>
        <w:pStyle w:val="SingleTxtG"/>
        <w:tabs>
          <w:tab w:val="clear" w:pos="1701"/>
          <w:tab w:val="clear" w:pos="2268"/>
          <w:tab w:val="clear" w:pos="2835"/>
        </w:tabs>
        <w:suppressAutoHyphens/>
        <w:ind w:left="2693" w:hanging="425"/>
        <w:rPr>
          <w:rFonts w:asciiTheme="majorBidi" w:eastAsiaTheme="minorHAnsi" w:hAnsiTheme="majorBidi" w:cstheme="majorBidi"/>
        </w:rPr>
      </w:pPr>
      <w:r w:rsidRPr="00FC4465">
        <w:rPr>
          <w:rFonts w:asciiTheme="majorBidi" w:hAnsiTheme="majorBidi" w:cstheme="majorBidi"/>
        </w:rPr>
        <w:t>b)</w:t>
      </w:r>
      <w:r w:rsidRPr="00FC4465">
        <w:rPr>
          <w:rFonts w:asciiTheme="majorBidi" w:hAnsiTheme="majorBidi" w:cstheme="majorBidi"/>
        </w:rPr>
        <w:tab/>
        <w:t>Categoría Crónica 2 si la concentración de iones metálicos disueltos obtenida para una cantidad de producto añadido de 1 mg/l (0,1 mg/l si existen pruebas de una rápida transformación ambiental) es superior o igual al VRE de toxicidad crónica de los iones metálicos disueltos;</w:t>
      </w:r>
      <w:r w:rsidR="008C5013" w:rsidRPr="00FC4465">
        <w:rPr>
          <w:rFonts w:asciiTheme="majorBidi" w:hAnsiTheme="majorBidi" w:cstheme="majorBidi"/>
        </w:rPr>
        <w:t xml:space="preserve"> </w:t>
      </w:r>
    </w:p>
    <w:p w14:paraId="21E7B1D6" w14:textId="77777777" w:rsidR="00BD0CAD" w:rsidRPr="00FC4465" w:rsidRDefault="00BD0CAD" w:rsidP="00BD0CAD">
      <w:pPr>
        <w:pStyle w:val="SingleTxtG"/>
        <w:tabs>
          <w:tab w:val="clear" w:pos="1701"/>
          <w:tab w:val="clear" w:pos="2268"/>
          <w:tab w:val="clear" w:pos="2835"/>
        </w:tabs>
        <w:suppressAutoHyphens/>
        <w:ind w:left="2693" w:hanging="425"/>
        <w:rPr>
          <w:rFonts w:asciiTheme="majorBidi" w:eastAsiaTheme="minorHAnsi" w:hAnsiTheme="majorBidi" w:cstheme="majorBidi"/>
        </w:rPr>
      </w:pPr>
      <w:r w:rsidRPr="00FC4465">
        <w:rPr>
          <w:rFonts w:asciiTheme="majorBidi" w:hAnsiTheme="majorBidi" w:cstheme="majorBidi"/>
        </w:rPr>
        <w:t>c)</w:t>
      </w:r>
      <w:r w:rsidRPr="00FC4465">
        <w:rPr>
          <w:rFonts w:asciiTheme="majorBidi" w:hAnsiTheme="majorBidi" w:cstheme="majorBidi"/>
        </w:rPr>
        <w:tab/>
        <w:t>Categoría Crónica 3 si la concentración de iones metálicos disueltos obtenida para una cantidad de producto añadido de 1 mg/l es superior o igual al VRE de toxicidad crónica de los iones metálicos disueltos y existen pruebas de una rápida transformación ambiental;</w:t>
      </w:r>
    </w:p>
    <w:p w14:paraId="509E155D" w14:textId="77777777" w:rsidR="00BD0CAD" w:rsidRPr="00FC4465" w:rsidRDefault="00BD0CAD" w:rsidP="00BD0CAD">
      <w:pPr>
        <w:pStyle w:val="SingleTxtG"/>
        <w:tabs>
          <w:tab w:val="clear" w:pos="1701"/>
          <w:tab w:val="clear" w:pos="2268"/>
          <w:tab w:val="clear" w:pos="2835"/>
        </w:tabs>
        <w:suppressAutoHyphens/>
        <w:ind w:left="2693" w:hanging="425"/>
        <w:rPr>
          <w:rFonts w:asciiTheme="majorBidi" w:eastAsiaTheme="minorHAnsi" w:hAnsiTheme="majorBidi" w:cstheme="majorBidi"/>
        </w:rPr>
      </w:pPr>
      <w:r w:rsidRPr="00FC4465">
        <w:rPr>
          <w:rFonts w:asciiTheme="majorBidi" w:hAnsiTheme="majorBidi" w:cstheme="majorBidi"/>
        </w:rPr>
        <w:t>d)</w:t>
      </w:r>
      <w:r w:rsidRPr="00FC4465">
        <w:rPr>
          <w:rFonts w:asciiTheme="majorBidi" w:hAnsiTheme="majorBidi" w:cstheme="majorBidi"/>
        </w:rPr>
        <w:tab/>
        <w:t>Categoría Crónica 4 si los datos disponibles no permiten una clasificación con los criterios establecidos pero suscitan preocupación (véase 4.1.2.2).</w:t>
      </w:r>
    </w:p>
    <w:p w14:paraId="5BA67A95" w14:textId="77777777" w:rsidR="00BD0CAD" w:rsidRPr="00FC4465" w:rsidRDefault="00BD0CAD" w:rsidP="00BD0CAD">
      <w:pPr>
        <w:pStyle w:val="SingleTxtG"/>
        <w:tabs>
          <w:tab w:val="clear" w:pos="1701"/>
          <w:tab w:val="clear" w:pos="2268"/>
        </w:tabs>
        <w:ind w:left="2268"/>
        <w:rPr>
          <w:rFonts w:asciiTheme="majorBidi" w:eastAsiaTheme="minorHAnsi" w:hAnsiTheme="majorBidi" w:cstheme="majorBidi"/>
        </w:rPr>
      </w:pPr>
      <w:r w:rsidRPr="00FC4465">
        <w:rPr>
          <w:rFonts w:asciiTheme="majorBidi" w:hAnsiTheme="majorBidi" w:cstheme="majorBidi"/>
        </w:rPr>
        <w:t>No debe clasificarse el compuesto metálico poco soluble en función de su peligro a largo plazo (crónico) para el medio acuático si la concentración de iones metálicos disueltos obtenida en el ensayo de transformación/disolución de 28 días con una cantidad de producto añadido de 1 mg/l es inferior al VRE de toxicidad crónica del ion metálico disuelto.</w:t>
      </w:r>
    </w:p>
    <w:p w14:paraId="1CB99241" w14:textId="6EFAE182" w:rsidR="00BD0CAD" w:rsidRPr="00FC4465" w:rsidRDefault="00BD0CAD" w:rsidP="00BD0CAD">
      <w:pPr>
        <w:pStyle w:val="SingleTxtG"/>
        <w:keepNext/>
        <w:keepLines/>
        <w:spacing w:after="240"/>
        <w:jc w:val="center"/>
        <w:rPr>
          <w:rFonts w:asciiTheme="majorBidi" w:hAnsiTheme="majorBidi" w:cstheme="majorBidi"/>
          <w:sz w:val="16"/>
          <w:szCs w:val="16"/>
          <w:u w:val="single"/>
        </w:rPr>
      </w:pPr>
      <w:bookmarkStart w:id="20" w:name="_Hlk112317281"/>
      <w:r w:rsidRPr="00FC4465">
        <w:rPr>
          <w:rFonts w:asciiTheme="majorBidi" w:hAnsiTheme="majorBidi" w:cstheme="majorBidi"/>
          <w:b/>
          <w:bCs/>
        </w:rPr>
        <w:lastRenderedPageBreak/>
        <w:t xml:space="preserve">Figura A9.7.5: Estrategia de clasificación para determinar el peligro a largo </w:t>
      </w:r>
      <w:r w:rsidR="00424650">
        <w:rPr>
          <w:rFonts w:asciiTheme="majorBidi" w:hAnsiTheme="majorBidi" w:cstheme="majorBidi"/>
          <w:b/>
          <w:bCs/>
        </w:rPr>
        <w:br/>
      </w:r>
      <w:r w:rsidRPr="00FC4465">
        <w:rPr>
          <w:rFonts w:asciiTheme="majorBidi" w:hAnsiTheme="majorBidi" w:cstheme="majorBidi"/>
          <w:b/>
          <w:bCs/>
        </w:rPr>
        <w:t xml:space="preserve">plazo de los compuestos metálicos para el medio acuático a partir </w:t>
      </w:r>
      <w:r w:rsidR="00424650">
        <w:rPr>
          <w:rFonts w:asciiTheme="majorBidi" w:hAnsiTheme="majorBidi" w:cstheme="majorBidi"/>
          <w:b/>
          <w:bCs/>
        </w:rPr>
        <w:br/>
      </w:r>
      <w:r w:rsidRPr="00FC4465">
        <w:rPr>
          <w:rFonts w:asciiTheme="majorBidi" w:hAnsiTheme="majorBidi" w:cstheme="majorBidi"/>
          <w:b/>
          <w:bCs/>
        </w:rPr>
        <w:t>de datos sobre la toxicidad crónica</w:t>
      </w:r>
      <w:bookmarkEnd w:id="20"/>
    </w:p>
    <w:p w14:paraId="162C7F37" w14:textId="4D029A29" w:rsidR="00BD0CAD" w:rsidRPr="00FC4465" w:rsidRDefault="009958AB" w:rsidP="00BD0CAD">
      <w:pPr>
        <w:pStyle w:val="SingleTxtG"/>
        <w:keepNext/>
        <w:keepLines/>
        <w:ind w:left="0" w:right="0"/>
        <w:rPr>
          <w:rFonts w:asciiTheme="majorBidi" w:hAnsiTheme="majorBidi" w:cstheme="majorBidi"/>
        </w:rPr>
      </w:pPr>
      <w:r>
        <w:object w:dxaOrig="9961" w:dyaOrig="12646" w14:anchorId="0E164D23">
          <v:shape id="_x0000_i1038" type="#_x0000_t75" style="width:481.5pt;height:611.25pt" o:ole="">
            <v:imagedata r:id="rId57" o:title=""/>
          </v:shape>
          <o:OLEObject Type="Embed" ProgID="Visio.Drawing.15" ShapeID="_x0000_i1038" DrawAspect="Content" ObjectID="_1754120345" r:id="rId58"/>
        </w:object>
      </w:r>
    </w:p>
    <w:p w14:paraId="5C15227B" w14:textId="77777777" w:rsidR="00BD0CAD" w:rsidRPr="00802EA2" w:rsidRDefault="00BD0CAD" w:rsidP="00802EA2">
      <w:pPr>
        <w:pStyle w:val="SingleTxtG"/>
        <w:keepNext/>
        <w:keepLines/>
        <w:pageBreakBefore/>
        <w:tabs>
          <w:tab w:val="left" w:pos="3402"/>
        </w:tabs>
        <w:ind w:left="2268"/>
        <w:rPr>
          <w:rFonts w:asciiTheme="majorBidi" w:eastAsiaTheme="minorHAnsi" w:hAnsiTheme="majorBidi" w:cstheme="majorBidi"/>
        </w:rPr>
      </w:pPr>
      <w:r w:rsidRPr="00802EA2">
        <w:rPr>
          <w:rFonts w:asciiTheme="majorBidi" w:hAnsiTheme="majorBidi" w:cstheme="majorBidi"/>
        </w:rPr>
        <w:lastRenderedPageBreak/>
        <w:t>A9.7.5.3.3.2</w:t>
      </w:r>
      <w:r w:rsidRPr="00802EA2">
        <w:rPr>
          <w:rFonts w:asciiTheme="majorBidi" w:hAnsiTheme="majorBidi" w:cstheme="majorBidi"/>
        </w:rPr>
        <w:tab/>
        <w:t xml:space="preserve"> El método de sustitución</w:t>
      </w:r>
    </w:p>
    <w:p w14:paraId="31D8BF99" w14:textId="7A203AB1" w:rsidR="00BD0CAD" w:rsidRPr="00802EA2" w:rsidRDefault="00BD0CAD" w:rsidP="00802EA2">
      <w:pPr>
        <w:pStyle w:val="SingleTxtG"/>
        <w:keepNext/>
        <w:keepLines/>
        <w:tabs>
          <w:tab w:val="clear" w:pos="1701"/>
          <w:tab w:val="left" w:pos="3402"/>
        </w:tabs>
        <w:ind w:left="2268"/>
        <w:rPr>
          <w:rFonts w:asciiTheme="majorBidi" w:eastAsiaTheme="minorHAnsi" w:hAnsiTheme="majorBidi" w:cstheme="majorBidi"/>
        </w:rPr>
      </w:pPr>
      <w:r w:rsidRPr="00802EA2">
        <w:rPr>
          <w:rFonts w:asciiTheme="majorBidi" w:hAnsiTheme="majorBidi" w:cstheme="majorBidi"/>
        </w:rPr>
        <w:t>Cuando no se disponga de datos apropiados sobre toxicidad crónica o datos de transformación/disolución, pero el compuesto metálico esté clasificado en función de su peligro a corto plazo (agudo) para el medio acuático, el compuesto metálico se clasificará por el método de sustitución. El método de sustitución para los compuestos metálicos es idéntico al de los metales (véase</w:t>
      </w:r>
      <w:r w:rsidR="00A70FE7">
        <w:rPr>
          <w:rFonts w:asciiTheme="majorBidi" w:hAnsiTheme="majorBidi" w:cstheme="majorBidi"/>
        </w:rPr>
        <w:t> </w:t>
      </w:r>
      <w:r w:rsidRPr="00802EA2">
        <w:rPr>
          <w:rFonts w:asciiTheme="majorBidi" w:hAnsiTheme="majorBidi" w:cstheme="majorBidi"/>
        </w:rPr>
        <w:t>A9.7.5.2.2.2).</w:t>
      </w:r>
      <w:r w:rsidR="008C5013" w:rsidRPr="00802EA2">
        <w:rPr>
          <w:rFonts w:asciiTheme="majorBidi" w:hAnsiTheme="majorBidi" w:cstheme="majorBidi"/>
        </w:rPr>
        <w:t>”</w:t>
      </w:r>
      <w:r w:rsidRPr="00802EA2">
        <w:rPr>
          <w:rFonts w:asciiTheme="majorBidi" w:hAnsiTheme="majorBidi" w:cstheme="majorBidi"/>
        </w:rPr>
        <w:t>.</w:t>
      </w:r>
    </w:p>
    <w:p w14:paraId="633B0E2C" w14:textId="77777777" w:rsidR="00BD0CAD" w:rsidRPr="00802EA2" w:rsidRDefault="00BD0CAD" w:rsidP="00802EA2">
      <w:pPr>
        <w:pStyle w:val="SingleTxtG"/>
        <w:keepNext/>
        <w:keepLines/>
        <w:tabs>
          <w:tab w:val="clear" w:pos="1701"/>
          <w:tab w:val="clear" w:pos="2268"/>
        </w:tabs>
        <w:ind w:left="2268" w:hanging="1134"/>
        <w:rPr>
          <w:rFonts w:asciiTheme="majorBidi" w:eastAsiaTheme="minorHAnsi" w:hAnsiTheme="majorBidi" w:cstheme="majorBidi"/>
        </w:rPr>
      </w:pPr>
      <w:r w:rsidRPr="00802EA2">
        <w:rPr>
          <w:rFonts w:asciiTheme="majorBidi" w:hAnsiTheme="majorBidi" w:cstheme="majorBidi"/>
        </w:rPr>
        <w:t xml:space="preserve">A9.7.5.4.3 </w:t>
      </w:r>
      <w:r w:rsidRPr="00802EA2">
        <w:rPr>
          <w:rFonts w:asciiTheme="majorBidi" w:hAnsiTheme="majorBidi" w:cstheme="majorBidi"/>
        </w:rPr>
        <w:tab/>
        <w:t xml:space="preserve">Añádase el siguiente párrafo después de la tabla actual en A9.7.5.4.3: </w:t>
      </w:r>
    </w:p>
    <w:p w14:paraId="6B9B93A9" w14:textId="224034E5" w:rsidR="00BD0CAD" w:rsidRPr="00802EA2" w:rsidRDefault="008C5013" w:rsidP="00802EA2">
      <w:pPr>
        <w:pStyle w:val="SingleTxtG"/>
        <w:keepNext/>
        <w:keepLines/>
        <w:tabs>
          <w:tab w:val="clear" w:pos="1701"/>
          <w:tab w:val="clear" w:pos="2268"/>
        </w:tabs>
        <w:ind w:left="2268"/>
        <w:rPr>
          <w:rFonts w:asciiTheme="majorBidi" w:eastAsiaTheme="minorHAnsi" w:hAnsiTheme="majorBidi" w:cstheme="majorBidi"/>
        </w:rPr>
      </w:pPr>
      <w:r w:rsidRPr="00802EA2">
        <w:rPr>
          <w:rFonts w:asciiTheme="majorBidi" w:hAnsiTheme="majorBidi" w:cstheme="majorBidi"/>
        </w:rPr>
        <w:t>“</w:t>
      </w:r>
      <w:r w:rsidR="00BD0CAD" w:rsidRPr="00802EA2">
        <w:rPr>
          <w:rFonts w:asciiTheme="majorBidi" w:hAnsiTheme="majorBidi" w:cstheme="majorBidi"/>
        </w:rPr>
        <w:t>Las formas masivas suelen analizarse en partículas de 1 mm. Alternativamente, los ensayos de transformación/disolución de materiales con superficies diferentes pueden dar lugar a ecuaciones cinéticas de disolución sumamente fiables que permitan definir el diámetro crítico de las partículas a fin de determinar cantidades adecuadas para la evaluación de peligros a corto y largo plazo.</w:t>
      </w:r>
      <w:r w:rsidRPr="00802EA2">
        <w:rPr>
          <w:rFonts w:asciiTheme="majorBidi" w:hAnsiTheme="majorBidi" w:cstheme="majorBidi"/>
        </w:rPr>
        <w:t>”</w:t>
      </w:r>
      <w:r w:rsidR="00BD0CAD" w:rsidRPr="00802EA2">
        <w:rPr>
          <w:rFonts w:asciiTheme="majorBidi" w:hAnsiTheme="majorBidi" w:cstheme="majorBidi"/>
        </w:rPr>
        <w:t>.</w:t>
      </w:r>
    </w:p>
    <w:p w14:paraId="4A7CA6E4" w14:textId="77777777" w:rsidR="00BD0CAD" w:rsidRPr="00802EA2" w:rsidRDefault="00BD0CAD" w:rsidP="00802EA2">
      <w:pPr>
        <w:pStyle w:val="SingleTxtG"/>
        <w:keepNext/>
        <w:keepLines/>
        <w:tabs>
          <w:tab w:val="clear" w:pos="1701"/>
          <w:tab w:val="clear" w:pos="2268"/>
        </w:tabs>
        <w:ind w:left="2268" w:hanging="1134"/>
        <w:rPr>
          <w:rFonts w:asciiTheme="majorBidi" w:eastAsiaTheme="minorHAnsi" w:hAnsiTheme="majorBidi" w:cstheme="majorBidi"/>
        </w:rPr>
      </w:pPr>
      <w:r w:rsidRPr="00802EA2">
        <w:rPr>
          <w:rFonts w:asciiTheme="majorBidi" w:hAnsiTheme="majorBidi" w:cstheme="majorBidi"/>
        </w:rPr>
        <w:t xml:space="preserve">A9.7.5.4.4 </w:t>
      </w:r>
      <w:r w:rsidRPr="00802EA2">
        <w:rPr>
          <w:rFonts w:asciiTheme="majorBidi" w:hAnsiTheme="majorBidi" w:cstheme="majorBidi"/>
        </w:rPr>
        <w:tab/>
        <w:t xml:space="preserve">Modifíquese para que diga: </w:t>
      </w:r>
    </w:p>
    <w:p w14:paraId="2B1B5345" w14:textId="5065FE95" w:rsidR="00BD0CAD" w:rsidRPr="00802EA2" w:rsidRDefault="008C5013" w:rsidP="00802EA2">
      <w:pPr>
        <w:pStyle w:val="SingleTxtG"/>
        <w:keepNext/>
        <w:keepLines/>
        <w:tabs>
          <w:tab w:val="clear" w:pos="1701"/>
          <w:tab w:val="clear" w:pos="2268"/>
        </w:tabs>
        <w:ind w:left="2268"/>
        <w:rPr>
          <w:rFonts w:asciiTheme="majorBidi" w:eastAsiaTheme="minorHAnsi" w:hAnsiTheme="majorBidi" w:cstheme="majorBidi"/>
        </w:rPr>
      </w:pPr>
      <w:r w:rsidRPr="00802EA2">
        <w:rPr>
          <w:rFonts w:asciiTheme="majorBidi" w:hAnsiTheme="majorBidi" w:cstheme="majorBidi"/>
        </w:rPr>
        <w:t>“</w:t>
      </w:r>
      <w:r w:rsidR="00BD0CAD" w:rsidRPr="00802EA2">
        <w:rPr>
          <w:rFonts w:asciiTheme="majorBidi" w:hAnsiTheme="majorBidi" w:cstheme="majorBidi"/>
        </w:rPr>
        <w:t>A9.7.5.4.4</w:t>
      </w:r>
      <w:r w:rsidR="00BD0CAD" w:rsidRPr="00802EA2">
        <w:rPr>
          <w:rFonts w:asciiTheme="majorBidi" w:hAnsiTheme="majorBidi" w:cstheme="majorBidi"/>
        </w:rPr>
        <w:tab/>
        <w:t xml:space="preserve">Para algunas formas metálicas, será posible, con el protocolo de transformación/disolución (OCDE 2001), obtener una correlación entre la concentración del ion metálico al cabo de lapso de tiempo determinado y la cantidad en superficie de partícula de las formas sometidas a ensayo. Dichas correlaciones deben establecerse para los rangos de pH pertinentes, tal como se especifica en el protocolo de transformación/disolución. En tales casos, cabría estimar la concentración de iones metálicos disueltos del metal con diferentes partículas siguiendo el procedimiento basado en la superficie crítica </w:t>
      </w:r>
      <w:r w:rsidR="00BD0CAD" w:rsidRPr="00802EA2">
        <w:rPr>
          <w:rFonts w:asciiTheme="majorBidi" w:eastAsiaTheme="minorHAnsi" w:hAnsiTheme="majorBidi" w:cstheme="majorBidi"/>
        </w:rPr>
        <w:t xml:space="preserve">(Skeaff </w:t>
      </w:r>
      <w:r w:rsidR="00BD0CAD" w:rsidRPr="00802EA2">
        <w:rPr>
          <w:rFonts w:asciiTheme="majorBidi" w:eastAsiaTheme="minorHAnsi" w:hAnsiTheme="majorBidi" w:cstheme="majorBidi"/>
          <w:i/>
          <w:iCs/>
        </w:rPr>
        <w:t>et al.</w:t>
      </w:r>
      <w:r w:rsidR="00BD0CAD" w:rsidRPr="00802EA2">
        <w:rPr>
          <w:rFonts w:asciiTheme="majorBidi" w:eastAsiaTheme="minorHAnsi" w:hAnsiTheme="majorBidi" w:cstheme="majorBidi"/>
        </w:rPr>
        <w:t>, 2000)</w:t>
      </w:r>
      <w:r w:rsidR="00BD0CAD" w:rsidRPr="00802EA2">
        <w:rPr>
          <w:rFonts w:asciiTheme="majorBidi" w:hAnsiTheme="majorBidi" w:cstheme="majorBidi"/>
        </w:rPr>
        <w:t xml:space="preserve"> (véase la referencia en el Apéndice VI, parte 5, sobre metales y compuestos metálicos). A partir de esta correlación y de una vinculación con los datos de toxicidad adecuados al nivel de pH correspondiente, es posible determinar una superficie crítica de la sustancia que lleva la C(E)L</w:t>
      </w:r>
      <w:r w:rsidR="00BD0CAD" w:rsidRPr="00802EA2">
        <w:rPr>
          <w:rFonts w:asciiTheme="majorBidi" w:hAnsiTheme="majorBidi" w:cstheme="majorBidi"/>
          <w:vertAlign w:val="subscript"/>
        </w:rPr>
        <w:t>50</w:t>
      </w:r>
      <w:r w:rsidR="00BD0CAD" w:rsidRPr="00802EA2">
        <w:rPr>
          <w:rFonts w:asciiTheme="majorBidi" w:hAnsiTheme="majorBidi" w:cstheme="majorBidi"/>
        </w:rPr>
        <w:t xml:space="preserve"> al medio de disolución y, a continuación, convertir esa superficie crítica en diámetro crítico de partícula (véase el ejemplo). Este diámetro crítico de partícula para las cantidades de producto adecuadas con objeto de evaluar los peligros a corto y largo plazo puede utilizarse a continuación para:</w:t>
      </w:r>
    </w:p>
    <w:p w14:paraId="52563AC2" w14:textId="59765A40" w:rsidR="00BD0CAD" w:rsidRPr="00802EA2" w:rsidRDefault="00BD0CAD" w:rsidP="00802EA2">
      <w:pPr>
        <w:pStyle w:val="SingleTxtG"/>
        <w:ind w:left="2694" w:hanging="426"/>
        <w:rPr>
          <w:rFonts w:asciiTheme="majorBidi" w:eastAsiaTheme="minorHAnsi" w:hAnsiTheme="majorBidi" w:cstheme="majorBidi"/>
        </w:rPr>
      </w:pPr>
      <w:r w:rsidRPr="00802EA2">
        <w:rPr>
          <w:rFonts w:asciiTheme="majorBidi" w:hAnsiTheme="majorBidi" w:cstheme="majorBidi"/>
        </w:rPr>
        <w:t>a)</w:t>
      </w:r>
      <w:r w:rsidRPr="00802EA2">
        <w:rPr>
          <w:rFonts w:asciiTheme="majorBidi" w:hAnsiTheme="majorBidi" w:cstheme="majorBidi"/>
        </w:rPr>
        <w:tab/>
        <w:t>determinar la categoría de clasificación de los polvos en función del polvo representativo más fino del mercado</w:t>
      </w:r>
      <w:r w:rsidR="009958AB" w:rsidRPr="00802EA2">
        <w:rPr>
          <w:rFonts w:asciiTheme="majorBidi" w:hAnsiTheme="majorBidi" w:cstheme="majorBidi"/>
        </w:rPr>
        <w:t>;</w:t>
      </w:r>
      <w:r w:rsidRPr="00802EA2">
        <w:rPr>
          <w:rFonts w:asciiTheme="majorBidi" w:hAnsiTheme="majorBidi" w:cstheme="majorBidi"/>
        </w:rPr>
        <w:t xml:space="preserve"> y </w:t>
      </w:r>
    </w:p>
    <w:p w14:paraId="51190343" w14:textId="77777777" w:rsidR="00BD0CAD" w:rsidRPr="00802EA2" w:rsidRDefault="00BD0CAD" w:rsidP="00802EA2">
      <w:pPr>
        <w:pStyle w:val="SingleTxtG"/>
        <w:ind w:left="2694" w:hanging="426"/>
        <w:rPr>
          <w:rFonts w:asciiTheme="majorBidi" w:eastAsiaTheme="minorHAnsi" w:hAnsiTheme="majorBidi" w:cstheme="majorBidi"/>
        </w:rPr>
      </w:pPr>
      <w:r w:rsidRPr="00802EA2">
        <w:rPr>
          <w:rFonts w:asciiTheme="majorBidi" w:hAnsiTheme="majorBidi" w:cstheme="majorBidi"/>
        </w:rPr>
        <w:t>b)</w:t>
      </w:r>
      <w:r w:rsidRPr="00802EA2">
        <w:rPr>
          <w:rFonts w:asciiTheme="majorBidi" w:hAnsiTheme="majorBidi" w:cstheme="majorBidi"/>
        </w:rPr>
        <w:tab/>
        <w:t>determinar con precisión la clasificación de la masa de metal aplicando un diámetro de 1 mm (por defecto).</w:t>
      </w:r>
    </w:p>
    <w:p w14:paraId="479EF290" w14:textId="1BD4224C" w:rsidR="00BD0CAD" w:rsidRPr="00802EA2" w:rsidRDefault="00BD0CAD" w:rsidP="00802EA2">
      <w:pPr>
        <w:pStyle w:val="SingleTxtG"/>
        <w:tabs>
          <w:tab w:val="clear" w:pos="1701"/>
          <w:tab w:val="clear" w:pos="2835"/>
          <w:tab w:val="left" w:pos="3402"/>
        </w:tabs>
        <w:ind w:left="2268"/>
        <w:rPr>
          <w:rFonts w:asciiTheme="majorBidi" w:eastAsiaTheme="minorHAnsi" w:hAnsiTheme="majorBidi" w:cstheme="majorBidi"/>
        </w:rPr>
      </w:pPr>
      <w:r w:rsidRPr="00802EA2">
        <w:rPr>
          <w:rFonts w:asciiTheme="majorBidi" w:hAnsiTheme="majorBidi" w:cstheme="majorBidi"/>
        </w:rPr>
        <w:t>A9.7.5.4.4.1</w:t>
      </w:r>
      <w:r w:rsidRPr="00802EA2">
        <w:rPr>
          <w:rFonts w:asciiTheme="majorBidi" w:hAnsiTheme="majorBidi" w:cstheme="majorBidi"/>
        </w:rPr>
        <w:tab/>
        <w:t>En el procedimiento basado en la superficie crítica se desarrolla una ecuación para predecir la liberación de iones metálicos (según la liberación de iones metálicos medida previamente a partir de diferentes cantidades de metal), que se correlaciona con la superficie medida y un diámetro de partícula equivalente que se calcula. El fundamento del procedimiento basado en la superficie crítica es que la liberación de iones metálicos depende de la superficie de la sustancia, de modo que se puede predecir esa liberación una vez que se ha establecido la relación. Se calcula la superficie crítica (mm²/l), que es la que en un medio proporciona un valor de referencia de ecotoxicidad dado para ese medio. El término SA se refiere a la superficie específica medida</w:t>
      </w:r>
      <w:r w:rsidR="00A70FE7">
        <w:rPr>
          <w:rFonts w:asciiTheme="majorBidi" w:hAnsiTheme="majorBidi" w:cstheme="majorBidi"/>
        </w:rPr>
        <w:t> </w:t>
      </w:r>
      <w:r w:rsidRPr="00802EA2">
        <w:rPr>
          <w:rFonts w:asciiTheme="majorBidi" w:hAnsiTheme="majorBidi" w:cstheme="majorBidi"/>
        </w:rPr>
        <w:t>(m²/g) de la muestra de metal. La superficie crítica específica medida</w:t>
      </w:r>
      <w:r w:rsidR="00A70FE7">
        <w:rPr>
          <w:rFonts w:asciiTheme="majorBidi" w:hAnsiTheme="majorBidi" w:cstheme="majorBidi"/>
        </w:rPr>
        <w:t> </w:t>
      </w:r>
      <w:r w:rsidRPr="00802EA2">
        <w:rPr>
          <w:rFonts w:asciiTheme="majorBidi" w:hAnsiTheme="majorBidi" w:cstheme="majorBidi"/>
        </w:rPr>
        <w:t>(SA</w:t>
      </w:r>
      <w:r w:rsidRPr="00802EA2">
        <w:rPr>
          <w:rFonts w:asciiTheme="majorBidi" w:hAnsiTheme="majorBidi" w:cstheme="majorBidi"/>
          <w:vertAlign w:val="subscript"/>
        </w:rPr>
        <w:t>crít</w:t>
      </w:r>
      <w:r w:rsidRPr="00802EA2">
        <w:rPr>
          <w:rFonts w:asciiTheme="majorBidi" w:hAnsiTheme="majorBidi" w:cstheme="majorBidi"/>
        </w:rPr>
        <w:t xml:space="preserve">) (m²/g) es la superficie específica medida para las distintas cantidades de producto (niveles bajo, medio y alto) que están asociadas a las respectivas categorías de clasificación de toxicidad acuática a corto y largo plazo en el sistema de clasificación de metales y compuestos metálicos. A continuación se muestra una ecuación típica de esta relación para una sustancia, un medio acuático, un pH y un tiempo de retención dados: </w:t>
      </w:r>
    </w:p>
    <w:p w14:paraId="37CC5442" w14:textId="77777777" w:rsidR="00BD0CAD" w:rsidRPr="00802EA2" w:rsidRDefault="00BD0CAD" w:rsidP="00802EA2">
      <w:pPr>
        <w:pStyle w:val="SingleTxtG"/>
        <w:ind w:left="1701" w:firstLine="567"/>
        <w:jc w:val="center"/>
        <w:rPr>
          <w:rFonts w:asciiTheme="majorBidi" w:eastAsiaTheme="minorHAnsi" w:hAnsiTheme="majorBidi" w:cstheme="majorBidi"/>
        </w:rPr>
      </w:pPr>
      <w:r w:rsidRPr="00802EA2">
        <w:rPr>
          <w:rFonts w:asciiTheme="majorBidi" w:hAnsiTheme="majorBidi" w:cstheme="majorBidi"/>
        </w:rPr>
        <w:t>log(C</w:t>
      </w:r>
      <w:r w:rsidRPr="00802EA2">
        <w:rPr>
          <w:rFonts w:asciiTheme="majorBidi" w:hAnsiTheme="majorBidi" w:cstheme="majorBidi"/>
          <w:vertAlign w:val="subscript"/>
        </w:rPr>
        <w:t>Me</w:t>
      </w:r>
      <w:r w:rsidRPr="00802EA2">
        <w:rPr>
          <w:rFonts w:asciiTheme="majorBidi" w:hAnsiTheme="majorBidi" w:cstheme="majorBidi"/>
        </w:rPr>
        <w:t>(</w:t>
      </w:r>
      <w:r w:rsidRPr="00802EA2">
        <w:rPr>
          <w:rFonts w:asciiTheme="majorBidi" w:hAnsiTheme="majorBidi" w:cstheme="majorBidi"/>
          <w:vertAlign w:val="subscript"/>
        </w:rPr>
        <w:t>ac</w:t>
      </w:r>
      <w:r w:rsidRPr="00802EA2">
        <w:rPr>
          <w:rFonts w:asciiTheme="majorBidi" w:hAnsiTheme="majorBidi" w:cstheme="majorBidi"/>
        </w:rPr>
        <w:t>)) = a + b log(A</w:t>
      </w:r>
      <w:r w:rsidRPr="00802EA2">
        <w:rPr>
          <w:rFonts w:asciiTheme="majorBidi" w:hAnsiTheme="majorBidi" w:cstheme="majorBidi"/>
          <w:vertAlign w:val="subscript"/>
        </w:rPr>
        <w:t>med</w:t>
      </w:r>
      <w:r w:rsidRPr="00802EA2">
        <w:rPr>
          <w:rFonts w:asciiTheme="majorBidi" w:hAnsiTheme="majorBidi" w:cstheme="majorBidi"/>
        </w:rPr>
        <w:t>)</w:t>
      </w:r>
    </w:p>
    <w:p w14:paraId="34C92891" w14:textId="41C154AD" w:rsidR="00BD0CAD" w:rsidRPr="00802EA2" w:rsidRDefault="00BD0CAD" w:rsidP="00802EA2">
      <w:pPr>
        <w:pStyle w:val="SingleTxtG"/>
        <w:tabs>
          <w:tab w:val="clear" w:pos="1701"/>
        </w:tabs>
        <w:ind w:left="2268"/>
        <w:rPr>
          <w:rFonts w:asciiTheme="majorBidi" w:eastAsiaTheme="minorHAnsi" w:hAnsiTheme="majorBidi" w:cstheme="majorBidi"/>
        </w:rPr>
      </w:pPr>
      <w:r w:rsidRPr="00802EA2">
        <w:rPr>
          <w:rFonts w:asciiTheme="majorBidi" w:hAnsiTheme="majorBidi" w:cstheme="majorBidi"/>
        </w:rPr>
        <w:lastRenderedPageBreak/>
        <w:t>C</w:t>
      </w:r>
      <w:r w:rsidRPr="00802EA2">
        <w:rPr>
          <w:rFonts w:asciiTheme="majorBidi" w:hAnsiTheme="majorBidi" w:cstheme="majorBidi"/>
          <w:vertAlign w:val="subscript"/>
        </w:rPr>
        <w:t>Me</w:t>
      </w:r>
      <w:r w:rsidRPr="00802EA2">
        <w:rPr>
          <w:rFonts w:asciiTheme="majorBidi" w:hAnsiTheme="majorBidi" w:cstheme="majorBidi"/>
        </w:rPr>
        <w:t>(</w:t>
      </w:r>
      <w:r w:rsidRPr="00802EA2">
        <w:rPr>
          <w:rFonts w:asciiTheme="majorBidi" w:hAnsiTheme="majorBidi" w:cstheme="majorBidi"/>
          <w:vertAlign w:val="subscript"/>
        </w:rPr>
        <w:t>ac</w:t>
      </w:r>
      <w:r w:rsidRPr="00802EA2">
        <w:rPr>
          <w:rFonts w:asciiTheme="majorBidi" w:hAnsiTheme="majorBidi" w:cstheme="majorBidi"/>
        </w:rPr>
        <w:t xml:space="preserve">) = concentración total de iones metálicos disueltos (en mg/l) en un tiempo de ensayo determinado (168 horas para la evaluación del peligro a corto plazo) en determinadas condiciones (pH y medio especificado, entre otras), determinada por ensayos de transformación/disolución de diferentes cantidades para la superficie. </w:t>
      </w:r>
    </w:p>
    <w:p w14:paraId="24260C2F" w14:textId="77777777" w:rsidR="00BD0CAD" w:rsidRPr="00802EA2" w:rsidRDefault="00BD0CAD" w:rsidP="00802EA2">
      <w:pPr>
        <w:pStyle w:val="SingleTxtG"/>
        <w:tabs>
          <w:tab w:val="clear" w:pos="1701"/>
        </w:tabs>
        <w:ind w:left="2268"/>
        <w:rPr>
          <w:rFonts w:asciiTheme="majorBidi" w:eastAsiaTheme="minorHAnsi" w:hAnsiTheme="majorBidi" w:cstheme="majorBidi"/>
        </w:rPr>
      </w:pPr>
      <w:r w:rsidRPr="00802EA2">
        <w:rPr>
          <w:rFonts w:asciiTheme="majorBidi" w:hAnsiTheme="majorBidi" w:cstheme="majorBidi"/>
        </w:rPr>
        <w:t xml:space="preserve">a, b = coeficientes de regresión </w:t>
      </w:r>
    </w:p>
    <w:p w14:paraId="62AE21D1" w14:textId="77777777" w:rsidR="00BD0CAD" w:rsidRPr="00802EA2" w:rsidRDefault="00BD0CAD" w:rsidP="00802EA2">
      <w:pPr>
        <w:pStyle w:val="SingleTxtG"/>
        <w:tabs>
          <w:tab w:val="clear" w:pos="1701"/>
        </w:tabs>
        <w:ind w:left="2268"/>
        <w:rPr>
          <w:rFonts w:asciiTheme="majorBidi" w:eastAsiaTheme="minorHAnsi" w:hAnsiTheme="majorBidi" w:cstheme="majorBidi"/>
          <w:iCs/>
        </w:rPr>
      </w:pPr>
      <w:r w:rsidRPr="00802EA2">
        <w:rPr>
          <w:rFonts w:asciiTheme="majorBidi" w:hAnsiTheme="majorBidi" w:cstheme="majorBidi"/>
        </w:rPr>
        <w:t>A</w:t>
      </w:r>
      <w:r w:rsidRPr="00802EA2">
        <w:rPr>
          <w:rFonts w:asciiTheme="majorBidi" w:hAnsiTheme="majorBidi" w:cstheme="majorBidi"/>
          <w:vertAlign w:val="subscript"/>
        </w:rPr>
        <w:t>med</w:t>
      </w:r>
      <w:r w:rsidRPr="00802EA2">
        <w:rPr>
          <w:rFonts w:asciiTheme="majorBidi" w:hAnsiTheme="majorBidi" w:cstheme="majorBidi"/>
        </w:rPr>
        <w:t xml:space="preserve"> = carga de superficie inicial (en mm</w:t>
      </w:r>
      <w:r w:rsidRPr="00802EA2">
        <w:rPr>
          <w:rFonts w:asciiTheme="majorBidi" w:hAnsiTheme="majorBidi" w:cstheme="majorBidi"/>
          <w:vertAlign w:val="superscript"/>
        </w:rPr>
        <w:t>2</w:t>
      </w:r>
      <w:r w:rsidRPr="00802EA2">
        <w:rPr>
          <w:rFonts w:asciiTheme="majorBidi" w:hAnsiTheme="majorBidi" w:cstheme="majorBidi"/>
        </w:rPr>
        <w:t>/l), calculada según se indica a continuación:</w:t>
      </w:r>
    </w:p>
    <w:p w14:paraId="4D543859" w14:textId="77777777" w:rsidR="00BD0CAD" w:rsidRPr="00802EA2" w:rsidRDefault="00006632" w:rsidP="00802EA2">
      <w:pPr>
        <w:pStyle w:val="SingleTxtG"/>
        <w:tabs>
          <w:tab w:val="clear" w:pos="1701"/>
          <w:tab w:val="clear" w:pos="2268"/>
          <w:tab w:val="clear" w:pos="2835"/>
        </w:tabs>
        <w:ind w:left="2410"/>
        <w:rPr>
          <w:rFonts w:asciiTheme="majorBidi" w:eastAsiaTheme="minorHAnsi" w:hAnsiTheme="majorBidi" w:cstheme="majorBidi"/>
        </w:rPr>
      </w:pPr>
      <m:oMathPara>
        <m:oMath>
          <m:sSub>
            <m:sSubPr>
              <m:ctrlPr>
                <w:rPr>
                  <w:rFonts w:ascii="Cambria Math" w:eastAsiaTheme="minorHAnsi" w:hAnsi="Cambria Math" w:cstheme="majorBidi"/>
                  <w:i/>
                </w:rPr>
              </m:ctrlPr>
            </m:sSubPr>
            <m:e>
              <m:r>
                <m:rPr>
                  <m:nor/>
                </m:rPr>
                <w:rPr>
                  <w:rFonts w:asciiTheme="majorBidi" w:eastAsiaTheme="minorHAnsi" w:hAnsiTheme="majorBidi" w:cstheme="majorBidi"/>
                </w:rPr>
                <m:t>A</m:t>
              </m:r>
            </m:e>
            <m:sub>
              <m:r>
                <m:rPr>
                  <m:nor/>
                </m:rPr>
                <w:rPr>
                  <w:rFonts w:asciiTheme="majorBidi" w:eastAsiaTheme="minorHAnsi" w:hAnsiTheme="majorBidi" w:cstheme="majorBidi"/>
                </w:rPr>
                <m:t>medida</m:t>
              </m:r>
            </m:sub>
          </m:sSub>
          <m:r>
            <m:rPr>
              <m:sty m:val="p"/>
            </m:rPr>
            <w:rPr>
              <w:rFonts w:ascii="Cambria Math" w:eastAsiaTheme="minorHAnsi" w:hAnsi="Cambria Math" w:cstheme="majorBidi"/>
            </w:rPr>
            <m:t>=SA ×cantidad de sustancia ×</m:t>
          </m:r>
          <m:sSup>
            <m:sSupPr>
              <m:ctrlPr>
                <w:rPr>
                  <w:rFonts w:ascii="Cambria Math" w:eastAsiaTheme="minorHAnsi" w:hAnsi="Cambria Math" w:cstheme="majorBidi"/>
                </w:rPr>
              </m:ctrlPr>
            </m:sSupPr>
            <m:e>
              <m:r>
                <m:rPr>
                  <m:sty m:val="p"/>
                </m:rPr>
                <w:rPr>
                  <w:rFonts w:ascii="Cambria Math" w:eastAsiaTheme="minorHAnsi" w:hAnsi="Cambria Math" w:cstheme="majorBidi"/>
                </w:rPr>
                <m:t xml:space="preserve">10 </m:t>
              </m:r>
            </m:e>
            <m:sup>
              <m:r>
                <w:rPr>
                  <w:rFonts w:ascii="Cambria Math" w:eastAsiaTheme="minorHAnsi" w:hAnsi="Cambria Math" w:cstheme="majorBidi"/>
                </w:rPr>
                <m:t>6</m:t>
              </m:r>
            </m:sup>
          </m:sSup>
        </m:oMath>
      </m:oMathPara>
    </w:p>
    <w:p w14:paraId="33029DFA" w14:textId="77777777" w:rsidR="00BD0CAD" w:rsidRPr="00802EA2" w:rsidRDefault="00BD0CAD" w:rsidP="00802EA2">
      <w:pPr>
        <w:pStyle w:val="SingleTxtG"/>
        <w:tabs>
          <w:tab w:val="clear" w:pos="1701"/>
          <w:tab w:val="clear" w:pos="2268"/>
          <w:tab w:val="clear" w:pos="2835"/>
        </w:tabs>
        <w:ind w:left="2552"/>
        <w:rPr>
          <w:rFonts w:asciiTheme="majorBidi" w:eastAsiaTheme="minorHAnsi" w:hAnsiTheme="majorBidi" w:cstheme="majorBidi"/>
        </w:rPr>
      </w:pPr>
      <w:r w:rsidRPr="00802EA2">
        <w:rPr>
          <w:rFonts w:asciiTheme="majorBidi" w:hAnsiTheme="majorBidi" w:cstheme="majorBidi"/>
        </w:rPr>
        <w:t>donde:</w:t>
      </w:r>
    </w:p>
    <w:p w14:paraId="06734C07" w14:textId="77777777" w:rsidR="00BD0CAD" w:rsidRPr="00802EA2" w:rsidRDefault="00BD0CAD" w:rsidP="00802EA2">
      <w:pPr>
        <w:pStyle w:val="SingleTxtG"/>
        <w:tabs>
          <w:tab w:val="clear" w:pos="1701"/>
        </w:tabs>
        <w:ind w:left="3402" w:hanging="425"/>
        <w:rPr>
          <w:rFonts w:asciiTheme="majorBidi" w:eastAsiaTheme="minorHAnsi" w:hAnsiTheme="majorBidi" w:cstheme="majorBidi"/>
        </w:rPr>
      </w:pPr>
      <w:r w:rsidRPr="00802EA2">
        <w:rPr>
          <w:rFonts w:asciiTheme="majorBidi" w:hAnsiTheme="majorBidi" w:cstheme="majorBidi"/>
        </w:rPr>
        <w:t>SA = superficie específica (en m</w:t>
      </w:r>
      <w:r w:rsidRPr="00802EA2">
        <w:rPr>
          <w:rFonts w:asciiTheme="majorBidi" w:hAnsiTheme="majorBidi" w:cstheme="majorBidi"/>
          <w:vertAlign w:val="superscript"/>
        </w:rPr>
        <w:t>2</w:t>
      </w:r>
      <w:r w:rsidRPr="00802EA2">
        <w:rPr>
          <w:rFonts w:asciiTheme="majorBidi" w:hAnsiTheme="majorBidi" w:cstheme="majorBidi"/>
        </w:rPr>
        <w:t>/g) medida por adsorción-desorción de nitrógeno según el procedimiento Brunauer-Emmet Teller (BET).</w:t>
      </w:r>
    </w:p>
    <w:p w14:paraId="1038519B" w14:textId="4BEA4F8C" w:rsidR="00BD0CAD" w:rsidRPr="00802EA2" w:rsidRDefault="00BD0CAD" w:rsidP="00802EA2">
      <w:pPr>
        <w:pStyle w:val="SingleTxtG"/>
        <w:tabs>
          <w:tab w:val="clear" w:pos="1701"/>
        </w:tabs>
        <w:ind w:left="3402" w:hanging="425"/>
        <w:rPr>
          <w:rFonts w:asciiTheme="majorBidi" w:eastAsiaTheme="minorHAnsi" w:hAnsiTheme="majorBidi" w:cstheme="majorBidi"/>
        </w:rPr>
      </w:pPr>
      <w:r w:rsidRPr="00802EA2">
        <w:rPr>
          <w:rFonts w:asciiTheme="majorBidi" w:hAnsiTheme="majorBidi" w:cstheme="majorBidi"/>
        </w:rPr>
        <w:t>Cantidad de la sustancia en g/l.</w:t>
      </w:r>
      <w:r w:rsidR="008C5013" w:rsidRPr="00802EA2">
        <w:rPr>
          <w:rFonts w:asciiTheme="majorBidi" w:hAnsiTheme="majorBidi" w:cstheme="majorBidi"/>
        </w:rPr>
        <w:t>”</w:t>
      </w:r>
      <w:r w:rsidRPr="00802EA2">
        <w:rPr>
          <w:rFonts w:asciiTheme="majorBidi" w:hAnsiTheme="majorBidi" w:cstheme="majorBidi"/>
        </w:rPr>
        <w:t>.</w:t>
      </w:r>
    </w:p>
    <w:p w14:paraId="5B9F6F77" w14:textId="77777777" w:rsidR="00BD0CAD" w:rsidRPr="00802EA2" w:rsidRDefault="00BD0CAD" w:rsidP="00802EA2">
      <w:pPr>
        <w:pStyle w:val="SingleTxtG"/>
        <w:tabs>
          <w:tab w:val="clear" w:pos="1701"/>
          <w:tab w:val="clear" w:pos="2268"/>
        </w:tabs>
        <w:ind w:left="2268" w:hanging="1134"/>
        <w:rPr>
          <w:rFonts w:asciiTheme="majorBidi" w:eastAsiaTheme="minorHAnsi" w:hAnsiTheme="majorBidi" w:cstheme="majorBidi"/>
        </w:rPr>
      </w:pPr>
      <w:r w:rsidRPr="00802EA2">
        <w:rPr>
          <w:rFonts w:asciiTheme="majorBidi" w:hAnsiTheme="majorBidi" w:cstheme="majorBidi"/>
        </w:rPr>
        <w:t>Figura A9.7.1</w:t>
      </w:r>
      <w:r w:rsidRPr="00802EA2">
        <w:rPr>
          <w:rFonts w:asciiTheme="majorBidi" w:hAnsiTheme="majorBidi" w:cstheme="majorBidi"/>
        </w:rPr>
        <w:tab/>
        <w:t xml:space="preserve"> Suprímase </w:t>
      </w:r>
    </w:p>
    <w:p w14:paraId="0E83FF00" w14:textId="77777777" w:rsidR="00BD0CAD" w:rsidRPr="00802EA2" w:rsidRDefault="00BD0CAD" w:rsidP="00802EA2">
      <w:pPr>
        <w:pStyle w:val="SingleTxtG"/>
        <w:rPr>
          <w:rFonts w:asciiTheme="majorBidi" w:hAnsiTheme="majorBidi" w:cstheme="majorBidi"/>
        </w:rPr>
      </w:pPr>
      <w:r w:rsidRPr="00802EA2">
        <w:rPr>
          <w:rFonts w:asciiTheme="majorBidi" w:hAnsiTheme="majorBidi" w:cstheme="majorBidi"/>
        </w:rPr>
        <w:t xml:space="preserve">A9.7.5.5 </w:t>
      </w:r>
      <w:r w:rsidRPr="00802EA2">
        <w:rPr>
          <w:rFonts w:asciiTheme="majorBidi" w:hAnsiTheme="majorBidi" w:cstheme="majorBidi"/>
        </w:rPr>
        <w:tab/>
        <w:t>Añádase un nuevo subapartado A9.7.5.5 que diga lo siguiente:</w:t>
      </w:r>
    </w:p>
    <w:p w14:paraId="78DA6383" w14:textId="0642B809" w:rsidR="00BD0CAD" w:rsidRPr="00802EA2" w:rsidRDefault="008C5013" w:rsidP="00802EA2">
      <w:pPr>
        <w:pStyle w:val="SingleTxtG"/>
        <w:ind w:left="2268"/>
        <w:rPr>
          <w:rFonts w:asciiTheme="majorBidi" w:eastAsiaTheme="minorHAnsi" w:hAnsiTheme="majorBidi" w:cstheme="majorBidi"/>
        </w:rPr>
      </w:pPr>
      <w:r w:rsidRPr="00802EA2">
        <w:rPr>
          <w:rFonts w:asciiTheme="majorBidi" w:hAnsiTheme="majorBidi" w:cstheme="majorBidi"/>
        </w:rPr>
        <w:t>“</w:t>
      </w:r>
      <w:r w:rsidR="00BD0CAD" w:rsidRPr="00802EA2">
        <w:rPr>
          <w:rFonts w:asciiTheme="majorBidi" w:hAnsiTheme="majorBidi" w:cstheme="majorBidi"/>
        </w:rPr>
        <w:t>A9.7.5.5</w:t>
      </w:r>
      <w:r w:rsidR="00BD0CAD" w:rsidRPr="00802EA2">
        <w:rPr>
          <w:rFonts w:asciiTheme="majorBidi" w:hAnsiTheme="majorBidi" w:cstheme="majorBidi"/>
        </w:rPr>
        <w:tab/>
        <w:t xml:space="preserve"> Establecimiento de factores M para metales y compuestos metálicos inorgánicos</w:t>
      </w:r>
    </w:p>
    <w:p w14:paraId="6D28817D" w14:textId="4D554206" w:rsidR="00BD0CAD" w:rsidRPr="00802EA2" w:rsidRDefault="00BD0CAD" w:rsidP="00802EA2">
      <w:pPr>
        <w:pStyle w:val="SingleTxtG"/>
        <w:ind w:left="2268"/>
        <w:rPr>
          <w:rFonts w:asciiTheme="majorBidi" w:eastAsiaTheme="minorHAnsi" w:hAnsiTheme="majorBidi" w:cstheme="majorBidi"/>
        </w:rPr>
      </w:pPr>
      <w:r w:rsidRPr="00802EA2">
        <w:rPr>
          <w:rFonts w:asciiTheme="majorBidi" w:hAnsiTheme="majorBidi" w:cstheme="majorBidi"/>
        </w:rPr>
        <w:t>A9.7.5.5.1</w:t>
      </w:r>
      <w:r w:rsidRPr="00802EA2">
        <w:rPr>
          <w:rFonts w:asciiTheme="majorBidi" w:hAnsiTheme="majorBidi" w:cstheme="majorBidi"/>
        </w:rPr>
        <w:tab/>
        <w:t xml:space="preserve">Para la clase de peligro </w:t>
      </w:r>
      <w:r w:rsidR="008C5013" w:rsidRPr="00802EA2">
        <w:rPr>
          <w:rFonts w:asciiTheme="majorBidi" w:hAnsiTheme="majorBidi" w:cstheme="majorBidi"/>
        </w:rPr>
        <w:t>“</w:t>
      </w:r>
      <w:r w:rsidRPr="00802EA2">
        <w:rPr>
          <w:rFonts w:asciiTheme="majorBidi" w:hAnsiTheme="majorBidi" w:cstheme="majorBidi"/>
        </w:rPr>
        <w:t>Peligros para el medio ambiente acuático</w:t>
      </w:r>
      <w:r w:rsidR="008C5013" w:rsidRPr="00802EA2">
        <w:rPr>
          <w:rFonts w:asciiTheme="majorBidi" w:hAnsiTheme="majorBidi" w:cstheme="majorBidi"/>
        </w:rPr>
        <w:t>”</w:t>
      </w:r>
      <w:r w:rsidRPr="00802EA2">
        <w:rPr>
          <w:rFonts w:asciiTheme="majorBidi" w:hAnsiTheme="majorBidi" w:cstheme="majorBidi"/>
        </w:rPr>
        <w:t xml:space="preserve">, en la que la aplicación de los valores de corte o límites de concentración normales puede conducir a una </w:t>
      </w:r>
      <w:r w:rsidR="008C5013" w:rsidRPr="00802EA2">
        <w:rPr>
          <w:rFonts w:asciiTheme="majorBidi" w:hAnsiTheme="majorBidi" w:cstheme="majorBidi"/>
        </w:rPr>
        <w:t>“</w:t>
      </w:r>
      <w:r w:rsidRPr="00802EA2">
        <w:rPr>
          <w:rFonts w:asciiTheme="majorBidi" w:hAnsiTheme="majorBidi" w:cstheme="majorBidi"/>
        </w:rPr>
        <w:t>infraclasificación</w:t>
      </w:r>
      <w:r w:rsidR="008C5013" w:rsidRPr="00802EA2">
        <w:rPr>
          <w:rFonts w:asciiTheme="majorBidi" w:hAnsiTheme="majorBidi" w:cstheme="majorBidi"/>
        </w:rPr>
        <w:t>”</w:t>
      </w:r>
      <w:r w:rsidRPr="00802EA2">
        <w:rPr>
          <w:rFonts w:asciiTheme="majorBidi" w:hAnsiTheme="majorBidi" w:cstheme="majorBidi"/>
        </w:rPr>
        <w:t xml:space="preserve"> de la mezcla, se aplica el concepto de factor M. Los factores M se utilizan en la aplicación del método sumatorio para la clasificación de mezclas que contienen sustancias clasificadas como muy ecotóxicas. El concepto de factores M se ha establecido para dar un mayor peso a las sustancias muy tóxicas a la hora de clasificar las mezclas. Esto garantiza que la magnitud de su toxicidad no se pierda para la clasificación de las mezclas. Los factores M solo son aplicables a la concentración de una sustancia clasificada como peligrosa para el medio acuático (categorías Aguda 1 y Crónica 1) y se utilizan para deducir por el método sumatorio la clasificación de una mezcla en la que se encuentre la sustancia. No obstante, son específicos de cada sustancia y es importante establecerlos al clasificar las sustancias. Es importante señalar que los factores M para la categoría Aguda y Crónica deben calcularse por separado y no tienen por qué tener el mismo valor, dependiendo de cómo se haya determinado cada uno (por ejemplo, sobre la base de los valores VRE de toxicidad aguda y crónica por separado).</w:t>
      </w:r>
    </w:p>
    <w:p w14:paraId="45FC7DA3" w14:textId="3A9DACCD" w:rsidR="00BD0CAD" w:rsidRPr="00802EA2" w:rsidRDefault="00BD0CAD" w:rsidP="00802EA2">
      <w:pPr>
        <w:pStyle w:val="SingleTxtG"/>
        <w:ind w:left="2268"/>
        <w:rPr>
          <w:rFonts w:asciiTheme="majorBidi" w:eastAsiaTheme="minorHAnsi" w:hAnsiTheme="majorBidi" w:cstheme="majorBidi"/>
        </w:rPr>
      </w:pPr>
      <w:r w:rsidRPr="00802EA2">
        <w:rPr>
          <w:rFonts w:asciiTheme="majorBidi" w:hAnsiTheme="majorBidi" w:cstheme="majorBidi"/>
        </w:rPr>
        <w:t>A9.7.5.5.2</w:t>
      </w:r>
      <w:r w:rsidRPr="00802EA2">
        <w:rPr>
          <w:rFonts w:asciiTheme="majorBidi" w:hAnsiTheme="majorBidi" w:cstheme="majorBidi"/>
        </w:rPr>
        <w:tab/>
        <w:t>Para los compuestos metálicos fácilmente solubles los factores</w:t>
      </w:r>
      <w:r w:rsidR="009958AB" w:rsidRPr="00802EA2">
        <w:rPr>
          <w:rFonts w:asciiTheme="majorBidi" w:hAnsiTheme="majorBidi" w:cstheme="majorBidi"/>
        </w:rPr>
        <w:t> </w:t>
      </w:r>
      <w:r w:rsidRPr="00802EA2">
        <w:rPr>
          <w:rFonts w:asciiTheme="majorBidi" w:hAnsiTheme="majorBidi" w:cstheme="majorBidi"/>
        </w:rPr>
        <w:t>M se aplican como para las sustancias orgánicas (véase la tabla</w:t>
      </w:r>
      <w:r w:rsidR="009958AB" w:rsidRPr="00802EA2">
        <w:rPr>
          <w:rFonts w:asciiTheme="majorBidi" w:hAnsiTheme="majorBidi" w:cstheme="majorBidi"/>
        </w:rPr>
        <w:t> </w:t>
      </w:r>
      <w:r w:rsidRPr="00802EA2">
        <w:rPr>
          <w:rFonts w:asciiTheme="majorBidi" w:hAnsiTheme="majorBidi" w:cstheme="majorBidi"/>
        </w:rPr>
        <w:t>A9.7.1).</w:t>
      </w:r>
    </w:p>
    <w:p w14:paraId="026CBF58" w14:textId="77777777" w:rsidR="00BD0CAD" w:rsidRPr="00802EA2" w:rsidRDefault="00BD0CAD" w:rsidP="00802EA2">
      <w:pPr>
        <w:pStyle w:val="SingleTxtG"/>
        <w:ind w:left="2268"/>
        <w:rPr>
          <w:rFonts w:asciiTheme="majorBidi" w:hAnsiTheme="majorBidi" w:cstheme="majorBidi"/>
        </w:rPr>
      </w:pPr>
      <w:r w:rsidRPr="00802EA2">
        <w:rPr>
          <w:rFonts w:asciiTheme="majorBidi" w:hAnsiTheme="majorBidi" w:cstheme="majorBidi"/>
        </w:rPr>
        <w:t>A9.7.5.5.3</w:t>
      </w:r>
      <w:r w:rsidRPr="00802EA2">
        <w:rPr>
          <w:rFonts w:asciiTheme="majorBidi" w:hAnsiTheme="majorBidi" w:cstheme="majorBidi"/>
        </w:rPr>
        <w:tab/>
        <w:t>Para los compuestos metálicos y los metales poco solubles se aplican factores M basados en la relación entre la concentración de iones metálicos disueltos (obtenida a partir de ensayos de transformación/disolución tras 7 y 28 días respectivamente para la cantidad de producto que se utilizó para establecer la clasificación de Categoría Aguda 1 o Categoría Crónica 1) y el VRE del ion metálico disuelto. Si esa relación es inferior a 10, se aplica un factor M de 1; si la relación es superior o igual 10 e inferior a 100, se aplica un factor M de 10; si la relación es superior o igual a 100 e inferior a 1.000, se aplica un factor M de 100... (cada uno de los intervalos sucesivos se incrementa en un factor 10).</w:t>
      </w:r>
    </w:p>
    <w:p w14:paraId="20F54061" w14:textId="77777777" w:rsidR="00BD0CAD" w:rsidRPr="00FC4465" w:rsidRDefault="00BD0CAD" w:rsidP="00424650">
      <w:pPr>
        <w:pStyle w:val="SingleTxtG"/>
        <w:keepNext/>
        <w:jc w:val="center"/>
        <w:rPr>
          <w:rFonts w:asciiTheme="majorBidi" w:eastAsiaTheme="minorHAnsi" w:hAnsiTheme="majorBidi" w:cstheme="majorBidi"/>
          <w:b/>
          <w:bCs/>
        </w:rPr>
      </w:pPr>
      <w:r w:rsidRPr="00FC4465">
        <w:rPr>
          <w:rFonts w:asciiTheme="majorBidi" w:hAnsiTheme="majorBidi" w:cstheme="majorBidi"/>
          <w:b/>
          <w:bCs/>
        </w:rPr>
        <w:lastRenderedPageBreak/>
        <w:t>Tabla A9.7.1: Factores M para compuestos metálicos fácilmente solubles</w:t>
      </w:r>
    </w:p>
    <w:tbl>
      <w:tblPr>
        <w:tblW w:w="0" w:type="auto"/>
        <w:tblInd w:w="1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828"/>
        <w:gridCol w:w="3543"/>
      </w:tblGrid>
      <w:tr w:rsidR="00BD0CAD" w:rsidRPr="00FC4465" w14:paraId="7A43C3C5" w14:textId="77777777" w:rsidTr="00C93947">
        <w:trPr>
          <w:trHeight w:val="366"/>
        </w:trPr>
        <w:tc>
          <w:tcPr>
            <w:tcW w:w="3828" w:type="dxa"/>
          </w:tcPr>
          <w:p w14:paraId="7BB37F8F" w14:textId="77777777" w:rsidR="00BD0CAD" w:rsidRPr="00FC4465" w:rsidRDefault="00BD0CAD" w:rsidP="00C93947">
            <w:pPr>
              <w:keepNext/>
              <w:keepLines/>
              <w:spacing w:before="20" w:after="20" w:line="240" w:lineRule="auto"/>
              <w:jc w:val="center"/>
              <w:rPr>
                <w:rFonts w:asciiTheme="majorBidi" w:hAnsiTheme="majorBidi" w:cstheme="majorBidi"/>
                <w:b/>
                <w:bCs/>
              </w:rPr>
            </w:pPr>
            <w:r w:rsidRPr="00FC4465">
              <w:rPr>
                <w:rFonts w:asciiTheme="majorBidi" w:hAnsiTheme="majorBidi" w:cstheme="majorBidi"/>
                <w:b/>
                <w:bCs/>
              </w:rPr>
              <w:t>VRE</w:t>
            </w:r>
            <w:r w:rsidRPr="00FC4465">
              <w:rPr>
                <w:rFonts w:asciiTheme="majorBidi" w:hAnsiTheme="majorBidi" w:cstheme="majorBidi"/>
                <w:b/>
                <w:bCs/>
                <w:vertAlign w:val="subscript"/>
              </w:rPr>
              <w:t>compuesto</w:t>
            </w:r>
            <w:r w:rsidRPr="00FC4465">
              <w:rPr>
                <w:rFonts w:asciiTheme="majorBidi" w:hAnsiTheme="majorBidi" w:cstheme="majorBidi"/>
                <w:b/>
                <w:bCs/>
              </w:rPr>
              <w:t xml:space="preserve"> de toxicidad aguda (mg/l)</w:t>
            </w:r>
          </w:p>
        </w:tc>
        <w:tc>
          <w:tcPr>
            <w:tcW w:w="3543" w:type="dxa"/>
          </w:tcPr>
          <w:p w14:paraId="30319C3E" w14:textId="77777777" w:rsidR="00BD0CAD" w:rsidRPr="00FC4465" w:rsidRDefault="00BD0CAD" w:rsidP="00C93947">
            <w:pPr>
              <w:keepNext/>
              <w:keepLines/>
              <w:spacing w:before="20" w:after="20" w:line="240" w:lineRule="auto"/>
              <w:jc w:val="center"/>
              <w:rPr>
                <w:rFonts w:asciiTheme="majorBidi" w:hAnsiTheme="majorBidi" w:cstheme="majorBidi"/>
                <w:b/>
                <w:bCs/>
              </w:rPr>
            </w:pPr>
            <w:r w:rsidRPr="00FC4465">
              <w:rPr>
                <w:rFonts w:asciiTheme="majorBidi" w:hAnsiTheme="majorBidi" w:cstheme="majorBidi"/>
                <w:b/>
                <w:bCs/>
              </w:rPr>
              <w:t>Factores de multiplicación (M), toxicidad aguda</w:t>
            </w:r>
          </w:p>
        </w:tc>
      </w:tr>
      <w:tr w:rsidR="00BD0CAD" w:rsidRPr="00FC4465" w14:paraId="22E11318" w14:textId="77777777" w:rsidTr="00C93947">
        <w:trPr>
          <w:trHeight w:val="367"/>
        </w:trPr>
        <w:tc>
          <w:tcPr>
            <w:tcW w:w="3828" w:type="dxa"/>
          </w:tcPr>
          <w:p w14:paraId="14BA6730" w14:textId="77777777" w:rsidR="00BD0CAD" w:rsidRPr="00FC4465" w:rsidRDefault="00BD0CAD" w:rsidP="00C93947">
            <w:pPr>
              <w:keepNext/>
              <w:keepLines/>
              <w:spacing w:before="20" w:after="20" w:line="240" w:lineRule="auto"/>
              <w:jc w:val="center"/>
              <w:rPr>
                <w:rFonts w:asciiTheme="majorBidi" w:hAnsiTheme="majorBidi" w:cstheme="majorBidi"/>
              </w:rPr>
            </w:pPr>
            <w:r w:rsidRPr="00FC4465">
              <w:rPr>
                <w:rFonts w:asciiTheme="majorBidi" w:hAnsiTheme="majorBidi" w:cstheme="majorBidi"/>
              </w:rPr>
              <w:t>0,1 &lt; VRE de toxicidad aguda ≤ 1</w:t>
            </w:r>
          </w:p>
        </w:tc>
        <w:tc>
          <w:tcPr>
            <w:tcW w:w="3543" w:type="dxa"/>
          </w:tcPr>
          <w:p w14:paraId="4E155169" w14:textId="77777777" w:rsidR="00BD0CAD" w:rsidRPr="00FC4465" w:rsidRDefault="00BD0CAD" w:rsidP="00C93947">
            <w:pPr>
              <w:keepNext/>
              <w:keepLines/>
              <w:spacing w:before="20" w:after="20" w:line="240" w:lineRule="auto"/>
              <w:jc w:val="center"/>
              <w:rPr>
                <w:rFonts w:asciiTheme="majorBidi" w:hAnsiTheme="majorBidi" w:cstheme="majorBidi"/>
              </w:rPr>
            </w:pPr>
            <w:r w:rsidRPr="00FC4465">
              <w:rPr>
                <w:rFonts w:asciiTheme="majorBidi" w:hAnsiTheme="majorBidi" w:cstheme="majorBidi"/>
              </w:rPr>
              <w:t>1</w:t>
            </w:r>
          </w:p>
        </w:tc>
      </w:tr>
      <w:tr w:rsidR="00BD0CAD" w:rsidRPr="00FC4465" w14:paraId="59B2861E" w14:textId="77777777" w:rsidTr="00C93947">
        <w:trPr>
          <w:trHeight w:val="367"/>
        </w:trPr>
        <w:tc>
          <w:tcPr>
            <w:tcW w:w="3828" w:type="dxa"/>
          </w:tcPr>
          <w:p w14:paraId="2FA6536A" w14:textId="77777777" w:rsidR="00BD0CAD" w:rsidRPr="00FC4465" w:rsidRDefault="00BD0CAD" w:rsidP="00C93947">
            <w:pPr>
              <w:keepNext/>
              <w:keepLines/>
              <w:spacing w:before="20" w:after="20" w:line="240" w:lineRule="auto"/>
              <w:jc w:val="center"/>
              <w:rPr>
                <w:rFonts w:asciiTheme="majorBidi" w:hAnsiTheme="majorBidi" w:cstheme="majorBidi"/>
              </w:rPr>
            </w:pPr>
            <w:r w:rsidRPr="00FC4465">
              <w:rPr>
                <w:rFonts w:asciiTheme="majorBidi" w:hAnsiTheme="majorBidi" w:cstheme="majorBidi"/>
              </w:rPr>
              <w:t>0,01 &lt; VRE de toxicidad aguda ≤ 0,1</w:t>
            </w:r>
          </w:p>
        </w:tc>
        <w:tc>
          <w:tcPr>
            <w:tcW w:w="3543" w:type="dxa"/>
          </w:tcPr>
          <w:p w14:paraId="1ADADF3A" w14:textId="77777777" w:rsidR="00BD0CAD" w:rsidRPr="00FC4465" w:rsidRDefault="00BD0CAD" w:rsidP="00C93947">
            <w:pPr>
              <w:keepNext/>
              <w:keepLines/>
              <w:spacing w:before="20" w:after="20" w:line="240" w:lineRule="auto"/>
              <w:jc w:val="center"/>
              <w:rPr>
                <w:rFonts w:asciiTheme="majorBidi" w:hAnsiTheme="majorBidi" w:cstheme="majorBidi"/>
              </w:rPr>
            </w:pPr>
            <w:r w:rsidRPr="00FC4465">
              <w:rPr>
                <w:rFonts w:asciiTheme="majorBidi" w:hAnsiTheme="majorBidi" w:cstheme="majorBidi"/>
              </w:rPr>
              <w:t>10</w:t>
            </w:r>
          </w:p>
        </w:tc>
      </w:tr>
      <w:tr w:rsidR="00BD0CAD" w:rsidRPr="00FC4465" w14:paraId="21927411" w14:textId="77777777" w:rsidTr="00C93947">
        <w:trPr>
          <w:trHeight w:val="367"/>
        </w:trPr>
        <w:tc>
          <w:tcPr>
            <w:tcW w:w="3828" w:type="dxa"/>
          </w:tcPr>
          <w:p w14:paraId="30D002C4" w14:textId="77777777" w:rsidR="00BD0CAD" w:rsidRPr="00FC4465" w:rsidRDefault="00BD0CAD" w:rsidP="00C93947">
            <w:pPr>
              <w:keepNext/>
              <w:keepLines/>
              <w:spacing w:before="20" w:after="20" w:line="240" w:lineRule="auto"/>
              <w:jc w:val="center"/>
              <w:rPr>
                <w:rFonts w:asciiTheme="majorBidi" w:hAnsiTheme="majorBidi" w:cstheme="majorBidi"/>
              </w:rPr>
            </w:pPr>
            <w:r w:rsidRPr="00FC4465">
              <w:rPr>
                <w:rFonts w:asciiTheme="majorBidi" w:hAnsiTheme="majorBidi" w:cstheme="majorBidi"/>
              </w:rPr>
              <w:t>0,001 &lt; VRE de toxicidad aguda ≤ 0,01</w:t>
            </w:r>
          </w:p>
        </w:tc>
        <w:tc>
          <w:tcPr>
            <w:tcW w:w="3543" w:type="dxa"/>
          </w:tcPr>
          <w:p w14:paraId="3706F930" w14:textId="77777777" w:rsidR="00BD0CAD" w:rsidRPr="00FC4465" w:rsidRDefault="00BD0CAD" w:rsidP="00C93947">
            <w:pPr>
              <w:keepNext/>
              <w:keepLines/>
              <w:spacing w:before="20" w:after="20" w:line="240" w:lineRule="auto"/>
              <w:jc w:val="center"/>
              <w:rPr>
                <w:rFonts w:asciiTheme="majorBidi" w:hAnsiTheme="majorBidi" w:cstheme="majorBidi"/>
              </w:rPr>
            </w:pPr>
            <w:r w:rsidRPr="00FC4465">
              <w:rPr>
                <w:rFonts w:asciiTheme="majorBidi" w:hAnsiTheme="majorBidi" w:cstheme="majorBidi"/>
              </w:rPr>
              <w:t>100</w:t>
            </w:r>
          </w:p>
        </w:tc>
      </w:tr>
      <w:tr w:rsidR="00BD0CAD" w:rsidRPr="00FC4465" w14:paraId="672F23EF" w14:textId="77777777" w:rsidTr="00C93947">
        <w:trPr>
          <w:trHeight w:val="367"/>
        </w:trPr>
        <w:tc>
          <w:tcPr>
            <w:tcW w:w="3828" w:type="dxa"/>
          </w:tcPr>
          <w:p w14:paraId="0A7B6A8C" w14:textId="77777777" w:rsidR="00BD0CAD" w:rsidRPr="00FC4465" w:rsidRDefault="00BD0CAD" w:rsidP="00C93947">
            <w:pPr>
              <w:keepNext/>
              <w:keepLines/>
              <w:spacing w:before="20" w:after="20" w:line="240" w:lineRule="auto"/>
              <w:jc w:val="center"/>
              <w:rPr>
                <w:rFonts w:asciiTheme="majorBidi" w:hAnsiTheme="majorBidi" w:cstheme="majorBidi"/>
              </w:rPr>
            </w:pPr>
            <w:r w:rsidRPr="00FC4465">
              <w:rPr>
                <w:rFonts w:asciiTheme="majorBidi" w:hAnsiTheme="majorBidi" w:cstheme="majorBidi"/>
              </w:rPr>
              <w:t>0,0001 &lt; VRE de toxicidad aguda ≤ 0,001</w:t>
            </w:r>
          </w:p>
        </w:tc>
        <w:tc>
          <w:tcPr>
            <w:tcW w:w="3543" w:type="dxa"/>
          </w:tcPr>
          <w:p w14:paraId="3BB34371" w14:textId="4DFB0D56" w:rsidR="00BD0CAD" w:rsidRPr="00FC4465" w:rsidRDefault="00BD0CAD" w:rsidP="00C93947">
            <w:pPr>
              <w:keepNext/>
              <w:keepLines/>
              <w:spacing w:before="20" w:after="20" w:line="240" w:lineRule="auto"/>
              <w:jc w:val="center"/>
              <w:rPr>
                <w:rFonts w:asciiTheme="majorBidi" w:hAnsiTheme="majorBidi" w:cstheme="majorBidi"/>
              </w:rPr>
            </w:pPr>
            <w:r w:rsidRPr="00FC4465">
              <w:rPr>
                <w:rFonts w:asciiTheme="majorBidi" w:hAnsiTheme="majorBidi" w:cstheme="majorBidi"/>
              </w:rPr>
              <w:t>1</w:t>
            </w:r>
            <w:r w:rsidR="009958AB">
              <w:rPr>
                <w:rFonts w:asciiTheme="majorBidi" w:hAnsiTheme="majorBidi" w:cstheme="majorBidi"/>
              </w:rPr>
              <w:t>.</w:t>
            </w:r>
            <w:r w:rsidRPr="00FC4465">
              <w:rPr>
                <w:rFonts w:asciiTheme="majorBidi" w:hAnsiTheme="majorBidi" w:cstheme="majorBidi"/>
              </w:rPr>
              <w:t>000</w:t>
            </w:r>
          </w:p>
        </w:tc>
      </w:tr>
      <w:tr w:rsidR="00BD0CAD" w:rsidRPr="00FC4465" w14:paraId="5607E600" w14:textId="77777777" w:rsidTr="00C93947">
        <w:trPr>
          <w:trHeight w:val="362"/>
        </w:trPr>
        <w:tc>
          <w:tcPr>
            <w:tcW w:w="3828" w:type="dxa"/>
          </w:tcPr>
          <w:p w14:paraId="16827885" w14:textId="77777777" w:rsidR="00BD0CAD" w:rsidRPr="00FC4465" w:rsidRDefault="00BD0CAD" w:rsidP="00C93947">
            <w:pPr>
              <w:keepNext/>
              <w:keepLines/>
              <w:spacing w:before="20" w:after="20" w:line="240" w:lineRule="auto"/>
              <w:jc w:val="center"/>
              <w:rPr>
                <w:rFonts w:asciiTheme="majorBidi" w:hAnsiTheme="majorBidi" w:cstheme="majorBidi"/>
              </w:rPr>
            </w:pPr>
            <w:r w:rsidRPr="00FC4465">
              <w:rPr>
                <w:rFonts w:asciiTheme="majorBidi" w:hAnsiTheme="majorBidi" w:cstheme="majorBidi"/>
              </w:rPr>
              <w:t>Continúa a intervalos de un factor 10</w:t>
            </w:r>
          </w:p>
        </w:tc>
        <w:tc>
          <w:tcPr>
            <w:tcW w:w="3543" w:type="dxa"/>
          </w:tcPr>
          <w:p w14:paraId="265640FD" w14:textId="77777777" w:rsidR="00BD0CAD" w:rsidRPr="00FC4465" w:rsidRDefault="00BD0CAD" w:rsidP="00C93947">
            <w:pPr>
              <w:keepNext/>
              <w:keepLines/>
              <w:spacing w:before="20" w:after="20" w:line="240" w:lineRule="auto"/>
              <w:jc w:val="center"/>
              <w:rPr>
                <w:rFonts w:asciiTheme="majorBidi" w:hAnsiTheme="majorBidi" w:cstheme="majorBidi"/>
              </w:rPr>
            </w:pPr>
          </w:p>
        </w:tc>
      </w:tr>
    </w:tbl>
    <w:p w14:paraId="080F81C5" w14:textId="77777777" w:rsidR="00BD0CAD" w:rsidRPr="00FC4465" w:rsidRDefault="00BD0CAD" w:rsidP="00BD0CAD">
      <w:pPr>
        <w:pStyle w:val="SingleTxtG"/>
        <w:rPr>
          <w:rFonts w:asciiTheme="majorBidi" w:eastAsiaTheme="minorHAnsi" w:hAnsiTheme="majorBidi" w:cstheme="majorBidi"/>
        </w:rPr>
      </w:pPr>
    </w:p>
    <w:tbl>
      <w:tblPr>
        <w:tblW w:w="0" w:type="auto"/>
        <w:tblInd w:w="1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920"/>
        <w:gridCol w:w="1819"/>
        <w:gridCol w:w="1632"/>
      </w:tblGrid>
      <w:tr w:rsidR="00BD0CAD" w:rsidRPr="00FC4465" w14:paraId="26F3A0F5" w14:textId="77777777" w:rsidTr="009958AB">
        <w:trPr>
          <w:trHeight w:val="373"/>
        </w:trPr>
        <w:tc>
          <w:tcPr>
            <w:tcW w:w="3920" w:type="dxa"/>
          </w:tcPr>
          <w:p w14:paraId="55F20808" w14:textId="77777777" w:rsidR="00BD0CAD" w:rsidRPr="00FC4465" w:rsidRDefault="00BD0CAD" w:rsidP="00C93947">
            <w:pPr>
              <w:keepNext/>
              <w:keepLines/>
              <w:spacing w:before="20" w:after="20" w:line="240" w:lineRule="auto"/>
              <w:jc w:val="center"/>
              <w:rPr>
                <w:rFonts w:asciiTheme="majorBidi" w:hAnsiTheme="majorBidi" w:cstheme="majorBidi"/>
                <w:b/>
                <w:bCs/>
              </w:rPr>
            </w:pPr>
            <w:r w:rsidRPr="00FC4465">
              <w:rPr>
                <w:rFonts w:asciiTheme="majorBidi" w:hAnsiTheme="majorBidi" w:cstheme="majorBidi"/>
                <w:b/>
                <w:bCs/>
              </w:rPr>
              <w:t>VRE</w:t>
            </w:r>
            <w:r w:rsidRPr="00FC4465">
              <w:rPr>
                <w:rFonts w:asciiTheme="majorBidi" w:hAnsiTheme="majorBidi" w:cstheme="majorBidi"/>
                <w:b/>
                <w:bCs/>
                <w:vertAlign w:val="subscript"/>
              </w:rPr>
              <w:t>compuesto</w:t>
            </w:r>
            <w:r w:rsidRPr="00FC4465">
              <w:rPr>
                <w:rFonts w:asciiTheme="majorBidi" w:hAnsiTheme="majorBidi" w:cstheme="majorBidi"/>
                <w:b/>
                <w:bCs/>
              </w:rPr>
              <w:t xml:space="preserve"> de toxicidad crónica (mg/l)</w:t>
            </w:r>
          </w:p>
        </w:tc>
        <w:tc>
          <w:tcPr>
            <w:tcW w:w="3451" w:type="dxa"/>
            <w:gridSpan w:val="2"/>
          </w:tcPr>
          <w:p w14:paraId="412AEDDA" w14:textId="77777777" w:rsidR="00BD0CAD" w:rsidRPr="00FC4465" w:rsidRDefault="00BD0CAD" w:rsidP="00C93947">
            <w:pPr>
              <w:keepNext/>
              <w:keepLines/>
              <w:spacing w:before="20" w:after="20" w:line="240" w:lineRule="auto"/>
              <w:jc w:val="center"/>
              <w:rPr>
                <w:rFonts w:asciiTheme="majorBidi" w:hAnsiTheme="majorBidi" w:cstheme="majorBidi"/>
                <w:b/>
                <w:bCs/>
              </w:rPr>
            </w:pPr>
            <w:r w:rsidRPr="00FC4465">
              <w:rPr>
                <w:rFonts w:asciiTheme="majorBidi" w:hAnsiTheme="majorBidi" w:cstheme="majorBidi"/>
                <w:b/>
                <w:bCs/>
              </w:rPr>
              <w:t>Factores de multiplicación (M), toxicidad crónica</w:t>
            </w:r>
          </w:p>
        </w:tc>
      </w:tr>
      <w:tr w:rsidR="00BD0CAD" w:rsidRPr="00FC4465" w14:paraId="11EEC270" w14:textId="77777777" w:rsidTr="009958AB">
        <w:trPr>
          <w:trHeight w:val="340"/>
        </w:trPr>
        <w:tc>
          <w:tcPr>
            <w:tcW w:w="3920" w:type="dxa"/>
          </w:tcPr>
          <w:p w14:paraId="6B72ABE5" w14:textId="77777777" w:rsidR="00BD0CAD" w:rsidRPr="00FC4465" w:rsidRDefault="00BD0CAD" w:rsidP="00C93947">
            <w:pPr>
              <w:keepNext/>
              <w:keepLines/>
              <w:spacing w:before="20" w:after="20" w:line="240" w:lineRule="auto"/>
              <w:jc w:val="center"/>
              <w:rPr>
                <w:rFonts w:asciiTheme="majorBidi" w:hAnsiTheme="majorBidi" w:cstheme="majorBidi"/>
                <w:b/>
                <w:bCs/>
              </w:rPr>
            </w:pPr>
          </w:p>
        </w:tc>
        <w:tc>
          <w:tcPr>
            <w:tcW w:w="1819" w:type="dxa"/>
          </w:tcPr>
          <w:p w14:paraId="293968AE" w14:textId="77777777" w:rsidR="00BD0CAD" w:rsidRPr="00FC4465" w:rsidRDefault="00BD0CAD" w:rsidP="00C93947">
            <w:pPr>
              <w:keepNext/>
              <w:keepLines/>
              <w:spacing w:before="20" w:after="20" w:line="240" w:lineRule="auto"/>
              <w:jc w:val="center"/>
              <w:rPr>
                <w:rFonts w:asciiTheme="majorBidi" w:hAnsiTheme="majorBidi" w:cstheme="majorBidi"/>
                <w:b/>
                <w:bCs/>
              </w:rPr>
            </w:pPr>
            <w:r w:rsidRPr="00FC4465">
              <w:rPr>
                <w:rFonts w:asciiTheme="majorBidi" w:hAnsiTheme="majorBidi" w:cstheme="majorBidi"/>
                <w:b/>
                <w:bCs/>
              </w:rPr>
              <w:t>Sin transformación ambiental rápida</w:t>
            </w:r>
          </w:p>
        </w:tc>
        <w:tc>
          <w:tcPr>
            <w:tcW w:w="1632" w:type="dxa"/>
          </w:tcPr>
          <w:p w14:paraId="1A7191B0" w14:textId="77777777" w:rsidR="00BD0CAD" w:rsidRPr="00FC4465" w:rsidRDefault="00BD0CAD" w:rsidP="00C93947">
            <w:pPr>
              <w:keepNext/>
              <w:keepLines/>
              <w:spacing w:before="20" w:after="20" w:line="240" w:lineRule="auto"/>
              <w:jc w:val="center"/>
              <w:rPr>
                <w:rFonts w:asciiTheme="majorBidi" w:hAnsiTheme="majorBidi" w:cstheme="majorBidi"/>
                <w:b/>
                <w:bCs/>
              </w:rPr>
            </w:pPr>
            <w:r w:rsidRPr="00FC4465">
              <w:rPr>
                <w:rFonts w:asciiTheme="majorBidi" w:hAnsiTheme="majorBidi" w:cstheme="majorBidi"/>
                <w:b/>
                <w:bCs/>
              </w:rPr>
              <w:t>Transformación ambiental rápida</w:t>
            </w:r>
          </w:p>
        </w:tc>
      </w:tr>
      <w:tr w:rsidR="00BD0CAD" w:rsidRPr="00FC4465" w14:paraId="38E0C247" w14:textId="77777777" w:rsidTr="009958AB">
        <w:trPr>
          <w:trHeight w:val="340"/>
        </w:trPr>
        <w:tc>
          <w:tcPr>
            <w:tcW w:w="3920" w:type="dxa"/>
          </w:tcPr>
          <w:p w14:paraId="0FA610B1" w14:textId="77777777" w:rsidR="00BD0CAD" w:rsidRPr="00FC4465" w:rsidRDefault="00BD0CAD" w:rsidP="00C93947">
            <w:pPr>
              <w:keepNext/>
              <w:keepLines/>
              <w:spacing w:before="20" w:after="20" w:line="240" w:lineRule="auto"/>
              <w:jc w:val="center"/>
              <w:rPr>
                <w:rFonts w:asciiTheme="majorBidi" w:hAnsiTheme="majorBidi" w:cstheme="majorBidi"/>
              </w:rPr>
            </w:pPr>
            <w:r w:rsidRPr="00FC4465">
              <w:rPr>
                <w:rFonts w:asciiTheme="majorBidi" w:hAnsiTheme="majorBidi" w:cstheme="majorBidi"/>
              </w:rPr>
              <w:t>0,01 &lt; VRE de toxicidad crónica ≤ 0,1</w:t>
            </w:r>
          </w:p>
        </w:tc>
        <w:tc>
          <w:tcPr>
            <w:tcW w:w="1819" w:type="dxa"/>
          </w:tcPr>
          <w:p w14:paraId="70DB0D25" w14:textId="77777777" w:rsidR="00BD0CAD" w:rsidRPr="00FC4465" w:rsidRDefault="00BD0CAD" w:rsidP="00C93947">
            <w:pPr>
              <w:keepNext/>
              <w:keepLines/>
              <w:spacing w:before="20" w:after="20" w:line="240" w:lineRule="auto"/>
              <w:jc w:val="center"/>
              <w:rPr>
                <w:rFonts w:asciiTheme="majorBidi" w:hAnsiTheme="majorBidi" w:cstheme="majorBidi"/>
              </w:rPr>
            </w:pPr>
            <w:r w:rsidRPr="00FC4465">
              <w:rPr>
                <w:rFonts w:asciiTheme="majorBidi" w:hAnsiTheme="majorBidi" w:cstheme="majorBidi"/>
              </w:rPr>
              <w:t>1</w:t>
            </w:r>
          </w:p>
        </w:tc>
        <w:tc>
          <w:tcPr>
            <w:tcW w:w="1632" w:type="dxa"/>
          </w:tcPr>
          <w:p w14:paraId="1E944326" w14:textId="77777777" w:rsidR="00BD0CAD" w:rsidRPr="00FC4465" w:rsidRDefault="00BD0CAD" w:rsidP="00C93947">
            <w:pPr>
              <w:keepNext/>
              <w:keepLines/>
              <w:spacing w:before="20" w:after="20" w:line="240" w:lineRule="auto"/>
              <w:jc w:val="center"/>
              <w:rPr>
                <w:rFonts w:asciiTheme="majorBidi" w:hAnsiTheme="majorBidi" w:cstheme="majorBidi"/>
              </w:rPr>
            </w:pPr>
            <w:r w:rsidRPr="00FC4465">
              <w:rPr>
                <w:rFonts w:asciiTheme="majorBidi" w:hAnsiTheme="majorBidi" w:cstheme="majorBidi"/>
              </w:rPr>
              <w:t>-</w:t>
            </w:r>
          </w:p>
        </w:tc>
      </w:tr>
      <w:tr w:rsidR="00BD0CAD" w:rsidRPr="00FC4465" w14:paraId="7AD24AFF" w14:textId="77777777" w:rsidTr="009958AB">
        <w:trPr>
          <w:trHeight w:val="373"/>
        </w:trPr>
        <w:tc>
          <w:tcPr>
            <w:tcW w:w="3920" w:type="dxa"/>
          </w:tcPr>
          <w:p w14:paraId="2189DD7C" w14:textId="77777777" w:rsidR="00BD0CAD" w:rsidRPr="00FC4465" w:rsidRDefault="00BD0CAD" w:rsidP="00C93947">
            <w:pPr>
              <w:keepNext/>
              <w:keepLines/>
              <w:spacing w:before="20" w:after="20" w:line="240" w:lineRule="auto"/>
              <w:jc w:val="center"/>
              <w:rPr>
                <w:rFonts w:asciiTheme="majorBidi" w:hAnsiTheme="majorBidi" w:cstheme="majorBidi"/>
              </w:rPr>
            </w:pPr>
            <w:r w:rsidRPr="00FC4465">
              <w:rPr>
                <w:rFonts w:asciiTheme="majorBidi" w:hAnsiTheme="majorBidi" w:cstheme="majorBidi"/>
              </w:rPr>
              <w:t>0,001 &lt; VRE de toxicidad crónica ≤ 0,01</w:t>
            </w:r>
          </w:p>
        </w:tc>
        <w:tc>
          <w:tcPr>
            <w:tcW w:w="1819" w:type="dxa"/>
          </w:tcPr>
          <w:p w14:paraId="4102A0A9" w14:textId="77777777" w:rsidR="00BD0CAD" w:rsidRPr="00FC4465" w:rsidRDefault="00BD0CAD" w:rsidP="00C93947">
            <w:pPr>
              <w:keepNext/>
              <w:keepLines/>
              <w:spacing w:before="20" w:after="20" w:line="240" w:lineRule="auto"/>
              <w:jc w:val="center"/>
              <w:rPr>
                <w:rFonts w:asciiTheme="majorBidi" w:hAnsiTheme="majorBidi" w:cstheme="majorBidi"/>
              </w:rPr>
            </w:pPr>
            <w:r w:rsidRPr="00FC4465">
              <w:rPr>
                <w:rFonts w:asciiTheme="majorBidi" w:hAnsiTheme="majorBidi" w:cstheme="majorBidi"/>
              </w:rPr>
              <w:t>10</w:t>
            </w:r>
          </w:p>
        </w:tc>
        <w:tc>
          <w:tcPr>
            <w:tcW w:w="1632" w:type="dxa"/>
          </w:tcPr>
          <w:p w14:paraId="1CDA393B" w14:textId="77777777" w:rsidR="00BD0CAD" w:rsidRPr="00FC4465" w:rsidRDefault="00BD0CAD" w:rsidP="00C93947">
            <w:pPr>
              <w:keepNext/>
              <w:keepLines/>
              <w:spacing w:before="20" w:after="20" w:line="240" w:lineRule="auto"/>
              <w:jc w:val="center"/>
              <w:rPr>
                <w:rFonts w:asciiTheme="majorBidi" w:hAnsiTheme="majorBidi" w:cstheme="majorBidi"/>
              </w:rPr>
            </w:pPr>
            <w:r w:rsidRPr="00FC4465">
              <w:rPr>
                <w:rFonts w:asciiTheme="majorBidi" w:hAnsiTheme="majorBidi" w:cstheme="majorBidi"/>
              </w:rPr>
              <w:t>1</w:t>
            </w:r>
          </w:p>
        </w:tc>
      </w:tr>
      <w:tr w:rsidR="00BD0CAD" w:rsidRPr="00FC4465" w14:paraId="78DD7141" w14:textId="77777777" w:rsidTr="009958AB">
        <w:trPr>
          <w:trHeight w:val="373"/>
        </w:trPr>
        <w:tc>
          <w:tcPr>
            <w:tcW w:w="3920" w:type="dxa"/>
          </w:tcPr>
          <w:p w14:paraId="70940C2C" w14:textId="77777777" w:rsidR="00BD0CAD" w:rsidRPr="00FC4465" w:rsidRDefault="00BD0CAD" w:rsidP="00C93947">
            <w:pPr>
              <w:keepNext/>
              <w:keepLines/>
              <w:spacing w:before="20" w:after="20" w:line="240" w:lineRule="auto"/>
              <w:jc w:val="center"/>
              <w:rPr>
                <w:rFonts w:asciiTheme="majorBidi" w:hAnsiTheme="majorBidi" w:cstheme="majorBidi"/>
              </w:rPr>
            </w:pPr>
            <w:r w:rsidRPr="00FC4465">
              <w:rPr>
                <w:rFonts w:asciiTheme="majorBidi" w:hAnsiTheme="majorBidi" w:cstheme="majorBidi"/>
              </w:rPr>
              <w:t>0,0001 &lt; VRE de toxicidad crónica ≤ 0,001</w:t>
            </w:r>
          </w:p>
        </w:tc>
        <w:tc>
          <w:tcPr>
            <w:tcW w:w="1819" w:type="dxa"/>
          </w:tcPr>
          <w:p w14:paraId="7AA3F7C8" w14:textId="77777777" w:rsidR="00BD0CAD" w:rsidRPr="00FC4465" w:rsidRDefault="00BD0CAD" w:rsidP="00C93947">
            <w:pPr>
              <w:keepNext/>
              <w:keepLines/>
              <w:spacing w:before="20" w:after="20" w:line="240" w:lineRule="auto"/>
              <w:jc w:val="center"/>
              <w:rPr>
                <w:rFonts w:asciiTheme="majorBidi" w:hAnsiTheme="majorBidi" w:cstheme="majorBidi"/>
              </w:rPr>
            </w:pPr>
            <w:r w:rsidRPr="00FC4465">
              <w:rPr>
                <w:rFonts w:asciiTheme="majorBidi" w:hAnsiTheme="majorBidi" w:cstheme="majorBidi"/>
              </w:rPr>
              <w:t>100</w:t>
            </w:r>
          </w:p>
        </w:tc>
        <w:tc>
          <w:tcPr>
            <w:tcW w:w="1632" w:type="dxa"/>
          </w:tcPr>
          <w:p w14:paraId="7F65A0F9" w14:textId="77777777" w:rsidR="00BD0CAD" w:rsidRPr="00FC4465" w:rsidRDefault="00BD0CAD" w:rsidP="00C93947">
            <w:pPr>
              <w:keepNext/>
              <w:keepLines/>
              <w:spacing w:before="20" w:after="20" w:line="240" w:lineRule="auto"/>
              <w:jc w:val="center"/>
              <w:rPr>
                <w:rFonts w:asciiTheme="majorBidi" w:hAnsiTheme="majorBidi" w:cstheme="majorBidi"/>
              </w:rPr>
            </w:pPr>
            <w:r w:rsidRPr="00FC4465">
              <w:rPr>
                <w:rFonts w:asciiTheme="majorBidi" w:hAnsiTheme="majorBidi" w:cstheme="majorBidi"/>
              </w:rPr>
              <w:t>10</w:t>
            </w:r>
          </w:p>
        </w:tc>
      </w:tr>
      <w:tr w:rsidR="00BD0CAD" w:rsidRPr="00FC4465" w14:paraId="4DAABCB7" w14:textId="77777777" w:rsidTr="009958AB">
        <w:trPr>
          <w:trHeight w:val="373"/>
        </w:trPr>
        <w:tc>
          <w:tcPr>
            <w:tcW w:w="3920" w:type="dxa"/>
          </w:tcPr>
          <w:p w14:paraId="624ED41B" w14:textId="77777777" w:rsidR="00BD0CAD" w:rsidRPr="00FC4465" w:rsidRDefault="00BD0CAD" w:rsidP="00C93947">
            <w:pPr>
              <w:keepNext/>
              <w:keepLines/>
              <w:spacing w:before="20" w:after="20" w:line="240" w:lineRule="auto"/>
              <w:jc w:val="center"/>
              <w:rPr>
                <w:rFonts w:asciiTheme="majorBidi" w:hAnsiTheme="majorBidi" w:cstheme="majorBidi"/>
              </w:rPr>
            </w:pPr>
            <w:r w:rsidRPr="00FC4465">
              <w:rPr>
                <w:rFonts w:asciiTheme="majorBidi" w:hAnsiTheme="majorBidi" w:cstheme="majorBidi"/>
              </w:rPr>
              <w:t>0,00001 &lt; VRE de toxicidad crónica ≤ 0,0001</w:t>
            </w:r>
          </w:p>
        </w:tc>
        <w:tc>
          <w:tcPr>
            <w:tcW w:w="1819" w:type="dxa"/>
          </w:tcPr>
          <w:p w14:paraId="052BF5A4" w14:textId="333B866B" w:rsidR="00BD0CAD" w:rsidRPr="00FC4465" w:rsidRDefault="00BD0CAD" w:rsidP="00C93947">
            <w:pPr>
              <w:keepNext/>
              <w:keepLines/>
              <w:spacing w:before="20" w:after="20" w:line="240" w:lineRule="auto"/>
              <w:jc w:val="center"/>
              <w:rPr>
                <w:rFonts w:asciiTheme="majorBidi" w:hAnsiTheme="majorBidi" w:cstheme="majorBidi"/>
              </w:rPr>
            </w:pPr>
            <w:r w:rsidRPr="00FC4465">
              <w:rPr>
                <w:rFonts w:asciiTheme="majorBidi" w:hAnsiTheme="majorBidi" w:cstheme="majorBidi"/>
              </w:rPr>
              <w:t>1</w:t>
            </w:r>
            <w:r w:rsidR="009958AB">
              <w:rPr>
                <w:rFonts w:asciiTheme="majorBidi" w:hAnsiTheme="majorBidi" w:cstheme="majorBidi"/>
              </w:rPr>
              <w:t>.</w:t>
            </w:r>
            <w:r w:rsidRPr="00FC4465">
              <w:rPr>
                <w:rFonts w:asciiTheme="majorBidi" w:hAnsiTheme="majorBidi" w:cstheme="majorBidi"/>
              </w:rPr>
              <w:t>000</w:t>
            </w:r>
          </w:p>
        </w:tc>
        <w:tc>
          <w:tcPr>
            <w:tcW w:w="1632" w:type="dxa"/>
          </w:tcPr>
          <w:p w14:paraId="027B424A" w14:textId="77777777" w:rsidR="00BD0CAD" w:rsidRPr="00FC4465" w:rsidRDefault="00BD0CAD" w:rsidP="00C93947">
            <w:pPr>
              <w:keepNext/>
              <w:keepLines/>
              <w:spacing w:before="20" w:after="20" w:line="240" w:lineRule="auto"/>
              <w:jc w:val="center"/>
              <w:rPr>
                <w:rFonts w:asciiTheme="majorBidi" w:hAnsiTheme="majorBidi" w:cstheme="majorBidi"/>
              </w:rPr>
            </w:pPr>
            <w:r w:rsidRPr="00FC4465">
              <w:rPr>
                <w:rFonts w:asciiTheme="majorBidi" w:hAnsiTheme="majorBidi" w:cstheme="majorBidi"/>
              </w:rPr>
              <w:t>100</w:t>
            </w:r>
          </w:p>
        </w:tc>
      </w:tr>
      <w:tr w:rsidR="00BD0CAD" w:rsidRPr="00FC4465" w14:paraId="319ACE9B" w14:textId="77777777" w:rsidTr="009958AB">
        <w:trPr>
          <w:trHeight w:val="380"/>
        </w:trPr>
        <w:tc>
          <w:tcPr>
            <w:tcW w:w="3920" w:type="dxa"/>
          </w:tcPr>
          <w:p w14:paraId="2A169C4A" w14:textId="77777777" w:rsidR="00BD0CAD" w:rsidRPr="00FC4465" w:rsidRDefault="00BD0CAD" w:rsidP="00C93947">
            <w:pPr>
              <w:spacing w:before="20" w:after="20" w:line="240" w:lineRule="auto"/>
              <w:jc w:val="center"/>
              <w:rPr>
                <w:rFonts w:asciiTheme="majorBidi" w:hAnsiTheme="majorBidi" w:cstheme="majorBidi"/>
              </w:rPr>
            </w:pPr>
            <w:r w:rsidRPr="00FC4465">
              <w:rPr>
                <w:rFonts w:asciiTheme="majorBidi" w:hAnsiTheme="majorBidi" w:cstheme="majorBidi"/>
              </w:rPr>
              <w:t>Continúa a intervalos de un factor 10</w:t>
            </w:r>
          </w:p>
        </w:tc>
        <w:tc>
          <w:tcPr>
            <w:tcW w:w="1819" w:type="dxa"/>
          </w:tcPr>
          <w:p w14:paraId="40768B44" w14:textId="77777777" w:rsidR="00BD0CAD" w:rsidRPr="00FC4465" w:rsidRDefault="00BD0CAD" w:rsidP="00C93947">
            <w:pPr>
              <w:spacing w:before="20" w:after="20" w:line="240" w:lineRule="auto"/>
              <w:jc w:val="center"/>
              <w:rPr>
                <w:rFonts w:asciiTheme="majorBidi" w:hAnsiTheme="majorBidi" w:cstheme="majorBidi"/>
              </w:rPr>
            </w:pPr>
          </w:p>
        </w:tc>
        <w:tc>
          <w:tcPr>
            <w:tcW w:w="1632" w:type="dxa"/>
          </w:tcPr>
          <w:p w14:paraId="1EC97504" w14:textId="77777777" w:rsidR="00BD0CAD" w:rsidRPr="00FC4465" w:rsidRDefault="00BD0CAD" w:rsidP="00C93947">
            <w:pPr>
              <w:spacing w:before="20" w:after="20" w:line="240" w:lineRule="auto"/>
              <w:jc w:val="center"/>
              <w:rPr>
                <w:rFonts w:asciiTheme="majorBidi" w:hAnsiTheme="majorBidi" w:cstheme="majorBidi"/>
              </w:rPr>
            </w:pPr>
          </w:p>
        </w:tc>
      </w:tr>
    </w:tbl>
    <w:p w14:paraId="1AF4D3F9" w14:textId="5F9EF5DA" w:rsidR="00BD0CAD" w:rsidRPr="00FC4465" w:rsidRDefault="008C5013" w:rsidP="00BD0CAD">
      <w:pPr>
        <w:pStyle w:val="SingleTxtG"/>
        <w:ind w:firstLine="567"/>
        <w:jc w:val="right"/>
        <w:rPr>
          <w:rFonts w:asciiTheme="majorBidi" w:eastAsiaTheme="minorHAnsi" w:hAnsiTheme="majorBidi" w:cstheme="majorBidi"/>
        </w:rPr>
      </w:pPr>
      <w:r w:rsidRPr="00FC4465">
        <w:rPr>
          <w:rFonts w:asciiTheme="majorBidi" w:hAnsiTheme="majorBidi" w:cstheme="majorBidi"/>
        </w:rPr>
        <w:t>“</w:t>
      </w:r>
    </w:p>
    <w:p w14:paraId="3D74ABC2" w14:textId="77777777" w:rsidR="00BD0CAD" w:rsidRPr="00FC4465" w:rsidRDefault="00BD0CAD" w:rsidP="00802EA2">
      <w:pPr>
        <w:pStyle w:val="H1G"/>
      </w:pPr>
      <w:r w:rsidRPr="00FC4465">
        <w:tab/>
      </w:r>
      <w:r w:rsidRPr="00FC4465">
        <w:tab/>
        <w:t>Anexo 9, apéndice VI</w:t>
      </w:r>
    </w:p>
    <w:p w14:paraId="3FEE0313" w14:textId="3EC07ABC" w:rsidR="00BD0CAD" w:rsidRPr="00FC4465" w:rsidRDefault="00BD0CAD" w:rsidP="00BD0CAD">
      <w:pPr>
        <w:pStyle w:val="SingleTxtG"/>
        <w:rPr>
          <w:rFonts w:asciiTheme="majorBidi" w:eastAsiaTheme="minorHAnsi" w:hAnsiTheme="majorBidi" w:cstheme="majorBidi"/>
        </w:rPr>
      </w:pPr>
      <w:r w:rsidRPr="00FC4465">
        <w:rPr>
          <w:rFonts w:asciiTheme="majorBidi" w:hAnsiTheme="majorBidi" w:cstheme="majorBidi"/>
        </w:rPr>
        <w:t xml:space="preserve">Añádanse las siguientes referencias en la sección 5 </w:t>
      </w:r>
      <w:r w:rsidR="008C5013" w:rsidRPr="00FC4465">
        <w:rPr>
          <w:rFonts w:asciiTheme="majorBidi" w:hAnsiTheme="majorBidi" w:cstheme="majorBidi"/>
        </w:rPr>
        <w:t>“</w:t>
      </w:r>
      <w:r w:rsidRPr="00FC4465">
        <w:rPr>
          <w:rFonts w:asciiTheme="majorBidi" w:hAnsiTheme="majorBidi" w:cstheme="majorBidi"/>
        </w:rPr>
        <w:t>Metales y compuestos metálicos</w:t>
      </w:r>
      <w:r w:rsidR="008C5013" w:rsidRPr="00FC4465">
        <w:rPr>
          <w:rFonts w:asciiTheme="majorBidi" w:hAnsiTheme="majorBidi" w:cstheme="majorBidi"/>
        </w:rPr>
        <w:t>”</w:t>
      </w:r>
      <w:r w:rsidRPr="00FC4465">
        <w:rPr>
          <w:rFonts w:asciiTheme="majorBidi" w:hAnsiTheme="majorBidi" w:cstheme="majorBidi"/>
        </w:rPr>
        <w:t>:</w:t>
      </w:r>
    </w:p>
    <w:p w14:paraId="28F8C253" w14:textId="764E1A07" w:rsidR="00BD0CAD" w:rsidRPr="00FC4465" w:rsidRDefault="008C5013" w:rsidP="00BD0CAD">
      <w:pPr>
        <w:pStyle w:val="SingleTxtG"/>
        <w:rPr>
          <w:rFonts w:asciiTheme="majorBidi" w:eastAsiaTheme="minorHAnsi" w:hAnsiTheme="majorBidi" w:cstheme="majorBidi"/>
        </w:rPr>
      </w:pPr>
      <w:r w:rsidRPr="00FC4465">
        <w:rPr>
          <w:rFonts w:asciiTheme="majorBidi" w:hAnsiTheme="majorBidi" w:cstheme="majorBidi"/>
        </w:rPr>
        <w:t>“</w:t>
      </w:r>
      <w:r w:rsidR="00BD0CAD" w:rsidRPr="00FC4465">
        <w:rPr>
          <w:rFonts w:asciiTheme="majorBidi" w:hAnsiTheme="majorBidi" w:cstheme="majorBidi"/>
        </w:rPr>
        <w:t>Garman, E. R., Meyer, J. S., Bergeron, C. M., Blewett, T. A., Clements, W. H., Elias, M. C., Farley, K. J., Gissi, F. y Ryan, A. C. (2020), Validation of Bioavailability-Based Toxicity Models for Metals. Environmental Toxicology and Chemistry, 39, 101-117.</w:t>
      </w:r>
    </w:p>
    <w:p w14:paraId="6A43BC7F" w14:textId="77777777" w:rsidR="00BD0CAD" w:rsidRPr="00FC4465" w:rsidRDefault="00BD0CAD" w:rsidP="00BD0CAD">
      <w:pPr>
        <w:pStyle w:val="SingleTxtG"/>
        <w:rPr>
          <w:rFonts w:asciiTheme="majorBidi" w:eastAsiaTheme="minorHAnsi" w:hAnsiTheme="majorBidi" w:cstheme="majorBidi"/>
        </w:rPr>
      </w:pPr>
      <w:r w:rsidRPr="00FC4465">
        <w:rPr>
          <w:rFonts w:asciiTheme="majorBidi" w:hAnsiTheme="majorBidi" w:cstheme="majorBidi"/>
        </w:rPr>
        <w:t>OCDE (2015). Guidance on selecting a strategy for assessing the ecological risk of organometallic and organic metal salt substances based on their environmental fate. Serie de la OCDE sobre ensayos y evaluación núm. 212. OCDE, París, Francia.</w:t>
      </w:r>
    </w:p>
    <w:p w14:paraId="43A345E1" w14:textId="5F04FB12" w:rsidR="00BD0CAD" w:rsidRPr="00FC4465" w:rsidRDefault="00BD0CAD" w:rsidP="00BD0CAD">
      <w:pPr>
        <w:pStyle w:val="SingleTxtG"/>
        <w:rPr>
          <w:rFonts w:asciiTheme="majorBidi" w:hAnsiTheme="majorBidi" w:cstheme="majorBidi"/>
        </w:rPr>
      </w:pPr>
      <w:r w:rsidRPr="00FC4465">
        <w:rPr>
          <w:rFonts w:asciiTheme="majorBidi" w:hAnsiTheme="majorBidi" w:cstheme="majorBidi"/>
        </w:rPr>
        <w:t>Tipping, E., Lofts, S., y Sonke, J. E. (2011). Humic Ion-Binding Model VII: a revised</w:t>
      </w:r>
      <w:r w:rsidR="00A70FE7">
        <w:rPr>
          <w:rFonts w:asciiTheme="majorBidi" w:hAnsiTheme="majorBidi" w:cstheme="majorBidi"/>
        </w:rPr>
        <w:t> </w:t>
      </w:r>
      <w:r w:rsidRPr="00FC4465">
        <w:rPr>
          <w:rFonts w:asciiTheme="majorBidi" w:hAnsiTheme="majorBidi" w:cstheme="majorBidi"/>
        </w:rPr>
        <w:t>parameterisation of cation-binding by humic substances. Environmental Chemistry 8 225-235.</w:t>
      </w:r>
      <w:r w:rsidR="008C5013" w:rsidRPr="00FC4465">
        <w:rPr>
          <w:rFonts w:asciiTheme="majorBidi" w:hAnsiTheme="majorBidi" w:cstheme="majorBidi"/>
        </w:rPr>
        <w:t>”</w:t>
      </w:r>
      <w:r w:rsidRPr="00FC4465">
        <w:rPr>
          <w:rFonts w:asciiTheme="majorBidi" w:hAnsiTheme="majorBidi" w:cstheme="majorBidi"/>
        </w:rPr>
        <w:t>.</w:t>
      </w:r>
    </w:p>
    <w:p w14:paraId="69BC983C" w14:textId="77777777" w:rsidR="00BD0CAD" w:rsidRPr="00FC4465" w:rsidRDefault="00BD0CAD" w:rsidP="00802EA2">
      <w:pPr>
        <w:pStyle w:val="H1G"/>
      </w:pPr>
      <w:r w:rsidRPr="00FC4465">
        <w:tab/>
      </w:r>
      <w:r w:rsidRPr="00FC4465">
        <w:tab/>
        <w:t>Anexo 10</w:t>
      </w:r>
    </w:p>
    <w:p w14:paraId="03292B4A" w14:textId="43F116C5" w:rsidR="00BD0CAD" w:rsidRPr="00FC4465" w:rsidRDefault="00BD0CAD" w:rsidP="00BD0CAD">
      <w:pPr>
        <w:pStyle w:val="SingleTxtG"/>
        <w:ind w:left="2268" w:hanging="1134"/>
        <w:rPr>
          <w:rFonts w:asciiTheme="majorBidi" w:eastAsiaTheme="minorHAnsi" w:hAnsiTheme="majorBidi" w:cstheme="majorBidi"/>
        </w:rPr>
      </w:pPr>
      <w:r w:rsidRPr="00FC4465">
        <w:rPr>
          <w:rFonts w:asciiTheme="majorBidi" w:hAnsiTheme="majorBidi" w:cstheme="majorBidi"/>
        </w:rPr>
        <w:t>A10.1</w:t>
      </w:r>
      <w:r w:rsidRPr="00FC4465">
        <w:rPr>
          <w:rFonts w:asciiTheme="majorBidi" w:hAnsiTheme="majorBidi" w:cstheme="majorBidi"/>
        </w:rPr>
        <w:tab/>
      </w:r>
      <w:r w:rsidRPr="00FC4465">
        <w:rPr>
          <w:rFonts w:asciiTheme="majorBidi" w:hAnsiTheme="majorBidi" w:cstheme="majorBidi"/>
        </w:rPr>
        <w:tab/>
        <w:t xml:space="preserve">Modifíquense las dos últimas oraciones del párrafo para que digan: </w:t>
      </w:r>
      <w:r w:rsidR="008C5013" w:rsidRPr="00FC4465">
        <w:rPr>
          <w:rFonts w:asciiTheme="majorBidi" w:hAnsiTheme="majorBidi" w:cstheme="majorBidi"/>
        </w:rPr>
        <w:t>“</w:t>
      </w:r>
      <w:r w:rsidRPr="00FC4465">
        <w:rPr>
          <w:rFonts w:asciiTheme="majorBidi" w:hAnsiTheme="majorBidi" w:cstheme="majorBidi"/>
        </w:rPr>
        <w:t>Se han realizado y publicado trabajos experimentales (referencias 5 a 1</w:t>
      </w:r>
      <w:r w:rsidR="00346069">
        <w:rPr>
          <w:rFonts w:asciiTheme="majorBidi" w:hAnsiTheme="majorBidi" w:cstheme="majorBidi"/>
        </w:rPr>
        <w:t>5</w:t>
      </w:r>
      <w:r w:rsidRPr="00FC4465">
        <w:rPr>
          <w:rFonts w:asciiTheme="majorBidi" w:hAnsiTheme="majorBidi" w:cstheme="majorBidi"/>
        </w:rPr>
        <w:t xml:space="preserve"> de este anexo) sobre varios metales y compuestos metálicos en los que se basa este documento guía. Posteriormente, la OCDE también ha publicado este documento guía como documento de orientación (referencia 16).</w:t>
      </w:r>
      <w:r w:rsidR="008C5013" w:rsidRPr="00FC4465">
        <w:rPr>
          <w:rFonts w:asciiTheme="majorBidi" w:hAnsiTheme="majorBidi" w:cstheme="majorBidi"/>
        </w:rPr>
        <w:t>”</w:t>
      </w:r>
      <w:r w:rsidRPr="00FC4465">
        <w:rPr>
          <w:rFonts w:asciiTheme="majorBidi" w:hAnsiTheme="majorBidi" w:cstheme="majorBidi"/>
        </w:rPr>
        <w:t>.</w:t>
      </w:r>
    </w:p>
    <w:p w14:paraId="5D6E622A" w14:textId="693C6CFC" w:rsidR="00BD0CAD" w:rsidRPr="00FC4465" w:rsidRDefault="00BD0CAD" w:rsidP="00BD0CAD">
      <w:pPr>
        <w:pStyle w:val="SingleTxtG"/>
        <w:tabs>
          <w:tab w:val="left" w:pos="1985"/>
        </w:tabs>
        <w:ind w:left="2268" w:hanging="1134"/>
        <w:rPr>
          <w:rFonts w:asciiTheme="majorBidi" w:eastAsiaTheme="minorHAnsi" w:hAnsiTheme="majorBidi" w:cstheme="majorBidi"/>
        </w:rPr>
      </w:pPr>
      <w:r w:rsidRPr="00FC4465">
        <w:rPr>
          <w:rFonts w:asciiTheme="majorBidi" w:hAnsiTheme="majorBidi" w:cstheme="majorBidi"/>
        </w:rPr>
        <w:t>A10.1.2</w:t>
      </w:r>
      <w:r w:rsidRPr="00FC4465">
        <w:rPr>
          <w:rFonts w:asciiTheme="majorBidi" w:hAnsiTheme="majorBidi" w:cstheme="majorBidi"/>
        </w:rPr>
        <w:tab/>
      </w:r>
      <w:r w:rsidRPr="00FC4465">
        <w:rPr>
          <w:rFonts w:asciiTheme="majorBidi" w:hAnsiTheme="majorBidi" w:cstheme="majorBidi"/>
        </w:rPr>
        <w:tab/>
        <w:t xml:space="preserve">Sustitúyase el término </w:t>
      </w:r>
      <w:r w:rsidR="008C5013" w:rsidRPr="00FC4465">
        <w:rPr>
          <w:rFonts w:asciiTheme="majorBidi" w:hAnsiTheme="majorBidi" w:cstheme="majorBidi"/>
        </w:rPr>
        <w:t>“</w:t>
      </w:r>
      <w:r w:rsidRPr="00FC4465">
        <w:rPr>
          <w:rFonts w:asciiTheme="majorBidi" w:hAnsiTheme="majorBidi" w:cstheme="majorBidi"/>
        </w:rPr>
        <w:t>disolución/transformación</w:t>
      </w:r>
      <w:r w:rsidR="008C5013" w:rsidRPr="00FC4465">
        <w:rPr>
          <w:rFonts w:asciiTheme="majorBidi" w:hAnsiTheme="majorBidi" w:cstheme="majorBidi"/>
        </w:rPr>
        <w:t>”</w:t>
      </w:r>
      <w:r w:rsidRPr="00FC4465">
        <w:rPr>
          <w:rFonts w:asciiTheme="majorBidi" w:hAnsiTheme="majorBidi" w:cstheme="majorBidi"/>
        </w:rPr>
        <w:t xml:space="preserve"> de la última oración por </w:t>
      </w:r>
      <w:r w:rsidR="008C5013" w:rsidRPr="00FC4465">
        <w:rPr>
          <w:rFonts w:asciiTheme="majorBidi" w:hAnsiTheme="majorBidi" w:cstheme="majorBidi"/>
        </w:rPr>
        <w:t>“</w:t>
      </w:r>
      <w:r w:rsidRPr="00FC4465">
        <w:rPr>
          <w:rFonts w:asciiTheme="majorBidi" w:hAnsiTheme="majorBidi" w:cstheme="majorBidi"/>
        </w:rPr>
        <w:t>transformación/disolución</w:t>
      </w:r>
      <w:r w:rsidR="008C5013" w:rsidRPr="00FC4465">
        <w:rPr>
          <w:rFonts w:asciiTheme="majorBidi" w:hAnsiTheme="majorBidi" w:cstheme="majorBidi"/>
        </w:rPr>
        <w:t>”</w:t>
      </w:r>
      <w:r w:rsidRPr="00FC4465">
        <w:rPr>
          <w:rFonts w:asciiTheme="majorBidi" w:hAnsiTheme="majorBidi" w:cstheme="majorBidi"/>
        </w:rPr>
        <w:t>.</w:t>
      </w:r>
    </w:p>
    <w:p w14:paraId="6EB8CC82" w14:textId="77777777" w:rsidR="00BD0CAD" w:rsidRPr="00FC4465" w:rsidRDefault="00BD0CAD" w:rsidP="00BD0CAD">
      <w:pPr>
        <w:pStyle w:val="SingleTxtG"/>
        <w:rPr>
          <w:rFonts w:asciiTheme="majorBidi" w:eastAsiaTheme="minorHAnsi" w:hAnsiTheme="majorBidi" w:cstheme="majorBidi"/>
        </w:rPr>
      </w:pPr>
      <w:r w:rsidRPr="00FC4465">
        <w:rPr>
          <w:rFonts w:asciiTheme="majorBidi" w:hAnsiTheme="majorBidi" w:cstheme="majorBidi"/>
        </w:rPr>
        <w:t>A10.1.4</w:t>
      </w:r>
      <w:r w:rsidRPr="00FC4465">
        <w:rPr>
          <w:rFonts w:asciiTheme="majorBidi" w:hAnsiTheme="majorBidi" w:cstheme="majorBidi"/>
        </w:rPr>
        <w:tab/>
        <w:t>Añádase un nuevo párrafo que diga:</w:t>
      </w:r>
    </w:p>
    <w:p w14:paraId="428A939C" w14:textId="4120A543" w:rsidR="00BD0CAD" w:rsidRPr="00FC4465" w:rsidRDefault="008C5013" w:rsidP="00BD0CAD">
      <w:pPr>
        <w:pStyle w:val="SingleTxtG"/>
        <w:ind w:left="2268"/>
        <w:rPr>
          <w:rFonts w:asciiTheme="majorBidi" w:eastAsiaTheme="minorHAnsi" w:hAnsiTheme="majorBidi" w:cstheme="majorBidi"/>
        </w:rPr>
      </w:pPr>
      <w:r w:rsidRPr="00FC4465">
        <w:rPr>
          <w:rFonts w:asciiTheme="majorBidi" w:hAnsiTheme="majorBidi" w:cstheme="majorBidi"/>
        </w:rPr>
        <w:t>“</w:t>
      </w:r>
      <w:r w:rsidR="00BD0CAD" w:rsidRPr="00FC4465">
        <w:rPr>
          <w:rFonts w:asciiTheme="majorBidi" w:hAnsiTheme="majorBidi" w:cstheme="majorBidi"/>
        </w:rPr>
        <w:t xml:space="preserve">A10.1.4 </w:t>
      </w:r>
      <w:r w:rsidR="00BD0CAD" w:rsidRPr="00FC4465">
        <w:rPr>
          <w:rFonts w:asciiTheme="majorBidi" w:hAnsiTheme="majorBidi" w:cstheme="majorBidi"/>
        </w:rPr>
        <w:tab/>
        <w:t>Este documento guía no es aplicable a los compuestos organometálicos.</w:t>
      </w:r>
      <w:r w:rsidRPr="00FC4465">
        <w:rPr>
          <w:rFonts w:asciiTheme="majorBidi" w:hAnsiTheme="majorBidi" w:cstheme="majorBidi"/>
        </w:rPr>
        <w:t>”</w:t>
      </w:r>
      <w:r w:rsidR="00BD0CAD" w:rsidRPr="00FC4465">
        <w:rPr>
          <w:rFonts w:asciiTheme="majorBidi" w:hAnsiTheme="majorBidi" w:cstheme="majorBidi"/>
        </w:rPr>
        <w:t>.</w:t>
      </w:r>
    </w:p>
    <w:p w14:paraId="594D8F3A" w14:textId="72ADA390" w:rsidR="00BD0CAD" w:rsidRPr="00FC4465" w:rsidRDefault="00BD0CAD" w:rsidP="00BD0CAD">
      <w:pPr>
        <w:pStyle w:val="SingleTxtG"/>
        <w:ind w:left="2268" w:hanging="1134"/>
        <w:rPr>
          <w:rFonts w:asciiTheme="majorBidi" w:eastAsiaTheme="minorHAnsi" w:hAnsiTheme="majorBidi" w:cstheme="majorBidi"/>
        </w:rPr>
      </w:pPr>
      <w:r w:rsidRPr="00FC4465">
        <w:rPr>
          <w:rFonts w:asciiTheme="majorBidi" w:hAnsiTheme="majorBidi" w:cstheme="majorBidi"/>
        </w:rPr>
        <w:lastRenderedPageBreak/>
        <w:t xml:space="preserve">A10.2.2.1 </w:t>
      </w:r>
      <w:r w:rsidRPr="00FC4465">
        <w:rPr>
          <w:rFonts w:asciiTheme="majorBidi" w:hAnsiTheme="majorBidi" w:cstheme="majorBidi"/>
        </w:rPr>
        <w:tab/>
        <w:t xml:space="preserve">Modifíquese el final de la última oración para que diga: </w:t>
      </w:r>
      <w:r w:rsidR="008C5013" w:rsidRPr="00FC4465">
        <w:rPr>
          <w:rFonts w:asciiTheme="majorBidi" w:hAnsiTheme="majorBidi" w:cstheme="majorBidi"/>
        </w:rPr>
        <w:t>“</w:t>
      </w:r>
      <w:r w:rsidRPr="00FC4465">
        <w:rPr>
          <w:rFonts w:asciiTheme="majorBidi" w:hAnsiTheme="majorBidi" w:cstheme="majorBidi"/>
        </w:rPr>
        <w:t>...</w:t>
      </w:r>
      <w:r w:rsidR="009958AB">
        <w:rPr>
          <w:rFonts w:asciiTheme="majorBidi" w:hAnsiTheme="majorBidi" w:cstheme="majorBidi"/>
        </w:rPr>
        <w:t xml:space="preserve"> </w:t>
      </w:r>
      <w:r w:rsidRPr="00FC4465">
        <w:rPr>
          <w:rFonts w:asciiTheme="majorBidi" w:hAnsiTheme="majorBidi" w:cstheme="majorBidi"/>
        </w:rPr>
        <w:t>no puede distinguirse del de las formas solubles, y verificar la dependencia del pH de la disolución, en preparación del ensayo principal de transformación/disolución (véase A9.7.2.3).</w:t>
      </w:r>
      <w:r w:rsidR="008C5013" w:rsidRPr="00FC4465">
        <w:rPr>
          <w:rFonts w:asciiTheme="majorBidi" w:hAnsiTheme="majorBidi" w:cstheme="majorBidi"/>
        </w:rPr>
        <w:t>”</w:t>
      </w:r>
      <w:r w:rsidRPr="00FC4465">
        <w:rPr>
          <w:rFonts w:asciiTheme="majorBidi" w:hAnsiTheme="majorBidi" w:cstheme="majorBidi"/>
        </w:rPr>
        <w:t>.</w:t>
      </w:r>
    </w:p>
    <w:p w14:paraId="0F7C8FD2" w14:textId="6F9D011A" w:rsidR="00BD0CAD" w:rsidRPr="00FC4465" w:rsidRDefault="00BD0CAD" w:rsidP="00BD0CAD">
      <w:pPr>
        <w:pStyle w:val="SingleTxtG"/>
        <w:ind w:left="2268" w:hanging="1134"/>
        <w:rPr>
          <w:rFonts w:asciiTheme="majorBidi" w:eastAsiaTheme="minorHAnsi" w:hAnsiTheme="majorBidi" w:cstheme="majorBidi"/>
        </w:rPr>
      </w:pPr>
      <w:r w:rsidRPr="00FC4465">
        <w:rPr>
          <w:rFonts w:asciiTheme="majorBidi" w:hAnsiTheme="majorBidi" w:cstheme="majorBidi"/>
        </w:rPr>
        <w:t xml:space="preserve">A10.2.3.1 </w:t>
      </w:r>
      <w:r w:rsidRPr="00FC4465">
        <w:rPr>
          <w:rFonts w:asciiTheme="majorBidi" w:hAnsiTheme="majorBidi" w:cstheme="majorBidi"/>
        </w:rPr>
        <w:tab/>
        <w:t xml:space="preserve">Modifíquese el final del párrafo como se indica a continuación: </w:t>
      </w:r>
      <w:r w:rsidR="008C5013" w:rsidRPr="00FC4465">
        <w:rPr>
          <w:rFonts w:asciiTheme="majorBidi" w:hAnsiTheme="majorBidi" w:cstheme="majorBidi"/>
        </w:rPr>
        <w:t>“</w:t>
      </w:r>
      <w:r w:rsidRPr="00FC4465">
        <w:rPr>
          <w:rFonts w:asciiTheme="majorBidi" w:hAnsiTheme="majorBidi" w:cstheme="majorBidi"/>
        </w:rPr>
        <w:t>... efectuado con una concentración de 1 mg/l, 0,1 mg/l o 0,01 mg/l en función de la velocidad de transformación.</w:t>
      </w:r>
      <w:r w:rsidR="008C5013" w:rsidRPr="00FC4465">
        <w:rPr>
          <w:rFonts w:asciiTheme="majorBidi" w:hAnsiTheme="majorBidi" w:cstheme="majorBidi"/>
        </w:rPr>
        <w:t>”</w:t>
      </w:r>
      <w:r w:rsidRPr="00FC4465">
        <w:rPr>
          <w:rFonts w:asciiTheme="majorBidi" w:hAnsiTheme="majorBidi" w:cstheme="majorBidi"/>
        </w:rPr>
        <w:t>.</w:t>
      </w:r>
    </w:p>
    <w:p w14:paraId="38A62669" w14:textId="77777777" w:rsidR="00BD0CAD" w:rsidRPr="00FC4465" w:rsidRDefault="00BD0CAD" w:rsidP="00BD0CAD">
      <w:pPr>
        <w:pStyle w:val="SingleTxtG"/>
        <w:ind w:left="2268" w:hanging="1134"/>
        <w:rPr>
          <w:rFonts w:asciiTheme="majorBidi" w:eastAsiaTheme="minorHAnsi" w:hAnsiTheme="majorBidi" w:cstheme="majorBidi"/>
        </w:rPr>
      </w:pPr>
      <w:r w:rsidRPr="00FC4465">
        <w:rPr>
          <w:rFonts w:asciiTheme="majorBidi" w:hAnsiTheme="majorBidi" w:cstheme="majorBidi"/>
        </w:rPr>
        <w:t>A10.2.3.2</w:t>
      </w:r>
      <w:r w:rsidRPr="00FC4465">
        <w:rPr>
          <w:rFonts w:asciiTheme="majorBidi" w:hAnsiTheme="majorBidi" w:cstheme="majorBidi"/>
        </w:rPr>
        <w:tab/>
        <w:t>Modifíquese la última oración para que diga:</w:t>
      </w:r>
    </w:p>
    <w:p w14:paraId="591C49AF" w14:textId="0A68D256" w:rsidR="00BD0CAD" w:rsidRPr="00FC4465" w:rsidRDefault="008C5013" w:rsidP="00BD0CAD">
      <w:pPr>
        <w:pStyle w:val="SingleTxtG"/>
        <w:ind w:left="2268"/>
        <w:rPr>
          <w:rFonts w:asciiTheme="majorBidi" w:eastAsiaTheme="minorHAnsi" w:hAnsiTheme="majorBidi" w:cstheme="majorBidi"/>
        </w:rPr>
      </w:pPr>
      <w:r w:rsidRPr="00FC4465">
        <w:rPr>
          <w:rFonts w:asciiTheme="majorBidi" w:hAnsiTheme="majorBidi" w:cstheme="majorBidi"/>
        </w:rPr>
        <w:t>“</w:t>
      </w:r>
      <w:r w:rsidR="00BD0CAD" w:rsidRPr="00FC4465">
        <w:rPr>
          <w:rFonts w:asciiTheme="majorBidi" w:hAnsiTheme="majorBidi" w:cstheme="majorBidi"/>
        </w:rPr>
        <w:t>...</w:t>
      </w:r>
      <w:r w:rsidR="009958AB">
        <w:rPr>
          <w:rFonts w:asciiTheme="majorBidi" w:hAnsiTheme="majorBidi" w:cstheme="majorBidi"/>
        </w:rPr>
        <w:t xml:space="preserve"> </w:t>
      </w:r>
      <w:r w:rsidR="00BD0CAD" w:rsidRPr="00FC4465">
        <w:rPr>
          <w:rFonts w:asciiTheme="majorBidi" w:hAnsiTheme="majorBidi" w:cstheme="majorBidi"/>
        </w:rPr>
        <w:t>salvo en el ensayo principal de 28 días en el que se recomienda el rango de pH comprendido entre 5,5 y 8,5 si es técnicamente factible para reflejar los posibles efectos a largo plazo en los lagos ácidos.</w:t>
      </w:r>
      <w:r w:rsidRPr="00FC4465">
        <w:rPr>
          <w:rFonts w:asciiTheme="majorBidi" w:hAnsiTheme="majorBidi" w:cstheme="majorBidi"/>
        </w:rPr>
        <w:t>”</w:t>
      </w:r>
      <w:r w:rsidR="00BD0CAD" w:rsidRPr="00FC4465">
        <w:rPr>
          <w:rFonts w:asciiTheme="majorBidi" w:hAnsiTheme="majorBidi" w:cstheme="majorBidi"/>
        </w:rPr>
        <w:t>.</w:t>
      </w:r>
    </w:p>
    <w:p w14:paraId="2D43999D" w14:textId="07ADBD88" w:rsidR="00BD0CAD" w:rsidRPr="00FC4465" w:rsidRDefault="00BD0CAD" w:rsidP="00BD0CAD">
      <w:pPr>
        <w:pStyle w:val="SingleTxtG"/>
        <w:ind w:left="2268" w:hanging="1134"/>
        <w:rPr>
          <w:rFonts w:asciiTheme="majorBidi" w:eastAsiaTheme="minorHAnsi" w:hAnsiTheme="majorBidi" w:cstheme="majorBidi"/>
        </w:rPr>
      </w:pPr>
      <w:r w:rsidRPr="00FC4465">
        <w:rPr>
          <w:rFonts w:asciiTheme="majorBidi" w:hAnsiTheme="majorBidi" w:cstheme="majorBidi"/>
        </w:rPr>
        <w:t>A10.2.3.3</w:t>
      </w:r>
      <w:r w:rsidRPr="00FC4465">
        <w:rPr>
          <w:rFonts w:asciiTheme="majorBidi" w:hAnsiTheme="majorBidi" w:cstheme="majorBidi"/>
        </w:rPr>
        <w:tab/>
        <w:t xml:space="preserve">En la primera oración, sustitúyase </w:t>
      </w:r>
      <w:r w:rsidR="008C5013" w:rsidRPr="00FC4465">
        <w:rPr>
          <w:rFonts w:asciiTheme="majorBidi" w:hAnsiTheme="majorBidi" w:cstheme="majorBidi"/>
        </w:rPr>
        <w:t>“</w:t>
      </w:r>
      <w:r w:rsidRPr="00FC4465">
        <w:rPr>
          <w:rFonts w:asciiTheme="majorBidi" w:hAnsiTheme="majorBidi" w:cstheme="majorBidi"/>
        </w:rPr>
        <w:t>mientras que las muestras en forma masiva se realizarán</w:t>
      </w:r>
      <w:r w:rsidR="008C5013" w:rsidRPr="00FC4465">
        <w:rPr>
          <w:rFonts w:asciiTheme="majorBidi" w:hAnsiTheme="majorBidi" w:cstheme="majorBidi"/>
        </w:rPr>
        <w:t>”</w:t>
      </w:r>
      <w:r w:rsidRPr="00FC4465">
        <w:rPr>
          <w:rFonts w:asciiTheme="majorBidi" w:hAnsiTheme="majorBidi" w:cstheme="majorBidi"/>
        </w:rPr>
        <w:t xml:space="preserve"> por </w:t>
      </w:r>
      <w:r w:rsidR="008C5013" w:rsidRPr="00FC4465">
        <w:rPr>
          <w:rFonts w:asciiTheme="majorBidi" w:hAnsiTheme="majorBidi" w:cstheme="majorBidi"/>
        </w:rPr>
        <w:t>“</w:t>
      </w:r>
      <w:r w:rsidRPr="00FC4465">
        <w:rPr>
          <w:rFonts w:asciiTheme="majorBidi" w:hAnsiTheme="majorBidi" w:cstheme="majorBidi"/>
        </w:rPr>
        <w:t>mientras que los de las formas masivas se realizarán</w:t>
      </w:r>
      <w:r w:rsidR="008C5013" w:rsidRPr="00FC4465">
        <w:rPr>
          <w:rFonts w:asciiTheme="majorBidi" w:hAnsiTheme="majorBidi" w:cstheme="majorBidi"/>
        </w:rPr>
        <w:t>”</w:t>
      </w:r>
      <w:r w:rsidRPr="00FC4465">
        <w:rPr>
          <w:rFonts w:asciiTheme="majorBidi" w:hAnsiTheme="majorBidi" w:cstheme="majorBidi"/>
        </w:rPr>
        <w:t xml:space="preserve">. </w:t>
      </w:r>
    </w:p>
    <w:p w14:paraId="1568EA1D" w14:textId="340857AB" w:rsidR="00BD0CAD" w:rsidRPr="00FC4465" w:rsidRDefault="00BD0CAD" w:rsidP="00BD0CAD">
      <w:pPr>
        <w:pStyle w:val="SingleTxtG"/>
        <w:ind w:left="2268"/>
        <w:rPr>
          <w:rFonts w:asciiTheme="majorBidi" w:eastAsiaTheme="minorHAnsi" w:hAnsiTheme="majorBidi" w:cstheme="majorBidi"/>
        </w:rPr>
      </w:pPr>
      <w:r w:rsidRPr="00FC4465">
        <w:rPr>
          <w:rFonts w:asciiTheme="majorBidi" w:hAnsiTheme="majorBidi" w:cstheme="majorBidi"/>
        </w:rPr>
        <w:t xml:space="preserve">Añádase la siguiente oración al final del párrafo existente: </w:t>
      </w:r>
      <w:r w:rsidR="008C5013" w:rsidRPr="00FC4465">
        <w:rPr>
          <w:rFonts w:asciiTheme="majorBidi" w:hAnsiTheme="majorBidi" w:cstheme="majorBidi"/>
        </w:rPr>
        <w:t>“</w:t>
      </w:r>
      <w:r w:rsidRPr="00FC4465">
        <w:rPr>
          <w:rFonts w:asciiTheme="majorBidi" w:hAnsiTheme="majorBidi" w:cstheme="majorBidi"/>
        </w:rPr>
        <w:t>El material sometido a ensayo también debe estar libre de capas de oxidación/corrosión debidas al almacenamiento, dado que pueden afectar a la velocidad de transformación. Se recomienda un tratamiento previo adecuado de las muestras.</w:t>
      </w:r>
      <w:r w:rsidR="008C5013" w:rsidRPr="00FC4465">
        <w:rPr>
          <w:rFonts w:asciiTheme="majorBidi" w:hAnsiTheme="majorBidi" w:cstheme="majorBidi"/>
        </w:rPr>
        <w:t>”</w:t>
      </w:r>
      <w:r w:rsidRPr="00FC4465">
        <w:rPr>
          <w:rFonts w:asciiTheme="majorBidi" w:hAnsiTheme="majorBidi" w:cstheme="majorBidi"/>
        </w:rPr>
        <w:t>.</w:t>
      </w:r>
    </w:p>
    <w:p w14:paraId="74EA1859" w14:textId="662D0F8E" w:rsidR="00BD0CAD" w:rsidRPr="00FC4465" w:rsidRDefault="00BD0CAD" w:rsidP="00BD0CAD">
      <w:pPr>
        <w:pStyle w:val="SingleTxtG"/>
        <w:tabs>
          <w:tab w:val="clear" w:pos="1701"/>
        </w:tabs>
        <w:ind w:left="2268" w:hanging="1134"/>
        <w:rPr>
          <w:rFonts w:asciiTheme="majorBidi" w:eastAsiaTheme="minorHAnsi" w:hAnsiTheme="majorBidi" w:cstheme="majorBidi"/>
        </w:rPr>
      </w:pPr>
      <w:r w:rsidRPr="00FC4465">
        <w:rPr>
          <w:rFonts w:asciiTheme="majorBidi" w:hAnsiTheme="majorBidi" w:cstheme="majorBidi"/>
        </w:rPr>
        <w:t>A10.4 f)</w:t>
      </w:r>
      <w:r w:rsidRPr="00FC4465">
        <w:rPr>
          <w:rFonts w:asciiTheme="majorBidi" w:hAnsiTheme="majorBidi" w:cstheme="majorBidi"/>
        </w:rPr>
        <w:tab/>
        <w:t xml:space="preserve">Modifíquese el final de la oración para que diga: </w:t>
      </w:r>
      <w:r w:rsidR="008C5013" w:rsidRPr="00FC4465">
        <w:rPr>
          <w:rFonts w:asciiTheme="majorBidi" w:hAnsiTheme="majorBidi" w:cstheme="majorBidi"/>
        </w:rPr>
        <w:t>“</w:t>
      </w:r>
      <w:r w:rsidRPr="00FC4465">
        <w:rPr>
          <w:rFonts w:asciiTheme="majorBidi" w:hAnsiTheme="majorBidi" w:cstheme="majorBidi"/>
        </w:rPr>
        <w:t>o una técnica equivalente, y la distribución del tamaño de las partículas;</w:t>
      </w:r>
      <w:r w:rsidR="008C5013" w:rsidRPr="00FC4465">
        <w:rPr>
          <w:rFonts w:asciiTheme="majorBidi" w:hAnsiTheme="majorBidi" w:cstheme="majorBidi"/>
        </w:rPr>
        <w:t>”</w:t>
      </w:r>
      <w:r w:rsidRPr="00FC4465">
        <w:rPr>
          <w:rFonts w:asciiTheme="majorBidi" w:hAnsiTheme="majorBidi" w:cstheme="majorBidi"/>
        </w:rPr>
        <w:t>.</w:t>
      </w:r>
    </w:p>
    <w:p w14:paraId="53B508EA" w14:textId="76BFF65A" w:rsidR="00BD0CAD" w:rsidRPr="00FC4465" w:rsidRDefault="00BD0CAD" w:rsidP="00BD0CAD">
      <w:pPr>
        <w:pStyle w:val="SingleTxtG"/>
        <w:tabs>
          <w:tab w:val="clear" w:pos="1701"/>
        </w:tabs>
        <w:rPr>
          <w:rFonts w:asciiTheme="majorBidi" w:eastAsiaTheme="minorHAnsi" w:hAnsiTheme="majorBidi" w:cstheme="majorBidi"/>
        </w:rPr>
      </w:pPr>
      <w:r w:rsidRPr="00FC4465">
        <w:rPr>
          <w:rFonts w:asciiTheme="majorBidi" w:hAnsiTheme="majorBidi" w:cstheme="majorBidi"/>
        </w:rPr>
        <w:t>A10.5</w:t>
      </w:r>
      <w:r w:rsidRPr="00FC4465">
        <w:rPr>
          <w:rFonts w:asciiTheme="majorBidi" w:hAnsiTheme="majorBidi" w:cstheme="majorBidi"/>
        </w:rPr>
        <w:tab/>
        <w:t xml:space="preserve">En el subapartado d), suprímase </w:t>
      </w:r>
      <w:r w:rsidR="008C5013" w:rsidRPr="00FC4465">
        <w:rPr>
          <w:rFonts w:asciiTheme="majorBidi" w:hAnsiTheme="majorBidi" w:cstheme="majorBidi"/>
        </w:rPr>
        <w:t>“</w:t>
      </w:r>
      <w:r w:rsidRPr="00FC4465">
        <w:rPr>
          <w:rFonts w:asciiTheme="majorBidi" w:hAnsiTheme="majorBidi" w:cstheme="majorBidi"/>
        </w:rPr>
        <w:t>agitador con palas verticales</w:t>
      </w:r>
      <w:r w:rsidR="008C5013" w:rsidRPr="00FC4465">
        <w:rPr>
          <w:rFonts w:asciiTheme="majorBidi" w:hAnsiTheme="majorBidi" w:cstheme="majorBidi"/>
        </w:rPr>
        <w:t>”</w:t>
      </w:r>
      <w:r w:rsidRPr="00FC4465">
        <w:rPr>
          <w:rFonts w:asciiTheme="majorBidi" w:hAnsiTheme="majorBidi" w:cstheme="majorBidi"/>
        </w:rPr>
        <w:t xml:space="preserve">. </w:t>
      </w:r>
    </w:p>
    <w:p w14:paraId="6323D924" w14:textId="05EBC86E" w:rsidR="00BD0CAD" w:rsidRPr="00FC4465" w:rsidRDefault="00BD0CAD" w:rsidP="00BD0CAD">
      <w:pPr>
        <w:pStyle w:val="SingleTxtG"/>
        <w:tabs>
          <w:tab w:val="left" w:pos="1985"/>
        </w:tabs>
        <w:ind w:left="2268"/>
        <w:rPr>
          <w:rFonts w:asciiTheme="majorBidi" w:eastAsiaTheme="minorHAnsi" w:hAnsiTheme="majorBidi" w:cstheme="majorBidi"/>
        </w:rPr>
      </w:pPr>
      <w:r w:rsidRPr="00FC4465">
        <w:rPr>
          <w:rFonts w:asciiTheme="majorBidi" w:hAnsiTheme="majorBidi" w:cstheme="majorBidi"/>
        </w:rPr>
        <w:t xml:space="preserve">En el subapartado e), sustitúyase </w:t>
      </w:r>
      <w:r w:rsidR="008C5013" w:rsidRPr="00FC4465">
        <w:rPr>
          <w:rFonts w:asciiTheme="majorBidi" w:hAnsiTheme="majorBidi" w:cstheme="majorBidi"/>
        </w:rPr>
        <w:t>“</w:t>
      </w:r>
      <w:r w:rsidRPr="00FC4465">
        <w:rPr>
          <w:rFonts w:asciiTheme="majorBidi" w:hAnsiTheme="majorBidi" w:cstheme="majorBidi"/>
        </w:rPr>
        <w:t>(A10.5.1.7); el filtro Acrodisc</w:t>
      </w:r>
      <w:r w:rsidR="008C5013" w:rsidRPr="00FC4465">
        <w:rPr>
          <w:rFonts w:asciiTheme="majorBidi" w:hAnsiTheme="majorBidi" w:cstheme="majorBidi"/>
        </w:rPr>
        <w:t>”</w:t>
      </w:r>
      <w:r w:rsidRPr="00FC4465">
        <w:rPr>
          <w:rFonts w:asciiTheme="majorBidi" w:hAnsiTheme="majorBidi" w:cstheme="majorBidi"/>
        </w:rPr>
        <w:t xml:space="preserve"> por </w:t>
      </w:r>
      <w:r w:rsidR="008C5013" w:rsidRPr="00FC4465">
        <w:rPr>
          <w:rFonts w:asciiTheme="majorBidi" w:hAnsiTheme="majorBidi" w:cstheme="majorBidi"/>
        </w:rPr>
        <w:t>“</w:t>
      </w:r>
      <w:r w:rsidRPr="00FC4465">
        <w:rPr>
          <w:rFonts w:asciiTheme="majorBidi" w:hAnsiTheme="majorBidi" w:cstheme="majorBidi"/>
        </w:rPr>
        <w:t>(A10.5.1.10); el filtro</w:t>
      </w:r>
      <w:r w:rsidR="008C5013" w:rsidRPr="00FC4465">
        <w:rPr>
          <w:rFonts w:asciiTheme="majorBidi" w:hAnsiTheme="majorBidi" w:cstheme="majorBidi"/>
        </w:rPr>
        <w:t>”</w:t>
      </w:r>
      <w:r w:rsidRPr="00FC4465">
        <w:rPr>
          <w:rFonts w:asciiTheme="majorBidi" w:hAnsiTheme="majorBidi" w:cstheme="majorBidi"/>
        </w:rPr>
        <w:t xml:space="preserve">. </w:t>
      </w:r>
    </w:p>
    <w:p w14:paraId="714E15A3" w14:textId="38310972" w:rsidR="00BD0CAD" w:rsidRPr="00FC4465" w:rsidRDefault="00BD0CAD" w:rsidP="00BD0CAD">
      <w:pPr>
        <w:pStyle w:val="SingleTxtG"/>
        <w:tabs>
          <w:tab w:val="clear" w:pos="1701"/>
        </w:tabs>
        <w:ind w:left="2268"/>
        <w:rPr>
          <w:rFonts w:asciiTheme="majorBidi" w:eastAsiaTheme="minorHAnsi" w:hAnsiTheme="majorBidi" w:cstheme="majorBidi"/>
        </w:rPr>
      </w:pPr>
      <w:r w:rsidRPr="00FC4465">
        <w:rPr>
          <w:rFonts w:asciiTheme="majorBidi" w:hAnsiTheme="majorBidi" w:cstheme="majorBidi"/>
        </w:rPr>
        <w:t xml:space="preserve">En el subapartado k), sustitúyase </w:t>
      </w:r>
      <w:r w:rsidR="008C5013" w:rsidRPr="00FC4465">
        <w:rPr>
          <w:rFonts w:asciiTheme="majorBidi" w:hAnsiTheme="majorBidi" w:cstheme="majorBidi"/>
        </w:rPr>
        <w:t>“</w:t>
      </w:r>
      <w:r w:rsidRPr="00FC4465">
        <w:rPr>
          <w:rFonts w:asciiTheme="majorBidi" w:hAnsiTheme="majorBidi" w:cstheme="majorBidi"/>
        </w:rPr>
        <w:t>espectrómetro de emisión de plasma axial acoplado</w:t>
      </w:r>
      <w:r w:rsidR="008C5013" w:rsidRPr="00FC4465">
        <w:rPr>
          <w:rFonts w:asciiTheme="majorBidi" w:hAnsiTheme="majorBidi" w:cstheme="majorBidi"/>
        </w:rPr>
        <w:t>”</w:t>
      </w:r>
      <w:r w:rsidRPr="00FC4465">
        <w:rPr>
          <w:rFonts w:asciiTheme="majorBidi" w:hAnsiTheme="majorBidi" w:cstheme="majorBidi"/>
        </w:rPr>
        <w:t xml:space="preserve"> por </w:t>
      </w:r>
      <w:r w:rsidR="008C5013" w:rsidRPr="00FC4465">
        <w:rPr>
          <w:rFonts w:asciiTheme="majorBidi" w:hAnsiTheme="majorBidi" w:cstheme="majorBidi"/>
        </w:rPr>
        <w:t>“</w:t>
      </w:r>
      <w:r w:rsidRPr="00FC4465">
        <w:rPr>
          <w:rFonts w:asciiTheme="majorBidi" w:hAnsiTheme="majorBidi" w:cstheme="majorBidi"/>
        </w:rPr>
        <w:t>espectrómetro de masas de plasma acoplado</w:t>
      </w:r>
      <w:r w:rsidR="008C5013" w:rsidRPr="00FC4465">
        <w:rPr>
          <w:rFonts w:asciiTheme="majorBidi" w:hAnsiTheme="majorBidi" w:cstheme="majorBidi"/>
        </w:rPr>
        <w:t>”</w:t>
      </w:r>
      <w:r w:rsidRPr="00FC4465">
        <w:rPr>
          <w:rFonts w:asciiTheme="majorBidi" w:hAnsiTheme="majorBidi" w:cstheme="majorBidi"/>
        </w:rPr>
        <w:t xml:space="preserve"> y modifíquese el final para que diga: </w:t>
      </w:r>
      <w:r w:rsidR="008C5013" w:rsidRPr="00FC4465">
        <w:rPr>
          <w:rFonts w:asciiTheme="majorBidi" w:hAnsiTheme="majorBidi" w:cstheme="majorBidi"/>
        </w:rPr>
        <w:t>“</w:t>
      </w:r>
      <w:r w:rsidRPr="00FC4465">
        <w:rPr>
          <w:rFonts w:asciiTheme="majorBidi" w:hAnsiTheme="majorBidi" w:cstheme="majorBidi"/>
        </w:rPr>
        <w:t>... al valor de referencia de la ecotoxicidad crónica más bajo o al valor de referencia de la ecotoxicidad aguda más bajo si solo se realiza un ensayo de 7 días;</w:t>
      </w:r>
      <w:r w:rsidR="008C5013" w:rsidRPr="00FC4465">
        <w:rPr>
          <w:rFonts w:asciiTheme="majorBidi" w:hAnsiTheme="majorBidi" w:cstheme="majorBidi"/>
        </w:rPr>
        <w:t>”</w:t>
      </w:r>
      <w:r w:rsidRPr="00FC4465">
        <w:rPr>
          <w:rFonts w:asciiTheme="majorBidi" w:hAnsiTheme="majorBidi" w:cstheme="majorBidi"/>
        </w:rPr>
        <w:t>.</w:t>
      </w:r>
    </w:p>
    <w:p w14:paraId="5BA10D11" w14:textId="7259ED01" w:rsidR="00BD0CAD" w:rsidRPr="00FC4465" w:rsidRDefault="00BD0CAD" w:rsidP="00BD0CAD">
      <w:pPr>
        <w:pStyle w:val="SingleTxtG"/>
        <w:ind w:left="2268" w:hanging="1134"/>
        <w:rPr>
          <w:rFonts w:asciiTheme="majorBidi" w:eastAsiaTheme="minorHAnsi" w:hAnsiTheme="majorBidi" w:cstheme="majorBidi"/>
        </w:rPr>
      </w:pPr>
      <w:r w:rsidRPr="00FC4465">
        <w:rPr>
          <w:rFonts w:asciiTheme="majorBidi" w:hAnsiTheme="majorBidi" w:cstheme="majorBidi"/>
        </w:rPr>
        <w:t>A10.5.1.2</w:t>
      </w:r>
      <w:r w:rsidRPr="00FC4465">
        <w:rPr>
          <w:rFonts w:asciiTheme="majorBidi" w:hAnsiTheme="majorBidi" w:cstheme="majorBidi"/>
        </w:rPr>
        <w:tab/>
        <w:t xml:space="preserve">Modifíquese el texto que figura entre paréntesis en la primera oración para que diga: </w:t>
      </w:r>
      <w:r w:rsidR="008C5013" w:rsidRPr="00FC4465">
        <w:rPr>
          <w:rFonts w:asciiTheme="majorBidi" w:hAnsiTheme="majorBidi" w:cstheme="majorBidi"/>
        </w:rPr>
        <w:t>“</w:t>
      </w:r>
      <w:r w:rsidRPr="00FC4465">
        <w:rPr>
          <w:rFonts w:asciiTheme="majorBidi" w:hAnsiTheme="majorBidi" w:cstheme="majorBidi"/>
        </w:rPr>
        <w:t>(por ejemplo, HCl o agua regia)</w:t>
      </w:r>
      <w:r w:rsidR="008C5013" w:rsidRPr="00FC4465">
        <w:rPr>
          <w:rFonts w:asciiTheme="majorBidi" w:hAnsiTheme="majorBidi" w:cstheme="majorBidi"/>
        </w:rPr>
        <w:t>”</w:t>
      </w:r>
      <w:r w:rsidRPr="00FC4465">
        <w:rPr>
          <w:rFonts w:asciiTheme="majorBidi" w:hAnsiTheme="majorBidi" w:cstheme="majorBidi"/>
        </w:rPr>
        <w:t>.</w:t>
      </w:r>
    </w:p>
    <w:p w14:paraId="4C7F32F2" w14:textId="26661E57" w:rsidR="00BD0CAD" w:rsidRPr="00FC4465" w:rsidRDefault="00BD0CAD" w:rsidP="00BD0CAD">
      <w:pPr>
        <w:pStyle w:val="SingleTxtG"/>
        <w:ind w:left="2268"/>
        <w:rPr>
          <w:rFonts w:asciiTheme="majorBidi" w:eastAsiaTheme="minorHAnsi" w:hAnsiTheme="majorBidi" w:cstheme="majorBidi"/>
        </w:rPr>
      </w:pPr>
      <w:r w:rsidRPr="00FC4465">
        <w:rPr>
          <w:rFonts w:asciiTheme="majorBidi" w:hAnsiTheme="majorBidi" w:cstheme="majorBidi"/>
        </w:rPr>
        <w:t xml:space="preserve">Añádase una nueva segunda oración que diga lo siguiente: </w:t>
      </w:r>
      <w:r w:rsidR="008C5013" w:rsidRPr="00FC4465">
        <w:rPr>
          <w:rFonts w:asciiTheme="majorBidi" w:hAnsiTheme="majorBidi" w:cstheme="majorBidi"/>
        </w:rPr>
        <w:t>“</w:t>
      </w:r>
      <w:r w:rsidRPr="00FC4465">
        <w:rPr>
          <w:rFonts w:asciiTheme="majorBidi" w:hAnsiTheme="majorBidi" w:cstheme="majorBidi"/>
        </w:rPr>
        <w:t>Se requiere una atención específica al tipo de vidrio para los metales que puedan desprenderse del vidrio.</w:t>
      </w:r>
      <w:r w:rsidR="008C5013" w:rsidRPr="00FC4465">
        <w:rPr>
          <w:rFonts w:asciiTheme="majorBidi" w:hAnsiTheme="majorBidi" w:cstheme="majorBidi"/>
        </w:rPr>
        <w:t>”</w:t>
      </w:r>
      <w:r w:rsidRPr="00FC4465">
        <w:rPr>
          <w:rFonts w:asciiTheme="majorBidi" w:hAnsiTheme="majorBidi" w:cstheme="majorBidi"/>
        </w:rPr>
        <w:t>.</w:t>
      </w:r>
    </w:p>
    <w:p w14:paraId="46D24BB9" w14:textId="6E0C4884" w:rsidR="00BD0CAD" w:rsidRPr="00FC4465" w:rsidRDefault="00BD0CAD" w:rsidP="00BD0CAD">
      <w:pPr>
        <w:pStyle w:val="SingleTxtG"/>
        <w:ind w:left="2268"/>
        <w:rPr>
          <w:rFonts w:asciiTheme="majorBidi" w:eastAsiaTheme="minorHAnsi" w:hAnsiTheme="majorBidi" w:cstheme="majorBidi"/>
        </w:rPr>
      </w:pPr>
      <w:r w:rsidRPr="00FC4465">
        <w:rPr>
          <w:rFonts w:asciiTheme="majorBidi" w:hAnsiTheme="majorBidi" w:cstheme="majorBidi"/>
        </w:rPr>
        <w:t xml:space="preserve">En la tercera oración, añádase </w:t>
      </w:r>
      <w:r w:rsidR="008C5013" w:rsidRPr="00FC4465">
        <w:rPr>
          <w:rFonts w:asciiTheme="majorBidi" w:hAnsiTheme="majorBidi" w:cstheme="majorBidi"/>
        </w:rPr>
        <w:t>“</w:t>
      </w:r>
      <w:r w:rsidRPr="00FC4465">
        <w:rPr>
          <w:rFonts w:asciiTheme="majorBidi" w:hAnsiTheme="majorBidi" w:cstheme="majorBidi"/>
        </w:rPr>
        <w:t>por ejemplo, una</w:t>
      </w:r>
      <w:r w:rsidR="008C5013" w:rsidRPr="00FC4465">
        <w:rPr>
          <w:rFonts w:asciiTheme="majorBidi" w:hAnsiTheme="majorBidi" w:cstheme="majorBidi"/>
        </w:rPr>
        <w:t>”</w:t>
      </w:r>
      <w:r w:rsidRPr="00FC4465">
        <w:rPr>
          <w:rFonts w:asciiTheme="majorBidi" w:hAnsiTheme="majorBidi" w:cstheme="majorBidi"/>
        </w:rPr>
        <w:t xml:space="preserve"> antes de </w:t>
      </w:r>
      <w:r w:rsidR="008C5013" w:rsidRPr="00FC4465">
        <w:rPr>
          <w:rFonts w:asciiTheme="majorBidi" w:hAnsiTheme="majorBidi" w:cstheme="majorBidi"/>
        </w:rPr>
        <w:t>“</w:t>
      </w:r>
      <w:r w:rsidRPr="00FC4465">
        <w:rPr>
          <w:rFonts w:asciiTheme="majorBidi" w:hAnsiTheme="majorBidi" w:cstheme="majorBidi"/>
        </w:rPr>
        <w:t>cubeta de uno a dos litros</w:t>
      </w:r>
      <w:r w:rsidR="008C5013" w:rsidRPr="00FC4465">
        <w:rPr>
          <w:rFonts w:asciiTheme="majorBidi" w:hAnsiTheme="majorBidi" w:cstheme="majorBidi"/>
        </w:rPr>
        <w:t>”</w:t>
      </w:r>
      <w:r w:rsidRPr="00FC4465">
        <w:rPr>
          <w:rFonts w:asciiTheme="majorBidi" w:hAnsiTheme="majorBidi" w:cstheme="majorBidi"/>
        </w:rPr>
        <w:t>.</w:t>
      </w:r>
    </w:p>
    <w:p w14:paraId="0CAFE1EF" w14:textId="7D65FDC3" w:rsidR="00BD0CAD" w:rsidRPr="00FC4465" w:rsidRDefault="00BD0CAD" w:rsidP="00BD0CAD">
      <w:pPr>
        <w:pStyle w:val="SingleTxtG"/>
        <w:tabs>
          <w:tab w:val="clear" w:pos="1701"/>
        </w:tabs>
        <w:ind w:left="2268" w:hanging="1134"/>
        <w:rPr>
          <w:rFonts w:asciiTheme="majorBidi" w:eastAsiaTheme="minorHAnsi" w:hAnsiTheme="majorBidi" w:cstheme="majorBidi"/>
          <w:i/>
          <w:iCs/>
        </w:rPr>
      </w:pPr>
      <w:r w:rsidRPr="00FC4465">
        <w:rPr>
          <w:rFonts w:asciiTheme="majorBidi" w:hAnsiTheme="majorBidi" w:cstheme="majorBidi"/>
        </w:rPr>
        <w:t>Nota 2</w:t>
      </w:r>
      <w:r w:rsidRPr="00FC4465">
        <w:rPr>
          <w:rFonts w:asciiTheme="majorBidi" w:hAnsiTheme="majorBidi" w:cstheme="majorBidi"/>
        </w:rPr>
        <w:tab/>
        <w:t xml:space="preserve">Sustitúyase </w:t>
      </w:r>
      <w:r w:rsidR="008C5013" w:rsidRPr="00FC4465">
        <w:rPr>
          <w:rFonts w:asciiTheme="majorBidi" w:hAnsiTheme="majorBidi" w:cstheme="majorBidi"/>
        </w:rPr>
        <w:t>“</w:t>
      </w:r>
      <w:r w:rsidRPr="00FC4465">
        <w:rPr>
          <w:rFonts w:asciiTheme="majorBidi" w:hAnsiTheme="majorBidi" w:cstheme="majorBidi"/>
        </w:rPr>
        <w:t>protocolo de disolución/transformación</w:t>
      </w:r>
      <w:r w:rsidR="008C5013" w:rsidRPr="00FC4465">
        <w:rPr>
          <w:rFonts w:asciiTheme="majorBidi" w:hAnsiTheme="majorBidi" w:cstheme="majorBidi"/>
        </w:rPr>
        <w:t>”</w:t>
      </w:r>
      <w:r w:rsidRPr="00FC4465">
        <w:rPr>
          <w:rFonts w:asciiTheme="majorBidi" w:hAnsiTheme="majorBidi" w:cstheme="majorBidi"/>
        </w:rPr>
        <w:t xml:space="preserve"> por </w:t>
      </w:r>
      <w:r w:rsidR="008C5013" w:rsidRPr="00FC4465">
        <w:rPr>
          <w:rFonts w:asciiTheme="majorBidi" w:hAnsiTheme="majorBidi" w:cstheme="majorBidi"/>
        </w:rPr>
        <w:t>“</w:t>
      </w:r>
      <w:r w:rsidRPr="00FC4465">
        <w:rPr>
          <w:rFonts w:asciiTheme="majorBidi" w:hAnsiTheme="majorBidi" w:cstheme="majorBidi"/>
        </w:rPr>
        <w:t>protocolo de transformación/disolución</w:t>
      </w:r>
      <w:r w:rsidR="008C5013" w:rsidRPr="00FC4465">
        <w:rPr>
          <w:rFonts w:asciiTheme="majorBidi" w:hAnsiTheme="majorBidi" w:cstheme="majorBidi"/>
        </w:rPr>
        <w:t>”</w:t>
      </w:r>
      <w:r w:rsidRPr="00FC4465">
        <w:rPr>
          <w:rFonts w:asciiTheme="majorBidi" w:hAnsiTheme="majorBidi" w:cstheme="majorBidi"/>
        </w:rPr>
        <w:t>.</w:t>
      </w:r>
    </w:p>
    <w:p w14:paraId="527B4C9D" w14:textId="77777777" w:rsidR="00BD0CAD" w:rsidRPr="00FC4465" w:rsidRDefault="00BD0CAD" w:rsidP="00BD0CAD">
      <w:pPr>
        <w:pStyle w:val="SingleTxtG"/>
        <w:ind w:left="2410" w:hanging="1276"/>
        <w:rPr>
          <w:rFonts w:asciiTheme="majorBidi" w:eastAsiaTheme="minorHAnsi" w:hAnsiTheme="majorBidi" w:cstheme="majorBidi"/>
        </w:rPr>
      </w:pPr>
      <w:r w:rsidRPr="00FC4465">
        <w:rPr>
          <w:rFonts w:asciiTheme="majorBidi" w:hAnsiTheme="majorBidi" w:cstheme="majorBidi"/>
        </w:rPr>
        <w:t>A10.5.1.4</w:t>
      </w:r>
      <w:r w:rsidRPr="00FC4465">
        <w:rPr>
          <w:rFonts w:asciiTheme="majorBidi" w:hAnsiTheme="majorBidi" w:cstheme="majorBidi"/>
        </w:rPr>
        <w:tab/>
        <w:t>Modifíquese para que diga:</w:t>
      </w:r>
    </w:p>
    <w:p w14:paraId="5F37051D" w14:textId="7C2E0ED3" w:rsidR="00BD0CAD" w:rsidRPr="00FC4465" w:rsidRDefault="008C5013" w:rsidP="00BD0CAD">
      <w:pPr>
        <w:pStyle w:val="SingleTxtG"/>
        <w:ind w:left="2268"/>
        <w:rPr>
          <w:rFonts w:asciiTheme="majorBidi" w:eastAsiaTheme="minorHAnsi" w:hAnsiTheme="majorBidi" w:cstheme="majorBidi"/>
        </w:rPr>
      </w:pPr>
      <w:r w:rsidRPr="00FC4465">
        <w:rPr>
          <w:rFonts w:asciiTheme="majorBidi" w:hAnsiTheme="majorBidi" w:cstheme="majorBidi"/>
        </w:rPr>
        <w:t>“</w:t>
      </w:r>
      <w:r w:rsidR="00BD0CAD" w:rsidRPr="00FC4465">
        <w:rPr>
          <w:rFonts w:asciiTheme="majorBidi" w:hAnsiTheme="majorBidi" w:cstheme="majorBidi"/>
        </w:rPr>
        <w:t>A10.5.1.4</w:t>
      </w:r>
      <w:r w:rsidR="00BD0CAD" w:rsidRPr="00FC4465">
        <w:rPr>
          <w:rFonts w:asciiTheme="majorBidi" w:hAnsiTheme="majorBidi" w:cstheme="majorBidi"/>
        </w:rPr>
        <w:tab/>
        <w:t>La concentración de carbono orgánico total en el medio antes de añadir la sustancia no deberá rebasar los 2,0 mg/l.</w:t>
      </w:r>
      <w:r w:rsidRPr="00FC4465">
        <w:rPr>
          <w:rFonts w:asciiTheme="majorBidi" w:hAnsiTheme="majorBidi" w:cstheme="majorBidi"/>
        </w:rPr>
        <w:t>”</w:t>
      </w:r>
      <w:r w:rsidR="00BD0CAD" w:rsidRPr="00FC4465">
        <w:rPr>
          <w:rFonts w:asciiTheme="majorBidi" w:hAnsiTheme="majorBidi" w:cstheme="majorBidi"/>
        </w:rPr>
        <w:t xml:space="preserve">. </w:t>
      </w:r>
    </w:p>
    <w:p w14:paraId="5CCC20D2" w14:textId="0B7D239C" w:rsidR="00BD0CAD" w:rsidRPr="00FC4465" w:rsidRDefault="00BD0CAD" w:rsidP="00BD0CAD">
      <w:pPr>
        <w:pStyle w:val="SingleTxtG"/>
        <w:ind w:left="2268" w:hanging="1134"/>
        <w:rPr>
          <w:rFonts w:asciiTheme="majorBidi" w:eastAsiaTheme="minorHAnsi" w:hAnsiTheme="majorBidi" w:cstheme="majorBidi"/>
        </w:rPr>
      </w:pPr>
      <w:r w:rsidRPr="00FC4465">
        <w:rPr>
          <w:rFonts w:asciiTheme="majorBidi" w:hAnsiTheme="majorBidi" w:cstheme="majorBidi"/>
        </w:rPr>
        <w:t>A10.5.1.5</w:t>
      </w:r>
      <w:r w:rsidRPr="00FC4465">
        <w:rPr>
          <w:rFonts w:asciiTheme="majorBidi" w:hAnsiTheme="majorBidi" w:cstheme="majorBidi"/>
        </w:rPr>
        <w:tab/>
        <w:t xml:space="preserve">En la primera oración, sustitúyase </w:t>
      </w:r>
      <w:r w:rsidR="008C5013" w:rsidRPr="00FC4465">
        <w:rPr>
          <w:rFonts w:asciiTheme="majorBidi" w:hAnsiTheme="majorBidi" w:cstheme="majorBidi"/>
        </w:rPr>
        <w:t>“</w:t>
      </w:r>
      <w:r w:rsidRPr="00FC4465">
        <w:rPr>
          <w:rFonts w:asciiTheme="majorBidi" w:hAnsiTheme="majorBidi" w:cstheme="majorBidi"/>
        </w:rPr>
        <w:t>transformación del compuesto metálico</w:t>
      </w:r>
      <w:r w:rsidR="008C5013" w:rsidRPr="00FC4465">
        <w:rPr>
          <w:rFonts w:asciiTheme="majorBidi" w:hAnsiTheme="majorBidi" w:cstheme="majorBidi"/>
        </w:rPr>
        <w:t>”</w:t>
      </w:r>
      <w:r w:rsidRPr="00FC4465">
        <w:rPr>
          <w:rFonts w:asciiTheme="majorBidi" w:hAnsiTheme="majorBidi" w:cstheme="majorBidi"/>
        </w:rPr>
        <w:t xml:space="preserve"> por </w:t>
      </w:r>
      <w:r w:rsidR="008C5013" w:rsidRPr="00FC4465">
        <w:rPr>
          <w:rFonts w:asciiTheme="majorBidi" w:hAnsiTheme="majorBidi" w:cstheme="majorBidi"/>
        </w:rPr>
        <w:t>“</w:t>
      </w:r>
      <w:r w:rsidRPr="00FC4465">
        <w:rPr>
          <w:rFonts w:asciiTheme="majorBidi" w:hAnsiTheme="majorBidi" w:cstheme="majorBidi"/>
        </w:rPr>
        <w:t>transformación del metal o del compuesto metálico</w:t>
      </w:r>
      <w:r w:rsidR="008C5013" w:rsidRPr="00FC4465">
        <w:rPr>
          <w:rFonts w:asciiTheme="majorBidi" w:hAnsiTheme="majorBidi" w:cstheme="majorBidi"/>
        </w:rPr>
        <w:t>”</w:t>
      </w:r>
      <w:r w:rsidRPr="00FC4465">
        <w:rPr>
          <w:rFonts w:asciiTheme="majorBidi" w:hAnsiTheme="majorBidi" w:cstheme="majorBidi"/>
        </w:rPr>
        <w:t>.</w:t>
      </w:r>
    </w:p>
    <w:p w14:paraId="1E13F8B9" w14:textId="77777777" w:rsidR="00BD0CAD" w:rsidRPr="00FC4465" w:rsidRDefault="00BD0CAD" w:rsidP="00BD0CAD">
      <w:pPr>
        <w:pStyle w:val="SingleTxtG"/>
        <w:tabs>
          <w:tab w:val="clear" w:pos="1701"/>
        </w:tabs>
        <w:rPr>
          <w:rFonts w:asciiTheme="majorBidi" w:eastAsiaTheme="minorHAnsi" w:hAnsiTheme="majorBidi" w:cstheme="majorBidi"/>
        </w:rPr>
      </w:pPr>
      <w:r w:rsidRPr="00FC4465">
        <w:rPr>
          <w:rFonts w:asciiTheme="majorBidi" w:hAnsiTheme="majorBidi" w:cstheme="majorBidi"/>
        </w:rPr>
        <w:t xml:space="preserve">A10.5.1.7 </w:t>
      </w:r>
      <w:r w:rsidRPr="00FC4465">
        <w:rPr>
          <w:rFonts w:asciiTheme="majorBidi" w:hAnsiTheme="majorBidi" w:cstheme="majorBidi"/>
        </w:rPr>
        <w:tab/>
        <w:t>Después de la tabla A10.1, añádase la nueva nota 3:</w:t>
      </w:r>
    </w:p>
    <w:p w14:paraId="7F39A247" w14:textId="4758F790" w:rsidR="00BD0CAD" w:rsidRPr="00FC4465" w:rsidRDefault="008C5013" w:rsidP="00BD0CAD">
      <w:pPr>
        <w:pStyle w:val="SingleTxtG"/>
        <w:tabs>
          <w:tab w:val="clear" w:pos="1701"/>
        </w:tabs>
        <w:ind w:left="2268"/>
        <w:rPr>
          <w:rFonts w:asciiTheme="majorBidi" w:eastAsiaTheme="minorHAnsi" w:hAnsiTheme="majorBidi" w:cstheme="majorBidi"/>
        </w:rPr>
      </w:pPr>
      <w:r w:rsidRPr="00FC4465">
        <w:rPr>
          <w:rFonts w:asciiTheme="majorBidi" w:hAnsiTheme="majorBidi" w:cstheme="majorBidi"/>
        </w:rPr>
        <w:t>“</w:t>
      </w:r>
      <w:r w:rsidR="00BD0CAD" w:rsidRPr="00FC4465">
        <w:rPr>
          <w:rFonts w:asciiTheme="majorBidi" w:hAnsiTheme="majorBidi" w:cstheme="majorBidi"/>
          <w:b/>
          <w:bCs/>
          <w:i/>
          <w:iCs/>
        </w:rPr>
        <w:t>NOTA 3:</w:t>
      </w:r>
      <w:r w:rsidR="00BD0CAD" w:rsidRPr="00FC4465">
        <w:rPr>
          <w:rFonts w:asciiTheme="majorBidi" w:hAnsiTheme="majorBidi" w:cstheme="majorBidi"/>
        </w:rPr>
        <w:tab/>
      </w:r>
      <w:r w:rsidR="00BD0CAD" w:rsidRPr="00FC4465">
        <w:rPr>
          <w:rFonts w:asciiTheme="majorBidi" w:hAnsiTheme="majorBidi" w:cstheme="majorBidi"/>
          <w:i/>
          <w:iCs/>
        </w:rPr>
        <w:t>Se recomienda equilibrar a través del espacio por encima del líquido, dado que el burbujeo de gas CO</w:t>
      </w:r>
      <w:r w:rsidR="00BD0CAD" w:rsidRPr="00FC4465">
        <w:rPr>
          <w:rFonts w:asciiTheme="majorBidi" w:hAnsiTheme="majorBidi" w:cstheme="majorBidi"/>
          <w:i/>
          <w:iCs/>
          <w:vertAlign w:val="subscript"/>
        </w:rPr>
        <w:t>2</w:t>
      </w:r>
      <w:r w:rsidR="00BD0CAD" w:rsidRPr="00FC4465">
        <w:rPr>
          <w:rFonts w:asciiTheme="majorBidi" w:hAnsiTheme="majorBidi" w:cstheme="majorBidi"/>
          <w:i/>
          <w:iCs/>
        </w:rPr>
        <w:t xml:space="preserve"> no garantiza una distribución uniforme entre las diferentes cubetas</w:t>
      </w:r>
      <w:r w:rsidR="00BD0CAD" w:rsidRPr="00FC4465">
        <w:rPr>
          <w:rFonts w:asciiTheme="majorBidi" w:hAnsiTheme="majorBidi" w:cstheme="majorBidi"/>
        </w:rPr>
        <w:t>.</w:t>
      </w:r>
      <w:r w:rsidRPr="00FC4465">
        <w:rPr>
          <w:rFonts w:asciiTheme="majorBidi" w:hAnsiTheme="majorBidi" w:cstheme="majorBidi"/>
        </w:rPr>
        <w:t>”</w:t>
      </w:r>
      <w:r w:rsidR="00BD0CAD" w:rsidRPr="00FC4465">
        <w:rPr>
          <w:rFonts w:asciiTheme="majorBidi" w:hAnsiTheme="majorBidi" w:cstheme="majorBidi"/>
        </w:rPr>
        <w:t>.</w:t>
      </w:r>
    </w:p>
    <w:p w14:paraId="61136C29" w14:textId="77777777" w:rsidR="00BD0CAD" w:rsidRPr="00FC4465" w:rsidRDefault="00BD0CAD" w:rsidP="00BD0CAD">
      <w:pPr>
        <w:pStyle w:val="SingleTxtG"/>
        <w:rPr>
          <w:rFonts w:asciiTheme="majorBidi" w:eastAsiaTheme="minorHAnsi" w:hAnsiTheme="majorBidi" w:cstheme="majorBidi"/>
        </w:rPr>
      </w:pPr>
      <w:r w:rsidRPr="00FC4465">
        <w:rPr>
          <w:rFonts w:asciiTheme="majorBidi" w:hAnsiTheme="majorBidi" w:cstheme="majorBidi"/>
        </w:rPr>
        <w:t xml:space="preserve">A10.5.1.9 </w:t>
      </w:r>
      <w:r w:rsidRPr="00FC4465">
        <w:rPr>
          <w:rFonts w:asciiTheme="majorBidi" w:hAnsiTheme="majorBidi" w:cstheme="majorBidi"/>
        </w:rPr>
        <w:tab/>
        <w:t>Modifíquese para que diga:</w:t>
      </w:r>
    </w:p>
    <w:p w14:paraId="4129502A" w14:textId="2DF5070F" w:rsidR="00BD0CAD" w:rsidRPr="00FC4465" w:rsidRDefault="008C5013" w:rsidP="00BD0CAD">
      <w:pPr>
        <w:pStyle w:val="SingleTxtG"/>
        <w:ind w:left="2268"/>
        <w:rPr>
          <w:rFonts w:asciiTheme="majorBidi" w:eastAsiaTheme="minorHAnsi" w:hAnsiTheme="majorBidi" w:cstheme="majorBidi"/>
        </w:rPr>
      </w:pPr>
      <w:r w:rsidRPr="00FC4465">
        <w:rPr>
          <w:rFonts w:asciiTheme="majorBidi" w:hAnsiTheme="majorBidi" w:cstheme="majorBidi"/>
        </w:rPr>
        <w:t>“</w:t>
      </w:r>
      <w:r w:rsidR="00BD0CAD" w:rsidRPr="00FC4465">
        <w:rPr>
          <w:rFonts w:asciiTheme="majorBidi" w:hAnsiTheme="majorBidi" w:cstheme="majorBidi"/>
        </w:rPr>
        <w:t>A10.5.1.9</w:t>
      </w:r>
      <w:r w:rsidR="00BD0CAD" w:rsidRPr="00FC4465">
        <w:rPr>
          <w:rFonts w:asciiTheme="majorBidi" w:hAnsiTheme="majorBidi" w:cstheme="majorBidi"/>
        </w:rPr>
        <w:tab/>
        <w:t xml:space="preserve">Durante el ensayo principal de transformación/disolución, deberá recurrirse a una agitación suficiente para mantener el flujo del medio </w:t>
      </w:r>
      <w:r w:rsidR="00BD0CAD" w:rsidRPr="00FC4465">
        <w:rPr>
          <w:rFonts w:asciiTheme="majorBidi" w:hAnsiTheme="majorBidi" w:cstheme="majorBidi"/>
        </w:rPr>
        <w:lastRenderedPageBreak/>
        <w:t xml:space="preserve">acuoso en la sustancia de ensayo y preservar la integridad de la superficie de esa sustancia y de todos los productos de reacción sólidos que se formen en dicha superficie durante el ensayo. Para 1 </w:t>
      </w:r>
      <w:r w:rsidR="00BD0CAD" w:rsidRPr="00FC4465">
        <w:rPr>
          <w:rFonts w:asciiTheme="majorBidi" w:hAnsiTheme="majorBidi" w:cstheme="majorBidi"/>
          <w:i/>
          <w:iCs/>
        </w:rPr>
        <w:t>l</w:t>
      </w:r>
      <w:r w:rsidR="00BD0CAD" w:rsidRPr="00FC4465">
        <w:rPr>
          <w:rFonts w:asciiTheme="majorBidi" w:hAnsiTheme="majorBidi" w:cstheme="majorBidi"/>
        </w:rPr>
        <w:t xml:space="preserve"> de medio acuoso, esto puede lograrse con el uso de un frasco de 1,0 a 3,0 </w:t>
      </w:r>
      <w:r w:rsidR="00BD0CAD" w:rsidRPr="00FC4465">
        <w:rPr>
          <w:rFonts w:asciiTheme="majorBidi" w:hAnsiTheme="majorBidi" w:cstheme="majorBidi"/>
          <w:i/>
          <w:iCs/>
        </w:rPr>
        <w:t>l</w:t>
      </w:r>
      <w:r w:rsidR="00BD0CAD" w:rsidRPr="00FC4465">
        <w:rPr>
          <w:rFonts w:asciiTheme="majorBidi" w:hAnsiTheme="majorBidi" w:cstheme="majorBidi"/>
        </w:rPr>
        <w:t xml:space="preserve"> cerrado con un tapón de caucho y colocado en un agitador orbital o un agitador de laboratorio ajustado a 100 vueltas por minuto. Se pueden emplear otros métodos de agitación suave siempre que se cumplan los criterios de integridad de la superficie de la sustancia de ensayo y la homogeneidad de la disolución.</w:t>
      </w:r>
      <w:r w:rsidRPr="00FC4465">
        <w:rPr>
          <w:rFonts w:asciiTheme="majorBidi" w:hAnsiTheme="majorBidi" w:cstheme="majorBidi"/>
        </w:rPr>
        <w:t>”</w:t>
      </w:r>
      <w:r w:rsidR="00BD0CAD" w:rsidRPr="00FC4465">
        <w:rPr>
          <w:rFonts w:asciiTheme="majorBidi" w:hAnsiTheme="majorBidi" w:cstheme="majorBidi"/>
        </w:rPr>
        <w:t>.</w:t>
      </w:r>
    </w:p>
    <w:p w14:paraId="68F52AFB" w14:textId="3429DD61" w:rsidR="00BD0CAD" w:rsidRPr="00FC4465" w:rsidRDefault="00BD0CAD" w:rsidP="00BD0CAD">
      <w:pPr>
        <w:pStyle w:val="SingleTxtG"/>
        <w:tabs>
          <w:tab w:val="left" w:pos="1985"/>
        </w:tabs>
        <w:ind w:left="2268" w:hanging="1134"/>
        <w:rPr>
          <w:rFonts w:asciiTheme="majorBidi" w:hAnsiTheme="majorBidi" w:cstheme="majorBidi"/>
        </w:rPr>
      </w:pPr>
      <w:r w:rsidRPr="00FC4465">
        <w:rPr>
          <w:rFonts w:asciiTheme="majorBidi" w:hAnsiTheme="majorBidi" w:cstheme="majorBidi"/>
        </w:rPr>
        <w:t>A10.5.1.10</w:t>
      </w:r>
      <w:r w:rsidRPr="00FC4465">
        <w:rPr>
          <w:rFonts w:asciiTheme="majorBidi" w:hAnsiTheme="majorBidi" w:cstheme="majorBidi"/>
        </w:rPr>
        <w:tab/>
        <w:t xml:space="preserve">Modifíquese el final de la primera oración para que diga: </w:t>
      </w:r>
      <w:r w:rsidR="008C5013" w:rsidRPr="00FC4465">
        <w:rPr>
          <w:rFonts w:asciiTheme="majorBidi" w:hAnsiTheme="majorBidi" w:cstheme="majorBidi"/>
        </w:rPr>
        <w:t>“</w:t>
      </w:r>
      <w:r w:rsidRPr="00FC4465">
        <w:rPr>
          <w:rFonts w:asciiTheme="majorBidi" w:hAnsiTheme="majorBidi" w:cstheme="majorBidi"/>
        </w:rPr>
        <w:t>... lo que a su vez dependerá de la distribución del tamaño de las partículas y de la forma y densidad de estas.</w:t>
      </w:r>
      <w:r w:rsidR="008C5013" w:rsidRPr="00FC4465">
        <w:rPr>
          <w:rFonts w:asciiTheme="majorBidi" w:hAnsiTheme="majorBidi" w:cstheme="majorBidi"/>
        </w:rPr>
        <w:t>”</w:t>
      </w:r>
      <w:r w:rsidRPr="00FC4465">
        <w:rPr>
          <w:rFonts w:asciiTheme="majorBidi" w:hAnsiTheme="majorBidi" w:cstheme="majorBidi"/>
        </w:rPr>
        <w:t xml:space="preserve">. </w:t>
      </w:r>
    </w:p>
    <w:p w14:paraId="207EC337" w14:textId="5D0BF7EF" w:rsidR="00BD0CAD" w:rsidRPr="00FC4465" w:rsidRDefault="00BD0CAD" w:rsidP="00BD0CAD">
      <w:pPr>
        <w:pStyle w:val="SingleTxtG"/>
        <w:tabs>
          <w:tab w:val="left" w:pos="1985"/>
        </w:tabs>
        <w:ind w:left="2268"/>
        <w:rPr>
          <w:rFonts w:asciiTheme="majorBidi" w:eastAsiaTheme="minorHAnsi" w:hAnsiTheme="majorBidi" w:cstheme="majorBidi"/>
        </w:rPr>
      </w:pPr>
      <w:r w:rsidRPr="00FC4465">
        <w:rPr>
          <w:rFonts w:asciiTheme="majorBidi" w:hAnsiTheme="majorBidi" w:cstheme="majorBidi"/>
        </w:rPr>
        <w:t>Sustitúyanse las dos últimas oraciones (</w:t>
      </w:r>
      <w:r w:rsidR="008C5013" w:rsidRPr="00FC4465">
        <w:rPr>
          <w:rFonts w:asciiTheme="majorBidi" w:hAnsiTheme="majorBidi" w:cstheme="majorBidi"/>
        </w:rPr>
        <w:t>“</w:t>
      </w:r>
      <w:r w:rsidRPr="00FC4465">
        <w:rPr>
          <w:rFonts w:asciiTheme="majorBidi" w:hAnsiTheme="majorBidi" w:cstheme="majorBidi"/>
        </w:rPr>
        <w:t>En consecuencia, la filtración... podrá tomarse una muestra de la disolución.</w:t>
      </w:r>
      <w:r w:rsidR="008C5013" w:rsidRPr="00FC4465">
        <w:rPr>
          <w:rFonts w:asciiTheme="majorBidi" w:hAnsiTheme="majorBidi" w:cstheme="majorBidi"/>
        </w:rPr>
        <w:t>”</w:t>
      </w:r>
      <w:r w:rsidRPr="00FC4465">
        <w:rPr>
          <w:rFonts w:asciiTheme="majorBidi" w:hAnsiTheme="majorBidi" w:cstheme="majorBidi"/>
        </w:rPr>
        <w:t xml:space="preserve">) por: </w:t>
      </w:r>
    </w:p>
    <w:p w14:paraId="3A13DB44" w14:textId="4057B079" w:rsidR="00BD0CAD" w:rsidRPr="00FC4465" w:rsidRDefault="008C5013" w:rsidP="00BD0CAD">
      <w:pPr>
        <w:pStyle w:val="SingleTxtG"/>
        <w:tabs>
          <w:tab w:val="left" w:pos="1985"/>
        </w:tabs>
        <w:ind w:left="2268"/>
        <w:rPr>
          <w:rFonts w:asciiTheme="majorBidi" w:eastAsiaTheme="minorHAnsi" w:hAnsiTheme="majorBidi" w:cstheme="majorBidi"/>
        </w:rPr>
      </w:pPr>
      <w:r w:rsidRPr="00FC4465">
        <w:rPr>
          <w:rFonts w:asciiTheme="majorBidi" w:hAnsiTheme="majorBidi" w:cstheme="majorBidi"/>
        </w:rPr>
        <w:t>“</w:t>
      </w:r>
      <w:r w:rsidR="00BD0CAD" w:rsidRPr="00FC4465">
        <w:rPr>
          <w:rFonts w:asciiTheme="majorBidi" w:hAnsiTheme="majorBidi" w:cstheme="majorBidi"/>
        </w:rPr>
        <w:t>Pueden considerarse técnicas alternativas para partículas más finas. Si se teme que las partículas se queden en suspensión, deberá comprobarse la eficacia de la filtración antes de realizar cualquier ensayo. Las opciones que podrían considerarse para aumentar la eficacia de la filtración incluyen la centrifugación seguida de filtración, o esperar unos 5 minutos a que las partículas en suspensión se depositen antes de tomar una muestra de la disolución.</w:t>
      </w:r>
      <w:r w:rsidRPr="00FC4465">
        <w:rPr>
          <w:rFonts w:asciiTheme="majorBidi" w:hAnsiTheme="majorBidi" w:cstheme="majorBidi"/>
        </w:rPr>
        <w:t>”</w:t>
      </w:r>
      <w:r w:rsidR="00BD0CAD" w:rsidRPr="00FC4465">
        <w:rPr>
          <w:rFonts w:asciiTheme="majorBidi" w:hAnsiTheme="majorBidi" w:cstheme="majorBidi"/>
        </w:rPr>
        <w:t>.</w:t>
      </w:r>
    </w:p>
    <w:p w14:paraId="26CF81B8" w14:textId="77777777" w:rsidR="00BD0CAD" w:rsidRPr="00FC4465" w:rsidRDefault="00BD0CAD" w:rsidP="00BD0CAD">
      <w:pPr>
        <w:pStyle w:val="SingleTxtG"/>
        <w:keepNext/>
        <w:keepLines/>
        <w:tabs>
          <w:tab w:val="clear" w:pos="1701"/>
        </w:tabs>
        <w:rPr>
          <w:rFonts w:asciiTheme="majorBidi" w:eastAsiaTheme="minorHAnsi" w:hAnsiTheme="majorBidi" w:cstheme="majorBidi"/>
        </w:rPr>
      </w:pPr>
      <w:r w:rsidRPr="00FC4465">
        <w:rPr>
          <w:rFonts w:asciiTheme="majorBidi" w:hAnsiTheme="majorBidi" w:cstheme="majorBidi"/>
        </w:rPr>
        <w:t xml:space="preserve">A10.5.2.1 </w:t>
      </w:r>
      <w:r w:rsidRPr="00FC4465">
        <w:rPr>
          <w:rFonts w:asciiTheme="majorBidi" w:hAnsiTheme="majorBidi" w:cstheme="majorBidi"/>
        </w:rPr>
        <w:tab/>
        <w:t>Modifíquese el primer párrafo para que diga:</w:t>
      </w:r>
    </w:p>
    <w:p w14:paraId="01B0244C" w14:textId="48CBD2B7" w:rsidR="00BD0CAD" w:rsidRPr="00FC4465" w:rsidRDefault="008C5013" w:rsidP="00BD0CAD">
      <w:pPr>
        <w:pStyle w:val="SingleTxtG"/>
        <w:tabs>
          <w:tab w:val="clear" w:pos="1701"/>
        </w:tabs>
        <w:ind w:left="2268"/>
        <w:rPr>
          <w:rFonts w:asciiTheme="majorBidi" w:eastAsiaTheme="minorHAnsi" w:hAnsiTheme="majorBidi" w:cstheme="majorBidi"/>
        </w:rPr>
      </w:pPr>
      <w:r w:rsidRPr="00FC4465">
        <w:rPr>
          <w:rFonts w:asciiTheme="majorBidi" w:hAnsiTheme="majorBidi" w:cstheme="majorBidi"/>
        </w:rPr>
        <w:t>“</w:t>
      </w:r>
      <w:r w:rsidR="00BD0CAD" w:rsidRPr="00FC4465">
        <w:rPr>
          <w:rFonts w:asciiTheme="majorBidi" w:hAnsiTheme="majorBidi" w:cstheme="majorBidi"/>
        </w:rPr>
        <w:t>Para el estudio es fundamental un método debidamente validado que analice los metales disueltos totales. El límite de detección analítica debe ser, preferiblemente, 5 veces inferior al valor de referencia de ecotoxicidad crónica apropiado, o al valor de referencia de ecotoxicidad aguda en caso de que se realice un ensayo de 7 días.</w:t>
      </w:r>
      <w:r w:rsidRPr="00FC4465">
        <w:rPr>
          <w:rFonts w:asciiTheme="majorBidi" w:hAnsiTheme="majorBidi" w:cstheme="majorBidi"/>
        </w:rPr>
        <w:t>”</w:t>
      </w:r>
      <w:r w:rsidR="00BD0CAD" w:rsidRPr="00FC4465">
        <w:rPr>
          <w:rFonts w:asciiTheme="majorBidi" w:hAnsiTheme="majorBidi" w:cstheme="majorBidi"/>
        </w:rPr>
        <w:t>.</w:t>
      </w:r>
    </w:p>
    <w:p w14:paraId="5D6D30C7" w14:textId="7D1E20F0" w:rsidR="00BD0CAD" w:rsidRPr="00FC4465" w:rsidRDefault="00BD0CAD" w:rsidP="00BD0CAD">
      <w:pPr>
        <w:pStyle w:val="SingleTxtG"/>
        <w:tabs>
          <w:tab w:val="clear" w:pos="1701"/>
        </w:tabs>
        <w:ind w:left="2268" w:hanging="1134"/>
        <w:rPr>
          <w:rFonts w:asciiTheme="majorBidi" w:eastAsiaTheme="minorHAnsi" w:hAnsiTheme="majorBidi" w:cstheme="majorBidi"/>
        </w:rPr>
      </w:pPr>
      <w:r w:rsidRPr="00FC4465">
        <w:rPr>
          <w:rFonts w:asciiTheme="majorBidi" w:hAnsiTheme="majorBidi" w:cstheme="majorBidi"/>
        </w:rPr>
        <w:t>A10.5.2.3.1</w:t>
      </w:r>
      <w:r w:rsidRPr="00FC4465">
        <w:rPr>
          <w:rFonts w:asciiTheme="majorBidi" w:hAnsiTheme="majorBidi" w:cstheme="majorBidi"/>
        </w:rPr>
        <w:tab/>
        <w:t xml:space="preserve">Suprímase </w:t>
      </w:r>
      <w:r w:rsidR="008C5013" w:rsidRPr="00FC4465">
        <w:rPr>
          <w:rFonts w:asciiTheme="majorBidi" w:hAnsiTheme="majorBidi" w:cstheme="majorBidi"/>
        </w:rPr>
        <w:t>“</w:t>
      </w:r>
      <w:r w:rsidRPr="00FC4465">
        <w:rPr>
          <w:rFonts w:asciiTheme="majorBidi" w:hAnsiTheme="majorBidi" w:cstheme="majorBidi"/>
        </w:rPr>
        <w:t>(por ejemplo, 37 a 44 µm)</w:t>
      </w:r>
      <w:r w:rsidR="008C5013" w:rsidRPr="00FC4465">
        <w:rPr>
          <w:rFonts w:asciiTheme="majorBidi" w:hAnsiTheme="majorBidi" w:cstheme="majorBidi"/>
        </w:rPr>
        <w:t>”</w:t>
      </w:r>
      <w:r w:rsidRPr="00FC4465">
        <w:rPr>
          <w:rFonts w:asciiTheme="majorBidi" w:hAnsiTheme="majorBidi" w:cstheme="majorBidi"/>
        </w:rPr>
        <w:t xml:space="preserve"> y añádase la siguiente oración al final del párrafo: </w:t>
      </w:r>
      <w:r w:rsidR="008C5013" w:rsidRPr="00FC4465">
        <w:rPr>
          <w:rFonts w:asciiTheme="majorBidi" w:hAnsiTheme="majorBidi" w:cstheme="majorBidi"/>
        </w:rPr>
        <w:t>“</w:t>
      </w:r>
      <w:r w:rsidRPr="00FC4465">
        <w:rPr>
          <w:rFonts w:asciiTheme="majorBidi" w:hAnsiTheme="majorBidi" w:cstheme="majorBidi"/>
        </w:rPr>
        <w:t>Esta variabilidad puede ser mayor con las cantidades de producto más bajas</w:t>
      </w:r>
      <w:r w:rsidR="008C5013" w:rsidRPr="00FC4465">
        <w:rPr>
          <w:rFonts w:asciiTheme="majorBidi" w:hAnsiTheme="majorBidi" w:cstheme="majorBidi"/>
        </w:rPr>
        <w:t>”</w:t>
      </w:r>
      <w:r w:rsidRPr="00FC4465">
        <w:rPr>
          <w:rFonts w:asciiTheme="majorBidi" w:hAnsiTheme="majorBidi" w:cstheme="majorBidi"/>
        </w:rPr>
        <w:t>.</w:t>
      </w:r>
    </w:p>
    <w:p w14:paraId="40F532D6" w14:textId="77777777" w:rsidR="00BD0CAD" w:rsidRPr="00FC4465" w:rsidRDefault="00BD0CAD" w:rsidP="00BD0CAD">
      <w:pPr>
        <w:pStyle w:val="SingleTxtG"/>
        <w:tabs>
          <w:tab w:val="clear" w:pos="1701"/>
        </w:tabs>
        <w:ind w:left="2268" w:hanging="1134"/>
        <w:rPr>
          <w:rFonts w:asciiTheme="majorBidi" w:eastAsiaTheme="minorHAnsi" w:hAnsiTheme="majorBidi" w:cstheme="majorBidi"/>
        </w:rPr>
      </w:pPr>
      <w:r w:rsidRPr="00FC4465">
        <w:rPr>
          <w:rFonts w:asciiTheme="majorBidi" w:hAnsiTheme="majorBidi" w:cstheme="majorBidi"/>
        </w:rPr>
        <w:t>A10.5.2.3.3</w:t>
      </w:r>
      <w:r w:rsidRPr="00FC4465">
        <w:rPr>
          <w:rFonts w:asciiTheme="majorBidi" w:hAnsiTheme="majorBidi" w:cstheme="majorBidi"/>
        </w:rPr>
        <w:tab/>
        <w:t>La modificación no se aplica al texto en español.</w:t>
      </w:r>
    </w:p>
    <w:p w14:paraId="19AC25D8" w14:textId="23AB838F" w:rsidR="00BD0CAD" w:rsidRPr="00FC4465" w:rsidRDefault="00BD0CAD" w:rsidP="00BD0CAD">
      <w:pPr>
        <w:pStyle w:val="SingleTxtG"/>
        <w:tabs>
          <w:tab w:val="clear" w:pos="1701"/>
        </w:tabs>
        <w:ind w:left="2268" w:hanging="1134"/>
        <w:rPr>
          <w:rFonts w:asciiTheme="majorBidi" w:eastAsiaTheme="minorHAnsi" w:hAnsiTheme="majorBidi" w:cstheme="majorBidi"/>
        </w:rPr>
      </w:pPr>
      <w:r w:rsidRPr="00FC4465">
        <w:rPr>
          <w:rFonts w:asciiTheme="majorBidi" w:hAnsiTheme="majorBidi" w:cstheme="majorBidi"/>
        </w:rPr>
        <w:t>A10.5.2.3.5</w:t>
      </w:r>
      <w:r w:rsidRPr="00FC4465">
        <w:rPr>
          <w:rFonts w:asciiTheme="majorBidi" w:hAnsiTheme="majorBidi" w:cstheme="majorBidi"/>
        </w:rPr>
        <w:tab/>
        <w:t xml:space="preserve">Modifíquese la oración final para que diga: </w:t>
      </w:r>
      <w:r w:rsidR="008C5013" w:rsidRPr="00FC4465">
        <w:rPr>
          <w:rFonts w:asciiTheme="majorBidi" w:hAnsiTheme="majorBidi" w:cstheme="majorBidi"/>
        </w:rPr>
        <w:t>“</w:t>
      </w:r>
      <w:r w:rsidRPr="00FC4465">
        <w:rPr>
          <w:rFonts w:asciiTheme="majorBidi" w:hAnsiTheme="majorBidi" w:cstheme="majorBidi"/>
        </w:rPr>
        <w:t>Es preciso controlar la superficie específica de las muestras de polvo.</w:t>
      </w:r>
      <w:r w:rsidR="008C5013" w:rsidRPr="00FC4465">
        <w:rPr>
          <w:rFonts w:asciiTheme="majorBidi" w:hAnsiTheme="majorBidi" w:cstheme="majorBidi"/>
        </w:rPr>
        <w:t>”</w:t>
      </w:r>
      <w:r w:rsidRPr="00FC4465">
        <w:rPr>
          <w:rFonts w:asciiTheme="majorBidi" w:hAnsiTheme="majorBidi" w:cstheme="majorBidi"/>
        </w:rPr>
        <w:t>.</w:t>
      </w:r>
    </w:p>
    <w:p w14:paraId="7C348ABC" w14:textId="347CDC9B" w:rsidR="00BD0CAD" w:rsidRPr="00FC4465" w:rsidRDefault="00BD0CAD" w:rsidP="00BD0CAD">
      <w:pPr>
        <w:pStyle w:val="SingleTxtG"/>
        <w:tabs>
          <w:tab w:val="clear" w:pos="1701"/>
        </w:tabs>
        <w:ind w:left="2268" w:hanging="1134"/>
        <w:rPr>
          <w:rFonts w:asciiTheme="majorBidi" w:eastAsiaTheme="minorHAnsi" w:hAnsiTheme="majorBidi" w:cstheme="majorBidi"/>
        </w:rPr>
      </w:pPr>
      <w:r w:rsidRPr="00FC4465">
        <w:rPr>
          <w:rFonts w:asciiTheme="majorBidi" w:hAnsiTheme="majorBidi" w:cstheme="majorBidi"/>
        </w:rPr>
        <w:t xml:space="preserve">A10.5.3.1 </w:t>
      </w:r>
      <w:r w:rsidRPr="00FC4465">
        <w:rPr>
          <w:rFonts w:asciiTheme="majorBidi" w:hAnsiTheme="majorBidi" w:cstheme="majorBidi"/>
        </w:rPr>
        <w:tab/>
        <w:t xml:space="preserve">Modifíquese el encabezado para que diga: </w:t>
      </w:r>
      <w:r w:rsidR="008C5013" w:rsidRPr="00FC4465">
        <w:rPr>
          <w:rFonts w:asciiTheme="majorBidi" w:hAnsiTheme="majorBidi" w:cstheme="majorBidi"/>
        </w:rPr>
        <w:t>“</w:t>
      </w:r>
      <w:r w:rsidRPr="00FC4465">
        <w:rPr>
          <w:rFonts w:asciiTheme="majorBidi" w:hAnsiTheme="majorBidi" w:cstheme="majorBidi"/>
          <w:i/>
          <w:iCs/>
        </w:rPr>
        <w:t>Ensayo preliminar de transformación/disolución – compuestos metálicos poco solubles</w:t>
      </w:r>
      <w:r w:rsidR="008C5013" w:rsidRPr="00FC4465">
        <w:rPr>
          <w:rFonts w:asciiTheme="majorBidi" w:hAnsiTheme="majorBidi" w:cstheme="majorBidi"/>
        </w:rPr>
        <w:t>”</w:t>
      </w:r>
      <w:r w:rsidRPr="00FC4465">
        <w:rPr>
          <w:rFonts w:asciiTheme="majorBidi" w:hAnsiTheme="majorBidi" w:cstheme="majorBidi"/>
        </w:rPr>
        <w:t>.</w:t>
      </w:r>
    </w:p>
    <w:p w14:paraId="06BB4224" w14:textId="47E09286" w:rsidR="00BD0CAD" w:rsidRPr="00FC4465" w:rsidRDefault="00BD0CAD" w:rsidP="00BD0CAD">
      <w:pPr>
        <w:pStyle w:val="SingleTxtG"/>
        <w:tabs>
          <w:tab w:val="clear" w:pos="1701"/>
        </w:tabs>
        <w:ind w:left="2268" w:hanging="1134"/>
        <w:rPr>
          <w:rFonts w:asciiTheme="majorBidi" w:eastAsiaTheme="minorHAnsi" w:hAnsiTheme="majorBidi" w:cstheme="majorBidi"/>
        </w:rPr>
      </w:pPr>
      <w:r w:rsidRPr="00FC4465">
        <w:rPr>
          <w:rFonts w:asciiTheme="majorBidi" w:hAnsiTheme="majorBidi" w:cstheme="majorBidi"/>
        </w:rPr>
        <w:t xml:space="preserve">A10.5.3.1.1 </w:t>
      </w:r>
      <w:r w:rsidRPr="00FC4465">
        <w:rPr>
          <w:rFonts w:asciiTheme="majorBidi" w:hAnsiTheme="majorBidi" w:cstheme="majorBidi"/>
        </w:rPr>
        <w:tab/>
        <w:t xml:space="preserve">En la última oración, en el texto que figura entre paréntesis, sustitúyase </w:t>
      </w:r>
      <w:r w:rsidR="008C5013" w:rsidRPr="00FC4465">
        <w:rPr>
          <w:rFonts w:asciiTheme="majorBidi" w:hAnsiTheme="majorBidi" w:cstheme="majorBidi"/>
        </w:rPr>
        <w:t>“</w:t>
      </w:r>
      <w:r w:rsidRPr="00FC4465">
        <w:rPr>
          <w:rFonts w:asciiTheme="majorBidi" w:hAnsiTheme="majorBidi" w:cstheme="majorBidi"/>
        </w:rPr>
        <w:t>agregar los sólidos</w:t>
      </w:r>
      <w:r w:rsidR="008C5013" w:rsidRPr="00FC4465">
        <w:rPr>
          <w:rFonts w:asciiTheme="majorBidi" w:hAnsiTheme="majorBidi" w:cstheme="majorBidi"/>
        </w:rPr>
        <w:t>”</w:t>
      </w:r>
      <w:r w:rsidRPr="00FC4465">
        <w:rPr>
          <w:rFonts w:asciiTheme="majorBidi" w:hAnsiTheme="majorBidi" w:cstheme="majorBidi"/>
        </w:rPr>
        <w:t xml:space="preserve"> por </w:t>
      </w:r>
      <w:r w:rsidR="008C5013" w:rsidRPr="00FC4465">
        <w:rPr>
          <w:rFonts w:asciiTheme="majorBidi" w:hAnsiTheme="majorBidi" w:cstheme="majorBidi"/>
        </w:rPr>
        <w:t>“</w:t>
      </w:r>
      <w:r w:rsidRPr="00FC4465">
        <w:rPr>
          <w:rFonts w:asciiTheme="majorBidi" w:hAnsiTheme="majorBidi" w:cstheme="majorBidi"/>
        </w:rPr>
        <w:t>agregar el material de ensayo</w:t>
      </w:r>
      <w:r w:rsidR="008C5013" w:rsidRPr="00FC4465">
        <w:rPr>
          <w:rFonts w:asciiTheme="majorBidi" w:hAnsiTheme="majorBidi" w:cstheme="majorBidi"/>
        </w:rPr>
        <w:t>”</w:t>
      </w:r>
      <w:r w:rsidRPr="00FC4465">
        <w:rPr>
          <w:rFonts w:asciiTheme="majorBidi" w:hAnsiTheme="majorBidi" w:cstheme="majorBidi"/>
        </w:rPr>
        <w:t>.</w:t>
      </w:r>
    </w:p>
    <w:p w14:paraId="58E50BA9" w14:textId="423A77AD" w:rsidR="00BD0CAD" w:rsidRPr="00FC4465" w:rsidRDefault="00BD0CAD" w:rsidP="00BD0CAD">
      <w:pPr>
        <w:pStyle w:val="SingleTxtG"/>
        <w:tabs>
          <w:tab w:val="clear" w:pos="1701"/>
        </w:tabs>
        <w:ind w:left="2268" w:hanging="1134"/>
        <w:rPr>
          <w:rFonts w:asciiTheme="majorBidi" w:eastAsiaTheme="minorHAnsi" w:hAnsiTheme="majorBidi" w:cstheme="majorBidi"/>
        </w:rPr>
      </w:pPr>
      <w:r w:rsidRPr="00FC4465">
        <w:rPr>
          <w:rFonts w:asciiTheme="majorBidi" w:hAnsiTheme="majorBidi" w:cstheme="majorBidi"/>
        </w:rPr>
        <w:t>A10.5.3.1.2</w:t>
      </w:r>
      <w:r w:rsidRPr="00FC4465">
        <w:rPr>
          <w:rFonts w:asciiTheme="majorBidi" w:hAnsiTheme="majorBidi" w:cstheme="majorBidi"/>
        </w:rPr>
        <w:tab/>
        <w:t xml:space="preserve">Modifíquese el final de la primera oración para que diga: </w:t>
      </w:r>
      <w:r w:rsidR="008C5013" w:rsidRPr="00FC4465">
        <w:rPr>
          <w:rFonts w:asciiTheme="majorBidi" w:hAnsiTheme="majorBidi" w:cstheme="majorBidi"/>
        </w:rPr>
        <w:t>“</w:t>
      </w:r>
      <w:r w:rsidRPr="00FC4465">
        <w:rPr>
          <w:rFonts w:asciiTheme="majorBidi" w:hAnsiTheme="majorBidi" w:cstheme="majorBidi"/>
        </w:rPr>
        <w:t>rápida y vigorosamente (por ejemplo, en un agitador helicoidal que gire a 200 vueltas por minuto, si es posible).</w:t>
      </w:r>
      <w:r w:rsidR="008C5013" w:rsidRPr="00FC4465">
        <w:rPr>
          <w:rFonts w:asciiTheme="majorBidi" w:hAnsiTheme="majorBidi" w:cstheme="majorBidi"/>
        </w:rPr>
        <w:t>”</w:t>
      </w:r>
      <w:r w:rsidRPr="00FC4465">
        <w:rPr>
          <w:rFonts w:asciiTheme="majorBidi" w:hAnsiTheme="majorBidi" w:cstheme="majorBidi"/>
        </w:rPr>
        <w:t>.</w:t>
      </w:r>
    </w:p>
    <w:p w14:paraId="65FD2F27" w14:textId="7EE62F4D" w:rsidR="00BD0CAD" w:rsidRPr="00FC4465" w:rsidRDefault="00BD0CAD" w:rsidP="00BD0CAD">
      <w:pPr>
        <w:pStyle w:val="SingleTxtG"/>
        <w:tabs>
          <w:tab w:val="clear" w:pos="1701"/>
        </w:tabs>
        <w:ind w:left="2268" w:hanging="1134"/>
        <w:rPr>
          <w:rFonts w:asciiTheme="majorBidi" w:eastAsiaTheme="minorHAnsi" w:hAnsiTheme="majorBidi" w:cstheme="majorBidi"/>
        </w:rPr>
      </w:pPr>
      <w:r w:rsidRPr="00FC4465">
        <w:rPr>
          <w:rFonts w:asciiTheme="majorBidi" w:hAnsiTheme="majorBidi" w:cstheme="majorBidi"/>
        </w:rPr>
        <w:t xml:space="preserve">A10.5.3.2 </w:t>
      </w:r>
      <w:r w:rsidRPr="00FC4465">
        <w:rPr>
          <w:rFonts w:asciiTheme="majorBidi" w:hAnsiTheme="majorBidi" w:cstheme="majorBidi"/>
        </w:rPr>
        <w:tab/>
        <w:t xml:space="preserve">Modifíquese el encabezado para que diga: </w:t>
      </w:r>
      <w:r w:rsidR="008C5013" w:rsidRPr="00FC4465">
        <w:rPr>
          <w:rFonts w:asciiTheme="majorBidi" w:hAnsiTheme="majorBidi" w:cstheme="majorBidi"/>
        </w:rPr>
        <w:t>“</w:t>
      </w:r>
      <w:r w:rsidRPr="00FC4465">
        <w:rPr>
          <w:rFonts w:asciiTheme="majorBidi" w:hAnsiTheme="majorBidi" w:cstheme="majorBidi"/>
          <w:i/>
          <w:iCs/>
        </w:rPr>
        <w:t>Ensayo principal de transformación/disolución – metales y compuestos metálicos</w:t>
      </w:r>
      <w:r w:rsidR="008C5013" w:rsidRPr="00FC4465">
        <w:rPr>
          <w:rFonts w:asciiTheme="majorBidi" w:hAnsiTheme="majorBidi" w:cstheme="majorBidi"/>
        </w:rPr>
        <w:t>”</w:t>
      </w:r>
      <w:r w:rsidR="009958AB">
        <w:rPr>
          <w:rFonts w:asciiTheme="majorBidi" w:hAnsiTheme="majorBidi" w:cstheme="majorBidi"/>
        </w:rPr>
        <w:t>.</w:t>
      </w:r>
    </w:p>
    <w:p w14:paraId="3D06E66D" w14:textId="77777777" w:rsidR="00BD0CAD" w:rsidRPr="00FC4465" w:rsidRDefault="00BD0CAD" w:rsidP="00BD0CAD">
      <w:pPr>
        <w:pStyle w:val="SingleTxtG"/>
        <w:tabs>
          <w:tab w:val="clear" w:pos="1701"/>
        </w:tabs>
        <w:rPr>
          <w:rFonts w:asciiTheme="majorBidi" w:eastAsiaTheme="minorHAnsi" w:hAnsiTheme="majorBidi" w:cstheme="majorBidi"/>
        </w:rPr>
      </w:pPr>
      <w:r w:rsidRPr="00FC4465">
        <w:rPr>
          <w:rFonts w:asciiTheme="majorBidi" w:hAnsiTheme="majorBidi" w:cstheme="majorBidi"/>
        </w:rPr>
        <w:t xml:space="preserve">A10.5.3.2.2 </w:t>
      </w:r>
      <w:r w:rsidRPr="00FC4465">
        <w:rPr>
          <w:rFonts w:asciiTheme="majorBidi" w:hAnsiTheme="majorBidi" w:cstheme="majorBidi"/>
        </w:rPr>
        <w:tab/>
        <w:t xml:space="preserve">Modifíquese para que diga: </w:t>
      </w:r>
    </w:p>
    <w:p w14:paraId="4CC2B5B8" w14:textId="4E61EBA6" w:rsidR="00BD0CAD" w:rsidRPr="00FC4465" w:rsidRDefault="008C5013" w:rsidP="00BD0CAD">
      <w:pPr>
        <w:pStyle w:val="SingleTxtG"/>
        <w:tabs>
          <w:tab w:val="clear" w:pos="2268"/>
          <w:tab w:val="left" w:pos="1985"/>
        </w:tabs>
        <w:ind w:left="2268"/>
        <w:rPr>
          <w:rFonts w:asciiTheme="majorBidi" w:eastAsiaTheme="minorHAnsi" w:hAnsiTheme="majorBidi" w:cstheme="majorBidi"/>
        </w:rPr>
      </w:pPr>
      <w:r w:rsidRPr="00FC4465">
        <w:rPr>
          <w:rFonts w:asciiTheme="majorBidi" w:hAnsiTheme="majorBidi" w:cstheme="majorBidi"/>
        </w:rPr>
        <w:t>“</w:t>
      </w:r>
      <w:r w:rsidR="00BD0CAD" w:rsidRPr="00FC4465">
        <w:rPr>
          <w:rFonts w:asciiTheme="majorBidi" w:hAnsiTheme="majorBidi" w:cstheme="majorBidi"/>
        </w:rPr>
        <w:t>En el ensayo de 7 días, se añade sustancia en cantidades de 1, 10 y 100 mg/l, respectivamente, a las cubetas de ensayo (cuyo número dependerá de la reproducibilidad, tal como se establece en el párrafo A10.5.2.3) que contienen el medio acuoso. Las cubetas se cierran (aunque se posibilita el equilibrio con aire si es necesario) y se agitan tal como se describe en A10.5.1.9. Si se va a realizar un ensayo de 28 días, la cantidad puede ser de 0,01 mg/l, 0,1 mg/l o</w:t>
      </w:r>
      <w:r w:rsidR="00A70FE7">
        <w:rPr>
          <w:rFonts w:asciiTheme="majorBidi" w:hAnsiTheme="majorBidi" w:cstheme="majorBidi"/>
        </w:rPr>
        <w:t> </w:t>
      </w:r>
      <w:r w:rsidR="00BD0CAD" w:rsidRPr="00FC4465">
        <w:rPr>
          <w:rFonts w:asciiTheme="majorBidi" w:hAnsiTheme="majorBidi" w:cstheme="majorBidi"/>
        </w:rPr>
        <w:t>1</w:t>
      </w:r>
      <w:r w:rsidR="009958AB">
        <w:rPr>
          <w:rFonts w:asciiTheme="majorBidi" w:hAnsiTheme="majorBidi" w:cstheme="majorBidi"/>
        </w:rPr>
        <w:t> </w:t>
      </w:r>
      <w:r w:rsidR="00BD0CAD" w:rsidRPr="00FC4465">
        <w:rPr>
          <w:rFonts w:asciiTheme="majorBidi" w:hAnsiTheme="majorBidi" w:cstheme="majorBidi"/>
        </w:rPr>
        <w:t xml:space="preserve">mg/l, en función de la velocidad de transformación. El ensayo con una cantidad de 1 mg/l podrá ampliarse a 28 días, siempre y cuando se tome el mismo valor de pH en los ensayos de 7 y de 28 días. Los ensayos de 7 días solo se realizan con rangos de pH de 6 a 8,5, mientras que para los ensayos de </w:t>
      </w:r>
      <w:r w:rsidR="00BD0CAD" w:rsidRPr="00FC4465">
        <w:rPr>
          <w:rFonts w:asciiTheme="majorBidi" w:hAnsiTheme="majorBidi" w:cstheme="majorBidi"/>
        </w:rPr>
        <w:lastRenderedPageBreak/>
        <w:t>28 días se recomienda un rango de pH algo más amplio, de 5,5 y de 6 a 8,5, si es técnicamente factible. Se requiere un ensayo paralelo de control sin carga de sustancia (es decir, sin disolución de ensayo). A intervalos de tiempo fijados (por ejemplo, 2 horas y 6 horas y 1, 4 y 7 días en el caso del ensayo a corto plazo y, además, 14, 21 y 28 días para el ensayo a largo plazo), se miden en cada cubeta la temperatura, el pH y las concentraciones de O</w:t>
      </w:r>
      <w:r w:rsidR="00BD0CAD" w:rsidRPr="00FC4465">
        <w:rPr>
          <w:rFonts w:asciiTheme="majorBidi" w:hAnsiTheme="majorBidi" w:cstheme="majorBidi"/>
          <w:vertAlign w:val="subscript"/>
        </w:rPr>
        <w:t>2</w:t>
      </w:r>
      <w:r w:rsidR="00BD0CAD" w:rsidRPr="00FC4465">
        <w:rPr>
          <w:rFonts w:asciiTheme="majorBidi" w:hAnsiTheme="majorBidi" w:cstheme="majorBidi"/>
        </w:rPr>
        <w:t xml:space="preserve"> disuelto, y se toman al menos dos muestras (por ejemplo, 10 a 15 ml) con jeringa de cada cubeta. Las fracciones sólidas y disueltas...</w:t>
      </w:r>
      <w:r w:rsidRPr="00FC4465">
        <w:rPr>
          <w:rFonts w:asciiTheme="majorBidi" w:hAnsiTheme="majorBidi" w:cstheme="majorBidi"/>
        </w:rPr>
        <w:t>”</w:t>
      </w:r>
      <w:r w:rsidR="00BD0CAD" w:rsidRPr="00FC4465">
        <w:rPr>
          <w:rFonts w:asciiTheme="majorBidi" w:hAnsiTheme="majorBidi" w:cstheme="majorBidi"/>
        </w:rPr>
        <w:t xml:space="preserve"> [</w:t>
      </w:r>
      <w:r w:rsidR="00BD0CAD" w:rsidRPr="00FC4465">
        <w:rPr>
          <w:rFonts w:asciiTheme="majorBidi" w:hAnsiTheme="majorBidi" w:cstheme="majorBidi"/>
          <w:i/>
          <w:iCs/>
        </w:rPr>
        <w:t>El texto restante se mantiene sin cambios</w:t>
      </w:r>
      <w:r w:rsidR="00BD0CAD" w:rsidRPr="00FC4465">
        <w:rPr>
          <w:rFonts w:asciiTheme="majorBidi" w:hAnsiTheme="majorBidi" w:cstheme="majorBidi"/>
        </w:rPr>
        <w:t>].</w:t>
      </w:r>
    </w:p>
    <w:p w14:paraId="64C230AE" w14:textId="77777777" w:rsidR="00BD0CAD" w:rsidRPr="00FC4465" w:rsidRDefault="00BD0CAD" w:rsidP="00BD0CAD">
      <w:pPr>
        <w:pStyle w:val="SingleTxtG"/>
        <w:tabs>
          <w:tab w:val="clear" w:pos="1701"/>
        </w:tabs>
        <w:ind w:left="2268" w:hanging="1134"/>
        <w:rPr>
          <w:rFonts w:asciiTheme="majorBidi" w:hAnsiTheme="majorBidi" w:cstheme="majorBidi"/>
        </w:rPr>
      </w:pPr>
      <w:r w:rsidRPr="00FC4465">
        <w:rPr>
          <w:rFonts w:asciiTheme="majorBidi" w:hAnsiTheme="majorBidi" w:cstheme="majorBidi"/>
        </w:rPr>
        <w:t xml:space="preserve">A10.6.2.1 </w:t>
      </w:r>
      <w:r w:rsidRPr="00FC4465">
        <w:rPr>
          <w:rFonts w:asciiTheme="majorBidi" w:hAnsiTheme="majorBidi" w:cstheme="majorBidi"/>
        </w:rPr>
        <w:tab/>
        <w:t>Al final de la sección, añádase un nuevo párrafo que diga:</w:t>
      </w:r>
    </w:p>
    <w:p w14:paraId="08D25F14" w14:textId="36792A8B" w:rsidR="00BD0CAD" w:rsidRPr="00FC4465" w:rsidRDefault="008C5013" w:rsidP="00BD0CAD">
      <w:pPr>
        <w:pStyle w:val="SingleTxtG"/>
        <w:tabs>
          <w:tab w:val="clear" w:pos="1701"/>
        </w:tabs>
        <w:ind w:left="2268"/>
        <w:rPr>
          <w:rFonts w:asciiTheme="majorBidi" w:eastAsiaTheme="minorHAnsi" w:hAnsiTheme="majorBidi" w:cstheme="majorBidi"/>
        </w:rPr>
      </w:pPr>
      <w:r w:rsidRPr="00FC4465">
        <w:rPr>
          <w:rFonts w:asciiTheme="majorBidi" w:hAnsiTheme="majorBidi" w:cstheme="majorBidi"/>
        </w:rPr>
        <w:t>“</w:t>
      </w:r>
      <w:r w:rsidR="00BD0CAD" w:rsidRPr="00FC4465">
        <w:rPr>
          <w:rFonts w:asciiTheme="majorBidi" w:hAnsiTheme="majorBidi" w:cstheme="majorBidi"/>
        </w:rPr>
        <w:t>La velocidad de liberación también puede expresarse en relación con la superficie de la sustancia de ensayo (por ejemplo, µg/mm</w:t>
      </w:r>
      <w:r w:rsidR="00BD0CAD" w:rsidRPr="00FC4465">
        <w:rPr>
          <w:rFonts w:asciiTheme="majorBidi" w:hAnsiTheme="majorBidi" w:cstheme="majorBidi"/>
          <w:vertAlign w:val="superscript"/>
        </w:rPr>
        <w:t>2</w:t>
      </w:r>
      <w:r w:rsidR="00BD0CAD" w:rsidRPr="00FC4465">
        <w:rPr>
          <w:rFonts w:asciiTheme="majorBidi" w:hAnsiTheme="majorBidi" w:cstheme="majorBidi"/>
        </w:rPr>
        <w:t>) para posibilitar una comparación de las velocidades de liberación entre diferentes cargas de superficie o tamaños de partícula.</w:t>
      </w:r>
      <w:r w:rsidRPr="00FC4465">
        <w:rPr>
          <w:rFonts w:asciiTheme="majorBidi" w:hAnsiTheme="majorBidi" w:cstheme="majorBidi"/>
        </w:rPr>
        <w:t>”</w:t>
      </w:r>
      <w:r w:rsidR="00BD0CAD" w:rsidRPr="00FC4465">
        <w:rPr>
          <w:rFonts w:asciiTheme="majorBidi" w:hAnsiTheme="majorBidi" w:cstheme="majorBidi"/>
        </w:rPr>
        <w:t>.</w:t>
      </w:r>
    </w:p>
    <w:p w14:paraId="099629E8" w14:textId="77777777" w:rsidR="00BD0CAD" w:rsidRPr="00FC4465" w:rsidRDefault="00BD0CAD" w:rsidP="00BD0CAD">
      <w:pPr>
        <w:pStyle w:val="SingleTxtG"/>
        <w:tabs>
          <w:tab w:val="clear" w:pos="1701"/>
        </w:tabs>
        <w:rPr>
          <w:rFonts w:asciiTheme="majorBidi" w:hAnsiTheme="majorBidi" w:cstheme="majorBidi"/>
        </w:rPr>
      </w:pPr>
      <w:r w:rsidRPr="00FC4465">
        <w:rPr>
          <w:rFonts w:asciiTheme="majorBidi" w:hAnsiTheme="majorBidi" w:cstheme="majorBidi"/>
        </w:rPr>
        <w:t>A10.6.2.2</w:t>
      </w:r>
      <w:r w:rsidRPr="00FC4465">
        <w:rPr>
          <w:rFonts w:asciiTheme="majorBidi" w:hAnsiTheme="majorBidi" w:cstheme="majorBidi"/>
        </w:rPr>
        <w:tab/>
        <w:t>Modifíquese para que diga:</w:t>
      </w:r>
    </w:p>
    <w:p w14:paraId="60D26021" w14:textId="03009F6E" w:rsidR="00BD0CAD" w:rsidRPr="00FC4465" w:rsidRDefault="00BD0CAD" w:rsidP="00BD0CAD">
      <w:pPr>
        <w:pStyle w:val="SingleTxtG"/>
        <w:tabs>
          <w:tab w:val="clear" w:pos="1701"/>
        </w:tabs>
        <w:rPr>
          <w:rFonts w:asciiTheme="majorBidi" w:hAnsiTheme="majorBidi" w:cstheme="majorBidi"/>
        </w:rPr>
      </w:pPr>
      <w:r w:rsidRPr="00FC4465">
        <w:rPr>
          <w:rFonts w:asciiTheme="majorBidi" w:hAnsiTheme="majorBidi" w:cstheme="majorBidi"/>
        </w:rPr>
        <w:tab/>
        <w:t xml:space="preserve"> </w:t>
      </w:r>
      <w:r w:rsidR="008C5013" w:rsidRPr="00FC4465">
        <w:rPr>
          <w:rFonts w:asciiTheme="majorBidi" w:hAnsiTheme="majorBidi" w:cstheme="majorBidi"/>
        </w:rPr>
        <w:t>“</w:t>
      </w:r>
      <w:r w:rsidRPr="00FC4465">
        <w:rPr>
          <w:rFonts w:asciiTheme="majorBidi" w:hAnsiTheme="majorBidi" w:cstheme="majorBidi"/>
        </w:rPr>
        <w:t>A10.6.2.2</w:t>
      </w:r>
      <w:r w:rsidRPr="00FC4465">
        <w:rPr>
          <w:rFonts w:asciiTheme="majorBidi" w:hAnsiTheme="majorBidi" w:cstheme="majorBidi"/>
        </w:rPr>
        <w:tab/>
      </w:r>
      <w:r w:rsidRPr="00FC4465">
        <w:rPr>
          <w:rFonts w:asciiTheme="majorBidi" w:hAnsiTheme="majorBidi" w:cstheme="majorBidi"/>
          <w:i/>
          <w:iCs/>
        </w:rPr>
        <w:t>Ensayo a largo plazo</w:t>
      </w:r>
    </w:p>
    <w:p w14:paraId="01BEAA55" w14:textId="3AE8FBF1" w:rsidR="00BD0CAD" w:rsidRPr="00FC4465" w:rsidRDefault="00BD0CAD" w:rsidP="00BD0CAD">
      <w:pPr>
        <w:pStyle w:val="SingleTxtG"/>
        <w:tabs>
          <w:tab w:val="clear" w:pos="1701"/>
          <w:tab w:val="clear" w:pos="2835"/>
          <w:tab w:val="left" w:pos="3402"/>
        </w:tabs>
        <w:ind w:left="2268"/>
        <w:rPr>
          <w:rFonts w:asciiTheme="majorBidi" w:hAnsiTheme="majorBidi" w:cstheme="majorBidi"/>
        </w:rPr>
      </w:pPr>
      <w:r w:rsidRPr="00FC4465">
        <w:rPr>
          <w:rFonts w:asciiTheme="majorBidi" w:hAnsiTheme="majorBidi" w:cstheme="majorBidi"/>
        </w:rPr>
        <w:tab/>
        <w:t>Las concentraciones de metal disuelto, medidas con la carga de</w:t>
      </w:r>
      <w:r w:rsidR="00A70FE7">
        <w:rPr>
          <w:rFonts w:asciiTheme="majorBidi" w:hAnsiTheme="majorBidi" w:cstheme="majorBidi"/>
        </w:rPr>
        <w:t> </w:t>
      </w:r>
      <w:r w:rsidRPr="00FC4465">
        <w:rPr>
          <w:rFonts w:asciiTheme="majorBidi" w:hAnsiTheme="majorBidi" w:cstheme="majorBidi"/>
        </w:rPr>
        <w:t>1 mg/l durante el ensayo de 28 días, se representan gráficamente respecto del tiempo y se determinan las cinéticas de la transformación/disolución, de ser posible tal como se describe en A10.6.2.1.</w:t>
      </w:r>
      <w:r w:rsidR="008C5013" w:rsidRPr="00FC4465">
        <w:rPr>
          <w:rFonts w:asciiTheme="majorBidi" w:hAnsiTheme="majorBidi" w:cstheme="majorBidi"/>
        </w:rPr>
        <w:t>”</w:t>
      </w:r>
      <w:r w:rsidRPr="00FC4465">
        <w:rPr>
          <w:rFonts w:asciiTheme="majorBidi" w:hAnsiTheme="majorBidi" w:cstheme="majorBidi"/>
        </w:rPr>
        <w:t xml:space="preserve">. </w:t>
      </w:r>
    </w:p>
    <w:p w14:paraId="0A993847" w14:textId="77777777" w:rsidR="00BD0CAD" w:rsidRPr="00FC4465" w:rsidRDefault="00BD0CAD" w:rsidP="00802EA2">
      <w:pPr>
        <w:pStyle w:val="H1G"/>
      </w:pPr>
      <w:r w:rsidRPr="00FC4465">
        <w:tab/>
      </w:r>
      <w:r w:rsidRPr="00FC4465">
        <w:tab/>
        <w:t>Anexo 10, apéndice</w:t>
      </w:r>
    </w:p>
    <w:p w14:paraId="3310B484" w14:textId="77777777" w:rsidR="00BD0CAD" w:rsidRPr="00FC4465" w:rsidRDefault="00BD0CAD" w:rsidP="00BD0CAD">
      <w:pPr>
        <w:pStyle w:val="SingleTxtG"/>
        <w:keepNext/>
        <w:keepLines/>
        <w:tabs>
          <w:tab w:val="left" w:pos="1985"/>
        </w:tabs>
        <w:rPr>
          <w:rFonts w:asciiTheme="majorBidi" w:hAnsiTheme="majorBidi" w:cstheme="majorBidi"/>
        </w:rPr>
      </w:pPr>
      <w:r w:rsidRPr="00FC4465">
        <w:rPr>
          <w:rFonts w:asciiTheme="majorBidi" w:hAnsiTheme="majorBidi" w:cstheme="majorBidi"/>
        </w:rPr>
        <w:t>Añádanse las nuevas referencias siguientes:</w:t>
      </w:r>
    </w:p>
    <w:p w14:paraId="22EA09AE" w14:textId="73B87915" w:rsidR="00BD0CAD" w:rsidRPr="00FC4465" w:rsidRDefault="00BD0CAD" w:rsidP="00BD0CAD">
      <w:pPr>
        <w:pStyle w:val="SingleTxtG"/>
        <w:tabs>
          <w:tab w:val="left" w:pos="1985"/>
        </w:tabs>
        <w:rPr>
          <w:rFonts w:asciiTheme="majorBidi" w:hAnsiTheme="majorBidi" w:cstheme="majorBidi"/>
        </w:rPr>
      </w:pPr>
      <w:r w:rsidRPr="00FC4465">
        <w:rPr>
          <w:rFonts w:asciiTheme="majorBidi" w:hAnsiTheme="majorBidi" w:cstheme="majorBidi"/>
        </w:rPr>
        <w:t>12.</w:t>
      </w:r>
      <w:r w:rsidRPr="00FC4465">
        <w:rPr>
          <w:rFonts w:asciiTheme="majorBidi" w:hAnsiTheme="majorBidi" w:cstheme="majorBidi"/>
        </w:rPr>
        <w:tab/>
        <w:t xml:space="preserve">Skeaff, J. M., Hardy, D. J. y King, P. (2008), A new approach to the hazard classification of alloys based on transformation/dissolution. Integrated Environmental Assessment and Management, vol. 4, 75 a 93. </w:t>
      </w:r>
      <w:hyperlink r:id="rId59" w:history="1">
        <w:r w:rsidRPr="00FC4465">
          <w:rPr>
            <w:rStyle w:val="Hyperlink"/>
            <w:rFonts w:asciiTheme="majorBidi" w:hAnsiTheme="majorBidi" w:cstheme="majorBidi"/>
          </w:rPr>
          <w:t>https://doi.org/10.1897/IEAM_2007-050.1</w:t>
        </w:r>
      </w:hyperlink>
      <w:r w:rsidR="009958AB" w:rsidRPr="009958AB">
        <w:rPr>
          <w:rStyle w:val="Hyperlink"/>
          <w:rFonts w:asciiTheme="majorBidi" w:hAnsiTheme="majorBidi" w:cstheme="majorBidi"/>
          <w:color w:val="auto"/>
        </w:rPr>
        <w:t>.</w:t>
      </w:r>
    </w:p>
    <w:p w14:paraId="07822BB9" w14:textId="6D468B5E" w:rsidR="00BD0CAD" w:rsidRPr="00FC4465" w:rsidRDefault="00BD0CAD" w:rsidP="00BD0CAD">
      <w:pPr>
        <w:pStyle w:val="SingleTxtG"/>
        <w:tabs>
          <w:tab w:val="left" w:pos="1985"/>
        </w:tabs>
        <w:rPr>
          <w:rFonts w:asciiTheme="majorBidi" w:hAnsiTheme="majorBidi" w:cstheme="majorBidi"/>
        </w:rPr>
      </w:pPr>
      <w:r w:rsidRPr="00FC4465">
        <w:rPr>
          <w:rFonts w:asciiTheme="majorBidi" w:hAnsiTheme="majorBidi" w:cstheme="majorBidi"/>
        </w:rPr>
        <w:t>13.</w:t>
      </w:r>
      <w:r w:rsidRPr="00FC4465">
        <w:rPr>
          <w:rFonts w:asciiTheme="majorBidi" w:hAnsiTheme="majorBidi" w:cstheme="majorBidi"/>
        </w:rPr>
        <w:tab/>
        <w:t>Skeaff, J., Adams, W. J., Rodriguez, P., Brouwers, T. y Waeterschoot, H. (2011), Advances in metals classification under the United Nations globally harmonized system of classification and labelling. Integrated Environmental Assessment and Management, vol.</w:t>
      </w:r>
      <w:r w:rsidR="00A70FE7">
        <w:rPr>
          <w:rFonts w:asciiTheme="majorBidi" w:hAnsiTheme="majorBidi" w:cstheme="majorBidi"/>
        </w:rPr>
        <w:t> </w:t>
      </w:r>
      <w:r w:rsidRPr="00FC4465">
        <w:rPr>
          <w:rFonts w:asciiTheme="majorBidi" w:hAnsiTheme="majorBidi" w:cstheme="majorBidi"/>
        </w:rPr>
        <w:t>7,</w:t>
      </w:r>
      <w:r w:rsidR="00A70FE7">
        <w:rPr>
          <w:rFonts w:asciiTheme="majorBidi" w:hAnsiTheme="majorBidi" w:cstheme="majorBidi"/>
        </w:rPr>
        <w:t> </w:t>
      </w:r>
      <w:r w:rsidRPr="00FC4465">
        <w:rPr>
          <w:rFonts w:asciiTheme="majorBidi" w:hAnsiTheme="majorBidi" w:cstheme="majorBidi"/>
        </w:rPr>
        <w:t xml:space="preserve">559 a 576. </w:t>
      </w:r>
      <w:hyperlink r:id="rId60" w:history="1">
        <w:r w:rsidRPr="00FC4465">
          <w:rPr>
            <w:rStyle w:val="Hyperlink"/>
            <w:rFonts w:asciiTheme="majorBidi" w:hAnsiTheme="majorBidi" w:cstheme="majorBidi"/>
          </w:rPr>
          <w:t>https://doi.org/10.1002/ieam.194</w:t>
        </w:r>
      </w:hyperlink>
      <w:r w:rsidR="009958AB" w:rsidRPr="009958AB">
        <w:rPr>
          <w:rStyle w:val="Hyperlink"/>
          <w:rFonts w:asciiTheme="majorBidi" w:hAnsiTheme="majorBidi" w:cstheme="majorBidi"/>
          <w:color w:val="auto"/>
        </w:rPr>
        <w:t>.</w:t>
      </w:r>
    </w:p>
    <w:p w14:paraId="27D40953" w14:textId="0FED6ACE" w:rsidR="00BD0CAD" w:rsidRPr="00FC4465" w:rsidRDefault="00BD0CAD" w:rsidP="00BD0CAD">
      <w:pPr>
        <w:pStyle w:val="SingleTxtG"/>
        <w:tabs>
          <w:tab w:val="left" w:pos="1985"/>
        </w:tabs>
        <w:rPr>
          <w:rFonts w:asciiTheme="majorBidi" w:hAnsiTheme="majorBidi" w:cstheme="majorBidi"/>
        </w:rPr>
      </w:pPr>
      <w:r w:rsidRPr="00FC4465">
        <w:rPr>
          <w:rFonts w:asciiTheme="majorBidi" w:hAnsiTheme="majorBidi" w:cstheme="majorBidi"/>
        </w:rPr>
        <w:t>14.</w:t>
      </w:r>
      <w:r w:rsidRPr="00FC4465">
        <w:rPr>
          <w:rFonts w:asciiTheme="majorBidi" w:hAnsiTheme="majorBidi" w:cstheme="majorBidi"/>
        </w:rPr>
        <w:tab/>
        <w:t xml:space="preserve">Skeaff, J. M. y Beaudoin, R. (2015), Transformation/dissolution characteristics of a nickel matte and nickel concentrates for acute and chronic hazard classification. Integrated Environmental Assessment and Management, vol. 11, 130 a 142. </w:t>
      </w:r>
      <w:hyperlink r:id="rId61" w:history="1">
        <w:r w:rsidR="00187BA1" w:rsidRPr="008E2F83">
          <w:rPr>
            <w:rStyle w:val="Hyperlink"/>
            <w:rFonts w:asciiTheme="majorBidi" w:hAnsiTheme="majorBidi" w:cstheme="majorBidi"/>
          </w:rPr>
          <w:t>https://doi.org/10.1002/</w:t>
        </w:r>
        <w:r w:rsidR="00187BA1" w:rsidRPr="008E2F83">
          <w:rPr>
            <w:rStyle w:val="Hyperlink"/>
            <w:rFonts w:asciiTheme="majorBidi" w:hAnsiTheme="majorBidi" w:cstheme="majorBidi"/>
          </w:rPr>
          <w:br/>
          <w:t>ieam.1573</w:t>
        </w:r>
      </w:hyperlink>
      <w:r w:rsidR="009958AB" w:rsidRPr="009958AB">
        <w:rPr>
          <w:rStyle w:val="Hyperlink"/>
          <w:rFonts w:asciiTheme="majorBidi" w:hAnsiTheme="majorBidi" w:cstheme="majorBidi"/>
          <w:color w:val="auto"/>
        </w:rPr>
        <w:t>.</w:t>
      </w:r>
    </w:p>
    <w:p w14:paraId="0C767E53" w14:textId="1B589C6F" w:rsidR="00BD0CAD" w:rsidRPr="00FC4465" w:rsidRDefault="00BD0CAD" w:rsidP="00BD0CAD">
      <w:pPr>
        <w:pStyle w:val="SingleTxtG"/>
        <w:tabs>
          <w:tab w:val="left" w:pos="1985"/>
        </w:tabs>
        <w:rPr>
          <w:rFonts w:asciiTheme="majorBidi" w:hAnsiTheme="majorBidi" w:cstheme="majorBidi"/>
        </w:rPr>
      </w:pPr>
      <w:r w:rsidRPr="00FC4465">
        <w:rPr>
          <w:rFonts w:asciiTheme="majorBidi" w:hAnsiTheme="majorBidi" w:cstheme="majorBidi"/>
        </w:rPr>
        <w:t>15.</w:t>
      </w:r>
      <w:r w:rsidRPr="00FC4465">
        <w:rPr>
          <w:rFonts w:asciiTheme="majorBidi" w:hAnsiTheme="majorBidi" w:cstheme="majorBidi"/>
        </w:rPr>
        <w:tab/>
        <w:t xml:space="preserve">Huntsman-Mapila, P., Skeaff, J. M., Pawlak, M. y Beaudoin, R. (2016), Addressing aquatic hazard classification for metals, metal compounds and alloys in marine systems, Marine Pollution Bulletin, 109, 550 a 557. </w:t>
      </w:r>
      <w:hyperlink r:id="rId62" w:history="1">
        <w:r w:rsidRPr="00FC4465">
          <w:rPr>
            <w:rStyle w:val="Hyperlink"/>
            <w:rFonts w:asciiTheme="majorBidi" w:hAnsiTheme="majorBidi" w:cstheme="majorBidi"/>
          </w:rPr>
          <w:t>https://doi.org/10.1016/j.marpolbul.2016.03.055</w:t>
        </w:r>
      </w:hyperlink>
      <w:r w:rsidR="009958AB" w:rsidRPr="009958AB">
        <w:rPr>
          <w:rStyle w:val="Hyperlink"/>
          <w:rFonts w:asciiTheme="majorBidi" w:hAnsiTheme="majorBidi" w:cstheme="majorBidi"/>
          <w:color w:val="auto"/>
        </w:rPr>
        <w:t>.</w:t>
      </w:r>
    </w:p>
    <w:p w14:paraId="38D8E4B9" w14:textId="77777777" w:rsidR="00BD0CAD" w:rsidRPr="00FC4465" w:rsidRDefault="00BD0CAD" w:rsidP="00BD0CAD">
      <w:pPr>
        <w:pStyle w:val="SingleTxtG"/>
        <w:rPr>
          <w:rFonts w:asciiTheme="majorBidi" w:hAnsiTheme="majorBidi" w:cstheme="majorBidi"/>
        </w:rPr>
      </w:pPr>
      <w:r w:rsidRPr="00FC4465">
        <w:rPr>
          <w:rFonts w:asciiTheme="majorBidi" w:hAnsiTheme="majorBidi" w:cstheme="majorBidi"/>
        </w:rPr>
        <w:t>16.</w:t>
      </w:r>
      <w:r w:rsidRPr="00FC4465">
        <w:rPr>
          <w:rFonts w:asciiTheme="majorBidi" w:hAnsiTheme="majorBidi" w:cstheme="majorBidi"/>
        </w:rPr>
        <w:tab/>
        <w:t xml:space="preserve">Publicaciones de la OCDE sobre el medio, la salud y la seguridad; Serie sobre ensayos y evaluaciones núm. 29. Guidance document on Transformation Dissolution of Metals and Metal Compounds in Aqueous media, julio de 2001. </w:t>
      </w:r>
    </w:p>
    <w:p w14:paraId="05BC884A" w14:textId="2B7D1299" w:rsidR="00F4648F" w:rsidRPr="00FC4465" w:rsidRDefault="00BD0CAD" w:rsidP="00BD0CAD">
      <w:pPr>
        <w:pStyle w:val="SingleTxtG"/>
        <w:suppressAutoHyphens/>
        <w:spacing w:before="240" w:after="0"/>
        <w:jc w:val="center"/>
        <w:rPr>
          <w:rFonts w:asciiTheme="majorBidi" w:hAnsiTheme="majorBidi" w:cstheme="majorBidi"/>
          <w:u w:val="single"/>
        </w:rPr>
      </w:pPr>
      <w:r w:rsidRPr="00FC4465">
        <w:rPr>
          <w:rFonts w:asciiTheme="majorBidi" w:hAnsiTheme="majorBidi" w:cstheme="majorBidi"/>
          <w:u w:val="single"/>
        </w:rPr>
        <w:tab/>
      </w:r>
      <w:r w:rsidRPr="00FC4465">
        <w:rPr>
          <w:rFonts w:asciiTheme="majorBidi" w:hAnsiTheme="majorBidi" w:cstheme="majorBidi"/>
          <w:u w:val="single"/>
        </w:rPr>
        <w:tab/>
      </w:r>
      <w:r w:rsidRPr="00FC4465">
        <w:rPr>
          <w:rFonts w:asciiTheme="majorBidi" w:hAnsiTheme="majorBidi" w:cstheme="majorBidi"/>
          <w:u w:val="single"/>
        </w:rPr>
        <w:tab/>
      </w:r>
    </w:p>
    <w:sectPr w:rsidR="00F4648F" w:rsidRPr="00FC4465" w:rsidSect="00284D49">
      <w:headerReference w:type="even" r:id="rId63"/>
      <w:headerReference w:type="default" r:id="rId64"/>
      <w:footerReference w:type="even" r:id="rId65"/>
      <w:footerReference w:type="default" r:id="rId66"/>
      <w:endnotePr>
        <w:numFmt w:val="decimal"/>
      </w:endnotePr>
      <w:pgSz w:w="11906" w:h="16838" w:code="9"/>
      <w:pgMar w:top="1417" w:right="1134" w:bottom="1134" w:left="1134" w:header="850"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3C6D2E" w14:textId="77777777" w:rsidR="00850B11" w:rsidRPr="00EB11DA" w:rsidRDefault="00850B11" w:rsidP="00EB11DA">
      <w:pPr>
        <w:pStyle w:val="Footer"/>
      </w:pPr>
    </w:p>
  </w:endnote>
  <w:endnote w:type="continuationSeparator" w:id="0">
    <w:p w14:paraId="4EAE53E6" w14:textId="77777777" w:rsidR="00850B11" w:rsidRPr="00EB11DA" w:rsidRDefault="00850B11" w:rsidP="00EB11DA">
      <w:pPr>
        <w:pStyle w:val="Foote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TimesNewRomanPSMT">
    <w:altName w:val="Yu Gothic"/>
    <w:panose1 w:val="00000000000000000000"/>
    <w:charset w:val="00"/>
    <w:family w:val="roman"/>
    <w:notTrueType/>
    <w:pitch w:val="default"/>
    <w:sig w:usb0="00000003" w:usb1="08070000" w:usb2="00000010" w:usb3="00000000" w:csb0="00020001" w:csb1="00000000"/>
  </w:font>
  <w:font w:name="Cambria Math">
    <w:panose1 w:val="02040503050406030204"/>
    <w:charset w:val="00"/>
    <w:family w:val="roman"/>
    <w:pitch w:val="variable"/>
    <w:sig w:usb0="E00006FF" w:usb1="420024FF" w:usb2="02000000" w:usb3="00000000" w:csb0="0000019F" w:csb1="00000000"/>
  </w:font>
  <w:font w:name="MS PMincho">
    <w:charset w:val="80"/>
    <w:family w:val="roman"/>
    <w:pitch w:val="variable"/>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0A21D5" w14:textId="0A547B78" w:rsidR="00A72D17" w:rsidRPr="00A72D17" w:rsidRDefault="00A72D17" w:rsidP="00A72D17">
    <w:pPr>
      <w:pStyle w:val="Footer"/>
      <w:tabs>
        <w:tab w:val="right" w:pos="9638"/>
      </w:tabs>
    </w:pPr>
    <w:r w:rsidRPr="00A72D17">
      <w:rPr>
        <w:b/>
        <w:sz w:val="18"/>
      </w:rPr>
      <w:fldChar w:fldCharType="begin"/>
    </w:r>
    <w:r w:rsidRPr="00A72D17">
      <w:rPr>
        <w:b/>
        <w:sz w:val="18"/>
      </w:rPr>
      <w:instrText xml:space="preserve"> PAGE  \* MERGEFORMAT </w:instrText>
    </w:r>
    <w:r w:rsidRPr="00A72D17">
      <w:rPr>
        <w:b/>
        <w:sz w:val="18"/>
      </w:rPr>
      <w:fldChar w:fldCharType="separate"/>
    </w:r>
    <w:r w:rsidRPr="00A72D17">
      <w:rPr>
        <w:b/>
        <w:noProof/>
        <w:sz w:val="18"/>
      </w:rPr>
      <w:t>2</w:t>
    </w:r>
    <w:r w:rsidRPr="00A72D17">
      <w:rPr>
        <w:b/>
        <w:sz w:val="18"/>
      </w:rPr>
      <w:fldChar w:fldCharType="end"/>
    </w:r>
    <w:r>
      <w:rPr>
        <w:b/>
        <w:sz w:val="18"/>
      </w:rPr>
      <w:tab/>
    </w:r>
    <w:r>
      <w:t>GE.23-03421</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9C47BB" w14:textId="55551CA2" w:rsidR="00284D49" w:rsidRPr="00284D49" w:rsidRDefault="00284D49" w:rsidP="00284D49">
    <w:pPr>
      <w:pStyle w:val="Footer"/>
      <w:tabs>
        <w:tab w:val="right" w:pos="9638"/>
      </w:tabs>
      <w:rPr>
        <w:b/>
        <w:sz w:val="18"/>
      </w:rPr>
    </w:pPr>
    <w:r>
      <w:rPr>
        <w:b/>
        <w:sz w:val="18"/>
      </w:rPr>
      <w:fldChar w:fldCharType="begin"/>
    </w:r>
    <w:r>
      <w:rPr>
        <w:b/>
        <w:sz w:val="18"/>
      </w:rPr>
      <w:instrText xml:space="preserve"> PAGE  \* MERGEFORMAT </w:instrText>
    </w:r>
    <w:r>
      <w:rPr>
        <w:b/>
        <w:sz w:val="18"/>
      </w:rPr>
      <w:fldChar w:fldCharType="separate"/>
    </w:r>
    <w:r>
      <w:rPr>
        <w:b/>
        <w:noProof/>
        <w:sz w:val="18"/>
      </w:rPr>
      <w:t>68</w:t>
    </w:r>
    <w:r>
      <w:rPr>
        <w:b/>
        <w:sz w:val="18"/>
      </w:rPr>
      <w:fldChar w:fldCharType="end"/>
    </w:r>
    <w:r>
      <w:rPr>
        <w:b/>
        <w:sz w:val="18"/>
      </w:rPr>
      <w:tab/>
    </w:r>
    <w:r w:rsidRPr="00284D49">
      <w:t>GE.23-03421</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FC630C" w14:textId="48CE358C" w:rsidR="00284D49" w:rsidRPr="00284D49" w:rsidRDefault="00284D49" w:rsidP="00284D49">
    <w:pPr>
      <w:pStyle w:val="Footer"/>
      <w:tabs>
        <w:tab w:val="right" w:pos="9638"/>
      </w:tabs>
      <w:rPr>
        <w:b/>
        <w:sz w:val="18"/>
      </w:rPr>
    </w:pPr>
    <w:r>
      <w:t>GE.</w:t>
    </w:r>
    <w:r w:rsidRPr="00284D49">
      <w:t>23</w:t>
    </w:r>
    <w:r>
      <w:t>-</w:t>
    </w:r>
    <w:r w:rsidRPr="00284D49">
      <w:t>03421</w:t>
    </w:r>
    <w:r>
      <w:tab/>
    </w:r>
    <w:r>
      <w:rPr>
        <w:b/>
        <w:sz w:val="18"/>
      </w:rPr>
      <w:fldChar w:fldCharType="begin"/>
    </w:r>
    <w:r>
      <w:rPr>
        <w:b/>
        <w:sz w:val="18"/>
      </w:rPr>
      <w:instrText xml:space="preserve"> PAGE  \* MERGEFORMAT </w:instrText>
    </w:r>
    <w:r>
      <w:rPr>
        <w:b/>
        <w:sz w:val="18"/>
      </w:rPr>
      <w:fldChar w:fldCharType="separate"/>
    </w:r>
    <w:r>
      <w:rPr>
        <w:b/>
        <w:noProof/>
        <w:sz w:val="18"/>
      </w:rPr>
      <w:t>67</w:t>
    </w:r>
    <w:r>
      <w:rPr>
        <w:b/>
        <w:sz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54C639" w14:textId="7AE3F9E7" w:rsidR="00A72D17" w:rsidRPr="00A72D17" w:rsidRDefault="00A72D17" w:rsidP="00A72D17">
    <w:pPr>
      <w:pStyle w:val="Footer"/>
      <w:tabs>
        <w:tab w:val="right" w:pos="9638"/>
      </w:tabs>
      <w:rPr>
        <w:b/>
        <w:sz w:val="18"/>
      </w:rPr>
    </w:pPr>
    <w:r>
      <w:t>GE.23-03421</w:t>
    </w:r>
    <w:r>
      <w:tab/>
    </w:r>
    <w:r w:rsidRPr="00A72D17">
      <w:rPr>
        <w:b/>
        <w:sz w:val="18"/>
      </w:rPr>
      <w:fldChar w:fldCharType="begin"/>
    </w:r>
    <w:r w:rsidRPr="00A72D17">
      <w:rPr>
        <w:b/>
        <w:sz w:val="18"/>
      </w:rPr>
      <w:instrText xml:space="preserve"> PAGE  \* MERGEFORMAT </w:instrText>
    </w:r>
    <w:r w:rsidRPr="00A72D17">
      <w:rPr>
        <w:b/>
        <w:sz w:val="18"/>
      </w:rPr>
      <w:fldChar w:fldCharType="separate"/>
    </w:r>
    <w:r w:rsidRPr="00A72D17">
      <w:rPr>
        <w:b/>
        <w:noProof/>
        <w:sz w:val="18"/>
      </w:rPr>
      <w:t>3</w:t>
    </w:r>
    <w:r w:rsidRPr="00A72D17">
      <w:rPr>
        <w:b/>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C0121C" w14:textId="567B5A82" w:rsidR="00A50E4A" w:rsidRPr="00A72D17" w:rsidRDefault="00A72D17" w:rsidP="00A72D17">
    <w:pPr>
      <w:pStyle w:val="Footer"/>
      <w:spacing w:before="120" w:line="240" w:lineRule="auto"/>
      <w:rPr>
        <w:sz w:val="20"/>
      </w:rPr>
    </w:pPr>
    <w:r>
      <w:rPr>
        <w:sz w:val="20"/>
      </w:rPr>
      <w:t>GE.</w:t>
    </w:r>
    <w:r w:rsidR="00AE3F83">
      <w:rPr>
        <w:noProof/>
      </w:rPr>
      <w:drawing>
        <wp:anchor distT="0" distB="0" distL="114300" distR="114300" simplePos="0" relativeHeight="251657728" behindDoc="0" locked="1" layoutInCell="1" allowOverlap="1" wp14:anchorId="3AB70410" wp14:editId="7B8E655D">
          <wp:simplePos x="0" y="0"/>
          <wp:positionH relativeFrom="margin">
            <wp:posOffset>4319905</wp:posOffset>
          </wp:positionH>
          <wp:positionV relativeFrom="margin">
            <wp:posOffset>9144000</wp:posOffset>
          </wp:positionV>
          <wp:extent cx="1085850" cy="228600"/>
          <wp:effectExtent l="0" t="0" r="0" b="0"/>
          <wp:wrapNone/>
          <wp:docPr id="1" name="Imagen 1" descr="Se ruega recicla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ycle_Spanish"/>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5850" cy="228600"/>
                  </a:xfrm>
                  <a:prstGeom prst="rect">
                    <a:avLst/>
                  </a:prstGeom>
                  <a:noFill/>
                </pic:spPr>
              </pic:pic>
            </a:graphicData>
          </a:graphic>
          <wp14:sizeRelH relativeFrom="page">
            <wp14:pctWidth>0</wp14:pctWidth>
          </wp14:sizeRelH>
          <wp14:sizeRelV relativeFrom="page">
            <wp14:pctHeight>0</wp14:pctHeight>
          </wp14:sizeRelV>
        </wp:anchor>
      </w:drawing>
    </w:r>
    <w:r>
      <w:rPr>
        <w:sz w:val="20"/>
      </w:rPr>
      <w:t>23-03421  (S)</w:t>
    </w:r>
    <w:r>
      <w:rPr>
        <w:noProof/>
        <w:sz w:val="20"/>
      </w:rPr>
      <w:drawing>
        <wp:anchor distT="0" distB="0" distL="114300" distR="114300" simplePos="0" relativeHeight="251658752" behindDoc="0" locked="0" layoutInCell="1" allowOverlap="1" wp14:anchorId="6A171A09" wp14:editId="6CAD4D9A">
          <wp:simplePos x="0" y="0"/>
          <wp:positionH relativeFrom="margin">
            <wp:posOffset>5489575</wp:posOffset>
          </wp:positionH>
          <wp:positionV relativeFrom="margin">
            <wp:posOffset>8891905</wp:posOffset>
          </wp:positionV>
          <wp:extent cx="561975" cy="561975"/>
          <wp:effectExtent l="0" t="0" r="9525" b="9525"/>
          <wp:wrapNone/>
          <wp:docPr id="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1975" cy="561975"/>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0"/>
      </w:rPr>
      <w:t xml:space="preserve">    240523    260523</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31340" w14:textId="6E56B205" w:rsidR="00A35D48" w:rsidRPr="00A35D48" w:rsidRDefault="00A35D48" w:rsidP="00A35D48">
    <w:pPr>
      <w:pStyle w:val="Footer"/>
    </w:pPr>
    <w:r>
      <w:rPr>
        <w:noProof/>
      </w:rPr>
      <mc:AlternateContent>
        <mc:Choice Requires="wps">
          <w:drawing>
            <wp:anchor distT="0" distB="0" distL="114300" distR="114300" simplePos="0" relativeHeight="251662848" behindDoc="0" locked="0" layoutInCell="1" allowOverlap="1" wp14:anchorId="0EF863BA" wp14:editId="7871757C">
              <wp:simplePos x="0" y="0"/>
              <wp:positionH relativeFrom="margin">
                <wp:posOffset>-431800</wp:posOffset>
              </wp:positionH>
              <wp:positionV relativeFrom="margin">
                <wp:posOffset>0</wp:posOffset>
              </wp:positionV>
              <wp:extent cx="215900" cy="6120130"/>
              <wp:effectExtent l="0" t="0" r="0" b="0"/>
              <wp:wrapNone/>
              <wp:docPr id="7" name="Cuadro de texto 7"/>
              <wp:cNvGraphicFramePr/>
              <a:graphic xmlns:a="http://schemas.openxmlformats.org/drawingml/2006/main">
                <a:graphicData uri="http://schemas.microsoft.com/office/word/2010/wordprocessingShape">
                  <wps:wsp>
                    <wps:cNvSpPr txBox="1"/>
                    <wps:spPr>
                      <a:xfrm>
                        <a:off x="0" y="0"/>
                        <a:ext cx="215900" cy="6120130"/>
                      </a:xfrm>
                      <a:prstGeom prst="rect">
                        <a:avLst/>
                      </a:prstGeom>
                      <a:solidFill>
                        <a:schemeClr val="accent1">
                          <a:alpha val="0"/>
                        </a:schemeClr>
                      </a:solidFill>
                      <a:ln w="6350" cap="flat" cmpd="sng" algn="ctr">
                        <a:noFill/>
                        <a:prstDash val="solid"/>
                        <a:round/>
                        <a:headEnd type="none" w="med" len="med"/>
                        <a:tailEnd type="none" w="med" len="med"/>
                      </a:ln>
                      <a:extLst>
                        <a:ext uri="{91240B29-F687-4F45-9708-019B960494DF}">
                          <a14:hiddenLine xmlns:a14="http://schemas.microsoft.com/office/drawing/2010/main" w="6350" cap="flat" cmpd="sng" algn="ctr">
                            <a:solidFill>
                              <a:prstClr val="black"/>
                            </a:solidFill>
                            <a:prstDash val="solid"/>
                            <a:round/>
                            <a:headEnd type="none" w="med" len="med"/>
                            <a:tailEnd type="none" w="med" len="med"/>
                          </a14:hiddenLine>
                        </a:ext>
                      </a:extLst>
                    </wps:spPr>
                    <wps:txbx>
                      <w:txbxContent>
                        <w:p w14:paraId="05B25B96" w14:textId="77777777" w:rsidR="00A35D48" w:rsidRPr="00A72D17" w:rsidRDefault="00A35D48" w:rsidP="00A35D48">
                          <w:pPr>
                            <w:pStyle w:val="Footer"/>
                            <w:tabs>
                              <w:tab w:val="right" w:pos="9638"/>
                            </w:tabs>
                          </w:pPr>
                          <w:r w:rsidRPr="00A72D17">
                            <w:rPr>
                              <w:b/>
                              <w:sz w:val="18"/>
                            </w:rPr>
                            <w:fldChar w:fldCharType="begin"/>
                          </w:r>
                          <w:r w:rsidRPr="00A72D17">
                            <w:rPr>
                              <w:b/>
                              <w:sz w:val="18"/>
                            </w:rPr>
                            <w:instrText xml:space="preserve"> PAGE  \* MERGEFORMAT </w:instrText>
                          </w:r>
                          <w:r w:rsidRPr="00A72D17">
                            <w:rPr>
                              <w:b/>
                              <w:sz w:val="18"/>
                            </w:rPr>
                            <w:fldChar w:fldCharType="separate"/>
                          </w:r>
                          <w:r>
                            <w:rPr>
                              <w:b/>
                              <w:sz w:val="18"/>
                            </w:rPr>
                            <w:t>40</w:t>
                          </w:r>
                          <w:r w:rsidRPr="00A72D17">
                            <w:rPr>
                              <w:b/>
                              <w:sz w:val="18"/>
                            </w:rPr>
                            <w:fldChar w:fldCharType="end"/>
                          </w:r>
                          <w:r>
                            <w:rPr>
                              <w:b/>
                              <w:sz w:val="18"/>
                            </w:rPr>
                            <w:tab/>
                          </w:r>
                          <w:r>
                            <w:t>GE.23-03421</w:t>
                          </w:r>
                        </w:p>
                        <w:p w14:paraId="2B364E8F" w14:textId="77777777" w:rsidR="00A35D48" w:rsidRDefault="00A35D48"/>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w14:anchorId="0EF863BA" id="_x0000_t202" coordsize="21600,21600" o:spt="202" path="m,l,21600r21600,l21600,xe">
              <v:stroke joinstyle="miter"/>
              <v:path gradientshapeok="t" o:connecttype="rect"/>
            </v:shapetype>
            <v:shape id="Cuadro de texto 7" o:spid="_x0000_s1028" type="#_x0000_t202" style="position:absolute;margin-left:-34pt;margin-top:0;width:17pt;height:481.9pt;z-index:251662848;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" fillcolor="#4f81bd [3204]" stroked="f" strokeweight=".5pt">
              <v:fill opacity="0"/>
              <v:stroke joinstyle="round"/>
              <v:textbox style="layout-flow:vertical" inset="0,0,0,0">
                <w:txbxContent>
                  <w:p w14:paraId="05B25B96" w14:textId="77777777" w:rsidR="00A35D48" w:rsidRPr="00A72D17" w:rsidRDefault="00A35D48" w:rsidP="00A35D48">
                    <w:pPr>
                      <w:pStyle w:val="Piedepgina"/>
                      <w:tabs>
                        <w:tab w:val="right" w:pos="9638"/>
                      </w:tabs>
                    </w:pPr>
                    <w:r w:rsidRPr="00A72D17">
                      <w:rPr>
                        <w:b/>
                        <w:sz w:val="18"/>
                      </w:rPr>
                      <w:fldChar w:fldCharType="begin"/>
                    </w:r>
                    <w:r w:rsidRPr="00A72D17">
                      <w:rPr>
                        <w:b/>
                        <w:sz w:val="18"/>
                      </w:rPr>
                      <w:instrText xml:space="preserve"> PAGE  \* MERGEFORMAT </w:instrText>
                    </w:r>
                    <w:r w:rsidRPr="00A72D17">
                      <w:rPr>
                        <w:b/>
                        <w:sz w:val="18"/>
                      </w:rPr>
                      <w:fldChar w:fldCharType="separate"/>
                    </w:r>
                    <w:r>
                      <w:rPr>
                        <w:b/>
                        <w:sz w:val="18"/>
                      </w:rPr>
                      <w:t>40</w:t>
                    </w:r>
                    <w:r w:rsidRPr="00A72D17">
                      <w:rPr>
                        <w:b/>
                        <w:sz w:val="18"/>
                      </w:rPr>
                      <w:fldChar w:fldCharType="end"/>
                    </w:r>
                    <w:r>
                      <w:rPr>
                        <w:b/>
                        <w:sz w:val="18"/>
                      </w:rPr>
                      <w:tab/>
                    </w:r>
                    <w:r>
                      <w:t>GE.23-03421</w:t>
                    </w:r>
                  </w:p>
                  <w:p w14:paraId="2B364E8F" w14:textId="77777777" w:rsidR="00A35D48" w:rsidRDefault="00A35D48"/>
                </w:txbxContent>
              </v:textbox>
              <w10:wrap anchorx="margin" anchory="margin"/>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C6CB37" w14:textId="1946EE91" w:rsidR="00A35D48" w:rsidRPr="00A35D48" w:rsidRDefault="00A35D48" w:rsidP="00A35D48">
    <w:pPr>
      <w:pStyle w:val="Footer"/>
    </w:pPr>
    <w:r>
      <w:rPr>
        <w:noProof/>
      </w:rPr>
      <mc:AlternateContent>
        <mc:Choice Requires="wps">
          <w:drawing>
            <wp:anchor distT="0" distB="0" distL="114300" distR="114300" simplePos="0" relativeHeight="251660800" behindDoc="0" locked="0" layoutInCell="1" allowOverlap="1" wp14:anchorId="513AE9FF" wp14:editId="299A6E88">
              <wp:simplePos x="0" y="0"/>
              <wp:positionH relativeFrom="margin">
                <wp:posOffset>-431800</wp:posOffset>
              </wp:positionH>
              <wp:positionV relativeFrom="margin">
                <wp:posOffset>0</wp:posOffset>
              </wp:positionV>
              <wp:extent cx="215900" cy="6120130"/>
              <wp:effectExtent l="0" t="0" r="0" b="0"/>
              <wp:wrapNone/>
              <wp:docPr id="5" name="Cuadro de texto 5"/>
              <wp:cNvGraphicFramePr/>
              <a:graphic xmlns:a="http://schemas.openxmlformats.org/drawingml/2006/main">
                <a:graphicData uri="http://schemas.microsoft.com/office/word/2010/wordprocessingShape">
                  <wps:wsp>
                    <wps:cNvSpPr txBox="1"/>
                    <wps:spPr>
                      <a:xfrm>
                        <a:off x="0" y="0"/>
                        <a:ext cx="215900" cy="6120130"/>
                      </a:xfrm>
                      <a:prstGeom prst="rect">
                        <a:avLst/>
                      </a:prstGeom>
                      <a:solidFill>
                        <a:schemeClr val="accent1">
                          <a:alpha val="0"/>
                        </a:schemeClr>
                      </a:solidFill>
                      <a:ln w="6350" cap="flat" cmpd="sng" algn="ctr">
                        <a:noFill/>
                        <a:prstDash val="solid"/>
                        <a:round/>
                        <a:headEnd type="none" w="med" len="med"/>
                        <a:tailEnd type="none" w="med" len="med"/>
                      </a:ln>
                      <a:extLst>
                        <a:ext uri="{91240B29-F687-4F45-9708-019B960494DF}">
                          <a14:hiddenLine xmlns:a14="http://schemas.microsoft.com/office/drawing/2010/main" w="6350" cap="flat" cmpd="sng" algn="ctr">
                            <a:solidFill>
                              <a:prstClr val="black"/>
                            </a:solidFill>
                            <a:prstDash val="solid"/>
                            <a:round/>
                            <a:headEnd type="none" w="med" len="med"/>
                            <a:tailEnd type="none" w="med" len="med"/>
                          </a14:hiddenLine>
                        </a:ext>
                      </a:extLst>
                    </wps:spPr>
                    <wps:txbx>
                      <w:txbxContent>
                        <w:p w14:paraId="61739D9B" w14:textId="77777777" w:rsidR="00A35D48" w:rsidRPr="00A72D17" w:rsidRDefault="00A35D48" w:rsidP="00A35D48">
                          <w:pPr>
                            <w:pStyle w:val="Footer"/>
                            <w:tabs>
                              <w:tab w:val="right" w:pos="9638"/>
                            </w:tabs>
                            <w:rPr>
                              <w:b/>
                              <w:sz w:val="18"/>
                            </w:rPr>
                          </w:pPr>
                          <w:r>
                            <w:t>GE.23-03421</w:t>
                          </w:r>
                          <w:r>
                            <w:tab/>
                          </w:r>
                          <w:r w:rsidRPr="00A72D17">
                            <w:rPr>
                              <w:b/>
                              <w:sz w:val="18"/>
                            </w:rPr>
                            <w:fldChar w:fldCharType="begin"/>
                          </w:r>
                          <w:r w:rsidRPr="00A72D17">
                            <w:rPr>
                              <w:b/>
                              <w:sz w:val="18"/>
                            </w:rPr>
                            <w:instrText xml:space="preserve"> PAGE  \* MERGEFORMAT </w:instrText>
                          </w:r>
                          <w:r w:rsidRPr="00A72D17">
                            <w:rPr>
                              <w:b/>
                              <w:sz w:val="18"/>
                            </w:rPr>
                            <w:fldChar w:fldCharType="separate"/>
                          </w:r>
                          <w:r>
                            <w:rPr>
                              <w:b/>
                              <w:sz w:val="18"/>
                            </w:rPr>
                            <w:t>39</w:t>
                          </w:r>
                          <w:r w:rsidRPr="00A72D17">
                            <w:rPr>
                              <w:b/>
                              <w:sz w:val="18"/>
                            </w:rPr>
                            <w:fldChar w:fldCharType="end"/>
                          </w:r>
                        </w:p>
                        <w:p w14:paraId="4FF7982D" w14:textId="77777777" w:rsidR="00A35D48" w:rsidRDefault="00A35D48"/>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w14:anchorId="513AE9FF" id="_x0000_t202" coordsize="21600,21600" o:spt="202" path="m,l,21600r21600,l21600,xe">
              <v:stroke joinstyle="miter"/>
              <v:path gradientshapeok="t" o:connecttype="rect"/>
            </v:shapetype>
            <v:shape id="Cuadro de texto 5" o:spid="_x0000_s1029" type="#_x0000_t202" style="position:absolute;margin-left:-34pt;margin-top:0;width:17pt;height:481.9pt;z-index:251660800;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" fillcolor="#4f81bd [3204]" stroked="f" strokeweight=".5pt">
              <v:fill opacity="0"/>
              <v:stroke joinstyle="round"/>
              <v:textbox style="layout-flow:vertical" inset="0,0,0,0">
                <w:txbxContent>
                  <w:p w14:paraId="61739D9B" w14:textId="77777777" w:rsidR="00A35D48" w:rsidRPr="00A72D17" w:rsidRDefault="00A35D48" w:rsidP="00A35D48">
                    <w:pPr>
                      <w:pStyle w:val="Piedepgina"/>
                      <w:tabs>
                        <w:tab w:val="right" w:pos="9638"/>
                      </w:tabs>
                      <w:rPr>
                        <w:b/>
                        <w:sz w:val="18"/>
                      </w:rPr>
                    </w:pPr>
                    <w:r>
                      <w:t>GE.23-03421</w:t>
                    </w:r>
                    <w:r>
                      <w:tab/>
                    </w:r>
                    <w:r w:rsidRPr="00A72D17">
                      <w:rPr>
                        <w:b/>
                        <w:sz w:val="18"/>
                      </w:rPr>
                      <w:fldChar w:fldCharType="begin"/>
                    </w:r>
                    <w:r w:rsidRPr="00A72D17">
                      <w:rPr>
                        <w:b/>
                        <w:sz w:val="18"/>
                      </w:rPr>
                      <w:instrText xml:space="preserve"> PAGE  \* MERGEFORMAT </w:instrText>
                    </w:r>
                    <w:r w:rsidRPr="00A72D17">
                      <w:rPr>
                        <w:b/>
                        <w:sz w:val="18"/>
                      </w:rPr>
                      <w:fldChar w:fldCharType="separate"/>
                    </w:r>
                    <w:r>
                      <w:rPr>
                        <w:b/>
                        <w:sz w:val="18"/>
                      </w:rPr>
                      <w:t>39</w:t>
                    </w:r>
                    <w:r w:rsidRPr="00A72D17">
                      <w:rPr>
                        <w:b/>
                        <w:sz w:val="18"/>
                      </w:rPr>
                      <w:fldChar w:fldCharType="end"/>
                    </w:r>
                  </w:p>
                  <w:p w14:paraId="4FF7982D" w14:textId="77777777" w:rsidR="00A35D48" w:rsidRDefault="00A35D48"/>
                </w:txbxContent>
              </v:textbox>
              <w10:wrap anchorx="margin" anchory="margin"/>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FF3C2B" w14:textId="00FEB887" w:rsidR="008B6A70" w:rsidRPr="008B6A70" w:rsidRDefault="008B6A70" w:rsidP="008B6A70">
    <w:pPr>
      <w:pStyle w:val="Footer"/>
      <w:tabs>
        <w:tab w:val="right" w:pos="9638"/>
      </w:tabs>
      <w:rPr>
        <w:b/>
        <w:sz w:val="18"/>
      </w:rPr>
    </w:pPr>
    <w:r>
      <w:rPr>
        <w:b/>
        <w:sz w:val="18"/>
      </w:rPr>
      <w:fldChar w:fldCharType="begin"/>
    </w:r>
    <w:r>
      <w:rPr>
        <w:b/>
        <w:sz w:val="18"/>
      </w:rPr>
      <w:instrText xml:space="preserve"> PAGE  \* MERGEFORMAT </w:instrText>
    </w:r>
    <w:r>
      <w:rPr>
        <w:b/>
        <w:sz w:val="18"/>
      </w:rPr>
      <w:fldChar w:fldCharType="separate"/>
    </w:r>
    <w:r>
      <w:rPr>
        <w:b/>
        <w:noProof/>
        <w:sz w:val="18"/>
      </w:rPr>
      <w:t>42</w:t>
    </w:r>
    <w:r>
      <w:rPr>
        <w:b/>
        <w:sz w:val="18"/>
      </w:rPr>
      <w:fldChar w:fldCharType="end"/>
    </w:r>
    <w:r>
      <w:rPr>
        <w:b/>
        <w:sz w:val="18"/>
      </w:rPr>
      <w:tab/>
    </w:r>
    <w:r w:rsidRPr="008B6A70">
      <w:t>GE.23-03421</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B49EAE" w14:textId="1BDEB907" w:rsidR="008B6A70" w:rsidRPr="008B6A70" w:rsidRDefault="008B6A70" w:rsidP="008B6A70">
    <w:pPr>
      <w:pStyle w:val="Footer"/>
      <w:tabs>
        <w:tab w:val="right" w:pos="9638"/>
      </w:tabs>
      <w:rPr>
        <w:b/>
        <w:sz w:val="18"/>
      </w:rPr>
    </w:pPr>
    <w:r>
      <w:t>GE.</w:t>
    </w:r>
    <w:r w:rsidRPr="008B6A70">
      <w:t>23</w:t>
    </w:r>
    <w:r>
      <w:t>-</w:t>
    </w:r>
    <w:r w:rsidRPr="008B6A70">
      <w:t>03421</w:t>
    </w:r>
    <w:r>
      <w:tab/>
    </w:r>
    <w:r>
      <w:rPr>
        <w:b/>
        <w:sz w:val="18"/>
      </w:rPr>
      <w:fldChar w:fldCharType="begin"/>
    </w:r>
    <w:r>
      <w:rPr>
        <w:b/>
        <w:sz w:val="18"/>
      </w:rPr>
      <w:instrText xml:space="preserve"> PAGE  \* MERGEFORMAT </w:instrText>
    </w:r>
    <w:r>
      <w:rPr>
        <w:b/>
        <w:sz w:val="18"/>
      </w:rPr>
      <w:fldChar w:fldCharType="separate"/>
    </w:r>
    <w:r>
      <w:rPr>
        <w:b/>
        <w:noProof/>
        <w:sz w:val="18"/>
      </w:rPr>
      <w:t>41</w:t>
    </w:r>
    <w:r>
      <w:rPr>
        <w:b/>
        <w:sz w:val="18"/>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9D3174" w14:textId="6D9F47DE" w:rsidR="00F317F2" w:rsidRPr="00F317F2" w:rsidRDefault="00F317F2" w:rsidP="00F317F2">
    <w:pPr>
      <w:pStyle w:val="Footer"/>
    </w:pPr>
    <w:r>
      <w:rPr>
        <w:noProof/>
      </w:rPr>
      <mc:AlternateContent>
        <mc:Choice Requires="wps">
          <w:drawing>
            <wp:anchor distT="0" distB="0" distL="114300" distR="114300" simplePos="0" relativeHeight="251666944" behindDoc="0" locked="0" layoutInCell="1" allowOverlap="1" wp14:anchorId="1294F9FA" wp14:editId="021ABFB1">
              <wp:simplePos x="0" y="0"/>
              <wp:positionH relativeFrom="margin">
                <wp:posOffset>-431800</wp:posOffset>
              </wp:positionH>
              <wp:positionV relativeFrom="margin">
                <wp:posOffset>0</wp:posOffset>
              </wp:positionV>
              <wp:extent cx="215900" cy="6120130"/>
              <wp:effectExtent l="0" t="0" r="0" b="0"/>
              <wp:wrapNone/>
              <wp:docPr id="15" name="Cuadro de texto 15"/>
              <wp:cNvGraphicFramePr/>
              <a:graphic xmlns:a="http://schemas.openxmlformats.org/drawingml/2006/main">
                <a:graphicData uri="http://schemas.microsoft.com/office/word/2010/wordprocessingShape">
                  <wps:wsp>
                    <wps:cNvSpPr txBox="1"/>
                    <wps:spPr>
                      <a:xfrm>
                        <a:off x="0" y="0"/>
                        <a:ext cx="215900" cy="6120130"/>
                      </a:xfrm>
                      <a:prstGeom prst="rect">
                        <a:avLst/>
                      </a:prstGeom>
                      <a:solidFill>
                        <a:schemeClr val="accent1">
                          <a:alpha val="0"/>
                        </a:schemeClr>
                      </a:solidFill>
                      <a:ln w="6350" cap="flat" cmpd="sng" algn="ctr">
                        <a:noFill/>
                        <a:prstDash val="solid"/>
                        <a:round/>
                        <a:headEnd type="none" w="med" len="med"/>
                        <a:tailEnd type="none" w="med" len="med"/>
                      </a:ln>
                      <a:extLst>
                        <a:ext uri="{91240B29-F687-4F45-9708-019B960494DF}">
                          <a14:hiddenLine xmlns:a14="http://schemas.microsoft.com/office/drawing/2010/main" w="6350" cap="flat" cmpd="sng" algn="ctr">
                            <a:solidFill>
                              <a:prstClr val="black"/>
                            </a:solidFill>
                            <a:prstDash val="solid"/>
                            <a:round/>
                            <a:headEnd type="none" w="med" len="med"/>
                            <a:tailEnd type="none" w="med" len="med"/>
                          </a14:hiddenLine>
                        </a:ext>
                      </a:extLst>
                    </wps:spPr>
                    <wps:txbx>
                      <w:txbxContent>
                        <w:p w14:paraId="2183F1A3" w14:textId="77777777" w:rsidR="00F317F2" w:rsidRPr="008B6A70" w:rsidRDefault="00F317F2" w:rsidP="00F317F2">
                          <w:pPr>
                            <w:pStyle w:val="Footer"/>
                            <w:tabs>
                              <w:tab w:val="right" w:pos="9638"/>
                            </w:tabs>
                            <w:rPr>
                              <w:b/>
                              <w:sz w:val="18"/>
                            </w:rPr>
                          </w:pPr>
                          <w:r>
                            <w:rPr>
                              <w:b/>
                              <w:sz w:val="18"/>
                            </w:rPr>
                            <w:fldChar w:fldCharType="begin"/>
                          </w:r>
                          <w:r>
                            <w:rPr>
                              <w:b/>
                              <w:sz w:val="18"/>
                            </w:rPr>
                            <w:instrText xml:space="preserve"> PAGE  \* MERGEFORMAT </w:instrText>
                          </w:r>
                          <w:r>
                            <w:rPr>
                              <w:b/>
                              <w:sz w:val="18"/>
                            </w:rPr>
                            <w:fldChar w:fldCharType="separate"/>
                          </w:r>
                          <w:r>
                            <w:rPr>
                              <w:b/>
                              <w:sz w:val="18"/>
                            </w:rPr>
                            <w:t>64</w:t>
                          </w:r>
                          <w:r>
                            <w:rPr>
                              <w:b/>
                              <w:sz w:val="18"/>
                            </w:rPr>
                            <w:fldChar w:fldCharType="end"/>
                          </w:r>
                          <w:r>
                            <w:rPr>
                              <w:b/>
                              <w:sz w:val="18"/>
                            </w:rPr>
                            <w:tab/>
                          </w:r>
                          <w:r w:rsidRPr="008B6A70">
                            <w:t>GE.23-03421</w:t>
                          </w:r>
                        </w:p>
                        <w:p w14:paraId="1B61C9B1" w14:textId="77777777" w:rsidR="00F317F2" w:rsidRDefault="00F317F2"/>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w14:anchorId="1294F9FA" id="_x0000_t202" coordsize="21600,21600" o:spt="202" path="m,l,21600r21600,l21600,xe">
              <v:stroke joinstyle="miter"/>
              <v:path gradientshapeok="t" o:connecttype="rect"/>
            </v:shapetype>
            <v:shape id="Cuadro de texto 15" o:spid="_x0000_s1032" type="#_x0000_t202" style="position:absolute;margin-left:-34pt;margin-top:0;width:17pt;height:481.9pt;z-index:251666944;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" fillcolor="#4f81bd [3204]" stroked="f" strokeweight=".5pt">
              <v:fill opacity="0"/>
              <v:stroke joinstyle="round"/>
              <v:textbox style="layout-flow:vertical" inset="0,0,0,0">
                <w:txbxContent>
                  <w:p w14:paraId="2183F1A3" w14:textId="77777777" w:rsidR="00F317F2" w:rsidRPr="008B6A70" w:rsidRDefault="00F317F2" w:rsidP="00F317F2">
                    <w:pPr>
                      <w:pStyle w:val="Piedepgina"/>
                      <w:tabs>
                        <w:tab w:val="right" w:pos="9638"/>
                      </w:tabs>
                      <w:rPr>
                        <w:b/>
                        <w:sz w:val="18"/>
                      </w:rPr>
                    </w:pPr>
                    <w:r>
                      <w:rPr>
                        <w:b/>
                        <w:sz w:val="18"/>
                      </w:rPr>
                      <w:fldChar w:fldCharType="begin"/>
                    </w:r>
                    <w:r>
                      <w:rPr>
                        <w:b/>
                        <w:sz w:val="18"/>
                      </w:rPr>
                      <w:instrText xml:space="preserve"> PAGE  \* MERGEFORMAT </w:instrText>
                    </w:r>
                    <w:r>
                      <w:rPr>
                        <w:b/>
                        <w:sz w:val="18"/>
                      </w:rPr>
                      <w:fldChar w:fldCharType="separate"/>
                    </w:r>
                    <w:r>
                      <w:rPr>
                        <w:b/>
                        <w:sz w:val="18"/>
                      </w:rPr>
                      <w:t>64</w:t>
                    </w:r>
                    <w:r>
                      <w:rPr>
                        <w:b/>
                        <w:sz w:val="18"/>
                      </w:rPr>
                      <w:fldChar w:fldCharType="end"/>
                    </w:r>
                    <w:r>
                      <w:rPr>
                        <w:b/>
                        <w:sz w:val="18"/>
                      </w:rPr>
                      <w:tab/>
                    </w:r>
                    <w:r w:rsidRPr="008B6A70">
                      <w:t>GE.23-03421</w:t>
                    </w:r>
                  </w:p>
                  <w:p w14:paraId="1B61C9B1" w14:textId="77777777" w:rsidR="00F317F2" w:rsidRDefault="00F317F2"/>
                </w:txbxContent>
              </v:textbox>
              <w10:wrap anchorx="margin" anchory="margin"/>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B5BEFD" w14:textId="0C867D8E" w:rsidR="00F317F2" w:rsidRPr="00F317F2" w:rsidRDefault="00F317F2" w:rsidP="00F317F2">
    <w:pPr>
      <w:pStyle w:val="Footer"/>
    </w:pPr>
    <w:r>
      <w:rPr>
        <w:noProof/>
      </w:rPr>
      <mc:AlternateContent>
        <mc:Choice Requires="wps">
          <w:drawing>
            <wp:anchor distT="0" distB="0" distL="114300" distR="114300" simplePos="0" relativeHeight="251664896" behindDoc="0" locked="0" layoutInCell="1" allowOverlap="1" wp14:anchorId="1E8B6C02" wp14:editId="0C415F91">
              <wp:simplePos x="0" y="0"/>
              <wp:positionH relativeFrom="margin">
                <wp:posOffset>-431800</wp:posOffset>
              </wp:positionH>
              <wp:positionV relativeFrom="margin">
                <wp:posOffset>0</wp:posOffset>
              </wp:positionV>
              <wp:extent cx="215900" cy="6120130"/>
              <wp:effectExtent l="0" t="0" r="0" b="0"/>
              <wp:wrapNone/>
              <wp:docPr id="13" name="Cuadro de texto 13"/>
              <wp:cNvGraphicFramePr/>
              <a:graphic xmlns:a="http://schemas.openxmlformats.org/drawingml/2006/main">
                <a:graphicData uri="http://schemas.microsoft.com/office/word/2010/wordprocessingShape">
                  <wps:wsp>
                    <wps:cNvSpPr txBox="1"/>
                    <wps:spPr>
                      <a:xfrm>
                        <a:off x="0" y="0"/>
                        <a:ext cx="215900" cy="6120130"/>
                      </a:xfrm>
                      <a:prstGeom prst="rect">
                        <a:avLst/>
                      </a:prstGeom>
                      <a:solidFill>
                        <a:schemeClr val="accent1">
                          <a:alpha val="0"/>
                        </a:schemeClr>
                      </a:solidFill>
                      <a:ln w="6350" cap="flat" cmpd="sng" algn="ctr">
                        <a:noFill/>
                        <a:prstDash val="solid"/>
                        <a:round/>
                        <a:headEnd type="none" w="med" len="med"/>
                        <a:tailEnd type="none" w="med" len="med"/>
                      </a:ln>
                      <a:extLst>
                        <a:ext uri="{91240B29-F687-4F45-9708-019B960494DF}">
                          <a14:hiddenLine xmlns:a14="http://schemas.microsoft.com/office/drawing/2010/main" w="6350" cap="flat" cmpd="sng" algn="ctr">
                            <a:solidFill>
                              <a:prstClr val="black"/>
                            </a:solidFill>
                            <a:prstDash val="solid"/>
                            <a:round/>
                            <a:headEnd type="none" w="med" len="med"/>
                            <a:tailEnd type="none" w="med" len="med"/>
                          </a14:hiddenLine>
                        </a:ext>
                      </a:extLst>
                    </wps:spPr>
                    <wps:txbx>
                      <w:txbxContent>
                        <w:p w14:paraId="7A073653" w14:textId="77777777" w:rsidR="00F317F2" w:rsidRPr="008B6A70" w:rsidRDefault="00F317F2" w:rsidP="00F317F2">
                          <w:pPr>
                            <w:pStyle w:val="Footer"/>
                            <w:tabs>
                              <w:tab w:val="right" w:pos="9638"/>
                            </w:tabs>
                            <w:rPr>
                              <w:b/>
                              <w:sz w:val="18"/>
                            </w:rPr>
                          </w:pPr>
                          <w:r>
                            <w:t>GE.</w:t>
                          </w:r>
                          <w:r w:rsidRPr="008B6A70">
                            <w:t>23</w:t>
                          </w:r>
                          <w:r>
                            <w:t>-</w:t>
                          </w:r>
                          <w:r w:rsidRPr="008B6A70">
                            <w:t>03421</w:t>
                          </w:r>
                          <w:r>
                            <w:tab/>
                          </w:r>
                          <w:r>
                            <w:rPr>
                              <w:b/>
                              <w:sz w:val="18"/>
                            </w:rPr>
                            <w:fldChar w:fldCharType="begin"/>
                          </w:r>
                          <w:r>
                            <w:rPr>
                              <w:b/>
                              <w:sz w:val="18"/>
                            </w:rPr>
                            <w:instrText xml:space="preserve"> PAGE  \* MERGEFORMAT </w:instrText>
                          </w:r>
                          <w:r>
                            <w:rPr>
                              <w:b/>
                              <w:sz w:val="18"/>
                            </w:rPr>
                            <w:fldChar w:fldCharType="separate"/>
                          </w:r>
                          <w:r>
                            <w:rPr>
                              <w:b/>
                              <w:sz w:val="18"/>
                            </w:rPr>
                            <w:t>63</w:t>
                          </w:r>
                          <w:r>
                            <w:rPr>
                              <w:b/>
                              <w:sz w:val="18"/>
                            </w:rPr>
                            <w:fldChar w:fldCharType="end"/>
                          </w:r>
                        </w:p>
                        <w:p w14:paraId="6BDBE567" w14:textId="77777777" w:rsidR="00F317F2" w:rsidRDefault="00F317F2"/>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w14:anchorId="1E8B6C02" id="_x0000_t202" coordsize="21600,21600" o:spt="202" path="m,l,21600r21600,l21600,xe">
              <v:stroke joinstyle="miter"/>
              <v:path gradientshapeok="t" o:connecttype="rect"/>
            </v:shapetype>
            <v:shape id="Cuadro de texto 13" o:spid="_x0000_s1033" type="#_x0000_t202" style="position:absolute;margin-left:-34pt;margin-top:0;width:17pt;height:481.9pt;z-index:251664896;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" fillcolor="#4f81bd [3204]" stroked="f" strokeweight=".5pt">
              <v:fill opacity="0"/>
              <v:stroke joinstyle="round"/>
              <v:textbox style="layout-flow:vertical" inset="0,0,0,0">
                <w:txbxContent>
                  <w:p w14:paraId="7A073653" w14:textId="77777777" w:rsidR="00F317F2" w:rsidRPr="008B6A70" w:rsidRDefault="00F317F2" w:rsidP="00F317F2">
                    <w:pPr>
                      <w:pStyle w:val="Piedepgina"/>
                      <w:tabs>
                        <w:tab w:val="right" w:pos="9638"/>
                      </w:tabs>
                      <w:rPr>
                        <w:b/>
                        <w:sz w:val="18"/>
                      </w:rPr>
                    </w:pPr>
                    <w:r>
                      <w:t>GE.</w:t>
                    </w:r>
                    <w:r w:rsidRPr="008B6A70">
                      <w:t>23</w:t>
                    </w:r>
                    <w:r>
                      <w:t>-</w:t>
                    </w:r>
                    <w:r w:rsidRPr="008B6A70">
                      <w:t>03421</w:t>
                    </w:r>
                    <w:r>
                      <w:tab/>
                    </w:r>
                    <w:r>
                      <w:rPr>
                        <w:b/>
                        <w:sz w:val="18"/>
                      </w:rPr>
                      <w:fldChar w:fldCharType="begin"/>
                    </w:r>
                    <w:r>
                      <w:rPr>
                        <w:b/>
                        <w:sz w:val="18"/>
                      </w:rPr>
                      <w:instrText xml:space="preserve"> PAGE  \* MERGEFORMAT </w:instrText>
                    </w:r>
                    <w:r>
                      <w:rPr>
                        <w:b/>
                        <w:sz w:val="18"/>
                      </w:rPr>
                      <w:fldChar w:fldCharType="separate"/>
                    </w:r>
                    <w:r>
                      <w:rPr>
                        <w:b/>
                        <w:sz w:val="18"/>
                      </w:rPr>
                      <w:t>63</w:t>
                    </w:r>
                    <w:r>
                      <w:rPr>
                        <w:b/>
                        <w:sz w:val="18"/>
                      </w:rPr>
                      <w:fldChar w:fldCharType="end"/>
                    </w:r>
                  </w:p>
                  <w:p w14:paraId="6BDBE567" w14:textId="77777777" w:rsidR="00F317F2" w:rsidRDefault="00F317F2"/>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F59269" w14:textId="77777777" w:rsidR="00850B11" w:rsidRPr="001075E9" w:rsidRDefault="00850B11" w:rsidP="001075E9">
      <w:pPr>
        <w:tabs>
          <w:tab w:val="right" w:pos="2155"/>
        </w:tabs>
        <w:spacing w:after="80" w:line="240" w:lineRule="auto"/>
        <w:ind w:left="680"/>
        <w:rPr>
          <w:u w:val="single"/>
        </w:rPr>
      </w:pPr>
      <w:r>
        <w:rPr>
          <w:u w:val="single"/>
        </w:rPr>
        <w:tab/>
      </w:r>
    </w:p>
  </w:footnote>
  <w:footnote w:type="continuationSeparator" w:id="0">
    <w:p w14:paraId="6D13B45A" w14:textId="77777777" w:rsidR="00850B11" w:rsidRDefault="00850B11" w:rsidP="00EB11DA">
      <w:pPr>
        <w:tabs>
          <w:tab w:val="right" w:pos="2155"/>
        </w:tabs>
        <w:spacing w:after="80" w:line="240" w:lineRule="auto"/>
        <w:ind w:left="680"/>
        <w:rPr>
          <w:u w:val="single"/>
        </w:rPr>
      </w:pPr>
      <w:r>
        <w:rPr>
          <w:u w:val="single"/>
        </w:rPr>
        <w:tab/>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480FFD" w14:textId="1E1358A0" w:rsidR="00A72D17" w:rsidRPr="00A72D17" w:rsidRDefault="00006632">
    <w:pPr>
      <w:pStyle w:val="Header"/>
    </w:pPr>
    <w:r>
      <w:fldChar w:fldCharType="begin"/>
    </w:r>
    <w:r>
      <w:instrText xml:space="preserve"> TITLE  \* MERGEFORMAT </w:instrText>
    </w:r>
    <w:r>
      <w:fldChar w:fldCharType="separate"/>
    </w:r>
    <w:r w:rsidR="00284D49">
      <w:t>ST/SG/AC.10/50/Add.3</w:t>
    </w:r>
    <w:r>
      <w:fldChar w:fldCharType="end"/>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E23729" w14:textId="310A2B5E" w:rsidR="00F317F2" w:rsidRPr="00F317F2" w:rsidRDefault="00006632" w:rsidP="00284D49">
    <w:pPr>
      <w:pStyle w:val="Header"/>
      <w:jc w:val="right"/>
    </w:pPr>
    <w:r>
      <w:fldChar w:fldCharType="begin"/>
    </w:r>
    <w:r>
      <w:instrText xml:space="preserve"> TITLE  \* MERGEFORMAT </w:instrText>
    </w:r>
    <w:r>
      <w:fldChar w:fldCharType="separate"/>
    </w:r>
    <w:r w:rsidR="00284D49">
      <w:t>ST/SG/AC.10/50/Add.3</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622871" w14:textId="76D3F089" w:rsidR="00A72D17" w:rsidRPr="00A72D17" w:rsidRDefault="00006632" w:rsidP="00A72D17">
    <w:pPr>
      <w:pStyle w:val="Header"/>
      <w:jc w:val="right"/>
    </w:pPr>
    <w:r>
      <w:fldChar w:fldCharType="begin"/>
    </w:r>
    <w:r>
      <w:instrText xml:space="preserve"> TITLE  \* MERGEFORMAT </w:instrText>
    </w:r>
    <w:r>
      <w:fldChar w:fldCharType="separate"/>
    </w:r>
    <w:r w:rsidR="00284D49">
      <w:t>ST/SG/AC.10/50/Add.3</w:t>
    </w:r>
    <w: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2F5976" w14:textId="78B1DECD" w:rsidR="00A35D48" w:rsidRPr="00A35D48" w:rsidRDefault="00A35D48" w:rsidP="00A35D48">
    <w:r>
      <w:rPr>
        <w:noProof/>
      </w:rPr>
      <mc:AlternateContent>
        <mc:Choice Requires="wps">
          <w:drawing>
            <wp:anchor distT="0" distB="0" distL="114300" distR="114300" simplePos="0" relativeHeight="251661824" behindDoc="0" locked="0" layoutInCell="1" allowOverlap="1" wp14:anchorId="5ABD4BA4" wp14:editId="7CFE75A6">
              <wp:simplePos x="0" y="0"/>
              <wp:positionH relativeFrom="page">
                <wp:posOffset>9935845</wp:posOffset>
              </wp:positionH>
              <wp:positionV relativeFrom="margin">
                <wp:posOffset>0</wp:posOffset>
              </wp:positionV>
              <wp:extent cx="215900" cy="6120130"/>
              <wp:effectExtent l="0" t="0" r="0" b="0"/>
              <wp:wrapNone/>
              <wp:docPr id="6" name="Cuadro de texto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900" cy="6120130"/>
                      </a:xfrm>
                      <a:prstGeom prst="rect">
                        <a:avLst/>
                      </a:prstGeom>
                      <a:solidFill>
                        <a:schemeClr val="accent1">
                          <a:alpha val="0"/>
                        </a:schemeClr>
                      </a:solidFill>
                      <a:ln w="6350">
                        <a:noFill/>
                      </a:ln>
                      <a:extLst>
                        <a:ext uri="{91240B29-F687-4F45-9708-019B960494DF}">
                          <a14:hiddenLine xmlns:a14="http://schemas.microsoft.com/office/drawing/2010/main" w="6350">
                            <a:solidFill>
                              <a:prstClr val="black"/>
                            </a:solidFill>
                          </a14:hiddenLine>
                        </a:ext>
                      </a:extLst>
                    </wps:spPr>
                    <wps:txbx>
                      <w:txbxContent>
                        <w:p w14:paraId="4C03D27C" w14:textId="50EA4B1D" w:rsidR="00A35D48" w:rsidRPr="00A72D17" w:rsidRDefault="00006632" w:rsidP="00A35D48">
                          <w:pPr>
                            <w:pStyle w:val="Header"/>
                          </w:pPr>
                          <w:r>
                            <w:fldChar w:fldCharType="begin"/>
                          </w:r>
                          <w:r>
                            <w:instrText xml:space="preserve"> TITLE  \* MERGEFORMAT </w:instrText>
                          </w:r>
                          <w:r>
                            <w:fldChar w:fldCharType="separate"/>
                          </w:r>
                          <w:r w:rsidR="00284D49">
                            <w:t>ST/SG/AC.10/50/Add.3</w:t>
                          </w:r>
                          <w:r>
                            <w:fldChar w:fldCharType="end"/>
                          </w:r>
                        </w:p>
                        <w:p w14:paraId="5AFD135E" w14:textId="77777777" w:rsidR="00A35D48" w:rsidRDefault="00A35D48"/>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w14:anchorId="5ABD4BA4" id="_x0000_t202" coordsize="21600,21600" o:spt="202" path="m,l,21600r21600,l21600,xe">
              <v:stroke joinstyle="miter"/>
              <v:path gradientshapeok="t" o:connecttype="rect"/>
            </v:shapetype>
            <v:shape id="Cuadro de texto 6" o:spid="_x0000_s1026" type="#_x0000_t202" style="position:absolute;margin-left:782.35pt;margin-top:0;width:17pt;height:481.9pt;z-index:251661824;visibility:visible;mso-wrap-style:square;mso-wrap-distance-left:9pt;mso-wrap-distance-top:0;mso-wrap-distance-right:9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" fillcolor="#4f81bd [3204]" stroked="f" strokeweight=".5pt">
              <v:fill opacity="0"/>
              <v:path arrowok="t"/>
              <v:textbox style="layout-flow:vertical" inset="0,0,0,0">
                <w:txbxContent>
                  <w:p w14:paraId="4C03D27C" w14:textId="50EA4B1D" w:rsidR="00A35D48" w:rsidRPr="00A72D17" w:rsidRDefault="00A35D48" w:rsidP="00A35D48">
                    <w:pPr>
                      <w:pStyle w:val="Encabezado"/>
                    </w:pPr>
                    <w:fldSimple w:instr=" TITLE  \* MERGEFORMAT ">
                      <w:r w:rsidR="00284D49">
                        <w:t>ST/SG/AC.10/50/Add.3</w:t>
                      </w:r>
                    </w:fldSimple>
                  </w:p>
                  <w:p w14:paraId="5AFD135E" w14:textId="77777777" w:rsidR="00A35D48" w:rsidRDefault="00A35D48"/>
                </w:txbxContent>
              </v:textbox>
              <w10:wrap anchorx="page" anchory="margin"/>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EC6A97" w14:textId="514286A0" w:rsidR="00A35D48" w:rsidRPr="00A35D48" w:rsidRDefault="00A35D48" w:rsidP="00A35D48">
    <w:r>
      <w:rPr>
        <w:noProof/>
      </w:rPr>
      <mc:AlternateContent>
        <mc:Choice Requires="wps">
          <w:drawing>
            <wp:anchor distT="0" distB="0" distL="114300" distR="114300" simplePos="0" relativeHeight="251659776" behindDoc="0" locked="0" layoutInCell="1" allowOverlap="1" wp14:anchorId="00337D9F" wp14:editId="4847644C">
              <wp:simplePos x="0" y="0"/>
              <wp:positionH relativeFrom="page">
                <wp:posOffset>9935845</wp:posOffset>
              </wp:positionH>
              <wp:positionV relativeFrom="margin">
                <wp:posOffset>0</wp:posOffset>
              </wp:positionV>
              <wp:extent cx="215900" cy="6120130"/>
              <wp:effectExtent l="0" t="0" r="0" b="0"/>
              <wp:wrapNone/>
              <wp:docPr id="4" name="Cuadro de texto 4"/>
              <wp:cNvGraphicFramePr/>
              <a:graphic xmlns:a="http://schemas.openxmlformats.org/drawingml/2006/main">
                <a:graphicData uri="http://schemas.microsoft.com/office/word/2010/wordprocessingShape">
                  <wps:wsp>
                    <wps:cNvSpPr txBox="1"/>
                    <wps:spPr>
                      <a:xfrm>
                        <a:off x="0" y="0"/>
                        <a:ext cx="215900" cy="6120130"/>
                      </a:xfrm>
                      <a:prstGeom prst="rect">
                        <a:avLst/>
                      </a:prstGeom>
                      <a:solidFill>
                        <a:schemeClr val="accent1">
                          <a:alpha val="0"/>
                        </a:schemeClr>
                      </a:solidFill>
                      <a:ln w="6350" cap="flat" cmpd="sng" algn="ctr">
                        <a:noFill/>
                        <a:prstDash val="solid"/>
                        <a:round/>
                        <a:headEnd type="none" w="med" len="med"/>
                        <a:tailEnd type="none" w="med" len="med"/>
                      </a:ln>
                      <a:extLst>
                        <a:ext uri="{91240B29-F687-4F45-9708-019B960494DF}">
                          <a14:hiddenLine xmlns:a14="http://schemas.microsoft.com/office/drawing/2010/main" w="6350" cap="flat" cmpd="sng" algn="ctr">
                            <a:solidFill>
                              <a:prstClr val="black"/>
                            </a:solidFill>
                            <a:prstDash val="solid"/>
                            <a:round/>
                            <a:headEnd type="none" w="med" len="med"/>
                            <a:tailEnd type="none" w="med" len="med"/>
                          </a14:hiddenLine>
                        </a:ext>
                      </a:extLst>
                    </wps:spPr>
                    <wps:txbx>
                      <w:txbxContent>
                        <w:p w14:paraId="639D06AD" w14:textId="0859124E" w:rsidR="00A35D48" w:rsidRPr="00A72D17" w:rsidRDefault="00006632" w:rsidP="00A35D48">
                          <w:pPr>
                            <w:pStyle w:val="Header"/>
                            <w:jc w:val="right"/>
                          </w:pPr>
                          <w:r>
                            <w:fldChar w:fldCharType="begin"/>
                          </w:r>
                          <w:r>
                            <w:instrText xml:space="preserve"> TITLE  \* MERGEFORMAT </w:instrText>
                          </w:r>
                          <w:r>
                            <w:fldChar w:fldCharType="separate"/>
                          </w:r>
                          <w:r w:rsidR="00284D49">
                            <w:t>ST/SG/AC.10/50/Add.3</w:t>
                          </w:r>
                          <w:r>
                            <w:fldChar w:fldCharType="end"/>
                          </w:r>
                        </w:p>
                        <w:p w14:paraId="67C2E61E" w14:textId="77777777" w:rsidR="00A35D48" w:rsidRDefault="00A35D48"/>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w14:anchorId="00337D9F" id="_x0000_t202" coordsize="21600,21600" o:spt="202" path="m,l,21600r21600,l21600,xe">
              <v:stroke joinstyle="miter"/>
              <v:path gradientshapeok="t" o:connecttype="rect"/>
            </v:shapetype>
            <v:shape id="Cuadro de texto 4" o:spid="_x0000_s1027" type="#_x0000_t202" style="position:absolute;margin-left:782.35pt;margin-top:0;width:17pt;height:481.9pt;z-index:251659776;visibility:visible;mso-wrap-style:square;mso-wrap-distance-left:9pt;mso-wrap-distance-top:0;mso-wrap-distance-right:9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" fillcolor="#4f81bd [3204]" stroked="f" strokeweight=".5pt">
              <v:fill opacity="0"/>
              <v:stroke joinstyle="round"/>
              <v:textbox style="layout-flow:vertical" inset="0,0,0,0">
                <w:txbxContent>
                  <w:p w14:paraId="639D06AD" w14:textId="0859124E" w:rsidR="00A35D48" w:rsidRPr="00A72D17" w:rsidRDefault="00A35D48" w:rsidP="00A35D48">
                    <w:pPr>
                      <w:pStyle w:val="Encabezado"/>
                      <w:jc w:val="right"/>
                    </w:pPr>
                    <w:fldSimple w:instr=" TITLE  \* MERGEFORMAT ">
                      <w:r w:rsidR="00284D49">
                        <w:t>ST/SG/AC.10/50/Add.3</w:t>
                      </w:r>
                    </w:fldSimple>
                  </w:p>
                  <w:p w14:paraId="67C2E61E" w14:textId="77777777" w:rsidR="00A35D48" w:rsidRDefault="00A35D48"/>
                </w:txbxContent>
              </v:textbox>
              <w10:wrap anchorx="page" anchory="margin"/>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0FCE5C" w14:textId="44A88123" w:rsidR="008B6A70" w:rsidRPr="008B6A70" w:rsidRDefault="00006632" w:rsidP="008B6A70">
    <w:pPr>
      <w:pStyle w:val="Header"/>
    </w:pPr>
    <w:r>
      <w:fldChar w:fldCharType="begin"/>
    </w:r>
    <w:r>
      <w:instrText xml:space="preserve"> TITLE  \* MERGEFORMAT </w:instrText>
    </w:r>
    <w:r>
      <w:fldChar w:fldCharType="separate"/>
    </w:r>
    <w:r w:rsidR="00284D49">
      <w:t>ST/SG/AC.10/50/Add.3</w:t>
    </w:r>
    <w: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807504" w14:textId="30A3A52E" w:rsidR="008B6A70" w:rsidRPr="008B6A70" w:rsidRDefault="00006632" w:rsidP="008B6A70">
    <w:pPr>
      <w:pStyle w:val="Header"/>
      <w:jc w:val="right"/>
    </w:pPr>
    <w:r>
      <w:fldChar w:fldCharType="begin"/>
    </w:r>
    <w:r>
      <w:instrText xml:space="preserve"> TITLE  \* MERGEFORMAT </w:instrText>
    </w:r>
    <w:r>
      <w:fldChar w:fldCharType="separate"/>
    </w:r>
    <w:r w:rsidR="00284D49">
      <w:t>ST/SG/AC.10/50/Add.3</w:t>
    </w:r>
    <w: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1996F5" w14:textId="198EBCAC" w:rsidR="00F317F2" w:rsidRPr="00F317F2" w:rsidRDefault="00F317F2" w:rsidP="00F317F2">
    <w:r>
      <w:rPr>
        <w:noProof/>
      </w:rPr>
      <mc:AlternateContent>
        <mc:Choice Requires="wps">
          <w:drawing>
            <wp:anchor distT="0" distB="0" distL="114300" distR="114300" simplePos="0" relativeHeight="251665920" behindDoc="0" locked="0" layoutInCell="1" allowOverlap="1" wp14:anchorId="13E8E00A" wp14:editId="692517D9">
              <wp:simplePos x="0" y="0"/>
              <wp:positionH relativeFrom="page">
                <wp:posOffset>9935845</wp:posOffset>
              </wp:positionH>
              <wp:positionV relativeFrom="margin">
                <wp:posOffset>0</wp:posOffset>
              </wp:positionV>
              <wp:extent cx="215900" cy="6120130"/>
              <wp:effectExtent l="0" t="0" r="0" b="0"/>
              <wp:wrapNone/>
              <wp:docPr id="14" name="Cuadro de texto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900" cy="6120130"/>
                      </a:xfrm>
                      <a:prstGeom prst="rect">
                        <a:avLst/>
                      </a:prstGeom>
                      <a:solidFill>
                        <a:schemeClr val="accent1">
                          <a:alpha val="0"/>
                        </a:schemeClr>
                      </a:solidFill>
                      <a:ln w="6350">
                        <a:noFill/>
                      </a:ln>
                      <a:extLst>
                        <a:ext uri="{91240B29-F687-4F45-9708-019B960494DF}">
                          <a14:hiddenLine xmlns:a14="http://schemas.microsoft.com/office/drawing/2010/main" w="6350">
                            <a:solidFill>
                              <a:prstClr val="black"/>
                            </a:solidFill>
                          </a14:hiddenLine>
                        </a:ext>
                      </a:extLst>
                    </wps:spPr>
                    <wps:txbx>
                      <w:txbxContent>
                        <w:p w14:paraId="3B6E65D3" w14:textId="5F4A5898" w:rsidR="00F317F2" w:rsidRPr="008B6A70" w:rsidRDefault="00006632" w:rsidP="00F317F2">
                          <w:pPr>
                            <w:pStyle w:val="Header"/>
                          </w:pPr>
                          <w:r>
                            <w:fldChar w:fldCharType="begin"/>
                          </w:r>
                          <w:r>
                            <w:instrText xml:space="preserve"> TITLE  \* MERGEFORMAT </w:instrText>
                          </w:r>
                          <w:r>
                            <w:fldChar w:fldCharType="separate"/>
                          </w:r>
                          <w:r w:rsidR="00284D49">
                            <w:t>ST/SG/AC.10/50/Add.3</w:t>
                          </w:r>
                          <w:r>
                            <w:fldChar w:fldCharType="end"/>
                          </w:r>
                        </w:p>
                        <w:p w14:paraId="41E04FF8" w14:textId="77777777" w:rsidR="00F317F2" w:rsidRDefault="00F317F2"/>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w14:anchorId="13E8E00A" id="_x0000_t202" coordsize="21600,21600" o:spt="202" path="m,l,21600r21600,l21600,xe">
              <v:stroke joinstyle="miter"/>
              <v:path gradientshapeok="t" o:connecttype="rect"/>
            </v:shapetype>
            <v:shape id="Cuadro de texto 14" o:spid="_x0000_s1030" type="#_x0000_t202" style="position:absolute;margin-left:782.35pt;margin-top:0;width:17pt;height:481.9pt;z-index:251665920;visibility:visible;mso-wrap-style:square;mso-wrap-distance-left:9pt;mso-wrap-distance-top:0;mso-wrap-distance-right:9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" fillcolor="#4f81bd [3204]" stroked="f" strokeweight=".5pt">
              <v:fill opacity="0"/>
              <v:path arrowok="t"/>
              <v:textbox style="layout-flow:vertical" inset="0,0,0,0">
                <w:txbxContent>
                  <w:p w14:paraId="3B6E65D3" w14:textId="5F4A5898" w:rsidR="00F317F2" w:rsidRPr="008B6A70" w:rsidRDefault="00F317F2" w:rsidP="00F317F2">
                    <w:pPr>
                      <w:pStyle w:val="Encabezado"/>
                    </w:pPr>
                    <w:fldSimple w:instr=" TITLE  \* MERGEFORMAT ">
                      <w:r w:rsidR="00284D49">
                        <w:t>ST/SG/AC.10/50/Add.3</w:t>
                      </w:r>
                    </w:fldSimple>
                  </w:p>
                  <w:p w14:paraId="41E04FF8" w14:textId="77777777" w:rsidR="00F317F2" w:rsidRDefault="00F317F2"/>
                </w:txbxContent>
              </v:textbox>
              <w10:wrap anchorx="page" anchory="margin"/>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2CE4AD" w14:textId="7D707A36" w:rsidR="00F317F2" w:rsidRPr="00F317F2" w:rsidRDefault="00F317F2" w:rsidP="00F317F2">
    <w:r>
      <w:rPr>
        <w:noProof/>
      </w:rPr>
      <mc:AlternateContent>
        <mc:Choice Requires="wps">
          <w:drawing>
            <wp:anchor distT="0" distB="0" distL="114300" distR="114300" simplePos="0" relativeHeight="251663872" behindDoc="0" locked="0" layoutInCell="1" allowOverlap="1" wp14:anchorId="5F0D5969" wp14:editId="4C16B3F2">
              <wp:simplePos x="0" y="0"/>
              <wp:positionH relativeFrom="page">
                <wp:posOffset>9935845</wp:posOffset>
              </wp:positionH>
              <wp:positionV relativeFrom="margin">
                <wp:posOffset>0</wp:posOffset>
              </wp:positionV>
              <wp:extent cx="215900" cy="6120130"/>
              <wp:effectExtent l="0" t="0" r="0" b="0"/>
              <wp:wrapNone/>
              <wp:docPr id="12" name="Cuadro de texto 12"/>
              <wp:cNvGraphicFramePr/>
              <a:graphic xmlns:a="http://schemas.openxmlformats.org/drawingml/2006/main">
                <a:graphicData uri="http://schemas.microsoft.com/office/word/2010/wordprocessingShape">
                  <wps:wsp>
                    <wps:cNvSpPr txBox="1"/>
                    <wps:spPr>
                      <a:xfrm>
                        <a:off x="0" y="0"/>
                        <a:ext cx="215900" cy="6120130"/>
                      </a:xfrm>
                      <a:prstGeom prst="rect">
                        <a:avLst/>
                      </a:prstGeom>
                      <a:solidFill>
                        <a:schemeClr val="accent1">
                          <a:alpha val="0"/>
                        </a:schemeClr>
                      </a:solidFill>
                      <a:ln w="6350" cap="flat" cmpd="sng" algn="ctr">
                        <a:noFill/>
                        <a:prstDash val="solid"/>
                        <a:round/>
                        <a:headEnd type="none" w="med" len="med"/>
                        <a:tailEnd type="none" w="med" len="med"/>
                      </a:ln>
                      <a:extLst>
                        <a:ext uri="{91240B29-F687-4F45-9708-019B960494DF}">
                          <a14:hiddenLine xmlns:a14="http://schemas.microsoft.com/office/drawing/2010/main" w="6350" cap="flat" cmpd="sng" algn="ctr">
                            <a:solidFill>
                              <a:prstClr val="black"/>
                            </a:solidFill>
                            <a:prstDash val="solid"/>
                            <a:round/>
                            <a:headEnd type="none" w="med" len="med"/>
                            <a:tailEnd type="none" w="med" len="med"/>
                          </a14:hiddenLine>
                        </a:ext>
                      </a:extLst>
                    </wps:spPr>
                    <wps:txbx>
                      <w:txbxContent>
                        <w:p w14:paraId="61769BED" w14:textId="72AA5219" w:rsidR="00F317F2" w:rsidRPr="008B6A70" w:rsidRDefault="00006632" w:rsidP="00F317F2">
                          <w:pPr>
                            <w:pStyle w:val="Header"/>
                            <w:jc w:val="right"/>
                          </w:pPr>
                          <w:r>
                            <w:fldChar w:fldCharType="begin"/>
                          </w:r>
                          <w:r>
                            <w:instrText xml:space="preserve"> TITLE  \* MERGEFORMAT </w:instrText>
                          </w:r>
                          <w:r>
                            <w:fldChar w:fldCharType="separate"/>
                          </w:r>
                          <w:r w:rsidR="00284D49">
                            <w:t>ST/SG/AC.10/50/Add.3</w:t>
                          </w:r>
                          <w:r>
                            <w:fldChar w:fldCharType="end"/>
                          </w:r>
                        </w:p>
                        <w:p w14:paraId="15EE16B4" w14:textId="77777777" w:rsidR="00F317F2" w:rsidRDefault="00F317F2"/>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w14:anchorId="5F0D5969" id="_x0000_t202" coordsize="21600,21600" o:spt="202" path="m,l,21600r21600,l21600,xe">
              <v:stroke joinstyle="miter"/>
              <v:path gradientshapeok="t" o:connecttype="rect"/>
            </v:shapetype>
            <v:shape id="Cuadro de texto 12" o:spid="_x0000_s1031" type="#_x0000_t202" style="position:absolute;margin-left:782.35pt;margin-top:0;width:17pt;height:481.9pt;z-index:251663872;visibility:visible;mso-wrap-style:square;mso-wrap-distance-left:9pt;mso-wrap-distance-top:0;mso-wrap-distance-right:9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" fillcolor="#4f81bd [3204]" stroked="f" strokeweight=".5pt">
              <v:fill opacity="0"/>
              <v:stroke joinstyle="round"/>
              <v:textbox style="layout-flow:vertical" inset="0,0,0,0">
                <w:txbxContent>
                  <w:p w14:paraId="61769BED" w14:textId="72AA5219" w:rsidR="00F317F2" w:rsidRPr="008B6A70" w:rsidRDefault="00F317F2" w:rsidP="00F317F2">
                    <w:pPr>
                      <w:pStyle w:val="Encabezado"/>
                      <w:jc w:val="right"/>
                    </w:pPr>
                    <w:fldSimple w:instr=" TITLE  \* MERGEFORMAT ">
                      <w:r w:rsidR="00284D49">
                        <w:t>ST/SG/AC.10/50/Add.3</w:t>
                      </w:r>
                    </w:fldSimple>
                  </w:p>
                  <w:p w14:paraId="15EE16B4" w14:textId="77777777" w:rsidR="00F317F2" w:rsidRDefault="00F317F2"/>
                </w:txbxContent>
              </v:textbox>
              <w10:wrap anchorx="page" anchory="margin"/>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6D1094" w14:textId="78D0086C" w:rsidR="00F317F2" w:rsidRPr="00F317F2" w:rsidRDefault="00006632" w:rsidP="00284D49">
    <w:pPr>
      <w:pStyle w:val="Header"/>
    </w:pPr>
    <w:r>
      <w:fldChar w:fldCharType="begin"/>
    </w:r>
    <w:r>
      <w:instrText xml:space="preserve"> TITLE  \* MERGEFORMAT </w:instrText>
    </w:r>
    <w:r>
      <w:fldChar w:fldCharType="separate"/>
    </w:r>
    <w:r w:rsidR="00284D49">
      <w:t>ST/SG/AC.10/50/Add.3</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6A1C4004"/>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8B84A9F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F766AF7A"/>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E9364602"/>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64E641A4"/>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E4A488A"/>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44C40A6"/>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D246380"/>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E8751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5670838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0C49F8"/>
    <w:multiLevelType w:val="hybridMultilevel"/>
    <w:tmpl w:val="FFD08D26"/>
    <w:lvl w:ilvl="0" w:tplc="2FB47626">
      <w:start w:val="1"/>
      <w:numFmt w:val="decimal"/>
      <w:lvlText w:val="%1."/>
      <w:lvlJc w:val="left"/>
      <w:pPr>
        <w:tabs>
          <w:tab w:val="num" w:pos="0"/>
        </w:tabs>
        <w:ind w:left="1134" w:firstLine="0"/>
      </w:pPr>
      <w:rPr>
        <w:rFonts w:ascii="Times New Roman" w:hAnsi="Times New Roman"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03F2036B"/>
    <w:multiLevelType w:val="hybridMultilevel"/>
    <w:tmpl w:val="B22E0BFA"/>
    <w:lvl w:ilvl="0" w:tplc="9008FA9E">
      <w:start w:val="1"/>
      <w:numFmt w:val="bullet"/>
      <w:lvlText w:val="•"/>
      <w:lvlJc w:val="left"/>
      <w:pPr>
        <w:tabs>
          <w:tab w:val="num" w:pos="1701"/>
        </w:tabs>
        <w:ind w:left="1701" w:hanging="170"/>
      </w:pPr>
      <w:rPr>
        <w:rFonts w:ascii="Times New Roman" w:hAnsi="Times New Roman" w:cs="Times New Roman"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D954887"/>
    <w:multiLevelType w:val="hybridMultilevel"/>
    <w:tmpl w:val="5A48E46A"/>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3" w15:restartNumberingAfterBreak="0">
    <w:nsid w:val="15DD6575"/>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15:restartNumberingAfterBreak="0">
    <w:nsid w:val="1E253887"/>
    <w:multiLevelType w:val="hybridMultilevel"/>
    <w:tmpl w:val="497EC7CC"/>
    <w:lvl w:ilvl="0" w:tplc="FAE4B376">
      <w:start w:val="1"/>
      <w:numFmt w:val="bullet"/>
      <w:lvlText w:val="•"/>
      <w:lvlJc w:val="left"/>
      <w:pPr>
        <w:tabs>
          <w:tab w:val="num" w:pos="2268"/>
        </w:tabs>
        <w:ind w:left="2268" w:hanging="170"/>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2880419"/>
    <w:multiLevelType w:val="hybridMultilevel"/>
    <w:tmpl w:val="6A801118"/>
    <w:lvl w:ilvl="0" w:tplc="2578E18C">
      <w:start w:val="1"/>
      <w:numFmt w:val="lowerLetter"/>
      <w:lvlText w:val="(%1)"/>
      <w:lvlJc w:val="left"/>
      <w:pPr>
        <w:ind w:left="1665" w:hanging="555"/>
      </w:pPr>
      <w:rPr>
        <w:rFonts w:hint="default"/>
      </w:rPr>
    </w:lvl>
    <w:lvl w:ilvl="1" w:tplc="08090019" w:tentative="1">
      <w:start w:val="1"/>
      <w:numFmt w:val="lowerLetter"/>
      <w:lvlText w:val="%2."/>
      <w:lvlJc w:val="left"/>
      <w:pPr>
        <w:ind w:left="2190" w:hanging="360"/>
      </w:pPr>
    </w:lvl>
    <w:lvl w:ilvl="2" w:tplc="0809001B" w:tentative="1">
      <w:start w:val="1"/>
      <w:numFmt w:val="lowerRoman"/>
      <w:lvlText w:val="%3."/>
      <w:lvlJc w:val="right"/>
      <w:pPr>
        <w:ind w:left="2910" w:hanging="180"/>
      </w:pPr>
    </w:lvl>
    <w:lvl w:ilvl="3" w:tplc="0809000F" w:tentative="1">
      <w:start w:val="1"/>
      <w:numFmt w:val="decimal"/>
      <w:lvlText w:val="%4."/>
      <w:lvlJc w:val="left"/>
      <w:pPr>
        <w:ind w:left="3630" w:hanging="360"/>
      </w:pPr>
    </w:lvl>
    <w:lvl w:ilvl="4" w:tplc="08090019" w:tentative="1">
      <w:start w:val="1"/>
      <w:numFmt w:val="lowerLetter"/>
      <w:lvlText w:val="%5."/>
      <w:lvlJc w:val="left"/>
      <w:pPr>
        <w:ind w:left="4350" w:hanging="360"/>
      </w:pPr>
    </w:lvl>
    <w:lvl w:ilvl="5" w:tplc="0809001B" w:tentative="1">
      <w:start w:val="1"/>
      <w:numFmt w:val="lowerRoman"/>
      <w:lvlText w:val="%6."/>
      <w:lvlJc w:val="right"/>
      <w:pPr>
        <w:ind w:left="5070" w:hanging="180"/>
      </w:pPr>
    </w:lvl>
    <w:lvl w:ilvl="6" w:tplc="0809000F" w:tentative="1">
      <w:start w:val="1"/>
      <w:numFmt w:val="decimal"/>
      <w:lvlText w:val="%7."/>
      <w:lvlJc w:val="left"/>
      <w:pPr>
        <w:ind w:left="5790" w:hanging="360"/>
      </w:pPr>
    </w:lvl>
    <w:lvl w:ilvl="7" w:tplc="08090019" w:tentative="1">
      <w:start w:val="1"/>
      <w:numFmt w:val="lowerLetter"/>
      <w:lvlText w:val="%8."/>
      <w:lvlJc w:val="left"/>
      <w:pPr>
        <w:ind w:left="6510" w:hanging="360"/>
      </w:pPr>
    </w:lvl>
    <w:lvl w:ilvl="8" w:tplc="0809001B" w:tentative="1">
      <w:start w:val="1"/>
      <w:numFmt w:val="lowerRoman"/>
      <w:lvlText w:val="%9."/>
      <w:lvlJc w:val="right"/>
      <w:pPr>
        <w:ind w:left="7230" w:hanging="180"/>
      </w:pPr>
    </w:lvl>
  </w:abstractNum>
  <w:abstractNum w:abstractNumId="16" w15:restartNumberingAfterBreak="0">
    <w:nsid w:val="277269EE"/>
    <w:multiLevelType w:val="hybridMultilevel"/>
    <w:tmpl w:val="D52A272E"/>
    <w:lvl w:ilvl="0" w:tplc="5BAC619A">
      <w:numFmt w:val="bullet"/>
      <w:lvlText w:val="-"/>
      <w:lvlJc w:val="left"/>
      <w:pPr>
        <w:ind w:left="1542" w:hanging="360"/>
      </w:pPr>
      <w:rPr>
        <w:rFonts w:ascii="Times New Roman" w:eastAsia="SimSun" w:hAnsi="Times New Roman" w:cs="Times New Roman" w:hint="default"/>
      </w:rPr>
    </w:lvl>
    <w:lvl w:ilvl="1" w:tplc="100C0003" w:tentative="1">
      <w:start w:val="1"/>
      <w:numFmt w:val="bullet"/>
      <w:lvlText w:val="o"/>
      <w:lvlJc w:val="left"/>
      <w:pPr>
        <w:ind w:left="2262" w:hanging="360"/>
      </w:pPr>
      <w:rPr>
        <w:rFonts w:ascii="Courier New" w:hAnsi="Courier New" w:cs="Courier New" w:hint="default"/>
      </w:rPr>
    </w:lvl>
    <w:lvl w:ilvl="2" w:tplc="100C0005" w:tentative="1">
      <w:start w:val="1"/>
      <w:numFmt w:val="bullet"/>
      <w:lvlText w:val=""/>
      <w:lvlJc w:val="left"/>
      <w:pPr>
        <w:ind w:left="2982" w:hanging="360"/>
      </w:pPr>
      <w:rPr>
        <w:rFonts w:ascii="Wingdings" w:hAnsi="Wingdings" w:hint="default"/>
      </w:rPr>
    </w:lvl>
    <w:lvl w:ilvl="3" w:tplc="100C0001" w:tentative="1">
      <w:start w:val="1"/>
      <w:numFmt w:val="bullet"/>
      <w:lvlText w:val=""/>
      <w:lvlJc w:val="left"/>
      <w:pPr>
        <w:ind w:left="3702" w:hanging="360"/>
      </w:pPr>
      <w:rPr>
        <w:rFonts w:ascii="Symbol" w:hAnsi="Symbol" w:hint="default"/>
      </w:rPr>
    </w:lvl>
    <w:lvl w:ilvl="4" w:tplc="100C0003" w:tentative="1">
      <w:start w:val="1"/>
      <w:numFmt w:val="bullet"/>
      <w:lvlText w:val="o"/>
      <w:lvlJc w:val="left"/>
      <w:pPr>
        <w:ind w:left="4422" w:hanging="360"/>
      </w:pPr>
      <w:rPr>
        <w:rFonts w:ascii="Courier New" w:hAnsi="Courier New" w:cs="Courier New" w:hint="default"/>
      </w:rPr>
    </w:lvl>
    <w:lvl w:ilvl="5" w:tplc="100C0005" w:tentative="1">
      <w:start w:val="1"/>
      <w:numFmt w:val="bullet"/>
      <w:lvlText w:val=""/>
      <w:lvlJc w:val="left"/>
      <w:pPr>
        <w:ind w:left="5142" w:hanging="360"/>
      </w:pPr>
      <w:rPr>
        <w:rFonts w:ascii="Wingdings" w:hAnsi="Wingdings" w:hint="default"/>
      </w:rPr>
    </w:lvl>
    <w:lvl w:ilvl="6" w:tplc="100C0001" w:tentative="1">
      <w:start w:val="1"/>
      <w:numFmt w:val="bullet"/>
      <w:lvlText w:val=""/>
      <w:lvlJc w:val="left"/>
      <w:pPr>
        <w:ind w:left="5862" w:hanging="360"/>
      </w:pPr>
      <w:rPr>
        <w:rFonts w:ascii="Symbol" w:hAnsi="Symbol" w:hint="default"/>
      </w:rPr>
    </w:lvl>
    <w:lvl w:ilvl="7" w:tplc="100C0003" w:tentative="1">
      <w:start w:val="1"/>
      <w:numFmt w:val="bullet"/>
      <w:lvlText w:val="o"/>
      <w:lvlJc w:val="left"/>
      <w:pPr>
        <w:ind w:left="6582" w:hanging="360"/>
      </w:pPr>
      <w:rPr>
        <w:rFonts w:ascii="Courier New" w:hAnsi="Courier New" w:cs="Courier New" w:hint="default"/>
      </w:rPr>
    </w:lvl>
    <w:lvl w:ilvl="8" w:tplc="100C0005" w:tentative="1">
      <w:start w:val="1"/>
      <w:numFmt w:val="bullet"/>
      <w:lvlText w:val=""/>
      <w:lvlJc w:val="left"/>
      <w:pPr>
        <w:ind w:left="7302" w:hanging="360"/>
      </w:pPr>
      <w:rPr>
        <w:rFonts w:ascii="Wingdings" w:hAnsi="Wingdings" w:hint="default"/>
      </w:rPr>
    </w:lvl>
  </w:abstractNum>
  <w:abstractNum w:abstractNumId="17" w15:restartNumberingAfterBreak="0">
    <w:nsid w:val="2FA32E34"/>
    <w:multiLevelType w:val="hybridMultilevel"/>
    <w:tmpl w:val="6F4E7244"/>
    <w:lvl w:ilvl="0" w:tplc="08090001">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18" w15:restartNumberingAfterBreak="0">
    <w:nsid w:val="31A12325"/>
    <w:multiLevelType w:val="hybridMultilevel"/>
    <w:tmpl w:val="FF0E5B48"/>
    <w:lvl w:ilvl="0" w:tplc="6D5E22D8">
      <w:start w:val="1"/>
      <w:numFmt w:val="bullet"/>
      <w:lvlText w:val="•"/>
      <w:lvlJc w:val="left"/>
      <w:pPr>
        <w:tabs>
          <w:tab w:val="num" w:pos="1701"/>
        </w:tabs>
        <w:ind w:left="1701" w:hanging="170"/>
      </w:pPr>
      <w:rPr>
        <w:rFonts w:ascii="Times New Roman" w:hAnsi="Times New Roman" w:cs="Times New Roman" w:hint="default"/>
        <w:b w:val="0"/>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6A7743B"/>
    <w:multiLevelType w:val="hybridMultilevel"/>
    <w:tmpl w:val="165289D8"/>
    <w:lvl w:ilvl="0" w:tplc="14C64E84">
      <w:start w:val="1"/>
      <w:numFmt w:val="bullet"/>
      <w:pStyle w:val="Bullet2G"/>
      <w:lvlText w:val="•"/>
      <w:lvlJc w:val="left"/>
      <w:pPr>
        <w:tabs>
          <w:tab w:val="num" w:pos="2268"/>
        </w:tabs>
        <w:ind w:left="2268" w:hanging="170"/>
      </w:pPr>
      <w:rPr>
        <w:rFonts w:ascii="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D1A52BD"/>
    <w:multiLevelType w:val="multilevel"/>
    <w:tmpl w:val="77FA4BF8"/>
    <w:lvl w:ilvl="0">
      <w:start w:val="1"/>
      <w:numFmt w:val="decimal"/>
      <w:lvlText w:val="%1."/>
      <w:lvlJc w:val="left"/>
      <w:pPr>
        <w:tabs>
          <w:tab w:val="num" w:pos="1134"/>
        </w:tabs>
        <w:ind w:left="1134" w:firstLine="0"/>
      </w:pPr>
      <w:rPr>
        <w:rFonts w:hint="default"/>
        <w:b w:val="0"/>
        <w:i w:val="0"/>
        <w:sz w:val="20"/>
      </w:rPr>
    </w:lvl>
    <w:lvl w:ilvl="1">
      <w:start w:val="1"/>
      <w:numFmt w:val="lowerLetter"/>
      <w:pStyle w:val="1ParNoG"/>
      <w:lvlText w:val="%2)"/>
      <w:lvlJc w:val="left"/>
      <w:pPr>
        <w:tabs>
          <w:tab w:val="num" w:pos="1701"/>
        </w:tabs>
        <w:ind w:left="1134" w:firstLine="567"/>
      </w:pPr>
      <w:rPr>
        <w:rFonts w:hint="default"/>
      </w:rPr>
    </w:lvl>
    <w:lvl w:ilvl="2">
      <w:start w:val="1"/>
      <w:numFmt w:val="lowerRoman"/>
      <w:pStyle w:val="1ParNoG0"/>
      <w:lvlText w:val="%3)"/>
      <w:lvlJc w:val="left"/>
      <w:pPr>
        <w:tabs>
          <w:tab w:val="num" w:pos="1701"/>
        </w:tabs>
        <w:ind w:left="1701" w:firstLine="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4D3525EA"/>
    <w:multiLevelType w:val="hybridMultilevel"/>
    <w:tmpl w:val="5A56071E"/>
    <w:lvl w:ilvl="0" w:tplc="08090001">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22" w15:restartNumberingAfterBreak="0">
    <w:nsid w:val="504A6840"/>
    <w:multiLevelType w:val="hybridMultilevel"/>
    <w:tmpl w:val="6FEC4A9C"/>
    <w:lvl w:ilvl="0" w:tplc="5BAC619A">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E412300"/>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5E6B006F"/>
    <w:multiLevelType w:val="multilevel"/>
    <w:tmpl w:val="0C0A0023"/>
    <w:styleLink w:val="ArticleSection"/>
    <w:lvl w:ilvl="0">
      <w:start w:val="1"/>
      <w:numFmt w:val="upperRoman"/>
      <w:lvlText w:val="Artículo %1."/>
      <w:lvlJc w:val="left"/>
      <w:pPr>
        <w:tabs>
          <w:tab w:val="num" w:pos="1440"/>
        </w:tabs>
        <w:ind w:left="0" w:firstLine="0"/>
      </w:pPr>
    </w:lvl>
    <w:lvl w:ilvl="1">
      <w:start w:val="1"/>
      <w:numFmt w:val="decimalZero"/>
      <w:isLgl/>
      <w:lvlText w:val="Secció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5" w15:restartNumberingAfterBreak="0">
    <w:nsid w:val="65925DC1"/>
    <w:multiLevelType w:val="hybridMultilevel"/>
    <w:tmpl w:val="FAA66F24"/>
    <w:lvl w:ilvl="0" w:tplc="8C4849AC">
      <w:start w:val="1"/>
      <w:numFmt w:val="bullet"/>
      <w:lvlText w:val="•"/>
      <w:lvlJc w:val="left"/>
      <w:pPr>
        <w:tabs>
          <w:tab w:val="num" w:pos="1701"/>
        </w:tabs>
        <w:ind w:left="1701"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8862366"/>
    <w:multiLevelType w:val="hybridMultilevel"/>
    <w:tmpl w:val="523E6D94"/>
    <w:lvl w:ilvl="0" w:tplc="E24C15DA">
      <w:start w:val="1"/>
      <w:numFmt w:val="bullet"/>
      <w:lvlText w:val="•"/>
      <w:lvlJc w:val="left"/>
      <w:pPr>
        <w:tabs>
          <w:tab w:val="num" w:pos="2268"/>
        </w:tabs>
        <w:ind w:left="2268" w:hanging="170"/>
      </w:pPr>
      <w:rPr>
        <w:rFonts w:ascii="Times New Roman" w:hAnsi="Times New Roman" w:cs="Times New Roman" w:hint="default"/>
        <w:b w:val="0"/>
        <w:i w:val="0"/>
        <w:sz w:val="20"/>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8AD07B2"/>
    <w:multiLevelType w:val="hybridMultilevel"/>
    <w:tmpl w:val="D7D47906"/>
    <w:lvl w:ilvl="0" w:tplc="3B64B33E">
      <w:start w:val="1"/>
      <w:numFmt w:val="bullet"/>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3141"/>
        </w:tabs>
        <w:ind w:left="3141" w:hanging="360"/>
      </w:pPr>
      <w:rPr>
        <w:rFonts w:ascii="Courier New" w:hAnsi="Courier New" w:hint="default"/>
      </w:rPr>
    </w:lvl>
    <w:lvl w:ilvl="2" w:tplc="040C0005" w:tentative="1">
      <w:start w:val="1"/>
      <w:numFmt w:val="bullet"/>
      <w:lvlText w:val=""/>
      <w:lvlJc w:val="left"/>
      <w:pPr>
        <w:tabs>
          <w:tab w:val="num" w:pos="3861"/>
        </w:tabs>
        <w:ind w:left="3861" w:hanging="360"/>
      </w:pPr>
      <w:rPr>
        <w:rFonts w:ascii="Wingdings" w:hAnsi="Wingdings" w:hint="default"/>
      </w:rPr>
    </w:lvl>
    <w:lvl w:ilvl="3" w:tplc="040C0001" w:tentative="1">
      <w:start w:val="1"/>
      <w:numFmt w:val="bullet"/>
      <w:lvlText w:val=""/>
      <w:lvlJc w:val="left"/>
      <w:pPr>
        <w:tabs>
          <w:tab w:val="num" w:pos="4581"/>
        </w:tabs>
        <w:ind w:left="4581" w:hanging="360"/>
      </w:pPr>
      <w:rPr>
        <w:rFonts w:ascii="Symbol" w:hAnsi="Symbol" w:hint="default"/>
      </w:rPr>
    </w:lvl>
    <w:lvl w:ilvl="4" w:tplc="040C0003" w:tentative="1">
      <w:start w:val="1"/>
      <w:numFmt w:val="bullet"/>
      <w:lvlText w:val="o"/>
      <w:lvlJc w:val="left"/>
      <w:pPr>
        <w:tabs>
          <w:tab w:val="num" w:pos="5301"/>
        </w:tabs>
        <w:ind w:left="5301" w:hanging="360"/>
      </w:pPr>
      <w:rPr>
        <w:rFonts w:ascii="Courier New" w:hAnsi="Courier New" w:hint="default"/>
      </w:rPr>
    </w:lvl>
    <w:lvl w:ilvl="5" w:tplc="040C0005" w:tentative="1">
      <w:start w:val="1"/>
      <w:numFmt w:val="bullet"/>
      <w:lvlText w:val=""/>
      <w:lvlJc w:val="left"/>
      <w:pPr>
        <w:tabs>
          <w:tab w:val="num" w:pos="6021"/>
        </w:tabs>
        <w:ind w:left="6021" w:hanging="360"/>
      </w:pPr>
      <w:rPr>
        <w:rFonts w:ascii="Wingdings" w:hAnsi="Wingdings" w:hint="default"/>
      </w:rPr>
    </w:lvl>
    <w:lvl w:ilvl="6" w:tplc="040C0001" w:tentative="1">
      <w:start w:val="1"/>
      <w:numFmt w:val="bullet"/>
      <w:lvlText w:val=""/>
      <w:lvlJc w:val="left"/>
      <w:pPr>
        <w:tabs>
          <w:tab w:val="num" w:pos="6741"/>
        </w:tabs>
        <w:ind w:left="6741" w:hanging="360"/>
      </w:pPr>
      <w:rPr>
        <w:rFonts w:ascii="Symbol" w:hAnsi="Symbol" w:hint="default"/>
      </w:rPr>
    </w:lvl>
    <w:lvl w:ilvl="7" w:tplc="040C0003" w:tentative="1">
      <w:start w:val="1"/>
      <w:numFmt w:val="bullet"/>
      <w:lvlText w:val="o"/>
      <w:lvlJc w:val="left"/>
      <w:pPr>
        <w:tabs>
          <w:tab w:val="num" w:pos="7461"/>
        </w:tabs>
        <w:ind w:left="7461" w:hanging="360"/>
      </w:pPr>
      <w:rPr>
        <w:rFonts w:ascii="Courier New" w:hAnsi="Courier New" w:hint="default"/>
      </w:rPr>
    </w:lvl>
    <w:lvl w:ilvl="8" w:tplc="040C0005" w:tentative="1">
      <w:start w:val="1"/>
      <w:numFmt w:val="bullet"/>
      <w:lvlText w:val=""/>
      <w:lvlJc w:val="left"/>
      <w:pPr>
        <w:tabs>
          <w:tab w:val="num" w:pos="8181"/>
        </w:tabs>
        <w:ind w:left="8181" w:hanging="360"/>
      </w:pPr>
      <w:rPr>
        <w:rFonts w:ascii="Wingdings" w:hAnsi="Wingdings" w:hint="default"/>
      </w:rPr>
    </w:lvl>
  </w:abstractNum>
  <w:abstractNum w:abstractNumId="28" w15:restartNumberingAfterBreak="0">
    <w:nsid w:val="6AFD3DE4"/>
    <w:multiLevelType w:val="hybridMultilevel"/>
    <w:tmpl w:val="569E52D4"/>
    <w:lvl w:ilvl="0" w:tplc="E77E5F5E">
      <w:start w:val="1"/>
      <w:numFmt w:val="bullet"/>
      <w:pStyle w:val="Bullet1G"/>
      <w:lvlText w:val="•"/>
      <w:lvlJc w:val="left"/>
      <w:pPr>
        <w:tabs>
          <w:tab w:val="num" w:pos="1701"/>
        </w:tabs>
        <w:ind w:left="1701" w:hanging="170"/>
      </w:pPr>
      <w:rPr>
        <w:rFonts w:ascii="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17F546F"/>
    <w:multiLevelType w:val="multilevel"/>
    <w:tmpl w:val="0C0A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0" w15:restartNumberingAfterBreak="0">
    <w:nsid w:val="73D20E20"/>
    <w:multiLevelType w:val="hybridMultilevel"/>
    <w:tmpl w:val="194E42B6"/>
    <w:lvl w:ilvl="0" w:tplc="5BAC619A">
      <w:numFmt w:val="bullet"/>
      <w:lvlText w:val="-"/>
      <w:lvlJc w:val="left"/>
      <w:pPr>
        <w:ind w:left="720" w:hanging="360"/>
      </w:pPr>
      <w:rPr>
        <w:rFonts w:ascii="Times New Roman" w:eastAsia="SimSun"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754059FD"/>
    <w:multiLevelType w:val="hybridMultilevel"/>
    <w:tmpl w:val="28746B24"/>
    <w:lvl w:ilvl="0" w:tplc="08090001">
      <w:start w:val="1"/>
      <w:numFmt w:val="bullet"/>
      <w:lvlText w:val=""/>
      <w:lvlJc w:val="left"/>
      <w:pPr>
        <w:ind w:left="2214" w:hanging="360"/>
      </w:pPr>
      <w:rPr>
        <w:rFonts w:ascii="Symbol" w:hAnsi="Symbol" w:hint="default"/>
      </w:rPr>
    </w:lvl>
    <w:lvl w:ilvl="1" w:tplc="08090003" w:tentative="1">
      <w:start w:val="1"/>
      <w:numFmt w:val="bullet"/>
      <w:lvlText w:val="o"/>
      <w:lvlJc w:val="left"/>
      <w:pPr>
        <w:ind w:left="2934" w:hanging="360"/>
      </w:pPr>
      <w:rPr>
        <w:rFonts w:ascii="Courier New" w:hAnsi="Courier New" w:cs="Courier New" w:hint="default"/>
      </w:rPr>
    </w:lvl>
    <w:lvl w:ilvl="2" w:tplc="08090005" w:tentative="1">
      <w:start w:val="1"/>
      <w:numFmt w:val="bullet"/>
      <w:lvlText w:val=""/>
      <w:lvlJc w:val="left"/>
      <w:pPr>
        <w:ind w:left="3654" w:hanging="360"/>
      </w:pPr>
      <w:rPr>
        <w:rFonts w:ascii="Wingdings" w:hAnsi="Wingdings" w:hint="default"/>
      </w:rPr>
    </w:lvl>
    <w:lvl w:ilvl="3" w:tplc="08090001" w:tentative="1">
      <w:start w:val="1"/>
      <w:numFmt w:val="bullet"/>
      <w:lvlText w:val=""/>
      <w:lvlJc w:val="left"/>
      <w:pPr>
        <w:ind w:left="4374" w:hanging="360"/>
      </w:pPr>
      <w:rPr>
        <w:rFonts w:ascii="Symbol" w:hAnsi="Symbol" w:hint="default"/>
      </w:rPr>
    </w:lvl>
    <w:lvl w:ilvl="4" w:tplc="08090003" w:tentative="1">
      <w:start w:val="1"/>
      <w:numFmt w:val="bullet"/>
      <w:lvlText w:val="o"/>
      <w:lvlJc w:val="left"/>
      <w:pPr>
        <w:ind w:left="5094" w:hanging="360"/>
      </w:pPr>
      <w:rPr>
        <w:rFonts w:ascii="Courier New" w:hAnsi="Courier New" w:cs="Courier New" w:hint="default"/>
      </w:rPr>
    </w:lvl>
    <w:lvl w:ilvl="5" w:tplc="08090005" w:tentative="1">
      <w:start w:val="1"/>
      <w:numFmt w:val="bullet"/>
      <w:lvlText w:val=""/>
      <w:lvlJc w:val="left"/>
      <w:pPr>
        <w:ind w:left="5814" w:hanging="360"/>
      </w:pPr>
      <w:rPr>
        <w:rFonts w:ascii="Wingdings" w:hAnsi="Wingdings" w:hint="default"/>
      </w:rPr>
    </w:lvl>
    <w:lvl w:ilvl="6" w:tplc="08090001" w:tentative="1">
      <w:start w:val="1"/>
      <w:numFmt w:val="bullet"/>
      <w:lvlText w:val=""/>
      <w:lvlJc w:val="left"/>
      <w:pPr>
        <w:ind w:left="6534" w:hanging="360"/>
      </w:pPr>
      <w:rPr>
        <w:rFonts w:ascii="Symbol" w:hAnsi="Symbol" w:hint="default"/>
      </w:rPr>
    </w:lvl>
    <w:lvl w:ilvl="7" w:tplc="08090003" w:tentative="1">
      <w:start w:val="1"/>
      <w:numFmt w:val="bullet"/>
      <w:lvlText w:val="o"/>
      <w:lvlJc w:val="left"/>
      <w:pPr>
        <w:ind w:left="7254" w:hanging="360"/>
      </w:pPr>
      <w:rPr>
        <w:rFonts w:ascii="Courier New" w:hAnsi="Courier New" w:cs="Courier New" w:hint="default"/>
      </w:rPr>
    </w:lvl>
    <w:lvl w:ilvl="8" w:tplc="08090005" w:tentative="1">
      <w:start w:val="1"/>
      <w:numFmt w:val="bullet"/>
      <w:lvlText w:val=""/>
      <w:lvlJc w:val="left"/>
      <w:pPr>
        <w:ind w:left="7974" w:hanging="360"/>
      </w:pPr>
      <w:rPr>
        <w:rFonts w:ascii="Wingdings" w:hAnsi="Wingdings" w:hint="default"/>
      </w:rPr>
    </w:lvl>
  </w:abstractNum>
  <w:abstractNum w:abstractNumId="32" w15:restartNumberingAfterBreak="0">
    <w:nsid w:val="79DC3D89"/>
    <w:multiLevelType w:val="multilevel"/>
    <w:tmpl w:val="0C0A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num w:numId="1" w16cid:durableId="1502239233">
    <w:abstractNumId w:val="28"/>
  </w:num>
  <w:num w:numId="2" w16cid:durableId="1883011816">
    <w:abstractNumId w:val="19"/>
  </w:num>
  <w:num w:numId="3" w16cid:durableId="1685279444">
    <w:abstractNumId w:val="32"/>
  </w:num>
  <w:num w:numId="4" w16cid:durableId="745688734">
    <w:abstractNumId w:val="29"/>
  </w:num>
  <w:num w:numId="5" w16cid:durableId="1990328888">
    <w:abstractNumId w:val="24"/>
  </w:num>
  <w:num w:numId="6" w16cid:durableId="1719277450">
    <w:abstractNumId w:val="8"/>
  </w:num>
  <w:num w:numId="7" w16cid:durableId="1233662899">
    <w:abstractNumId w:val="3"/>
  </w:num>
  <w:num w:numId="8" w16cid:durableId="582838764">
    <w:abstractNumId w:val="2"/>
  </w:num>
  <w:num w:numId="9" w16cid:durableId="1671523636">
    <w:abstractNumId w:val="1"/>
  </w:num>
  <w:num w:numId="10" w16cid:durableId="1662269512">
    <w:abstractNumId w:val="0"/>
  </w:num>
  <w:num w:numId="11" w16cid:durableId="36634782">
    <w:abstractNumId w:val="9"/>
  </w:num>
  <w:num w:numId="12" w16cid:durableId="827553371">
    <w:abstractNumId w:val="7"/>
  </w:num>
  <w:num w:numId="13" w16cid:durableId="1144077312">
    <w:abstractNumId w:val="6"/>
  </w:num>
  <w:num w:numId="14" w16cid:durableId="1948928975">
    <w:abstractNumId w:val="5"/>
  </w:num>
  <w:num w:numId="15" w16cid:durableId="1956524456">
    <w:abstractNumId w:val="4"/>
  </w:num>
  <w:num w:numId="16" w16cid:durableId="427702621">
    <w:abstractNumId w:val="12"/>
  </w:num>
  <w:num w:numId="17" w16cid:durableId="761612669">
    <w:abstractNumId w:val="28"/>
  </w:num>
  <w:num w:numId="18" w16cid:durableId="1294167134">
    <w:abstractNumId w:val="19"/>
  </w:num>
  <w:num w:numId="19" w16cid:durableId="97792788">
    <w:abstractNumId w:val="12"/>
  </w:num>
  <w:num w:numId="20" w16cid:durableId="1095248989">
    <w:abstractNumId w:val="32"/>
  </w:num>
  <w:num w:numId="21" w16cid:durableId="689986060">
    <w:abstractNumId w:val="29"/>
  </w:num>
  <w:num w:numId="22" w16cid:durableId="1284270649">
    <w:abstractNumId w:val="20"/>
  </w:num>
  <w:num w:numId="23" w16cid:durableId="562183030">
    <w:abstractNumId w:val="20"/>
  </w:num>
  <w:num w:numId="24" w16cid:durableId="1161773855">
    <w:abstractNumId w:val="24"/>
  </w:num>
  <w:num w:numId="25" w16cid:durableId="943001855">
    <w:abstractNumId w:val="9"/>
  </w:num>
  <w:num w:numId="26" w16cid:durableId="1568413284">
    <w:abstractNumId w:val="7"/>
  </w:num>
  <w:num w:numId="27" w16cid:durableId="1285504767">
    <w:abstractNumId w:val="6"/>
  </w:num>
  <w:num w:numId="28" w16cid:durableId="222448624">
    <w:abstractNumId w:val="5"/>
  </w:num>
  <w:num w:numId="29" w16cid:durableId="1161504226">
    <w:abstractNumId w:val="4"/>
  </w:num>
  <w:num w:numId="30" w16cid:durableId="837382691">
    <w:abstractNumId w:val="8"/>
  </w:num>
  <w:num w:numId="31" w16cid:durableId="2012483970">
    <w:abstractNumId w:val="3"/>
  </w:num>
  <w:num w:numId="32" w16cid:durableId="1685748596">
    <w:abstractNumId w:val="2"/>
  </w:num>
  <w:num w:numId="33" w16cid:durableId="821194421">
    <w:abstractNumId w:val="1"/>
  </w:num>
  <w:num w:numId="34" w16cid:durableId="277765144">
    <w:abstractNumId w:val="0"/>
  </w:num>
  <w:num w:numId="35" w16cid:durableId="821428531">
    <w:abstractNumId w:val="18"/>
  </w:num>
  <w:num w:numId="36" w16cid:durableId="768235051">
    <w:abstractNumId w:val="14"/>
  </w:num>
  <w:num w:numId="37" w16cid:durableId="2111657090">
    <w:abstractNumId w:val="10"/>
  </w:num>
  <w:num w:numId="38" w16cid:durableId="1084106821">
    <w:abstractNumId w:val="23"/>
  </w:num>
  <w:num w:numId="39" w16cid:durableId="568735126">
    <w:abstractNumId w:val="13"/>
  </w:num>
  <w:num w:numId="40" w16cid:durableId="1849445132">
    <w:abstractNumId w:val="11"/>
  </w:num>
  <w:num w:numId="41" w16cid:durableId="1122454431">
    <w:abstractNumId w:val="26"/>
  </w:num>
  <w:num w:numId="42" w16cid:durableId="1150751897">
    <w:abstractNumId w:val="27"/>
  </w:num>
  <w:num w:numId="43" w16cid:durableId="1886258306">
    <w:abstractNumId w:val="21"/>
  </w:num>
  <w:num w:numId="44" w16cid:durableId="703360980">
    <w:abstractNumId w:val="17"/>
  </w:num>
  <w:num w:numId="45" w16cid:durableId="1508599158">
    <w:abstractNumId w:val="31"/>
  </w:num>
  <w:num w:numId="46" w16cid:durableId="765808015">
    <w:abstractNumId w:val="15"/>
  </w:num>
  <w:num w:numId="47" w16cid:durableId="543490874">
    <w:abstractNumId w:val="25"/>
  </w:num>
  <w:num w:numId="48" w16cid:durableId="1715615256">
    <w:abstractNumId w:val="16"/>
  </w:num>
  <w:num w:numId="49" w16cid:durableId="1497841320">
    <w:abstractNumId w:val="30"/>
  </w:num>
  <w:num w:numId="50" w16cid:durableId="1873567103">
    <w:abstractNumId w:val="22"/>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567"/>
  <w:hyphenationZone w:val="425"/>
  <w:doNotHyphenateCaps/>
  <w:evenAndOddHeaders/>
  <w:drawingGridHorizontalSpacing w:val="100"/>
  <w:displayHorizontalDrawingGridEvery w:val="2"/>
  <w:displayVerticalDrawingGridEvery w:val="2"/>
  <w:noPunctuationKerning/>
  <w:characterSpacingControl w:val="doNotCompress"/>
  <w:hdrShapeDefaults>
    <o:shapedefaults v:ext="edit" spidmax="2064"/>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0B11"/>
    <w:rsid w:val="00002301"/>
    <w:rsid w:val="00006632"/>
    <w:rsid w:val="0003450A"/>
    <w:rsid w:val="00036CBB"/>
    <w:rsid w:val="00045D53"/>
    <w:rsid w:val="000560CF"/>
    <w:rsid w:val="0008650D"/>
    <w:rsid w:val="000A118E"/>
    <w:rsid w:val="000B57E7"/>
    <w:rsid w:val="000D186A"/>
    <w:rsid w:val="000D3106"/>
    <w:rsid w:val="000F09DF"/>
    <w:rsid w:val="000F61B2"/>
    <w:rsid w:val="001075E9"/>
    <w:rsid w:val="001542DD"/>
    <w:rsid w:val="0015438E"/>
    <w:rsid w:val="00156746"/>
    <w:rsid w:val="001667A2"/>
    <w:rsid w:val="00167FE3"/>
    <w:rsid w:val="00173DE8"/>
    <w:rsid w:val="00173EA8"/>
    <w:rsid w:val="00180183"/>
    <w:rsid w:val="0018171C"/>
    <w:rsid w:val="00187BA1"/>
    <w:rsid w:val="00196389"/>
    <w:rsid w:val="00196975"/>
    <w:rsid w:val="001A52A0"/>
    <w:rsid w:val="001A5673"/>
    <w:rsid w:val="001B3DD9"/>
    <w:rsid w:val="001C7A89"/>
    <w:rsid w:val="001D4A00"/>
    <w:rsid w:val="001D6240"/>
    <w:rsid w:val="001E213E"/>
    <w:rsid w:val="00245D7C"/>
    <w:rsid w:val="00284D49"/>
    <w:rsid w:val="00287EBD"/>
    <w:rsid w:val="002A1391"/>
    <w:rsid w:val="002A1A4E"/>
    <w:rsid w:val="002A21D5"/>
    <w:rsid w:val="002A2EFC"/>
    <w:rsid w:val="002A6B6E"/>
    <w:rsid w:val="002C0381"/>
    <w:rsid w:val="002D0D79"/>
    <w:rsid w:val="002D5AAC"/>
    <w:rsid w:val="002E7607"/>
    <w:rsid w:val="00301299"/>
    <w:rsid w:val="00322004"/>
    <w:rsid w:val="003307B1"/>
    <w:rsid w:val="003402C2"/>
    <w:rsid w:val="00346069"/>
    <w:rsid w:val="00370D6A"/>
    <w:rsid w:val="00381C24"/>
    <w:rsid w:val="0038217B"/>
    <w:rsid w:val="003958D0"/>
    <w:rsid w:val="003E4186"/>
    <w:rsid w:val="003E5057"/>
    <w:rsid w:val="00403A6C"/>
    <w:rsid w:val="00416CBD"/>
    <w:rsid w:val="00424650"/>
    <w:rsid w:val="00454E07"/>
    <w:rsid w:val="004762CA"/>
    <w:rsid w:val="004B319D"/>
    <w:rsid w:val="004B7533"/>
    <w:rsid w:val="004C2597"/>
    <w:rsid w:val="0050108D"/>
    <w:rsid w:val="005106FC"/>
    <w:rsid w:val="00512683"/>
    <w:rsid w:val="0054588C"/>
    <w:rsid w:val="00571AAE"/>
    <w:rsid w:val="00572E19"/>
    <w:rsid w:val="005D1A59"/>
    <w:rsid w:val="005F0B42"/>
    <w:rsid w:val="00626CA4"/>
    <w:rsid w:val="00645A23"/>
    <w:rsid w:val="00651463"/>
    <w:rsid w:val="006B070E"/>
    <w:rsid w:val="006F35EE"/>
    <w:rsid w:val="007305F0"/>
    <w:rsid w:val="00762E66"/>
    <w:rsid w:val="00780E55"/>
    <w:rsid w:val="007C4ECC"/>
    <w:rsid w:val="007D6339"/>
    <w:rsid w:val="007E7683"/>
    <w:rsid w:val="00802EA2"/>
    <w:rsid w:val="0081160D"/>
    <w:rsid w:val="0081508F"/>
    <w:rsid w:val="00834B71"/>
    <w:rsid w:val="00850B11"/>
    <w:rsid w:val="00850C79"/>
    <w:rsid w:val="0086445C"/>
    <w:rsid w:val="008645FC"/>
    <w:rsid w:val="00864F68"/>
    <w:rsid w:val="00865B04"/>
    <w:rsid w:val="00887D1B"/>
    <w:rsid w:val="008A08D7"/>
    <w:rsid w:val="008A7CA3"/>
    <w:rsid w:val="008B03BC"/>
    <w:rsid w:val="008B6A70"/>
    <w:rsid w:val="008C5013"/>
    <w:rsid w:val="008E5DB5"/>
    <w:rsid w:val="008E74DD"/>
    <w:rsid w:val="00906890"/>
    <w:rsid w:val="00914C7D"/>
    <w:rsid w:val="00933D97"/>
    <w:rsid w:val="00951972"/>
    <w:rsid w:val="00956CBC"/>
    <w:rsid w:val="0096307E"/>
    <w:rsid w:val="00970A35"/>
    <w:rsid w:val="00971EAC"/>
    <w:rsid w:val="0097739B"/>
    <w:rsid w:val="009958AB"/>
    <w:rsid w:val="009A5517"/>
    <w:rsid w:val="009B5447"/>
    <w:rsid w:val="009D59FB"/>
    <w:rsid w:val="009F4B1D"/>
    <w:rsid w:val="00A35D48"/>
    <w:rsid w:val="00A46614"/>
    <w:rsid w:val="00A50E4A"/>
    <w:rsid w:val="00A553AD"/>
    <w:rsid w:val="00A70FE7"/>
    <w:rsid w:val="00A72D17"/>
    <w:rsid w:val="00A917B3"/>
    <w:rsid w:val="00A96B77"/>
    <w:rsid w:val="00AA3BC2"/>
    <w:rsid w:val="00AB4B51"/>
    <w:rsid w:val="00AB6203"/>
    <w:rsid w:val="00AC6178"/>
    <w:rsid w:val="00AE3F83"/>
    <w:rsid w:val="00AF49D3"/>
    <w:rsid w:val="00B0176D"/>
    <w:rsid w:val="00B05552"/>
    <w:rsid w:val="00B106BA"/>
    <w:rsid w:val="00B10CC7"/>
    <w:rsid w:val="00B20E4A"/>
    <w:rsid w:val="00B62458"/>
    <w:rsid w:val="00B83C9F"/>
    <w:rsid w:val="00B84F8F"/>
    <w:rsid w:val="00B950A6"/>
    <w:rsid w:val="00BD0CAD"/>
    <w:rsid w:val="00BD33EE"/>
    <w:rsid w:val="00C3150E"/>
    <w:rsid w:val="00C60F0C"/>
    <w:rsid w:val="00C805C9"/>
    <w:rsid w:val="00CA1679"/>
    <w:rsid w:val="00CA79D1"/>
    <w:rsid w:val="00CB3851"/>
    <w:rsid w:val="00CF10F2"/>
    <w:rsid w:val="00D07706"/>
    <w:rsid w:val="00D4046C"/>
    <w:rsid w:val="00D4122E"/>
    <w:rsid w:val="00D73F90"/>
    <w:rsid w:val="00D90138"/>
    <w:rsid w:val="00D94C21"/>
    <w:rsid w:val="00DA05BF"/>
    <w:rsid w:val="00DA3F09"/>
    <w:rsid w:val="00DD5249"/>
    <w:rsid w:val="00E24A9F"/>
    <w:rsid w:val="00E73F76"/>
    <w:rsid w:val="00EA53DF"/>
    <w:rsid w:val="00EB11DA"/>
    <w:rsid w:val="00EB7FC6"/>
    <w:rsid w:val="00EF1360"/>
    <w:rsid w:val="00EF3220"/>
    <w:rsid w:val="00F102A5"/>
    <w:rsid w:val="00F3101D"/>
    <w:rsid w:val="00F317F2"/>
    <w:rsid w:val="00F33585"/>
    <w:rsid w:val="00F37468"/>
    <w:rsid w:val="00F4648F"/>
    <w:rsid w:val="00F7213E"/>
    <w:rsid w:val="00FB5CDD"/>
    <w:rsid w:val="00FC4465"/>
    <w:rsid w:val="00FD2EF7"/>
    <w:rsid w:val="00FD77F4"/>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64"/>
    <o:shapelayout v:ext="edit">
      <o:idmap v:ext="edit" data="2"/>
    </o:shapelayout>
  </w:shapeDefaults>
  <w:decimalSymbol w:val=","/>
  <w:listSeparator w:val=";"/>
  <w14:docId w14:val="00885816"/>
  <w15:docId w15:val="{9BF92B0D-FBB2-470E-AF17-02DAA06097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uiPriority="3" w:qFormat="1"/>
    <w:lsdException w:name="heading 1"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5" w:unhideWhenUsed="1"/>
    <w:lsdException w:name="toc 2" w:semiHidden="1" w:uiPriority="5" w:unhideWhenUsed="1"/>
    <w:lsdException w:name="toc 3" w:semiHidden="1" w:uiPriority="5" w:unhideWhenUsed="1"/>
    <w:lsdException w:name="toc 4" w:semiHidden="1" w:uiPriority="5" w:unhideWhenUsed="1"/>
    <w:lsdException w:name="toc 5" w:semiHidden="1" w:uiPriority="5" w:unhideWhenUsed="1"/>
    <w:lsdException w:name="toc 6" w:semiHidden="1" w:uiPriority="5"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iPriority="99" w:unhideWhenUsed="1"/>
    <w:lsdException w:name="header" w:semiHidden="1" w:uiPriority="99"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99" w:unhideWhenUsed="1"/>
    <w:lsdException w:name="line number" w:semiHidden="1" w:unhideWhenUsed="1"/>
    <w:lsdException w:name="page number" w:semiHidden="1" w:unhideWhenUsed="1" w:qFormat="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Date" w:uiPriority="99"/>
    <w:lsdException w:name="Body Text First Indent 2" w:semiHidden="1" w:unhideWhenUsed="1"/>
    <w:lsdException w:name="Note Heading" w:semiHidden="1" w:unhideWhenUsed="1"/>
    <w:lsdException w:name="Body Text 2" w:semiHidden="1" w:unhideWhenUsed="1"/>
    <w:lsdException w:name="Body Text 3" w:semiHidden="1" w:uiPriority="99"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uiPriority w:val="3"/>
    <w:qFormat/>
    <w:rsid w:val="005D1A59"/>
    <w:pPr>
      <w:spacing w:line="240" w:lineRule="atLeast"/>
    </w:pPr>
    <w:rPr>
      <w:lang w:val="es-ES" w:eastAsia="es-ES"/>
    </w:rPr>
  </w:style>
  <w:style w:type="paragraph" w:styleId="Heading1">
    <w:name w:val="heading 1"/>
    <w:aliases w:val="Cuadro_G,Table_G"/>
    <w:basedOn w:val="SingleTxtG"/>
    <w:next w:val="SingleTxtG"/>
    <w:link w:val="Heading1Char"/>
    <w:qFormat/>
    <w:rsid w:val="005D1A59"/>
    <w:pPr>
      <w:keepNext/>
      <w:keepLines/>
      <w:suppressAutoHyphens/>
      <w:kinsoku w:val="0"/>
      <w:overflowPunct w:val="0"/>
      <w:autoSpaceDE w:val="0"/>
      <w:autoSpaceDN w:val="0"/>
      <w:adjustRightInd w:val="0"/>
      <w:snapToGrid w:val="0"/>
      <w:spacing w:after="0" w:line="240" w:lineRule="auto"/>
      <w:ind w:right="0"/>
      <w:jc w:val="left"/>
      <w:outlineLvl w:val="0"/>
    </w:pPr>
    <w:rPr>
      <w:lang w:val="fr-CH" w:eastAsia="en-US"/>
    </w:rPr>
  </w:style>
  <w:style w:type="paragraph" w:styleId="Heading2">
    <w:name w:val="heading 2"/>
    <w:basedOn w:val="Normal"/>
    <w:next w:val="Normal"/>
    <w:link w:val="Heading2Char"/>
    <w:semiHidden/>
    <w:rsid w:val="005D1A59"/>
    <w:pPr>
      <w:keepNext/>
      <w:outlineLvl w:val="1"/>
    </w:pPr>
    <w:rPr>
      <w:rFonts w:cs="Arial"/>
      <w:bCs/>
      <w:iCs/>
      <w:szCs w:val="28"/>
    </w:rPr>
  </w:style>
  <w:style w:type="paragraph" w:styleId="Heading3">
    <w:name w:val="heading 3"/>
    <w:basedOn w:val="Normal"/>
    <w:next w:val="Normal"/>
    <w:link w:val="Heading3Char"/>
    <w:semiHidden/>
    <w:rsid w:val="005D1A59"/>
    <w:pPr>
      <w:keepNext/>
      <w:spacing w:before="240" w:after="60"/>
      <w:outlineLvl w:val="2"/>
    </w:pPr>
    <w:rPr>
      <w:rFonts w:ascii="Arial" w:hAnsi="Arial" w:cs="Arial"/>
      <w:b/>
      <w:bCs/>
      <w:sz w:val="26"/>
      <w:szCs w:val="26"/>
    </w:rPr>
  </w:style>
  <w:style w:type="paragraph" w:styleId="Heading4">
    <w:name w:val="heading 4"/>
    <w:basedOn w:val="Normal"/>
    <w:next w:val="Normal"/>
    <w:link w:val="Heading4Char"/>
    <w:semiHidden/>
    <w:rsid w:val="005D1A59"/>
    <w:pPr>
      <w:keepNext/>
      <w:spacing w:before="240" w:after="60"/>
      <w:outlineLvl w:val="3"/>
    </w:pPr>
    <w:rPr>
      <w:b/>
      <w:bCs/>
      <w:sz w:val="28"/>
      <w:szCs w:val="28"/>
    </w:rPr>
  </w:style>
  <w:style w:type="paragraph" w:styleId="Heading5">
    <w:name w:val="heading 5"/>
    <w:basedOn w:val="Normal"/>
    <w:next w:val="Normal"/>
    <w:link w:val="Heading5Char"/>
    <w:semiHidden/>
    <w:rsid w:val="005D1A59"/>
    <w:pPr>
      <w:spacing w:before="240" w:after="60"/>
      <w:outlineLvl w:val="4"/>
    </w:pPr>
    <w:rPr>
      <w:b/>
      <w:bCs/>
      <w:i/>
      <w:iCs/>
      <w:sz w:val="26"/>
      <w:szCs w:val="26"/>
    </w:rPr>
  </w:style>
  <w:style w:type="paragraph" w:styleId="Heading6">
    <w:name w:val="heading 6"/>
    <w:basedOn w:val="Normal"/>
    <w:next w:val="Normal"/>
    <w:link w:val="Heading6Char"/>
    <w:semiHidden/>
    <w:rsid w:val="005D1A59"/>
    <w:pPr>
      <w:spacing w:before="240" w:after="60"/>
      <w:outlineLvl w:val="5"/>
    </w:pPr>
    <w:rPr>
      <w:b/>
      <w:bCs/>
      <w:sz w:val="22"/>
      <w:szCs w:val="22"/>
    </w:rPr>
  </w:style>
  <w:style w:type="paragraph" w:styleId="Heading7">
    <w:name w:val="heading 7"/>
    <w:basedOn w:val="Normal"/>
    <w:next w:val="Normal"/>
    <w:link w:val="Heading7Char"/>
    <w:semiHidden/>
    <w:rsid w:val="005D1A59"/>
    <w:pPr>
      <w:spacing w:before="240" w:after="60"/>
      <w:outlineLvl w:val="6"/>
    </w:pPr>
    <w:rPr>
      <w:sz w:val="24"/>
      <w:szCs w:val="24"/>
    </w:rPr>
  </w:style>
  <w:style w:type="paragraph" w:styleId="Heading8">
    <w:name w:val="heading 8"/>
    <w:basedOn w:val="Normal"/>
    <w:next w:val="Normal"/>
    <w:link w:val="Heading8Char"/>
    <w:semiHidden/>
    <w:rsid w:val="005D1A59"/>
    <w:pPr>
      <w:spacing w:before="240" w:after="60"/>
      <w:outlineLvl w:val="7"/>
    </w:pPr>
    <w:rPr>
      <w:i/>
      <w:iCs/>
      <w:sz w:val="24"/>
      <w:szCs w:val="24"/>
    </w:rPr>
  </w:style>
  <w:style w:type="paragraph" w:styleId="Heading9">
    <w:name w:val="heading 9"/>
    <w:basedOn w:val="Normal"/>
    <w:next w:val="Normal"/>
    <w:link w:val="Heading9Char"/>
    <w:semiHidden/>
    <w:rsid w:val="005D1A59"/>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aliases w:val="4_G,Footnote Reference/"/>
    <w:qFormat/>
    <w:rsid w:val="005D1A59"/>
    <w:rPr>
      <w:rFonts w:ascii="Times New Roman" w:hAnsi="Times New Roman"/>
      <w:sz w:val="18"/>
      <w:vertAlign w:val="superscript"/>
    </w:rPr>
  </w:style>
  <w:style w:type="paragraph" w:customStyle="1" w:styleId="HMG">
    <w:name w:val="_ H __M_G"/>
    <w:basedOn w:val="Normal"/>
    <w:next w:val="Normal"/>
    <w:qFormat/>
    <w:rsid w:val="005D1A59"/>
    <w:pPr>
      <w:keepNext/>
      <w:keepLines/>
      <w:tabs>
        <w:tab w:val="right" w:pos="851"/>
      </w:tabs>
      <w:suppressAutoHyphens/>
      <w:spacing w:before="240" w:after="240" w:line="360" w:lineRule="exact"/>
      <w:ind w:left="1134" w:right="1134" w:hanging="1134"/>
      <w:outlineLvl w:val="0"/>
    </w:pPr>
    <w:rPr>
      <w:b/>
      <w:sz w:val="34"/>
    </w:rPr>
  </w:style>
  <w:style w:type="paragraph" w:customStyle="1" w:styleId="HChG">
    <w:name w:val="_ H _Ch_G"/>
    <w:basedOn w:val="Normal"/>
    <w:next w:val="Normal"/>
    <w:link w:val="HChGChar"/>
    <w:qFormat/>
    <w:rsid w:val="005D1A59"/>
    <w:pPr>
      <w:keepNext/>
      <w:keepLines/>
      <w:tabs>
        <w:tab w:val="right" w:pos="851"/>
      </w:tabs>
      <w:suppressAutoHyphens/>
      <w:spacing w:before="360" w:after="240" w:line="300" w:lineRule="exact"/>
      <w:ind w:left="1134" w:right="1134" w:hanging="1134"/>
      <w:outlineLvl w:val="1"/>
    </w:pPr>
    <w:rPr>
      <w:b/>
      <w:sz w:val="28"/>
    </w:rPr>
  </w:style>
  <w:style w:type="paragraph" w:customStyle="1" w:styleId="H1G">
    <w:name w:val="_ H_1_G"/>
    <w:basedOn w:val="Normal"/>
    <w:next w:val="Normal"/>
    <w:link w:val="H1GChar"/>
    <w:qFormat/>
    <w:rsid w:val="005D1A59"/>
    <w:pPr>
      <w:keepNext/>
      <w:keepLines/>
      <w:tabs>
        <w:tab w:val="right" w:pos="851"/>
      </w:tabs>
      <w:suppressAutoHyphens/>
      <w:spacing w:before="360" w:after="240" w:line="270" w:lineRule="exact"/>
      <w:ind w:left="1134" w:right="1134" w:hanging="1134"/>
      <w:outlineLvl w:val="2"/>
    </w:pPr>
    <w:rPr>
      <w:b/>
      <w:sz w:val="24"/>
    </w:rPr>
  </w:style>
  <w:style w:type="paragraph" w:customStyle="1" w:styleId="H23G">
    <w:name w:val="_ H_2/3_G"/>
    <w:basedOn w:val="Normal"/>
    <w:next w:val="Normal"/>
    <w:link w:val="H23GChar"/>
    <w:qFormat/>
    <w:rsid w:val="005D1A59"/>
    <w:pPr>
      <w:keepNext/>
      <w:keepLines/>
      <w:tabs>
        <w:tab w:val="right" w:pos="851"/>
      </w:tabs>
      <w:suppressAutoHyphens/>
      <w:spacing w:before="240" w:after="120" w:line="240" w:lineRule="exact"/>
      <w:ind w:left="1134" w:right="1134" w:hanging="1134"/>
      <w:outlineLvl w:val="3"/>
    </w:pPr>
    <w:rPr>
      <w:b/>
    </w:rPr>
  </w:style>
  <w:style w:type="paragraph" w:customStyle="1" w:styleId="H4G">
    <w:name w:val="_ H_4_G"/>
    <w:basedOn w:val="Normal"/>
    <w:next w:val="Normal"/>
    <w:qFormat/>
    <w:rsid w:val="005D1A59"/>
    <w:pPr>
      <w:keepNext/>
      <w:keepLines/>
      <w:tabs>
        <w:tab w:val="right" w:pos="851"/>
      </w:tabs>
      <w:suppressAutoHyphens/>
      <w:spacing w:before="240" w:after="120" w:line="240" w:lineRule="exact"/>
      <w:ind w:left="1134" w:right="1134" w:hanging="1134"/>
      <w:outlineLvl w:val="4"/>
    </w:pPr>
    <w:rPr>
      <w:i/>
    </w:rPr>
  </w:style>
  <w:style w:type="paragraph" w:customStyle="1" w:styleId="H56G">
    <w:name w:val="_ H_5/6_G"/>
    <w:basedOn w:val="Normal"/>
    <w:next w:val="Normal"/>
    <w:qFormat/>
    <w:rsid w:val="005D1A59"/>
    <w:pPr>
      <w:keepNext/>
      <w:keepLines/>
      <w:tabs>
        <w:tab w:val="right" w:pos="851"/>
      </w:tabs>
      <w:suppressAutoHyphens/>
      <w:spacing w:before="240" w:after="120" w:line="240" w:lineRule="exact"/>
      <w:ind w:left="1134" w:right="1134" w:hanging="1134"/>
      <w:outlineLvl w:val="5"/>
    </w:pPr>
  </w:style>
  <w:style w:type="paragraph" w:styleId="Header">
    <w:name w:val="header"/>
    <w:aliases w:val="6_G"/>
    <w:basedOn w:val="Normal"/>
    <w:next w:val="Normal"/>
    <w:link w:val="HeaderChar"/>
    <w:uiPriority w:val="99"/>
    <w:qFormat/>
    <w:rsid w:val="005D1A59"/>
    <w:pPr>
      <w:pBdr>
        <w:bottom w:val="single" w:sz="4" w:space="4" w:color="auto"/>
      </w:pBdr>
      <w:spacing w:line="240" w:lineRule="auto"/>
    </w:pPr>
    <w:rPr>
      <w:b/>
      <w:sz w:val="18"/>
    </w:rPr>
  </w:style>
  <w:style w:type="paragraph" w:customStyle="1" w:styleId="SingleTxtG">
    <w:name w:val="_ Single Txt_G"/>
    <w:basedOn w:val="Normal"/>
    <w:link w:val="SingleTxtGChar"/>
    <w:uiPriority w:val="99"/>
    <w:qFormat/>
    <w:rsid w:val="005D1A59"/>
    <w:pPr>
      <w:tabs>
        <w:tab w:val="left" w:pos="1701"/>
        <w:tab w:val="left" w:pos="2268"/>
        <w:tab w:val="left" w:pos="2835"/>
      </w:tabs>
      <w:spacing w:after="120"/>
      <w:ind w:left="1134" w:right="1134"/>
      <w:jc w:val="both"/>
    </w:pPr>
  </w:style>
  <w:style w:type="paragraph" w:customStyle="1" w:styleId="SMG">
    <w:name w:val="__S_M_G"/>
    <w:basedOn w:val="Normal"/>
    <w:next w:val="Normal"/>
    <w:rsid w:val="005D1A59"/>
    <w:pPr>
      <w:keepNext/>
      <w:keepLines/>
      <w:suppressAutoHyphens/>
      <w:spacing w:before="240" w:after="240" w:line="420" w:lineRule="exact"/>
      <w:ind w:left="1134" w:right="1134"/>
    </w:pPr>
    <w:rPr>
      <w:b/>
      <w:sz w:val="40"/>
    </w:rPr>
  </w:style>
  <w:style w:type="paragraph" w:customStyle="1" w:styleId="SLG">
    <w:name w:val="__S_L_G"/>
    <w:basedOn w:val="Normal"/>
    <w:next w:val="Normal"/>
    <w:rsid w:val="005D1A59"/>
    <w:pPr>
      <w:keepNext/>
      <w:keepLines/>
      <w:spacing w:before="240" w:after="240" w:line="580" w:lineRule="exact"/>
      <w:ind w:left="1134" w:right="1134"/>
    </w:pPr>
    <w:rPr>
      <w:b/>
      <w:sz w:val="56"/>
    </w:rPr>
  </w:style>
  <w:style w:type="paragraph" w:customStyle="1" w:styleId="SSG">
    <w:name w:val="__S_S_G"/>
    <w:basedOn w:val="Normal"/>
    <w:next w:val="Normal"/>
    <w:rsid w:val="005D1A59"/>
    <w:pPr>
      <w:keepNext/>
      <w:keepLines/>
      <w:spacing w:before="240" w:after="240" w:line="300" w:lineRule="exact"/>
      <w:ind w:left="1134" w:right="1134"/>
    </w:pPr>
    <w:rPr>
      <w:b/>
      <w:sz w:val="28"/>
    </w:rPr>
  </w:style>
  <w:style w:type="paragraph" w:styleId="Footer">
    <w:name w:val="footer"/>
    <w:aliases w:val="3_G"/>
    <w:basedOn w:val="Normal"/>
    <w:next w:val="Normal"/>
    <w:link w:val="FooterChar"/>
    <w:uiPriority w:val="99"/>
    <w:qFormat/>
    <w:rsid w:val="005D1A59"/>
    <w:rPr>
      <w:sz w:val="16"/>
    </w:rPr>
  </w:style>
  <w:style w:type="paragraph" w:customStyle="1" w:styleId="XLargeG">
    <w:name w:val="__XLarge_G"/>
    <w:basedOn w:val="Normal"/>
    <w:next w:val="Normal"/>
    <w:rsid w:val="005D1A59"/>
    <w:pPr>
      <w:keepNext/>
      <w:keepLines/>
      <w:spacing w:before="240" w:after="240" w:line="420" w:lineRule="exact"/>
      <w:ind w:left="1134" w:right="1134"/>
    </w:pPr>
    <w:rPr>
      <w:b/>
      <w:sz w:val="40"/>
    </w:rPr>
  </w:style>
  <w:style w:type="paragraph" w:styleId="FootnoteText">
    <w:name w:val="footnote text"/>
    <w:aliases w:val="5_G"/>
    <w:basedOn w:val="Normal"/>
    <w:link w:val="FootnoteTextChar"/>
    <w:qFormat/>
    <w:rsid w:val="005D1A59"/>
    <w:pPr>
      <w:tabs>
        <w:tab w:val="right" w:pos="1021"/>
      </w:tabs>
      <w:spacing w:line="220" w:lineRule="exact"/>
      <w:ind w:left="1134" w:right="1134" w:hanging="1134"/>
    </w:pPr>
    <w:rPr>
      <w:sz w:val="18"/>
    </w:rPr>
  </w:style>
  <w:style w:type="table" w:styleId="TableGrid">
    <w:name w:val="Table Grid"/>
    <w:basedOn w:val="TableNormal"/>
    <w:uiPriority w:val="39"/>
    <w:rsid w:val="005D1A59"/>
    <w:pPr>
      <w:spacing w:line="240" w:lineRule="atLeast"/>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styleId="111111">
    <w:name w:val="Outline List 2"/>
    <w:basedOn w:val="NoList"/>
    <w:rsid w:val="005D1A59"/>
    <w:pPr>
      <w:numPr>
        <w:numId w:val="3"/>
      </w:numPr>
    </w:pPr>
  </w:style>
  <w:style w:type="numbering" w:styleId="1ai">
    <w:name w:val="Outline List 1"/>
    <w:basedOn w:val="NoList"/>
    <w:rsid w:val="005D1A59"/>
    <w:pPr>
      <w:numPr>
        <w:numId w:val="4"/>
      </w:numPr>
    </w:pPr>
  </w:style>
  <w:style w:type="character" w:styleId="HTMLAcronym">
    <w:name w:val="HTML Acronym"/>
    <w:basedOn w:val="DefaultParagraphFont"/>
    <w:semiHidden/>
    <w:rsid w:val="005D1A59"/>
  </w:style>
  <w:style w:type="numbering" w:styleId="ArticleSection">
    <w:name w:val="Outline List 3"/>
    <w:basedOn w:val="NoList"/>
    <w:rsid w:val="005D1A59"/>
    <w:pPr>
      <w:numPr>
        <w:numId w:val="5"/>
      </w:numPr>
    </w:pPr>
  </w:style>
  <w:style w:type="paragraph" w:styleId="Closing">
    <w:name w:val="Closing"/>
    <w:basedOn w:val="Normal"/>
    <w:link w:val="ClosingChar"/>
    <w:semiHidden/>
    <w:rsid w:val="005D1A59"/>
    <w:pPr>
      <w:ind w:left="4252"/>
    </w:pPr>
  </w:style>
  <w:style w:type="character" w:styleId="HTMLCite">
    <w:name w:val="HTML Cite"/>
    <w:semiHidden/>
    <w:rsid w:val="005D1A59"/>
    <w:rPr>
      <w:i/>
      <w:iCs/>
    </w:rPr>
  </w:style>
  <w:style w:type="character" w:styleId="HTMLCode">
    <w:name w:val="HTML Code"/>
    <w:semiHidden/>
    <w:rsid w:val="005D1A59"/>
    <w:rPr>
      <w:rFonts w:ascii="Courier New" w:hAnsi="Courier New" w:cs="Courier New"/>
      <w:sz w:val="20"/>
      <w:szCs w:val="20"/>
    </w:rPr>
  </w:style>
  <w:style w:type="paragraph" w:styleId="ListContinue">
    <w:name w:val="List Continue"/>
    <w:basedOn w:val="Normal"/>
    <w:semiHidden/>
    <w:rsid w:val="005D1A59"/>
    <w:pPr>
      <w:spacing w:after="120"/>
      <w:ind w:left="283"/>
    </w:pPr>
  </w:style>
  <w:style w:type="paragraph" w:styleId="ListContinue2">
    <w:name w:val="List Continue 2"/>
    <w:basedOn w:val="Normal"/>
    <w:semiHidden/>
    <w:rsid w:val="005D1A59"/>
    <w:pPr>
      <w:spacing w:after="120"/>
      <w:ind w:left="566"/>
    </w:pPr>
  </w:style>
  <w:style w:type="paragraph" w:styleId="ListContinue3">
    <w:name w:val="List Continue 3"/>
    <w:basedOn w:val="Normal"/>
    <w:semiHidden/>
    <w:rsid w:val="005D1A59"/>
    <w:pPr>
      <w:spacing w:after="120"/>
      <w:ind w:left="849"/>
    </w:pPr>
  </w:style>
  <w:style w:type="paragraph" w:styleId="ListContinue4">
    <w:name w:val="List Continue 4"/>
    <w:basedOn w:val="Normal"/>
    <w:semiHidden/>
    <w:rsid w:val="005D1A59"/>
    <w:pPr>
      <w:spacing w:after="120"/>
      <w:ind w:left="1132"/>
    </w:pPr>
  </w:style>
  <w:style w:type="paragraph" w:styleId="ListContinue5">
    <w:name w:val="List Continue 5"/>
    <w:basedOn w:val="Normal"/>
    <w:semiHidden/>
    <w:rsid w:val="005D1A59"/>
    <w:pPr>
      <w:spacing w:after="120"/>
      <w:ind w:left="1415"/>
    </w:pPr>
  </w:style>
  <w:style w:type="character" w:styleId="HTMLDefinition">
    <w:name w:val="HTML Definition"/>
    <w:semiHidden/>
    <w:rsid w:val="005D1A59"/>
    <w:rPr>
      <w:i/>
      <w:iCs/>
    </w:rPr>
  </w:style>
  <w:style w:type="paragraph" w:styleId="HTMLAddress">
    <w:name w:val="HTML Address"/>
    <w:basedOn w:val="Normal"/>
    <w:link w:val="HTMLAddressChar"/>
    <w:semiHidden/>
    <w:rsid w:val="005D1A59"/>
    <w:rPr>
      <w:i/>
      <w:iCs/>
    </w:rPr>
  </w:style>
  <w:style w:type="paragraph" w:styleId="EnvelopeAddress">
    <w:name w:val="envelope address"/>
    <w:basedOn w:val="Normal"/>
    <w:semiHidden/>
    <w:rsid w:val="005D1A59"/>
    <w:pPr>
      <w:framePr w:w="7920" w:h="1980" w:hRule="exact" w:hSpace="141" w:wrap="auto" w:hAnchor="page" w:xAlign="center" w:yAlign="bottom"/>
      <w:ind w:left="2880"/>
    </w:pPr>
    <w:rPr>
      <w:rFonts w:ascii="Arial" w:hAnsi="Arial" w:cs="Arial"/>
      <w:sz w:val="24"/>
      <w:szCs w:val="24"/>
    </w:rPr>
  </w:style>
  <w:style w:type="character" w:styleId="HTMLSample">
    <w:name w:val="HTML Sample"/>
    <w:semiHidden/>
    <w:rsid w:val="005D1A59"/>
    <w:rPr>
      <w:rFonts w:ascii="Courier New" w:hAnsi="Courier New" w:cs="Courier New"/>
    </w:rPr>
  </w:style>
  <w:style w:type="paragraph" w:styleId="MessageHeader">
    <w:name w:val="Message Header"/>
    <w:basedOn w:val="Normal"/>
    <w:link w:val="MessageHeaderChar"/>
    <w:semiHidden/>
    <w:rsid w:val="005D1A59"/>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teHeading">
    <w:name w:val="Note Heading"/>
    <w:basedOn w:val="Normal"/>
    <w:next w:val="Normal"/>
    <w:link w:val="NoteHeadingChar"/>
    <w:semiHidden/>
    <w:rsid w:val="005D1A59"/>
  </w:style>
  <w:style w:type="character" w:styleId="Emphasis">
    <w:name w:val="Emphasis"/>
    <w:semiHidden/>
    <w:rsid w:val="005D1A59"/>
    <w:rPr>
      <w:i/>
      <w:iCs/>
    </w:rPr>
  </w:style>
  <w:style w:type="paragraph" w:styleId="Date">
    <w:name w:val="Date"/>
    <w:basedOn w:val="Normal"/>
    <w:next w:val="Normal"/>
    <w:link w:val="DateChar"/>
    <w:uiPriority w:val="99"/>
    <w:semiHidden/>
    <w:rsid w:val="005D1A59"/>
  </w:style>
  <w:style w:type="paragraph" w:styleId="Signature">
    <w:name w:val="Signature"/>
    <w:basedOn w:val="Normal"/>
    <w:link w:val="SignatureChar"/>
    <w:semiHidden/>
    <w:rsid w:val="005D1A59"/>
    <w:pPr>
      <w:ind w:left="4252"/>
    </w:pPr>
  </w:style>
  <w:style w:type="paragraph" w:styleId="E-mailSignature">
    <w:name w:val="E-mail Signature"/>
    <w:basedOn w:val="Normal"/>
    <w:link w:val="E-mailSignatureChar"/>
    <w:semiHidden/>
    <w:rsid w:val="005D1A59"/>
  </w:style>
  <w:style w:type="character" w:styleId="Hyperlink">
    <w:name w:val="Hyperlink"/>
    <w:uiPriority w:val="99"/>
    <w:rsid w:val="005D1A59"/>
    <w:rPr>
      <w:color w:val="0000FF"/>
      <w:u w:val="none"/>
    </w:rPr>
  </w:style>
  <w:style w:type="character" w:styleId="FollowedHyperlink">
    <w:name w:val="FollowedHyperlink"/>
    <w:rsid w:val="005D1A59"/>
    <w:rPr>
      <w:color w:val="0000FF"/>
      <w:u w:val="none"/>
    </w:rPr>
  </w:style>
  <w:style w:type="paragraph" w:styleId="HTMLPreformatted">
    <w:name w:val="HTML Preformatted"/>
    <w:basedOn w:val="Normal"/>
    <w:link w:val="HTMLPreformattedChar"/>
    <w:semiHidden/>
    <w:rsid w:val="005D1A59"/>
    <w:rPr>
      <w:rFonts w:ascii="Courier New" w:hAnsi="Courier New" w:cs="Courier New"/>
    </w:rPr>
  </w:style>
  <w:style w:type="paragraph" w:styleId="List">
    <w:name w:val="List"/>
    <w:basedOn w:val="Normal"/>
    <w:semiHidden/>
    <w:rsid w:val="005D1A59"/>
    <w:pPr>
      <w:ind w:left="283" w:hanging="283"/>
    </w:pPr>
  </w:style>
  <w:style w:type="paragraph" w:styleId="List2">
    <w:name w:val="List 2"/>
    <w:basedOn w:val="Normal"/>
    <w:semiHidden/>
    <w:rsid w:val="005D1A59"/>
    <w:pPr>
      <w:ind w:left="566" w:hanging="283"/>
    </w:pPr>
  </w:style>
  <w:style w:type="paragraph" w:styleId="List3">
    <w:name w:val="List 3"/>
    <w:basedOn w:val="Normal"/>
    <w:semiHidden/>
    <w:rsid w:val="005D1A59"/>
    <w:pPr>
      <w:ind w:left="849" w:hanging="283"/>
    </w:pPr>
  </w:style>
  <w:style w:type="paragraph" w:styleId="List4">
    <w:name w:val="List 4"/>
    <w:basedOn w:val="Normal"/>
    <w:semiHidden/>
    <w:rsid w:val="005D1A59"/>
    <w:pPr>
      <w:ind w:left="1132" w:hanging="283"/>
    </w:pPr>
  </w:style>
  <w:style w:type="paragraph" w:styleId="List5">
    <w:name w:val="List 5"/>
    <w:basedOn w:val="Normal"/>
    <w:semiHidden/>
    <w:rsid w:val="005D1A59"/>
    <w:pPr>
      <w:ind w:left="1415" w:hanging="283"/>
    </w:pPr>
  </w:style>
  <w:style w:type="paragraph" w:styleId="ListNumber">
    <w:name w:val="List Number"/>
    <w:basedOn w:val="Normal"/>
    <w:semiHidden/>
    <w:rsid w:val="005D1A59"/>
    <w:pPr>
      <w:numPr>
        <w:numId w:val="30"/>
      </w:numPr>
    </w:pPr>
  </w:style>
  <w:style w:type="paragraph" w:styleId="ListNumber2">
    <w:name w:val="List Number 2"/>
    <w:basedOn w:val="Normal"/>
    <w:semiHidden/>
    <w:rsid w:val="005D1A59"/>
    <w:pPr>
      <w:numPr>
        <w:numId w:val="31"/>
      </w:numPr>
    </w:pPr>
  </w:style>
  <w:style w:type="paragraph" w:styleId="ListNumber3">
    <w:name w:val="List Number 3"/>
    <w:basedOn w:val="Normal"/>
    <w:semiHidden/>
    <w:rsid w:val="005D1A59"/>
    <w:pPr>
      <w:numPr>
        <w:numId w:val="32"/>
      </w:numPr>
    </w:pPr>
  </w:style>
  <w:style w:type="paragraph" w:styleId="ListNumber4">
    <w:name w:val="List Number 4"/>
    <w:basedOn w:val="Normal"/>
    <w:semiHidden/>
    <w:rsid w:val="005D1A59"/>
    <w:pPr>
      <w:numPr>
        <w:numId w:val="33"/>
      </w:numPr>
    </w:pPr>
  </w:style>
  <w:style w:type="paragraph" w:styleId="ListNumber5">
    <w:name w:val="List Number 5"/>
    <w:basedOn w:val="Normal"/>
    <w:semiHidden/>
    <w:rsid w:val="005D1A59"/>
    <w:pPr>
      <w:numPr>
        <w:numId w:val="34"/>
      </w:numPr>
    </w:pPr>
  </w:style>
  <w:style w:type="paragraph" w:styleId="ListBullet">
    <w:name w:val="List Bullet"/>
    <w:basedOn w:val="Normal"/>
    <w:semiHidden/>
    <w:rsid w:val="005D1A59"/>
    <w:pPr>
      <w:numPr>
        <w:numId w:val="25"/>
      </w:numPr>
    </w:pPr>
  </w:style>
  <w:style w:type="paragraph" w:styleId="ListBullet2">
    <w:name w:val="List Bullet 2"/>
    <w:basedOn w:val="Normal"/>
    <w:semiHidden/>
    <w:rsid w:val="005D1A59"/>
    <w:pPr>
      <w:numPr>
        <w:numId w:val="26"/>
      </w:numPr>
    </w:pPr>
  </w:style>
  <w:style w:type="paragraph" w:styleId="ListBullet3">
    <w:name w:val="List Bullet 3"/>
    <w:basedOn w:val="Normal"/>
    <w:semiHidden/>
    <w:rsid w:val="005D1A59"/>
    <w:pPr>
      <w:numPr>
        <w:numId w:val="27"/>
      </w:numPr>
    </w:pPr>
  </w:style>
  <w:style w:type="paragraph" w:styleId="ListBullet4">
    <w:name w:val="List Bullet 4"/>
    <w:basedOn w:val="Normal"/>
    <w:semiHidden/>
    <w:rsid w:val="005D1A59"/>
    <w:pPr>
      <w:numPr>
        <w:numId w:val="28"/>
      </w:numPr>
    </w:pPr>
  </w:style>
  <w:style w:type="paragraph" w:styleId="ListBullet5">
    <w:name w:val="List Bullet 5"/>
    <w:basedOn w:val="Normal"/>
    <w:semiHidden/>
    <w:rsid w:val="005D1A59"/>
    <w:pPr>
      <w:numPr>
        <w:numId w:val="29"/>
      </w:numPr>
    </w:pPr>
  </w:style>
  <w:style w:type="character" w:styleId="HTMLTypewriter">
    <w:name w:val="HTML Typewriter"/>
    <w:semiHidden/>
    <w:rsid w:val="005D1A59"/>
    <w:rPr>
      <w:rFonts w:ascii="Courier New" w:hAnsi="Courier New" w:cs="Courier New"/>
      <w:sz w:val="20"/>
      <w:szCs w:val="20"/>
    </w:rPr>
  </w:style>
  <w:style w:type="paragraph" w:styleId="NormalWeb">
    <w:name w:val="Normal (Web)"/>
    <w:basedOn w:val="Normal"/>
    <w:uiPriority w:val="99"/>
    <w:rsid w:val="005D1A59"/>
    <w:rPr>
      <w:sz w:val="24"/>
      <w:szCs w:val="24"/>
    </w:rPr>
  </w:style>
  <w:style w:type="character" w:styleId="LineNumber">
    <w:name w:val="line number"/>
    <w:basedOn w:val="DefaultParagraphFont"/>
    <w:semiHidden/>
    <w:rsid w:val="005D1A59"/>
  </w:style>
  <w:style w:type="character" w:styleId="PageNumber">
    <w:name w:val="page number"/>
    <w:aliases w:val="7_G"/>
    <w:qFormat/>
    <w:rsid w:val="005D1A59"/>
    <w:rPr>
      <w:b/>
      <w:sz w:val="18"/>
    </w:rPr>
  </w:style>
  <w:style w:type="character" w:styleId="EndnoteReference">
    <w:name w:val="endnote reference"/>
    <w:aliases w:val="1_G"/>
    <w:qFormat/>
    <w:rsid w:val="005D1A59"/>
    <w:rPr>
      <w:rFonts w:ascii="Times New Roman" w:hAnsi="Times New Roman"/>
      <w:sz w:val="18"/>
      <w:vertAlign w:val="superscript"/>
    </w:rPr>
  </w:style>
  <w:style w:type="paragraph" w:styleId="EnvelopeReturn">
    <w:name w:val="envelope return"/>
    <w:basedOn w:val="Normal"/>
    <w:semiHidden/>
    <w:rsid w:val="005D1A59"/>
    <w:rPr>
      <w:rFonts w:ascii="Arial" w:hAnsi="Arial" w:cs="Arial"/>
    </w:rPr>
  </w:style>
  <w:style w:type="paragraph" w:styleId="Salutation">
    <w:name w:val="Salutation"/>
    <w:basedOn w:val="Normal"/>
    <w:next w:val="Normal"/>
    <w:link w:val="SalutationChar"/>
    <w:semiHidden/>
    <w:rsid w:val="005D1A59"/>
  </w:style>
  <w:style w:type="paragraph" w:styleId="BodyTextIndent2">
    <w:name w:val="Body Text Indent 2"/>
    <w:basedOn w:val="Normal"/>
    <w:link w:val="BodyTextIndent2Char"/>
    <w:semiHidden/>
    <w:rsid w:val="005D1A59"/>
    <w:pPr>
      <w:spacing w:after="120" w:line="480" w:lineRule="auto"/>
      <w:ind w:left="283"/>
    </w:pPr>
  </w:style>
  <w:style w:type="paragraph" w:styleId="BodyTextIndent3">
    <w:name w:val="Body Text Indent 3"/>
    <w:basedOn w:val="Normal"/>
    <w:link w:val="BodyTextIndent3Char"/>
    <w:semiHidden/>
    <w:rsid w:val="005D1A59"/>
    <w:pPr>
      <w:spacing w:after="120"/>
      <w:ind w:left="283"/>
    </w:pPr>
    <w:rPr>
      <w:sz w:val="16"/>
      <w:szCs w:val="16"/>
    </w:rPr>
  </w:style>
  <w:style w:type="paragraph" w:styleId="BodyTextIndent">
    <w:name w:val="Body Text Indent"/>
    <w:basedOn w:val="Normal"/>
    <w:link w:val="BodyTextIndentChar"/>
    <w:semiHidden/>
    <w:rsid w:val="005D1A59"/>
    <w:pPr>
      <w:spacing w:after="120"/>
      <w:ind w:left="283"/>
    </w:pPr>
  </w:style>
  <w:style w:type="paragraph" w:styleId="NormalIndent">
    <w:name w:val="Normal Indent"/>
    <w:basedOn w:val="Normal"/>
    <w:semiHidden/>
    <w:rsid w:val="005D1A59"/>
    <w:pPr>
      <w:ind w:left="567"/>
    </w:pPr>
  </w:style>
  <w:style w:type="paragraph" w:styleId="Subtitle">
    <w:name w:val="Subtitle"/>
    <w:basedOn w:val="Normal"/>
    <w:link w:val="SubtitleChar"/>
    <w:semiHidden/>
    <w:rsid w:val="005D1A59"/>
    <w:pPr>
      <w:spacing w:after="60"/>
      <w:jc w:val="center"/>
      <w:outlineLvl w:val="1"/>
    </w:pPr>
    <w:rPr>
      <w:rFonts w:ascii="Arial" w:hAnsi="Arial" w:cs="Arial"/>
      <w:sz w:val="24"/>
      <w:szCs w:val="24"/>
    </w:rPr>
  </w:style>
  <w:style w:type="table" w:styleId="TableSimple1">
    <w:name w:val="Table Simple 1"/>
    <w:basedOn w:val="TableNormal"/>
    <w:rsid w:val="005D1A59"/>
    <w:pPr>
      <w:spacing w:line="240" w:lineRule="atLeast"/>
    </w:pPr>
    <w:rPr>
      <w:lang w:eastAsia="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5D1A59"/>
    <w:pPr>
      <w:spacing w:line="240" w:lineRule="atLeast"/>
    </w:pPr>
    <w:rPr>
      <w:lang w:eastAsia="en-US"/>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5D1A59"/>
    <w:pPr>
      <w:spacing w:line="240" w:lineRule="atLeast"/>
    </w:pPr>
    <w:rPr>
      <w:lang w:eastAsia="en-US"/>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Classic1">
    <w:name w:val="Table Classic 1"/>
    <w:basedOn w:val="TableNormal"/>
    <w:rsid w:val="005D1A59"/>
    <w:pPr>
      <w:spacing w:line="240" w:lineRule="atLeast"/>
    </w:pPr>
    <w:rPr>
      <w:lang w:eastAsia="en-US"/>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5D1A59"/>
    <w:pPr>
      <w:spacing w:line="240" w:lineRule="atLeast"/>
    </w:pPr>
    <w:rPr>
      <w:lang w:eastAsia="en-US"/>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5D1A59"/>
    <w:pPr>
      <w:spacing w:line="240" w:lineRule="atLeast"/>
    </w:pPr>
    <w:rPr>
      <w:color w:val="000080"/>
      <w:lang w:eastAsia="en-US"/>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5D1A59"/>
    <w:pPr>
      <w:spacing w:line="240" w:lineRule="atLeast"/>
    </w:pPr>
    <w:rPr>
      <w:lang w:eastAsia="en-US"/>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umns1">
    <w:name w:val="Table Columns 1"/>
    <w:basedOn w:val="TableNormal"/>
    <w:rsid w:val="005D1A59"/>
    <w:pPr>
      <w:spacing w:line="240" w:lineRule="atLeast"/>
    </w:pPr>
    <w:rPr>
      <w:b/>
      <w:bCs/>
      <w:lang w:eastAsia="en-U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5D1A59"/>
    <w:pPr>
      <w:spacing w:line="240" w:lineRule="atLeast"/>
    </w:pPr>
    <w:rPr>
      <w:b/>
      <w:bCs/>
      <w:lang w:eastAsia="en-U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5D1A59"/>
    <w:pPr>
      <w:spacing w:line="240" w:lineRule="atLeast"/>
    </w:pPr>
    <w:rPr>
      <w:b/>
      <w:bCs/>
      <w:lang w:eastAsia="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5D1A59"/>
    <w:pPr>
      <w:spacing w:line="240" w:lineRule="atLeast"/>
    </w:pPr>
    <w:rPr>
      <w:lang w:eastAsia="en-U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5D1A59"/>
    <w:pPr>
      <w:spacing w:line="240" w:lineRule="atLeast"/>
    </w:pPr>
    <w:rPr>
      <w:lang w:eastAsia="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Grid1">
    <w:name w:val="Table Grid 1"/>
    <w:basedOn w:val="TableNormal"/>
    <w:rsid w:val="005D1A59"/>
    <w:pPr>
      <w:spacing w:line="240" w:lineRule="atLeast"/>
    </w:pPr>
    <w:rPr>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5D1A59"/>
    <w:pPr>
      <w:spacing w:line="240" w:lineRule="atLeast"/>
    </w:pPr>
    <w:rPr>
      <w:lang w:eastAsia="en-US"/>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5D1A59"/>
    <w:pPr>
      <w:spacing w:line="240" w:lineRule="atLeast"/>
    </w:pPr>
    <w:rPr>
      <w:lang w:eastAsia="en-US"/>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5D1A59"/>
    <w:pPr>
      <w:spacing w:line="240" w:lineRule="atLeast"/>
    </w:pPr>
    <w:rPr>
      <w:lang w:eastAsia="en-US"/>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5D1A59"/>
    <w:pPr>
      <w:spacing w:line="240" w:lineRule="atLeast"/>
    </w:pPr>
    <w:rPr>
      <w:lang w:eastAsia="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5D1A59"/>
    <w:pPr>
      <w:spacing w:line="240" w:lineRule="atLeast"/>
    </w:pPr>
    <w:rPr>
      <w:lang w:eastAsia="en-US"/>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5D1A59"/>
    <w:pPr>
      <w:spacing w:line="240" w:lineRule="atLeast"/>
    </w:pPr>
    <w:rPr>
      <w:b/>
      <w:bCs/>
      <w:lang w:eastAsia="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5D1A59"/>
    <w:pPr>
      <w:spacing w:line="240" w:lineRule="atLeast"/>
    </w:pPr>
    <w:rPr>
      <w:lang w:eastAsia="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3Deffects1">
    <w:name w:val="Table 3D effects 1"/>
    <w:basedOn w:val="TableNormal"/>
    <w:rsid w:val="005D1A59"/>
    <w:pPr>
      <w:spacing w:line="240" w:lineRule="atLeast"/>
    </w:pPr>
    <w:rPr>
      <w:lang w:eastAsia="en-US"/>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5D1A59"/>
    <w:pPr>
      <w:spacing w:line="240" w:lineRule="atLeast"/>
    </w:pPr>
    <w:rPr>
      <w:lang w:eastAsia="en-US"/>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5D1A59"/>
    <w:pPr>
      <w:spacing w:line="240" w:lineRule="atLeast"/>
    </w:pPr>
    <w:rPr>
      <w:lang w:eastAsia="en-US"/>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1">
    <w:name w:val="Table List 1"/>
    <w:basedOn w:val="TableNormal"/>
    <w:rsid w:val="005D1A59"/>
    <w:pPr>
      <w:spacing w:line="240" w:lineRule="atLeast"/>
    </w:pPr>
    <w:rPr>
      <w:lang w:eastAsia="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5D1A59"/>
    <w:pPr>
      <w:spacing w:line="240" w:lineRule="atLeast"/>
    </w:pPr>
    <w:rPr>
      <w:lang w:eastAsia="en-US"/>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5D1A59"/>
    <w:pPr>
      <w:spacing w:line="240" w:lineRule="atLeast"/>
    </w:pPr>
    <w:rPr>
      <w:lang w:eastAsia="en-US"/>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5D1A59"/>
    <w:pPr>
      <w:spacing w:line="240" w:lineRule="atLeast"/>
    </w:pPr>
    <w:rPr>
      <w:lang w:eastAsia="en-US"/>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5D1A59"/>
    <w:pPr>
      <w:spacing w:line="240" w:lineRule="atLeast"/>
    </w:pPr>
    <w:rPr>
      <w:lang w:eastAsia="en-US"/>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5D1A59"/>
    <w:pPr>
      <w:spacing w:line="240" w:lineRule="atLeast"/>
    </w:pPr>
    <w:rPr>
      <w:lang w:eastAsia="en-US"/>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5D1A59"/>
    <w:pPr>
      <w:spacing w:line="240" w:lineRule="atLeast"/>
    </w:pPr>
    <w:rPr>
      <w:lang w:eastAsia="en-US"/>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5D1A59"/>
    <w:pPr>
      <w:spacing w:line="240" w:lineRule="atLeast"/>
    </w:pPr>
    <w:rPr>
      <w:lang w:eastAsia="en-US"/>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Theme">
    <w:name w:val="Table Theme"/>
    <w:basedOn w:val="TableNormal"/>
    <w:rsid w:val="005D1A59"/>
    <w:pPr>
      <w:spacing w:line="240" w:lineRule="atLeast"/>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Elegant">
    <w:name w:val="Table Elegant"/>
    <w:basedOn w:val="TableNormal"/>
    <w:rsid w:val="005D1A59"/>
    <w:pPr>
      <w:spacing w:line="240" w:lineRule="atLeast"/>
    </w:pPr>
    <w:rPr>
      <w:lang w:eastAsia="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Contemporary">
    <w:name w:val="Table Contemporary"/>
    <w:basedOn w:val="TableNormal"/>
    <w:rsid w:val="005D1A59"/>
    <w:pPr>
      <w:spacing w:line="240" w:lineRule="atLeast"/>
    </w:pPr>
    <w:rPr>
      <w:lang w:eastAsia="en-US"/>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Professional">
    <w:name w:val="Table Professional"/>
    <w:basedOn w:val="TableNormal"/>
    <w:rsid w:val="005D1A59"/>
    <w:pPr>
      <w:spacing w:line="240" w:lineRule="atLeast"/>
    </w:pPr>
    <w:rPr>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5D1A59"/>
    <w:pPr>
      <w:spacing w:line="240" w:lineRule="atLeast"/>
    </w:pPr>
    <w:rPr>
      <w:lang w:eastAsia="en-US"/>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5D1A59"/>
    <w:pPr>
      <w:spacing w:line="240" w:lineRule="atLeast"/>
    </w:pPr>
    <w:rPr>
      <w:lang w:eastAsia="en-US"/>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rful1">
    <w:name w:val="Table Colorful 1"/>
    <w:basedOn w:val="TableNormal"/>
    <w:rsid w:val="005D1A59"/>
    <w:pPr>
      <w:spacing w:line="240" w:lineRule="atLeast"/>
    </w:pPr>
    <w:rPr>
      <w:color w:val="FFFFFF"/>
      <w:lang w:eastAsia="en-US"/>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5D1A59"/>
    <w:pPr>
      <w:spacing w:line="240" w:lineRule="atLeast"/>
    </w:pPr>
    <w:rPr>
      <w:lang w:eastAsia="en-US"/>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5D1A59"/>
    <w:pPr>
      <w:spacing w:line="240" w:lineRule="atLeast"/>
    </w:pPr>
    <w:rPr>
      <w:lang w:eastAsia="en-US"/>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Web1">
    <w:name w:val="Table Web 1"/>
    <w:basedOn w:val="TableNormal"/>
    <w:rsid w:val="005D1A59"/>
    <w:pPr>
      <w:spacing w:line="240" w:lineRule="atLeast"/>
    </w:pPr>
    <w:rPr>
      <w:lang w:eastAsia="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5D1A59"/>
    <w:pPr>
      <w:spacing w:line="240" w:lineRule="atLeast"/>
    </w:pPr>
    <w:rPr>
      <w:lang w:eastAsia="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5D1A59"/>
    <w:pPr>
      <w:spacing w:line="240" w:lineRule="atLeast"/>
    </w:pPr>
    <w:rPr>
      <w:lang w:eastAsia="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HTMLKeyboard">
    <w:name w:val="HTML Keyboard"/>
    <w:semiHidden/>
    <w:rsid w:val="005D1A59"/>
    <w:rPr>
      <w:rFonts w:ascii="Courier New" w:hAnsi="Courier New" w:cs="Courier New"/>
      <w:sz w:val="20"/>
      <w:szCs w:val="20"/>
    </w:rPr>
  </w:style>
  <w:style w:type="paragraph" w:styleId="BlockText">
    <w:name w:val="Block Text"/>
    <w:basedOn w:val="Normal"/>
    <w:semiHidden/>
    <w:rsid w:val="005D1A59"/>
    <w:pPr>
      <w:spacing w:after="120"/>
      <w:ind w:left="1440" w:right="1440"/>
    </w:pPr>
  </w:style>
  <w:style w:type="character" w:styleId="Strong">
    <w:name w:val="Strong"/>
    <w:semiHidden/>
    <w:rsid w:val="005D1A59"/>
    <w:rPr>
      <w:b/>
      <w:bCs/>
    </w:rPr>
  </w:style>
  <w:style w:type="paragraph" w:styleId="BodyText">
    <w:name w:val="Body Text"/>
    <w:basedOn w:val="Normal"/>
    <w:link w:val="BodyTextChar"/>
    <w:uiPriority w:val="99"/>
    <w:semiHidden/>
    <w:rsid w:val="005D1A59"/>
    <w:pPr>
      <w:spacing w:after="120"/>
    </w:pPr>
  </w:style>
  <w:style w:type="paragraph" w:styleId="BodyText2">
    <w:name w:val="Body Text 2"/>
    <w:basedOn w:val="Normal"/>
    <w:link w:val="BodyText2Char"/>
    <w:semiHidden/>
    <w:rsid w:val="005D1A59"/>
    <w:pPr>
      <w:spacing w:after="120" w:line="480" w:lineRule="auto"/>
    </w:pPr>
  </w:style>
  <w:style w:type="paragraph" w:styleId="BodyText3">
    <w:name w:val="Body Text 3"/>
    <w:basedOn w:val="Normal"/>
    <w:link w:val="BodyText3Char"/>
    <w:uiPriority w:val="99"/>
    <w:semiHidden/>
    <w:rsid w:val="005D1A59"/>
    <w:pPr>
      <w:spacing w:after="120"/>
    </w:pPr>
    <w:rPr>
      <w:sz w:val="16"/>
      <w:szCs w:val="16"/>
    </w:rPr>
  </w:style>
  <w:style w:type="paragraph" w:styleId="BodyTextFirstIndent">
    <w:name w:val="Body Text First Indent"/>
    <w:basedOn w:val="BodyText"/>
    <w:link w:val="BodyTextFirstIndentChar"/>
    <w:semiHidden/>
    <w:rsid w:val="005D1A59"/>
    <w:pPr>
      <w:ind w:firstLine="210"/>
    </w:pPr>
  </w:style>
  <w:style w:type="paragraph" w:styleId="BodyTextFirstIndent2">
    <w:name w:val="Body Text First Indent 2"/>
    <w:basedOn w:val="BodyTextIndent"/>
    <w:link w:val="BodyTextFirstIndent2Char"/>
    <w:semiHidden/>
    <w:rsid w:val="005D1A59"/>
    <w:pPr>
      <w:ind w:firstLine="210"/>
    </w:pPr>
  </w:style>
  <w:style w:type="paragraph" w:styleId="EndnoteText">
    <w:name w:val="endnote text"/>
    <w:aliases w:val="2_G"/>
    <w:basedOn w:val="FootnoteText"/>
    <w:link w:val="EndnoteTextChar"/>
    <w:qFormat/>
    <w:rsid w:val="005D1A59"/>
  </w:style>
  <w:style w:type="paragraph" w:styleId="PlainText">
    <w:name w:val="Plain Text"/>
    <w:basedOn w:val="Normal"/>
    <w:link w:val="PlainTextChar"/>
    <w:semiHidden/>
    <w:rsid w:val="005D1A59"/>
    <w:rPr>
      <w:rFonts w:ascii="Courier New" w:hAnsi="Courier New" w:cs="Courier New"/>
    </w:rPr>
  </w:style>
  <w:style w:type="paragraph" w:styleId="Title">
    <w:name w:val="Title"/>
    <w:basedOn w:val="Normal"/>
    <w:link w:val="TitleChar"/>
    <w:semiHidden/>
    <w:rsid w:val="005D1A59"/>
    <w:pPr>
      <w:spacing w:before="240" w:after="60"/>
      <w:jc w:val="center"/>
      <w:outlineLvl w:val="0"/>
    </w:pPr>
    <w:rPr>
      <w:rFonts w:ascii="Arial" w:hAnsi="Arial" w:cs="Arial"/>
      <w:b/>
      <w:bCs/>
      <w:kern w:val="28"/>
      <w:sz w:val="32"/>
      <w:szCs w:val="32"/>
    </w:rPr>
  </w:style>
  <w:style w:type="character" w:styleId="HTMLVariable">
    <w:name w:val="HTML Variable"/>
    <w:semiHidden/>
    <w:rsid w:val="005D1A59"/>
    <w:rPr>
      <w:i/>
      <w:iCs/>
    </w:rPr>
  </w:style>
  <w:style w:type="paragraph" w:customStyle="1" w:styleId="Bullet1G">
    <w:name w:val="_Bullet 1_G"/>
    <w:basedOn w:val="Normal"/>
    <w:qFormat/>
    <w:rsid w:val="005D1A59"/>
    <w:pPr>
      <w:numPr>
        <w:numId w:val="17"/>
      </w:numPr>
      <w:spacing w:after="120"/>
      <w:ind w:right="1134"/>
      <w:jc w:val="both"/>
    </w:pPr>
    <w:rPr>
      <w:lang w:eastAsia="en-US"/>
    </w:rPr>
  </w:style>
  <w:style w:type="paragraph" w:customStyle="1" w:styleId="Bullet2G">
    <w:name w:val="_Bullet 2_G"/>
    <w:basedOn w:val="Normal"/>
    <w:qFormat/>
    <w:rsid w:val="005D1A59"/>
    <w:pPr>
      <w:numPr>
        <w:numId w:val="18"/>
      </w:numPr>
      <w:spacing w:after="120"/>
      <w:ind w:right="1134"/>
      <w:jc w:val="both"/>
    </w:pPr>
  </w:style>
  <w:style w:type="paragraph" w:styleId="BalloonText">
    <w:name w:val="Balloon Text"/>
    <w:basedOn w:val="Normal"/>
    <w:link w:val="BalloonTextChar"/>
    <w:unhideWhenUsed/>
    <w:rsid w:val="005D1A59"/>
    <w:pPr>
      <w:spacing w:line="240" w:lineRule="auto"/>
    </w:pPr>
    <w:rPr>
      <w:rFonts w:ascii="Segoe UI" w:hAnsi="Segoe UI" w:cs="Segoe UI"/>
      <w:sz w:val="18"/>
      <w:szCs w:val="18"/>
    </w:rPr>
  </w:style>
  <w:style w:type="character" w:customStyle="1" w:styleId="BalloonTextChar">
    <w:name w:val="Balloon Text Char"/>
    <w:basedOn w:val="DefaultParagraphFont"/>
    <w:link w:val="BalloonText"/>
    <w:rsid w:val="005D1A59"/>
    <w:rPr>
      <w:rFonts w:ascii="Segoe UI" w:hAnsi="Segoe UI" w:cs="Segoe UI"/>
      <w:sz w:val="18"/>
      <w:szCs w:val="18"/>
      <w:lang w:val="es-ES" w:eastAsia="es-ES"/>
    </w:rPr>
  </w:style>
  <w:style w:type="paragraph" w:customStyle="1" w:styleId="ParNoG">
    <w:name w:val="_ParNo_G"/>
    <w:basedOn w:val="Normal"/>
    <w:qFormat/>
    <w:rsid w:val="005D1A59"/>
    <w:pPr>
      <w:numPr>
        <w:numId w:val="19"/>
      </w:numPr>
      <w:tabs>
        <w:tab w:val="left" w:pos="1701"/>
        <w:tab w:val="left" w:pos="2268"/>
        <w:tab w:val="left" w:pos="2835"/>
      </w:tabs>
      <w:suppressAutoHyphens/>
      <w:kinsoku w:val="0"/>
      <w:overflowPunct w:val="0"/>
      <w:autoSpaceDE w:val="0"/>
      <w:autoSpaceDN w:val="0"/>
      <w:adjustRightInd w:val="0"/>
      <w:snapToGrid w:val="0"/>
      <w:spacing w:after="120"/>
      <w:ind w:right="1134"/>
      <w:jc w:val="both"/>
    </w:pPr>
    <w:rPr>
      <w:rFonts w:eastAsiaTheme="minorHAnsi"/>
      <w:lang w:eastAsia="en-US"/>
    </w:rPr>
  </w:style>
  <w:style w:type="character" w:customStyle="1" w:styleId="SingleTxtGChar">
    <w:name w:val="_ Single Txt_G Char"/>
    <w:link w:val="SingleTxtG"/>
    <w:uiPriority w:val="99"/>
    <w:qFormat/>
    <w:rsid w:val="005D1A59"/>
    <w:rPr>
      <w:lang w:val="es-ES" w:eastAsia="es-ES"/>
    </w:rPr>
  </w:style>
  <w:style w:type="paragraph" w:customStyle="1" w:styleId="1ParNoG">
    <w:name w:val="1 _ParNo_G"/>
    <w:basedOn w:val="Normal"/>
    <w:uiPriority w:val="1"/>
    <w:qFormat/>
    <w:rsid w:val="005D1A59"/>
    <w:pPr>
      <w:numPr>
        <w:ilvl w:val="1"/>
        <w:numId w:val="23"/>
      </w:numPr>
      <w:spacing w:after="120"/>
      <w:jc w:val="both"/>
    </w:pPr>
    <w:rPr>
      <w:rFonts w:eastAsiaTheme="minorHAnsi"/>
      <w:lang w:eastAsia="en-US"/>
    </w:rPr>
  </w:style>
  <w:style w:type="paragraph" w:customStyle="1" w:styleId="1ParNoG0">
    <w:name w:val="1_ParNo_G"/>
    <w:basedOn w:val="Normal"/>
    <w:uiPriority w:val="1"/>
    <w:qFormat/>
    <w:rsid w:val="005D1A59"/>
    <w:pPr>
      <w:numPr>
        <w:ilvl w:val="2"/>
        <w:numId w:val="23"/>
      </w:numPr>
      <w:tabs>
        <w:tab w:val="clear" w:pos="1701"/>
      </w:tabs>
      <w:spacing w:after="120"/>
      <w:jc w:val="both"/>
    </w:pPr>
    <w:rPr>
      <w:rFonts w:eastAsiaTheme="minorHAnsi"/>
      <w:lang w:eastAsia="en-US"/>
    </w:rPr>
  </w:style>
  <w:style w:type="character" w:customStyle="1" w:styleId="BodyTextChar">
    <w:name w:val="Body Text Char"/>
    <w:basedOn w:val="DefaultParagraphFont"/>
    <w:link w:val="BodyText"/>
    <w:uiPriority w:val="99"/>
    <w:semiHidden/>
    <w:rsid w:val="005D1A59"/>
    <w:rPr>
      <w:lang w:val="es-ES" w:eastAsia="es-ES"/>
    </w:rPr>
  </w:style>
  <w:style w:type="character" w:customStyle="1" w:styleId="BodyText2Char">
    <w:name w:val="Body Text 2 Char"/>
    <w:basedOn w:val="DefaultParagraphFont"/>
    <w:link w:val="BodyText2"/>
    <w:semiHidden/>
    <w:rsid w:val="005D1A59"/>
    <w:rPr>
      <w:lang w:val="es-ES" w:eastAsia="es-ES"/>
    </w:rPr>
  </w:style>
  <w:style w:type="character" w:customStyle="1" w:styleId="BodyText3Char">
    <w:name w:val="Body Text 3 Char"/>
    <w:basedOn w:val="DefaultParagraphFont"/>
    <w:link w:val="BodyText3"/>
    <w:uiPriority w:val="99"/>
    <w:semiHidden/>
    <w:rsid w:val="005D1A59"/>
    <w:rPr>
      <w:sz w:val="16"/>
      <w:szCs w:val="16"/>
      <w:lang w:val="es-ES" w:eastAsia="es-ES"/>
    </w:rPr>
  </w:style>
  <w:style w:type="character" w:customStyle="1" w:styleId="BodyTextFirstIndentChar">
    <w:name w:val="Body Text First Indent Char"/>
    <w:basedOn w:val="BodyTextChar"/>
    <w:link w:val="BodyTextFirstIndent"/>
    <w:semiHidden/>
    <w:rsid w:val="005D1A59"/>
    <w:rPr>
      <w:lang w:val="es-ES" w:eastAsia="es-ES"/>
    </w:rPr>
  </w:style>
  <w:style w:type="character" w:customStyle="1" w:styleId="BodyTextIndentChar">
    <w:name w:val="Body Text Indent Char"/>
    <w:basedOn w:val="DefaultParagraphFont"/>
    <w:link w:val="BodyTextIndent"/>
    <w:semiHidden/>
    <w:rsid w:val="005D1A59"/>
    <w:rPr>
      <w:lang w:val="es-ES" w:eastAsia="es-ES"/>
    </w:rPr>
  </w:style>
  <w:style w:type="character" w:customStyle="1" w:styleId="BodyTextFirstIndent2Char">
    <w:name w:val="Body Text First Indent 2 Char"/>
    <w:basedOn w:val="BodyTextIndentChar"/>
    <w:link w:val="BodyTextFirstIndent2"/>
    <w:semiHidden/>
    <w:rsid w:val="005D1A59"/>
    <w:rPr>
      <w:lang w:val="es-ES" w:eastAsia="es-ES"/>
    </w:rPr>
  </w:style>
  <w:style w:type="character" w:customStyle="1" w:styleId="BodyTextIndent2Char">
    <w:name w:val="Body Text Indent 2 Char"/>
    <w:basedOn w:val="DefaultParagraphFont"/>
    <w:link w:val="BodyTextIndent2"/>
    <w:semiHidden/>
    <w:rsid w:val="005D1A59"/>
    <w:rPr>
      <w:lang w:val="es-ES" w:eastAsia="es-ES"/>
    </w:rPr>
  </w:style>
  <w:style w:type="character" w:customStyle="1" w:styleId="BodyTextIndent3Char">
    <w:name w:val="Body Text Indent 3 Char"/>
    <w:basedOn w:val="DefaultParagraphFont"/>
    <w:link w:val="BodyTextIndent3"/>
    <w:semiHidden/>
    <w:rsid w:val="005D1A59"/>
    <w:rPr>
      <w:sz w:val="16"/>
      <w:szCs w:val="16"/>
      <w:lang w:val="es-ES" w:eastAsia="es-ES"/>
    </w:rPr>
  </w:style>
  <w:style w:type="character" w:customStyle="1" w:styleId="ClosingChar">
    <w:name w:val="Closing Char"/>
    <w:basedOn w:val="DefaultParagraphFont"/>
    <w:link w:val="Closing"/>
    <w:semiHidden/>
    <w:rsid w:val="005D1A59"/>
    <w:rPr>
      <w:lang w:val="es-ES" w:eastAsia="es-ES"/>
    </w:rPr>
  </w:style>
  <w:style w:type="character" w:customStyle="1" w:styleId="DateChar">
    <w:name w:val="Date Char"/>
    <w:basedOn w:val="DefaultParagraphFont"/>
    <w:link w:val="Date"/>
    <w:uiPriority w:val="99"/>
    <w:semiHidden/>
    <w:rsid w:val="005D1A59"/>
    <w:rPr>
      <w:lang w:val="es-ES" w:eastAsia="es-ES"/>
    </w:rPr>
  </w:style>
  <w:style w:type="character" w:customStyle="1" w:styleId="E-mailSignatureChar">
    <w:name w:val="E-mail Signature Char"/>
    <w:basedOn w:val="DefaultParagraphFont"/>
    <w:link w:val="E-mailSignature"/>
    <w:semiHidden/>
    <w:rsid w:val="005D1A59"/>
    <w:rPr>
      <w:lang w:val="es-ES" w:eastAsia="es-ES"/>
    </w:rPr>
  </w:style>
  <w:style w:type="character" w:customStyle="1" w:styleId="FootnoteTextChar">
    <w:name w:val="Footnote Text Char"/>
    <w:aliases w:val="5_G Char"/>
    <w:basedOn w:val="DefaultParagraphFont"/>
    <w:link w:val="FootnoteText"/>
    <w:rsid w:val="005D1A59"/>
    <w:rPr>
      <w:sz w:val="18"/>
      <w:lang w:val="es-ES" w:eastAsia="es-ES"/>
    </w:rPr>
  </w:style>
  <w:style w:type="character" w:customStyle="1" w:styleId="EndnoteTextChar">
    <w:name w:val="Endnote Text Char"/>
    <w:aliases w:val="2_G Char"/>
    <w:basedOn w:val="DefaultParagraphFont"/>
    <w:link w:val="EndnoteText"/>
    <w:rsid w:val="005D1A59"/>
    <w:rPr>
      <w:sz w:val="18"/>
      <w:lang w:val="es-ES" w:eastAsia="es-ES"/>
    </w:rPr>
  </w:style>
  <w:style w:type="character" w:customStyle="1" w:styleId="FooterChar">
    <w:name w:val="Footer Char"/>
    <w:aliases w:val="3_G Char"/>
    <w:basedOn w:val="DefaultParagraphFont"/>
    <w:link w:val="Footer"/>
    <w:uiPriority w:val="99"/>
    <w:rsid w:val="005D1A59"/>
    <w:rPr>
      <w:sz w:val="16"/>
      <w:lang w:val="es-ES" w:eastAsia="es-ES"/>
    </w:rPr>
  </w:style>
  <w:style w:type="character" w:customStyle="1" w:styleId="HeaderChar">
    <w:name w:val="Header Char"/>
    <w:aliases w:val="6_G Char"/>
    <w:basedOn w:val="DefaultParagraphFont"/>
    <w:link w:val="Header"/>
    <w:uiPriority w:val="99"/>
    <w:rsid w:val="005D1A59"/>
    <w:rPr>
      <w:b/>
      <w:sz w:val="18"/>
      <w:lang w:val="es-ES" w:eastAsia="es-ES"/>
    </w:rPr>
  </w:style>
  <w:style w:type="character" w:customStyle="1" w:styleId="Heading1Char">
    <w:name w:val="Heading 1 Char"/>
    <w:aliases w:val="Cuadro_G Char,Table_G Char"/>
    <w:basedOn w:val="DefaultParagraphFont"/>
    <w:link w:val="Heading1"/>
    <w:rsid w:val="005D1A59"/>
    <w:rPr>
      <w:lang w:val="fr-CH" w:eastAsia="en-US"/>
    </w:rPr>
  </w:style>
  <w:style w:type="character" w:customStyle="1" w:styleId="HTMLAddressChar">
    <w:name w:val="HTML Address Char"/>
    <w:basedOn w:val="DefaultParagraphFont"/>
    <w:link w:val="HTMLAddress"/>
    <w:semiHidden/>
    <w:rsid w:val="005D1A59"/>
    <w:rPr>
      <w:i/>
      <w:iCs/>
      <w:lang w:val="es-ES" w:eastAsia="es-ES"/>
    </w:rPr>
  </w:style>
  <w:style w:type="character" w:customStyle="1" w:styleId="HTMLPreformattedChar">
    <w:name w:val="HTML Preformatted Char"/>
    <w:basedOn w:val="DefaultParagraphFont"/>
    <w:link w:val="HTMLPreformatted"/>
    <w:semiHidden/>
    <w:rsid w:val="005D1A59"/>
    <w:rPr>
      <w:rFonts w:ascii="Courier New" w:hAnsi="Courier New" w:cs="Courier New"/>
      <w:lang w:val="es-ES" w:eastAsia="es-ES"/>
    </w:rPr>
  </w:style>
  <w:style w:type="character" w:styleId="IntenseEmphasis">
    <w:name w:val="Intense Emphasis"/>
    <w:uiPriority w:val="21"/>
    <w:semiHidden/>
    <w:rsid w:val="005D1A59"/>
    <w:rPr>
      <w:b/>
      <w:bCs/>
      <w:i/>
      <w:iCs/>
      <w:color w:val="4F81BD"/>
    </w:rPr>
  </w:style>
  <w:style w:type="paragraph" w:styleId="IntenseQuote">
    <w:name w:val="Intense Quote"/>
    <w:basedOn w:val="Normal"/>
    <w:next w:val="Normal"/>
    <w:link w:val="IntenseQuoteChar"/>
    <w:uiPriority w:val="30"/>
    <w:semiHidden/>
    <w:rsid w:val="005D1A59"/>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semiHidden/>
    <w:rsid w:val="005D1A59"/>
    <w:rPr>
      <w:b/>
      <w:bCs/>
      <w:i/>
      <w:iCs/>
      <w:color w:val="4F81BD"/>
      <w:lang w:val="es-ES" w:eastAsia="es-ES"/>
    </w:rPr>
  </w:style>
  <w:style w:type="character" w:customStyle="1" w:styleId="MessageHeaderChar">
    <w:name w:val="Message Header Char"/>
    <w:basedOn w:val="DefaultParagraphFont"/>
    <w:link w:val="MessageHeader"/>
    <w:semiHidden/>
    <w:rsid w:val="005D1A59"/>
    <w:rPr>
      <w:rFonts w:ascii="Arial" w:hAnsi="Arial" w:cs="Arial"/>
      <w:sz w:val="24"/>
      <w:szCs w:val="24"/>
      <w:shd w:val="pct20" w:color="auto" w:fill="auto"/>
      <w:lang w:val="es-ES" w:eastAsia="es-ES"/>
    </w:rPr>
  </w:style>
  <w:style w:type="character" w:customStyle="1" w:styleId="NoteHeadingChar">
    <w:name w:val="Note Heading Char"/>
    <w:basedOn w:val="DefaultParagraphFont"/>
    <w:link w:val="NoteHeading"/>
    <w:semiHidden/>
    <w:rsid w:val="005D1A59"/>
    <w:rPr>
      <w:lang w:val="es-ES" w:eastAsia="es-ES"/>
    </w:rPr>
  </w:style>
  <w:style w:type="character" w:customStyle="1" w:styleId="PlainTextChar">
    <w:name w:val="Plain Text Char"/>
    <w:basedOn w:val="DefaultParagraphFont"/>
    <w:link w:val="PlainText"/>
    <w:semiHidden/>
    <w:rsid w:val="005D1A59"/>
    <w:rPr>
      <w:rFonts w:ascii="Courier New" w:hAnsi="Courier New" w:cs="Courier New"/>
      <w:lang w:val="es-ES" w:eastAsia="es-ES"/>
    </w:rPr>
  </w:style>
  <w:style w:type="character" w:customStyle="1" w:styleId="SalutationChar">
    <w:name w:val="Salutation Char"/>
    <w:basedOn w:val="DefaultParagraphFont"/>
    <w:link w:val="Salutation"/>
    <w:semiHidden/>
    <w:rsid w:val="005D1A59"/>
    <w:rPr>
      <w:lang w:val="es-ES" w:eastAsia="es-ES"/>
    </w:rPr>
  </w:style>
  <w:style w:type="character" w:customStyle="1" w:styleId="SignatureChar">
    <w:name w:val="Signature Char"/>
    <w:basedOn w:val="DefaultParagraphFont"/>
    <w:link w:val="Signature"/>
    <w:semiHidden/>
    <w:rsid w:val="005D1A59"/>
    <w:rPr>
      <w:lang w:val="es-ES" w:eastAsia="es-ES"/>
    </w:rPr>
  </w:style>
  <w:style w:type="character" w:customStyle="1" w:styleId="SubtitleChar">
    <w:name w:val="Subtitle Char"/>
    <w:basedOn w:val="DefaultParagraphFont"/>
    <w:link w:val="Subtitle"/>
    <w:semiHidden/>
    <w:rsid w:val="005D1A59"/>
    <w:rPr>
      <w:rFonts w:ascii="Arial" w:hAnsi="Arial" w:cs="Arial"/>
      <w:sz w:val="24"/>
      <w:szCs w:val="24"/>
      <w:lang w:val="es-ES" w:eastAsia="es-ES"/>
    </w:rPr>
  </w:style>
  <w:style w:type="paragraph" w:customStyle="1" w:styleId="Table1G">
    <w:name w:val="Table_1_G"/>
    <w:basedOn w:val="Normal"/>
    <w:next w:val="Normal"/>
    <w:uiPriority w:val="2"/>
    <w:qFormat/>
    <w:rsid w:val="005D1A59"/>
    <w:pPr>
      <w:keepNext/>
      <w:keepLines/>
      <w:suppressAutoHyphens/>
      <w:kinsoku w:val="0"/>
      <w:overflowPunct w:val="0"/>
      <w:autoSpaceDE w:val="0"/>
      <w:autoSpaceDN w:val="0"/>
      <w:adjustRightInd w:val="0"/>
      <w:snapToGrid w:val="0"/>
      <w:spacing w:line="240" w:lineRule="auto"/>
      <w:ind w:left="1134"/>
    </w:pPr>
    <w:rPr>
      <w:rFonts w:eastAsiaTheme="minorHAnsi"/>
      <w:lang w:eastAsia="en-US"/>
    </w:rPr>
  </w:style>
  <w:style w:type="paragraph" w:customStyle="1" w:styleId="Table1line2G">
    <w:name w:val="Table_1_line2_G"/>
    <w:basedOn w:val="Table1G"/>
    <w:next w:val="Normal"/>
    <w:uiPriority w:val="2"/>
    <w:qFormat/>
    <w:rsid w:val="005D1A59"/>
    <w:pPr>
      <w:spacing w:after="120"/>
    </w:pPr>
    <w:rPr>
      <w:b/>
    </w:rPr>
  </w:style>
  <w:style w:type="paragraph" w:customStyle="1" w:styleId="Table1Line3G">
    <w:name w:val="Table_1_Line3_G"/>
    <w:basedOn w:val="Table1line2G"/>
    <w:next w:val="Normal"/>
    <w:uiPriority w:val="2"/>
    <w:qFormat/>
    <w:rsid w:val="005D1A59"/>
    <w:rPr>
      <w:b w:val="0"/>
      <w:sz w:val="16"/>
    </w:rPr>
  </w:style>
  <w:style w:type="paragraph" w:customStyle="1" w:styleId="TableH23G">
    <w:name w:val="Table_H2/3_G"/>
    <w:basedOn w:val="H23G"/>
    <w:uiPriority w:val="2"/>
    <w:qFormat/>
    <w:rsid w:val="005D1A59"/>
    <w:pPr>
      <w:kinsoku w:val="0"/>
      <w:overflowPunct w:val="0"/>
      <w:autoSpaceDE w:val="0"/>
      <w:autoSpaceDN w:val="0"/>
      <w:adjustRightInd w:val="0"/>
      <w:snapToGrid w:val="0"/>
      <w:spacing w:before="0"/>
      <w:ind w:right="0" w:firstLine="0"/>
      <w:outlineLvl w:val="9"/>
    </w:pPr>
    <w:rPr>
      <w:rFonts w:eastAsiaTheme="minorHAnsi"/>
      <w:lang w:eastAsia="en-US"/>
    </w:rPr>
  </w:style>
  <w:style w:type="character" w:customStyle="1" w:styleId="TitleChar">
    <w:name w:val="Title Char"/>
    <w:basedOn w:val="DefaultParagraphFont"/>
    <w:link w:val="Title"/>
    <w:semiHidden/>
    <w:rsid w:val="005D1A59"/>
    <w:rPr>
      <w:rFonts w:ascii="Arial" w:hAnsi="Arial" w:cs="Arial"/>
      <w:b/>
      <w:bCs/>
      <w:kern w:val="28"/>
      <w:sz w:val="32"/>
      <w:szCs w:val="32"/>
      <w:lang w:val="es-ES" w:eastAsia="es-ES"/>
    </w:rPr>
  </w:style>
  <w:style w:type="paragraph" w:styleId="TOC1">
    <w:name w:val="toc 1"/>
    <w:basedOn w:val="Normal"/>
    <w:next w:val="Normal"/>
    <w:uiPriority w:val="5"/>
    <w:unhideWhenUsed/>
    <w:rsid w:val="005D1A59"/>
    <w:pPr>
      <w:tabs>
        <w:tab w:val="right" w:pos="851"/>
        <w:tab w:val="left" w:leader="dot" w:pos="9072"/>
        <w:tab w:val="right" w:pos="9639"/>
      </w:tabs>
      <w:spacing w:after="120"/>
      <w:ind w:left="1134" w:right="851" w:hanging="1134"/>
    </w:pPr>
    <w:rPr>
      <w:rFonts w:eastAsiaTheme="minorHAnsi"/>
      <w:lang w:eastAsia="en-US"/>
    </w:rPr>
  </w:style>
  <w:style w:type="paragraph" w:styleId="TOC2">
    <w:name w:val="toc 2"/>
    <w:basedOn w:val="TOC1"/>
    <w:next w:val="Normal"/>
    <w:uiPriority w:val="5"/>
    <w:unhideWhenUsed/>
    <w:rsid w:val="005D1A59"/>
    <w:pPr>
      <w:tabs>
        <w:tab w:val="clear" w:pos="851"/>
      </w:tabs>
      <w:ind w:left="1559" w:hanging="425"/>
    </w:pPr>
  </w:style>
  <w:style w:type="paragraph" w:styleId="TOC3">
    <w:name w:val="toc 3"/>
    <w:basedOn w:val="TOC2"/>
    <w:next w:val="Normal"/>
    <w:uiPriority w:val="5"/>
    <w:unhideWhenUsed/>
    <w:rsid w:val="005D1A59"/>
    <w:pPr>
      <w:tabs>
        <w:tab w:val="left" w:pos="1985"/>
      </w:tabs>
      <w:ind w:left="1984"/>
    </w:pPr>
  </w:style>
  <w:style w:type="paragraph" w:styleId="TOC4">
    <w:name w:val="toc 4"/>
    <w:basedOn w:val="TOC1"/>
    <w:next w:val="Normal"/>
    <w:uiPriority w:val="5"/>
    <w:unhideWhenUsed/>
    <w:rsid w:val="005D1A59"/>
    <w:pPr>
      <w:tabs>
        <w:tab w:val="clear" w:pos="9072"/>
        <w:tab w:val="left" w:leader="dot" w:pos="7938"/>
        <w:tab w:val="right" w:pos="8930"/>
      </w:tabs>
      <w:ind w:right="1701"/>
    </w:pPr>
  </w:style>
  <w:style w:type="paragraph" w:styleId="TOC5">
    <w:name w:val="toc 5"/>
    <w:basedOn w:val="TOC4"/>
    <w:next w:val="Normal"/>
    <w:uiPriority w:val="5"/>
    <w:unhideWhenUsed/>
    <w:rsid w:val="005D1A59"/>
    <w:pPr>
      <w:tabs>
        <w:tab w:val="clear" w:pos="851"/>
      </w:tabs>
      <w:ind w:left="1559" w:hanging="425"/>
    </w:pPr>
  </w:style>
  <w:style w:type="paragraph" w:styleId="TOC6">
    <w:name w:val="toc 6"/>
    <w:basedOn w:val="TOC5"/>
    <w:next w:val="Normal"/>
    <w:uiPriority w:val="5"/>
    <w:unhideWhenUsed/>
    <w:rsid w:val="005D1A59"/>
    <w:pPr>
      <w:tabs>
        <w:tab w:val="left" w:pos="1985"/>
      </w:tabs>
      <w:ind w:left="1984"/>
    </w:pPr>
  </w:style>
  <w:style w:type="character" w:customStyle="1" w:styleId="Heading2Char">
    <w:name w:val="Heading 2 Char"/>
    <w:basedOn w:val="DefaultParagraphFont"/>
    <w:link w:val="Heading2"/>
    <w:semiHidden/>
    <w:rsid w:val="00A72D17"/>
    <w:rPr>
      <w:rFonts w:cs="Arial"/>
      <w:bCs/>
      <w:iCs/>
      <w:szCs w:val="28"/>
      <w:lang w:val="es-ES" w:eastAsia="es-ES"/>
    </w:rPr>
  </w:style>
  <w:style w:type="character" w:customStyle="1" w:styleId="Heading3Char">
    <w:name w:val="Heading 3 Char"/>
    <w:basedOn w:val="DefaultParagraphFont"/>
    <w:link w:val="Heading3"/>
    <w:semiHidden/>
    <w:rsid w:val="00A72D17"/>
    <w:rPr>
      <w:rFonts w:ascii="Arial" w:hAnsi="Arial" w:cs="Arial"/>
      <w:b/>
      <w:bCs/>
      <w:sz w:val="26"/>
      <w:szCs w:val="26"/>
      <w:lang w:val="es-ES" w:eastAsia="es-ES"/>
    </w:rPr>
  </w:style>
  <w:style w:type="character" w:customStyle="1" w:styleId="Heading4Char">
    <w:name w:val="Heading 4 Char"/>
    <w:basedOn w:val="DefaultParagraphFont"/>
    <w:link w:val="Heading4"/>
    <w:semiHidden/>
    <w:rsid w:val="00A72D17"/>
    <w:rPr>
      <w:b/>
      <w:bCs/>
      <w:sz w:val="28"/>
      <w:szCs w:val="28"/>
      <w:lang w:val="es-ES" w:eastAsia="es-ES"/>
    </w:rPr>
  </w:style>
  <w:style w:type="character" w:customStyle="1" w:styleId="Heading5Char">
    <w:name w:val="Heading 5 Char"/>
    <w:basedOn w:val="DefaultParagraphFont"/>
    <w:link w:val="Heading5"/>
    <w:semiHidden/>
    <w:rsid w:val="00A72D17"/>
    <w:rPr>
      <w:b/>
      <w:bCs/>
      <w:i/>
      <w:iCs/>
      <w:sz w:val="26"/>
      <w:szCs w:val="26"/>
      <w:lang w:val="es-ES" w:eastAsia="es-ES"/>
    </w:rPr>
  </w:style>
  <w:style w:type="character" w:customStyle="1" w:styleId="Heading6Char">
    <w:name w:val="Heading 6 Char"/>
    <w:basedOn w:val="DefaultParagraphFont"/>
    <w:link w:val="Heading6"/>
    <w:semiHidden/>
    <w:rsid w:val="00A72D17"/>
    <w:rPr>
      <w:b/>
      <w:bCs/>
      <w:sz w:val="22"/>
      <w:szCs w:val="22"/>
      <w:lang w:val="es-ES" w:eastAsia="es-ES"/>
    </w:rPr>
  </w:style>
  <w:style w:type="character" w:customStyle="1" w:styleId="Heading7Char">
    <w:name w:val="Heading 7 Char"/>
    <w:basedOn w:val="DefaultParagraphFont"/>
    <w:link w:val="Heading7"/>
    <w:semiHidden/>
    <w:rsid w:val="00A72D17"/>
    <w:rPr>
      <w:sz w:val="24"/>
      <w:szCs w:val="24"/>
      <w:lang w:val="es-ES" w:eastAsia="es-ES"/>
    </w:rPr>
  </w:style>
  <w:style w:type="character" w:customStyle="1" w:styleId="Heading8Char">
    <w:name w:val="Heading 8 Char"/>
    <w:basedOn w:val="DefaultParagraphFont"/>
    <w:link w:val="Heading8"/>
    <w:semiHidden/>
    <w:rsid w:val="00A72D17"/>
    <w:rPr>
      <w:i/>
      <w:iCs/>
      <w:sz w:val="24"/>
      <w:szCs w:val="24"/>
      <w:lang w:val="es-ES" w:eastAsia="es-ES"/>
    </w:rPr>
  </w:style>
  <w:style w:type="character" w:customStyle="1" w:styleId="Heading9Char">
    <w:name w:val="Heading 9 Char"/>
    <w:basedOn w:val="DefaultParagraphFont"/>
    <w:link w:val="Heading9"/>
    <w:semiHidden/>
    <w:rsid w:val="00A72D17"/>
    <w:rPr>
      <w:rFonts w:ascii="Arial" w:hAnsi="Arial" w:cs="Arial"/>
      <w:sz w:val="22"/>
      <w:szCs w:val="22"/>
      <w:lang w:val="es-ES" w:eastAsia="es-ES"/>
    </w:rPr>
  </w:style>
  <w:style w:type="character" w:customStyle="1" w:styleId="H1GChar">
    <w:name w:val="_ H_1_G Char"/>
    <w:link w:val="H1G"/>
    <w:rsid w:val="00A72D17"/>
    <w:rPr>
      <w:b/>
      <w:sz w:val="24"/>
      <w:lang w:val="es-ES" w:eastAsia="es-ES"/>
    </w:rPr>
  </w:style>
  <w:style w:type="paragraph" w:customStyle="1" w:styleId="GHSHeading3">
    <w:name w:val="GHSHeading3"/>
    <w:basedOn w:val="Heading3"/>
    <w:rsid w:val="00A72D17"/>
    <w:pPr>
      <w:tabs>
        <w:tab w:val="left" w:pos="1418"/>
      </w:tabs>
      <w:autoSpaceDE w:val="0"/>
      <w:autoSpaceDN w:val="0"/>
      <w:adjustRightInd w:val="0"/>
      <w:spacing w:before="0" w:after="0" w:line="240" w:lineRule="auto"/>
    </w:pPr>
    <w:rPr>
      <w:rFonts w:ascii="Times New Roman" w:hAnsi="Times New Roman" w:cs="Times New Roman"/>
      <w:color w:val="000000"/>
      <w:sz w:val="22"/>
      <w:szCs w:val="22"/>
      <w:lang w:val="en-GB" w:eastAsia="fr-FR"/>
    </w:rPr>
  </w:style>
  <w:style w:type="paragraph" w:customStyle="1" w:styleId="StyleGHSHeading410pt">
    <w:name w:val="Style GHSHeading4 + 10 pt"/>
    <w:basedOn w:val="Normal"/>
    <w:rsid w:val="00A72D17"/>
    <w:pPr>
      <w:keepNext/>
      <w:keepLines/>
      <w:tabs>
        <w:tab w:val="left" w:pos="1418"/>
        <w:tab w:val="left" w:pos="1985"/>
        <w:tab w:val="left" w:pos="2552"/>
        <w:tab w:val="left" w:pos="3119"/>
        <w:tab w:val="left" w:pos="3686"/>
      </w:tabs>
      <w:autoSpaceDE w:val="0"/>
      <w:autoSpaceDN w:val="0"/>
      <w:adjustRightInd w:val="0"/>
      <w:spacing w:after="240" w:line="240" w:lineRule="auto"/>
      <w:jc w:val="both"/>
    </w:pPr>
    <w:rPr>
      <w:b/>
      <w:bCs/>
      <w:color w:val="000000"/>
      <w:szCs w:val="22"/>
      <w:lang w:val="en-GB" w:eastAsia="fr-FR"/>
    </w:rPr>
  </w:style>
  <w:style w:type="character" w:customStyle="1" w:styleId="Funotenzeichen2">
    <w:name w:val="Fußnotenzeichen2"/>
    <w:rsid w:val="00A72D17"/>
    <w:rPr>
      <w:vertAlign w:val="superscript"/>
    </w:rPr>
  </w:style>
  <w:style w:type="character" w:customStyle="1" w:styleId="H23GChar">
    <w:name w:val="_ H_2/3_G Char"/>
    <w:link w:val="H23G"/>
    <w:locked/>
    <w:rsid w:val="00A72D17"/>
    <w:rPr>
      <w:b/>
      <w:lang w:val="es-ES" w:eastAsia="es-ES"/>
    </w:rPr>
  </w:style>
  <w:style w:type="paragraph" w:styleId="ListParagraph">
    <w:name w:val="List Paragraph"/>
    <w:basedOn w:val="Normal"/>
    <w:link w:val="ListParagraphChar"/>
    <w:uiPriority w:val="34"/>
    <w:qFormat/>
    <w:rsid w:val="00A72D17"/>
    <w:pPr>
      <w:suppressAutoHyphens/>
      <w:kinsoku w:val="0"/>
      <w:overflowPunct w:val="0"/>
      <w:autoSpaceDE w:val="0"/>
      <w:autoSpaceDN w:val="0"/>
      <w:adjustRightInd w:val="0"/>
      <w:snapToGrid w:val="0"/>
      <w:ind w:left="720"/>
      <w:contextualSpacing/>
    </w:pPr>
    <w:rPr>
      <w:rFonts w:eastAsia="SimSun"/>
      <w:lang w:val="en-GB" w:eastAsia="zh-CN"/>
    </w:rPr>
  </w:style>
  <w:style w:type="character" w:customStyle="1" w:styleId="HChGChar">
    <w:name w:val="_ H _Ch_G Char"/>
    <w:link w:val="HChG"/>
    <w:locked/>
    <w:rsid w:val="00A72D17"/>
    <w:rPr>
      <w:b/>
      <w:sz w:val="28"/>
      <w:lang w:val="es-ES" w:eastAsia="es-ES"/>
    </w:rPr>
  </w:style>
  <w:style w:type="character" w:customStyle="1" w:styleId="StyleBold">
    <w:name w:val="Style Bold"/>
    <w:rsid w:val="00A72D17"/>
    <w:rPr>
      <w:rFonts w:ascii="Times New Roman" w:hAnsi="Times New Roman" w:cs="Times New Roman" w:hint="default"/>
      <w:b/>
      <w:bCs/>
    </w:rPr>
  </w:style>
  <w:style w:type="character" w:customStyle="1" w:styleId="ListParagraphChar">
    <w:name w:val="List Paragraph Char"/>
    <w:basedOn w:val="DefaultParagraphFont"/>
    <w:link w:val="ListParagraph"/>
    <w:uiPriority w:val="34"/>
    <w:locked/>
    <w:rsid w:val="00A72D17"/>
    <w:rPr>
      <w:rFonts w:eastAsia="SimSun"/>
      <w:lang w:val="en-GB"/>
    </w:rPr>
  </w:style>
  <w:style w:type="paragraph" w:customStyle="1" w:styleId="Default">
    <w:name w:val="Default"/>
    <w:uiPriority w:val="99"/>
    <w:rsid w:val="00A72D17"/>
    <w:pPr>
      <w:autoSpaceDE w:val="0"/>
      <w:autoSpaceDN w:val="0"/>
      <w:adjustRightInd w:val="0"/>
    </w:pPr>
    <w:rPr>
      <w:rFonts w:eastAsiaTheme="minorHAnsi"/>
      <w:color w:val="000000"/>
      <w:sz w:val="24"/>
      <w:szCs w:val="24"/>
      <w:lang w:val="en-GB" w:eastAsia="en-US"/>
    </w:rPr>
  </w:style>
  <w:style w:type="character" w:customStyle="1" w:styleId="GHStextChar">
    <w:name w:val="GHS_text Char"/>
    <w:link w:val="GHStext"/>
    <w:locked/>
    <w:rsid w:val="00A72D17"/>
    <w:rPr>
      <w:rFonts w:ascii="SimSun" w:hAnsi="SimSun"/>
      <w:color w:val="000000"/>
      <w:szCs w:val="22"/>
      <w:lang w:val="es-ES" w:eastAsia="en-US"/>
    </w:rPr>
  </w:style>
  <w:style w:type="paragraph" w:customStyle="1" w:styleId="GHStext">
    <w:name w:val="GHS_text"/>
    <w:basedOn w:val="Normal"/>
    <w:link w:val="GHStextChar"/>
    <w:qFormat/>
    <w:rsid w:val="00A72D17"/>
    <w:pPr>
      <w:snapToGrid w:val="0"/>
      <w:spacing w:after="240" w:line="240" w:lineRule="auto"/>
      <w:jc w:val="both"/>
    </w:pPr>
    <w:rPr>
      <w:rFonts w:ascii="SimSun" w:hAnsi="SimSun"/>
      <w:color w:val="000000"/>
      <w:szCs w:val="22"/>
      <w:lang w:eastAsia="en-US"/>
    </w:rPr>
  </w:style>
  <w:style w:type="paragraph" w:customStyle="1" w:styleId="GHSHeading5">
    <w:name w:val="GHSHeading5"/>
    <w:basedOn w:val="Normal"/>
    <w:rsid w:val="00A72D17"/>
    <w:pPr>
      <w:keepNext/>
      <w:keepLines/>
      <w:widowControl w:val="0"/>
      <w:tabs>
        <w:tab w:val="left" w:pos="1418"/>
        <w:tab w:val="left" w:pos="1985"/>
        <w:tab w:val="left" w:pos="2552"/>
        <w:tab w:val="left" w:pos="3119"/>
        <w:tab w:val="left" w:pos="3686"/>
      </w:tabs>
      <w:snapToGrid w:val="0"/>
      <w:spacing w:line="240" w:lineRule="auto"/>
      <w:jc w:val="both"/>
    </w:pPr>
    <w:rPr>
      <w:color w:val="000000"/>
      <w:sz w:val="22"/>
      <w:szCs w:val="22"/>
      <w:lang w:val="en-GB" w:eastAsia="en-US"/>
    </w:rPr>
  </w:style>
  <w:style w:type="paragraph" w:customStyle="1" w:styleId="GHSSubparas1">
    <w:name w:val="GHS Subparas1"/>
    <w:basedOn w:val="Normal"/>
    <w:uiPriority w:val="99"/>
    <w:semiHidden/>
    <w:qFormat/>
    <w:rsid w:val="00A72D17"/>
    <w:pPr>
      <w:spacing w:after="240" w:line="240" w:lineRule="auto"/>
      <w:ind w:left="1973" w:hanging="561"/>
      <w:jc w:val="both"/>
    </w:pPr>
    <w:rPr>
      <w:bCs/>
      <w:color w:val="000000"/>
      <w:szCs w:val="24"/>
      <w:lang w:val="en-GB" w:eastAsia="en-US"/>
    </w:rPr>
  </w:style>
  <w:style w:type="character" w:customStyle="1" w:styleId="normaltextrun">
    <w:name w:val="normaltextrun"/>
    <w:basedOn w:val="DefaultParagraphFont"/>
    <w:rsid w:val="00A72D17"/>
  </w:style>
  <w:style w:type="character" w:customStyle="1" w:styleId="spellingerror">
    <w:name w:val="spellingerror"/>
    <w:basedOn w:val="DefaultParagraphFont"/>
    <w:rsid w:val="00A72D17"/>
  </w:style>
  <w:style w:type="character" w:customStyle="1" w:styleId="eop">
    <w:name w:val="eop"/>
    <w:basedOn w:val="DefaultParagraphFont"/>
    <w:rsid w:val="00A72D17"/>
  </w:style>
  <w:style w:type="character" w:styleId="CommentReference">
    <w:name w:val="annotation reference"/>
    <w:basedOn w:val="DefaultParagraphFont"/>
    <w:uiPriority w:val="99"/>
    <w:unhideWhenUsed/>
    <w:rsid w:val="00A72D17"/>
    <w:rPr>
      <w:sz w:val="16"/>
      <w:szCs w:val="16"/>
    </w:rPr>
  </w:style>
  <w:style w:type="paragraph" w:styleId="CommentText">
    <w:name w:val="annotation text"/>
    <w:basedOn w:val="Normal"/>
    <w:link w:val="CommentTextChar"/>
    <w:uiPriority w:val="99"/>
    <w:unhideWhenUsed/>
    <w:rsid w:val="00A72D17"/>
    <w:pPr>
      <w:spacing w:line="240" w:lineRule="auto"/>
    </w:pPr>
    <w:rPr>
      <w:rFonts w:eastAsia="SimSun"/>
      <w:lang w:val="en-GB" w:eastAsia="zh-CN"/>
    </w:rPr>
  </w:style>
  <w:style w:type="character" w:customStyle="1" w:styleId="CommentTextChar">
    <w:name w:val="Comment Text Char"/>
    <w:basedOn w:val="DefaultParagraphFont"/>
    <w:link w:val="CommentText"/>
    <w:uiPriority w:val="99"/>
    <w:rsid w:val="00A72D17"/>
    <w:rPr>
      <w:rFonts w:eastAsia="SimSun"/>
      <w:lang w:val="en-GB"/>
    </w:rPr>
  </w:style>
  <w:style w:type="paragraph" w:styleId="CommentSubject">
    <w:name w:val="annotation subject"/>
    <w:basedOn w:val="CommentText"/>
    <w:next w:val="CommentText"/>
    <w:link w:val="CommentSubjectChar"/>
    <w:uiPriority w:val="99"/>
    <w:semiHidden/>
    <w:unhideWhenUsed/>
    <w:rsid w:val="00A72D17"/>
    <w:rPr>
      <w:b/>
      <w:bCs/>
    </w:rPr>
  </w:style>
  <w:style w:type="character" w:customStyle="1" w:styleId="CommentSubjectChar">
    <w:name w:val="Comment Subject Char"/>
    <w:basedOn w:val="CommentTextChar"/>
    <w:link w:val="CommentSubject"/>
    <w:uiPriority w:val="99"/>
    <w:semiHidden/>
    <w:rsid w:val="00A72D17"/>
    <w:rPr>
      <w:rFonts w:eastAsia="SimSun"/>
      <w:b/>
      <w:bCs/>
      <w:lang w:val="en-GB"/>
    </w:rPr>
  </w:style>
  <w:style w:type="paragraph" w:customStyle="1" w:styleId="TNR11">
    <w:name w:val="TNR11"/>
    <w:rsid w:val="00A72D17"/>
    <w:pPr>
      <w:spacing w:before="240"/>
      <w:ind w:firstLine="1276"/>
      <w:jc w:val="both"/>
    </w:pPr>
    <w:rPr>
      <w:noProof/>
      <w:sz w:val="22"/>
      <w:lang w:val="en-GB" w:eastAsia="en-US"/>
    </w:rPr>
  </w:style>
  <w:style w:type="character" w:customStyle="1" w:styleId="SingleTxtGCar">
    <w:name w:val="_ Single Txt_G Car"/>
    <w:rsid w:val="00A72D17"/>
  </w:style>
  <w:style w:type="character" w:customStyle="1" w:styleId="fontstyle01">
    <w:name w:val="fontstyle01"/>
    <w:basedOn w:val="DefaultParagraphFont"/>
    <w:rsid w:val="00A72D17"/>
    <w:rPr>
      <w:rFonts w:ascii="TimesNewRomanPSMT" w:eastAsia="TimesNewRomanPSMT" w:hAnsi="TimesNewRomanPSMT" w:hint="eastAsia"/>
      <w:b w:val="0"/>
      <w:bCs w:val="0"/>
      <w:i w:val="0"/>
      <w:iCs w:val="0"/>
      <w:color w:val="0D0D0D"/>
      <w:sz w:val="20"/>
      <w:szCs w:val="20"/>
    </w:rPr>
  </w:style>
  <w:style w:type="character" w:customStyle="1" w:styleId="id-label">
    <w:name w:val="id-label"/>
    <w:basedOn w:val="DefaultParagraphFont"/>
    <w:rsid w:val="00A72D17"/>
  </w:style>
  <w:style w:type="paragraph" w:styleId="Revision">
    <w:name w:val="Revision"/>
    <w:hidden/>
    <w:uiPriority w:val="99"/>
    <w:semiHidden/>
    <w:rsid w:val="00A72D17"/>
    <w:rPr>
      <w:rFonts w:eastAsia="SimSun"/>
      <w:lang w:val="en-GB"/>
    </w:rPr>
  </w:style>
  <w:style w:type="character" w:styleId="PlaceholderText">
    <w:name w:val="Placeholder Text"/>
    <w:basedOn w:val="DefaultParagraphFont"/>
    <w:uiPriority w:val="99"/>
    <w:semiHidden/>
    <w:rsid w:val="00A72D17"/>
    <w:rPr>
      <w:color w:val="808080"/>
    </w:rPr>
  </w:style>
  <w:style w:type="character" w:styleId="UnresolvedMention">
    <w:name w:val="Unresolved Mention"/>
    <w:basedOn w:val="DefaultParagraphFont"/>
    <w:uiPriority w:val="99"/>
    <w:semiHidden/>
    <w:unhideWhenUsed/>
    <w:rsid w:val="0097739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639167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footer" Target="footer1.xml"/><Relationship Id="rId21" Type="http://schemas.openxmlformats.org/officeDocument/2006/relationships/package" Target="embeddings/Microsoft_Visio_Drawing6.vsdx"/><Relationship Id="rId42" Type="http://schemas.openxmlformats.org/officeDocument/2006/relationships/footer" Target="footer7.xml"/><Relationship Id="rId47" Type="http://schemas.openxmlformats.org/officeDocument/2006/relationships/hyperlink" Target="https://pubmed.ncbi.nlm.nih.gov/25724174/" TargetMode="External"/><Relationship Id="rId63" Type="http://schemas.openxmlformats.org/officeDocument/2006/relationships/header" Target="header9.xml"/><Relationship Id="rId68" Type="http://schemas.openxmlformats.org/officeDocument/2006/relationships/theme" Target="theme/theme1.xml"/><Relationship Id="rId7" Type="http://schemas.openxmlformats.org/officeDocument/2006/relationships/image" Target="media/image1.wmf"/><Relationship Id="rId71" Type="http://schemas.openxmlformats.org/officeDocument/2006/relationships/customXml" Target="../customXml/item3.xml"/><Relationship Id="rId2" Type="http://schemas.openxmlformats.org/officeDocument/2006/relationships/styles" Target="styles.xml"/><Relationship Id="rId16" Type="http://schemas.openxmlformats.org/officeDocument/2006/relationships/image" Target="media/image6.emf"/><Relationship Id="rId29" Type="http://schemas.openxmlformats.org/officeDocument/2006/relationships/header" Target="header3.xml"/><Relationship Id="rId11" Type="http://schemas.openxmlformats.org/officeDocument/2006/relationships/package" Target="embeddings/Microsoft_Visio_Drawing1.vsdx"/><Relationship Id="rId24" Type="http://schemas.openxmlformats.org/officeDocument/2006/relationships/header" Target="header1.xml"/><Relationship Id="rId32" Type="http://schemas.openxmlformats.org/officeDocument/2006/relationships/footer" Target="footer5.xml"/><Relationship Id="rId37" Type="http://schemas.openxmlformats.org/officeDocument/2006/relationships/image" Target="media/image12.emf"/><Relationship Id="rId40" Type="http://schemas.openxmlformats.org/officeDocument/2006/relationships/header" Target="header6.xml"/><Relationship Id="rId45" Type="http://schemas.openxmlformats.org/officeDocument/2006/relationships/footer" Target="footer8.xml"/><Relationship Id="rId53" Type="http://schemas.openxmlformats.org/officeDocument/2006/relationships/image" Target="media/image15.emf"/><Relationship Id="rId58" Type="http://schemas.openxmlformats.org/officeDocument/2006/relationships/package" Target="embeddings/Microsoft_Visio_Drawing13.vsdx"/><Relationship Id="rId66" Type="http://schemas.openxmlformats.org/officeDocument/2006/relationships/footer" Target="footer11.xml"/><Relationship Id="rId5" Type="http://schemas.openxmlformats.org/officeDocument/2006/relationships/footnotes" Target="footnotes.xml"/><Relationship Id="rId61" Type="http://schemas.openxmlformats.org/officeDocument/2006/relationships/hyperlink" Target="https://doi.org/10.1002/ieam.1573" TargetMode="External"/><Relationship Id="rId19" Type="http://schemas.openxmlformats.org/officeDocument/2006/relationships/package" Target="embeddings/Microsoft_Visio_Drawing5.vsdx"/><Relationship Id="rId14" Type="http://schemas.openxmlformats.org/officeDocument/2006/relationships/image" Target="media/image5.emf"/><Relationship Id="rId22" Type="http://schemas.openxmlformats.org/officeDocument/2006/relationships/image" Target="media/image9.emf"/><Relationship Id="rId27" Type="http://schemas.openxmlformats.org/officeDocument/2006/relationships/footer" Target="footer2.xml"/><Relationship Id="rId30" Type="http://schemas.openxmlformats.org/officeDocument/2006/relationships/header" Target="header4.xml"/><Relationship Id="rId35" Type="http://schemas.openxmlformats.org/officeDocument/2006/relationships/hyperlink" Target="https://tsar.jrc.ec.europa.eu/test-method/tm2004-01" TargetMode="External"/><Relationship Id="rId43" Type="http://schemas.openxmlformats.org/officeDocument/2006/relationships/header" Target="header7.xml"/><Relationship Id="rId48" Type="http://schemas.openxmlformats.org/officeDocument/2006/relationships/hyperlink" Target="https://pubmed.ncbi.nlm.nih.gov/27965148/" TargetMode="External"/><Relationship Id="rId56" Type="http://schemas.openxmlformats.org/officeDocument/2006/relationships/package" Target="embeddings/Microsoft_Visio_Drawing12.vsdx"/><Relationship Id="rId64" Type="http://schemas.openxmlformats.org/officeDocument/2006/relationships/header" Target="header10.xml"/><Relationship Id="rId69" Type="http://schemas.openxmlformats.org/officeDocument/2006/relationships/customXml" Target="../customXml/item1.xml"/><Relationship Id="rId8" Type="http://schemas.openxmlformats.org/officeDocument/2006/relationships/image" Target="media/image2.emf"/><Relationship Id="rId51" Type="http://schemas.openxmlformats.org/officeDocument/2006/relationships/image" Target="media/image14.emf"/><Relationship Id="rId3" Type="http://schemas.openxmlformats.org/officeDocument/2006/relationships/settings" Target="settings.xml"/><Relationship Id="rId12" Type="http://schemas.openxmlformats.org/officeDocument/2006/relationships/image" Target="media/image4.emf"/><Relationship Id="rId17" Type="http://schemas.openxmlformats.org/officeDocument/2006/relationships/package" Target="embeddings/Microsoft_Visio_Drawing4.vsdx"/><Relationship Id="rId25" Type="http://schemas.openxmlformats.org/officeDocument/2006/relationships/header" Target="header2.xml"/><Relationship Id="rId33" Type="http://schemas.openxmlformats.org/officeDocument/2006/relationships/hyperlink" Target="https://echa.europa.eu/guidance-documents/guidance-on-clp" TargetMode="External"/><Relationship Id="rId38" Type="http://schemas.openxmlformats.org/officeDocument/2006/relationships/package" Target="embeddings/Microsoft_Visio_Drawing8.vsdx"/><Relationship Id="rId46" Type="http://schemas.openxmlformats.org/officeDocument/2006/relationships/footer" Target="footer9.xml"/><Relationship Id="rId59" Type="http://schemas.openxmlformats.org/officeDocument/2006/relationships/hyperlink" Target="https://doi.org/10.1897/IEAM_2007-050.1" TargetMode="External"/><Relationship Id="rId67" Type="http://schemas.openxmlformats.org/officeDocument/2006/relationships/fontTable" Target="fontTable.xml"/><Relationship Id="rId20" Type="http://schemas.openxmlformats.org/officeDocument/2006/relationships/image" Target="media/image8.emf"/><Relationship Id="rId41" Type="http://schemas.openxmlformats.org/officeDocument/2006/relationships/footer" Target="footer6.xml"/><Relationship Id="rId54" Type="http://schemas.openxmlformats.org/officeDocument/2006/relationships/package" Target="embeddings/Microsoft_Visio_Drawing11.vsdx"/><Relationship Id="rId62" Type="http://schemas.openxmlformats.org/officeDocument/2006/relationships/hyperlink" Target="https://doi.org/10.1016/j.marpolbul.2016.03.055" TargetMode="External"/><Relationship Id="rId70" Type="http://schemas.openxmlformats.org/officeDocument/2006/relationships/customXml" Target="../customXml/item2.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package" Target="embeddings/Microsoft_Visio_Drawing3.vsdx"/><Relationship Id="rId23" Type="http://schemas.openxmlformats.org/officeDocument/2006/relationships/package" Target="embeddings/Microsoft_Visio_Drawing7.vsdx"/><Relationship Id="rId28" Type="http://schemas.openxmlformats.org/officeDocument/2006/relationships/footer" Target="footer3.xml"/><Relationship Id="rId36" Type="http://schemas.openxmlformats.org/officeDocument/2006/relationships/hyperlink" Target="https://tsar.jrc.ec.europa.eu/test-method/tm2004-03" TargetMode="External"/><Relationship Id="rId49" Type="http://schemas.openxmlformats.org/officeDocument/2006/relationships/image" Target="media/image13.emf"/><Relationship Id="rId57" Type="http://schemas.openxmlformats.org/officeDocument/2006/relationships/image" Target="media/image17.emf"/><Relationship Id="rId10" Type="http://schemas.openxmlformats.org/officeDocument/2006/relationships/image" Target="media/image3.emf"/><Relationship Id="rId31" Type="http://schemas.openxmlformats.org/officeDocument/2006/relationships/footer" Target="footer4.xml"/><Relationship Id="rId44" Type="http://schemas.openxmlformats.org/officeDocument/2006/relationships/header" Target="header8.xml"/><Relationship Id="rId52" Type="http://schemas.openxmlformats.org/officeDocument/2006/relationships/package" Target="embeddings/Microsoft_Visio_Drawing10.vsdx"/><Relationship Id="rId60" Type="http://schemas.openxmlformats.org/officeDocument/2006/relationships/hyperlink" Target="https://doi.org/10.1002/ieam.194" TargetMode="External"/><Relationship Id="rId65" Type="http://schemas.openxmlformats.org/officeDocument/2006/relationships/footer" Target="footer10.xml"/><Relationship Id="rId4" Type="http://schemas.openxmlformats.org/officeDocument/2006/relationships/webSettings" Target="webSettings.xml"/><Relationship Id="rId9" Type="http://schemas.openxmlformats.org/officeDocument/2006/relationships/package" Target="embeddings/Microsoft_Visio_Drawing.vsdx"/><Relationship Id="rId13" Type="http://schemas.openxmlformats.org/officeDocument/2006/relationships/package" Target="embeddings/Microsoft_Visio_Drawing2.vsdx"/><Relationship Id="rId18" Type="http://schemas.openxmlformats.org/officeDocument/2006/relationships/image" Target="media/image7.emf"/><Relationship Id="rId39" Type="http://schemas.openxmlformats.org/officeDocument/2006/relationships/header" Target="header5.xml"/><Relationship Id="rId34" Type="http://schemas.openxmlformats.org/officeDocument/2006/relationships/hyperlink" Target="https://ec.europa.eu/jrc/sites/jrcsh/files/esac31_lvet_20090922.pdf" TargetMode="External"/><Relationship Id="rId50" Type="http://schemas.openxmlformats.org/officeDocument/2006/relationships/package" Target="embeddings/Microsoft_Visio_Drawing9.vsdx"/><Relationship Id="rId55" Type="http://schemas.openxmlformats.org/officeDocument/2006/relationships/image" Target="media/image16.emf"/></Relationships>
</file>

<file path=word/_rels/footer3.xml.rels><?xml version="1.0" encoding="UTF-8" standalone="yes"?>
<Relationships xmlns="http://schemas.openxmlformats.org/package/2006/relationships"><Relationship Id="rId2" Type="http://schemas.openxmlformats.org/officeDocument/2006/relationships/image" Target="media/image11.gif"/><Relationship Id="rId1" Type="http://schemas.openxmlformats.org/officeDocument/2006/relationships/image" Target="media/image1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B8422D08C252547BB1CFA7F78E2CB83" ma:contentTypeVersion="18" ma:contentTypeDescription="Create a new document." ma:contentTypeScope="" ma:versionID="e62f3c52afbfb087cbf0486b24bccade">
  <xsd:schema xmlns:xsd="http://www.w3.org/2001/XMLSchema" xmlns:xs="http://www.w3.org/2001/XMLSchema" xmlns:p="http://schemas.microsoft.com/office/2006/metadata/properties" xmlns:ns2="4b4a1c0d-4a69-4996-a84a-fc699b9f49de" xmlns:ns3="acccb6d4-dbe5-46d2-b4d3-5733603d8cc6" xmlns:ns4="985ec44e-1bab-4c0b-9df0-6ba128686fc9" targetNamespace="http://schemas.microsoft.com/office/2006/metadata/properties" ma:root="true" ma:fieldsID="0897c4342d1b21160e8184e77b1557a4" ns2:_="" ns3:_="" ns4:_="">
    <xsd:import namespace="4b4a1c0d-4a69-4996-a84a-fc699b9f49de"/>
    <xsd:import namespace="acccb6d4-dbe5-46d2-b4d3-5733603d8cc6"/>
    <xsd:import namespace="985ec44e-1bab-4c0b-9df0-6ba128686fc9"/>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lcf76f155ced4ddcb4097134ff3c332f" minOccurs="0"/>
                <xsd:element ref="ns4:TaxCatchAll"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4a1c0d-4a69-4996-a84a-fc699b9f49d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cccb6d4-dbe5-46d2-b4d3-5733603d8cc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8175662-8596-484a-92c7-351d01561e2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85ec44e-1bab-4c0b-9df0-6ba128686fc9"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02cb41a6-c265-4598-b948-df01c7e084ec}" ma:internalName="TaxCatchAll" ma:showField="CatchAllData" ma:web="4b4a1c0d-4a69-4996-a84a-fc699b9f49d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acccb6d4-dbe5-46d2-b4d3-5733603d8cc6">
      <Terms xmlns="http://schemas.microsoft.com/office/infopath/2007/PartnerControls"/>
    </lcf76f155ced4ddcb4097134ff3c332f>
    <TaxCatchAll xmlns="985ec44e-1bab-4c0b-9df0-6ba128686fc9" xsi:nil="true"/>
  </documentManagement>
</p:properties>
</file>

<file path=customXml/itemProps1.xml><?xml version="1.0" encoding="utf-8"?>
<ds:datastoreItem xmlns:ds="http://schemas.openxmlformats.org/officeDocument/2006/customXml" ds:itemID="{15D3D76D-CC60-4F77-B467-E76E811C20AE}"/>
</file>

<file path=customXml/itemProps2.xml><?xml version="1.0" encoding="utf-8"?>
<ds:datastoreItem xmlns:ds="http://schemas.openxmlformats.org/officeDocument/2006/customXml" ds:itemID="{7A7A0C33-9AEB-411A-8936-B0EB06C257F2}"/>
</file>

<file path=customXml/itemProps3.xml><?xml version="1.0" encoding="utf-8"?>
<ds:datastoreItem xmlns:ds="http://schemas.openxmlformats.org/officeDocument/2006/customXml" ds:itemID="{FC0871E4-D8B9-4C61-9EAB-E7698268FFA3}"/>
</file>

<file path=docProps/app.xml><?xml version="1.0" encoding="utf-8"?>
<Properties xmlns="http://schemas.openxmlformats.org/officeDocument/2006/extended-properties" xmlns:vt="http://schemas.openxmlformats.org/officeDocument/2006/docPropsVTypes">
  <Template>Normal.dotm</Template>
  <TotalTime>1</TotalTime>
  <Pages>88</Pages>
  <Words>36878</Words>
  <Characters>202832</Characters>
  <Application>Microsoft Office Word</Application>
  <DocSecurity>0</DocSecurity>
  <Lines>1690</Lines>
  <Paragraphs>478</Paragraphs>
  <ScaleCrop>false</ScaleCrop>
  <HeadingPairs>
    <vt:vector size="2" baseType="variant">
      <vt:variant>
        <vt:lpstr>Título</vt:lpstr>
      </vt:variant>
      <vt:variant>
        <vt:i4>1</vt:i4>
      </vt:variant>
    </vt:vector>
  </HeadingPairs>
  <TitlesOfParts>
    <vt:vector size="1" baseType="lpstr">
      <vt:lpstr>ST/SG/AC.10/50/Add.3</vt:lpstr>
    </vt:vector>
  </TitlesOfParts>
  <Company/>
  <LinksUpToDate>false</LinksUpToDate>
  <CharactersWithSpaces>239232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ST/SG/AC.10/50/Add.3</dc:title>
  <dc:subject/>
  <dc:creator>Juan-Carlos KOROL</dc:creator>
  <cp:keywords/>
  <cp:lastModifiedBy>Alicia Dorca Garcia</cp:lastModifiedBy>
  <cp:revision>2</cp:revision>
  <dcterms:created xsi:type="dcterms:W3CDTF">2023-08-21T08:52:00Z</dcterms:created>
  <dcterms:modified xsi:type="dcterms:W3CDTF">2023-08-21T08:52:00Z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0x0101003B8422D08C252547BB1CFA7F78E2CB83</vt:lpwstr>
  </property>
</Properties>
</file>